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D4117" w14:paraId="0841D3A3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26940D5" w14:textId="77777777" w:rsidR="00D2023F" w:rsidRPr="00ED4117" w:rsidRDefault="0018215C" w:rsidP="00EB5053">
            <w:pPr>
              <w:rPr>
                <w:lang w:val="es-ES"/>
              </w:rPr>
            </w:pPr>
            <w:r w:rsidRPr="00ED4117">
              <w:rPr>
                <w:noProof/>
                <w:lang w:val="es-ES"/>
              </w:rPr>
              <w:drawing>
                <wp:inline distT="0" distB="0" distL="0" distR="0" wp14:anchorId="0F504777" wp14:editId="15D2568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AE8CC20" w14:textId="77777777" w:rsidR="00E610A4" w:rsidRPr="00ED4117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ED4117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6FEBA990" w14:textId="77777777" w:rsidR="00D2023F" w:rsidRPr="00ED4117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ED4117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ED4E429" w14:textId="77777777" w:rsidR="00D2023F" w:rsidRPr="00ED4117" w:rsidRDefault="00D2023F" w:rsidP="00C30155">
            <w:pPr>
              <w:spacing w:before="0"/>
              <w:rPr>
                <w:lang w:val="es-ES"/>
              </w:rPr>
            </w:pPr>
            <w:r w:rsidRPr="00ED4117">
              <w:rPr>
                <w:noProof/>
                <w:lang w:val="es-ES" w:eastAsia="zh-CN"/>
              </w:rPr>
              <w:drawing>
                <wp:inline distT="0" distB="0" distL="0" distR="0" wp14:anchorId="414F5383" wp14:editId="1B439ED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D4117" w14:paraId="7BA8C52B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060C66A" w14:textId="77777777" w:rsidR="00D2023F" w:rsidRPr="00ED4117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D4117" w14:paraId="35A13FEE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4A0FBB5" w14:textId="77777777" w:rsidR="00931298" w:rsidRPr="00ED4117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EE5169B" w14:textId="77777777" w:rsidR="00931298" w:rsidRPr="00ED4117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ED4117" w14:paraId="31828604" w14:textId="77777777" w:rsidTr="008E0616">
        <w:trPr>
          <w:cantSplit/>
        </w:trPr>
        <w:tc>
          <w:tcPr>
            <w:tcW w:w="6237" w:type="dxa"/>
            <w:gridSpan w:val="2"/>
          </w:tcPr>
          <w:p w14:paraId="061E5E9D" w14:textId="77777777" w:rsidR="00752D4D" w:rsidRPr="00ED4117" w:rsidRDefault="006C136E" w:rsidP="00C30155">
            <w:pPr>
              <w:pStyle w:val="Committee"/>
              <w:rPr>
                <w:lang w:val="es-ES"/>
              </w:rPr>
            </w:pPr>
            <w:r w:rsidRPr="00ED4117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62055A5" w14:textId="77777777" w:rsidR="00752D4D" w:rsidRPr="00ED4117" w:rsidRDefault="006C136E" w:rsidP="00A52D1A">
            <w:pPr>
              <w:pStyle w:val="Docnumber"/>
              <w:rPr>
                <w:lang w:val="es-ES"/>
              </w:rPr>
            </w:pPr>
            <w:r w:rsidRPr="00ED4117">
              <w:rPr>
                <w:lang w:val="es-ES"/>
              </w:rPr>
              <w:t>Addéndum 2 al</w:t>
            </w:r>
            <w:r w:rsidRPr="00ED4117">
              <w:rPr>
                <w:lang w:val="es-ES"/>
              </w:rPr>
              <w:br/>
              <w:t>Documento 40</w:t>
            </w:r>
            <w:r w:rsidR="00D34410" w:rsidRPr="00ED4117">
              <w:rPr>
                <w:lang w:val="es-ES"/>
              </w:rPr>
              <w:t>-S</w:t>
            </w:r>
          </w:p>
        </w:tc>
      </w:tr>
      <w:tr w:rsidR="00931298" w:rsidRPr="00ED4117" w14:paraId="505DD238" w14:textId="77777777" w:rsidTr="008E0616">
        <w:trPr>
          <w:cantSplit/>
        </w:trPr>
        <w:tc>
          <w:tcPr>
            <w:tcW w:w="6237" w:type="dxa"/>
            <w:gridSpan w:val="2"/>
          </w:tcPr>
          <w:p w14:paraId="775C1095" w14:textId="77777777" w:rsidR="00931298" w:rsidRPr="00ED4117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1F508C3" w14:textId="77777777" w:rsidR="00931298" w:rsidRPr="00ED4117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D4117">
              <w:rPr>
                <w:sz w:val="20"/>
                <w:szCs w:val="16"/>
                <w:lang w:val="es-ES"/>
              </w:rPr>
              <w:t>19 de septiembre de 2024</w:t>
            </w:r>
          </w:p>
        </w:tc>
      </w:tr>
      <w:tr w:rsidR="00931298" w:rsidRPr="00ED4117" w14:paraId="244BE382" w14:textId="77777777" w:rsidTr="008E0616">
        <w:trPr>
          <w:cantSplit/>
        </w:trPr>
        <w:tc>
          <w:tcPr>
            <w:tcW w:w="6237" w:type="dxa"/>
            <w:gridSpan w:val="2"/>
          </w:tcPr>
          <w:p w14:paraId="3A567CB8" w14:textId="77777777" w:rsidR="00931298" w:rsidRPr="00ED4117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2FB7889" w14:textId="77777777" w:rsidR="00931298" w:rsidRPr="00ED4117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D4117">
              <w:rPr>
                <w:sz w:val="20"/>
                <w:szCs w:val="16"/>
                <w:lang w:val="es-ES"/>
              </w:rPr>
              <w:t>Original: ruso</w:t>
            </w:r>
          </w:p>
        </w:tc>
      </w:tr>
      <w:tr w:rsidR="00931298" w:rsidRPr="00ED4117" w14:paraId="2103AE9D" w14:textId="77777777" w:rsidTr="008E0616">
        <w:trPr>
          <w:cantSplit/>
        </w:trPr>
        <w:tc>
          <w:tcPr>
            <w:tcW w:w="9811" w:type="dxa"/>
            <w:gridSpan w:val="4"/>
          </w:tcPr>
          <w:p w14:paraId="0E63AD80" w14:textId="77777777" w:rsidR="00931298" w:rsidRPr="00ED4117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E3201B" w14:paraId="51F0AD34" w14:textId="77777777" w:rsidTr="008E0616">
        <w:trPr>
          <w:cantSplit/>
        </w:trPr>
        <w:tc>
          <w:tcPr>
            <w:tcW w:w="9811" w:type="dxa"/>
            <w:gridSpan w:val="4"/>
          </w:tcPr>
          <w:p w14:paraId="254E8FD5" w14:textId="2776C69F" w:rsidR="00931298" w:rsidRPr="00ED4117" w:rsidRDefault="006C136E" w:rsidP="00C30155">
            <w:pPr>
              <w:pStyle w:val="Source"/>
              <w:rPr>
                <w:lang w:val="es-ES"/>
              </w:rPr>
            </w:pPr>
            <w:r w:rsidRPr="00ED4117">
              <w:rPr>
                <w:lang w:val="es-ES"/>
              </w:rPr>
              <w:t>Estados Miembros de la UIT</w:t>
            </w:r>
            <w:r w:rsidR="002612AA" w:rsidRPr="00ED4117">
              <w:rPr>
                <w:lang w:val="es-ES"/>
              </w:rPr>
              <w:t>,</w:t>
            </w:r>
            <w:r w:rsidRPr="00ED4117">
              <w:rPr>
                <w:lang w:val="es-ES"/>
              </w:rPr>
              <w:t xml:space="preserve"> Miembros de la Comunidad Regional de</w:t>
            </w:r>
            <w:r w:rsidR="002E7496">
              <w:rPr>
                <w:lang w:val="es-ES"/>
              </w:rPr>
              <w:t> </w:t>
            </w:r>
            <w:r w:rsidRPr="00ED4117">
              <w:rPr>
                <w:lang w:val="es-ES"/>
              </w:rPr>
              <w:t>Comunicaciones (CRC)</w:t>
            </w:r>
          </w:p>
        </w:tc>
      </w:tr>
      <w:tr w:rsidR="00931298" w:rsidRPr="00E3201B" w14:paraId="1B2FBAEB" w14:textId="77777777" w:rsidTr="008E0616">
        <w:trPr>
          <w:cantSplit/>
        </w:trPr>
        <w:tc>
          <w:tcPr>
            <w:tcW w:w="9811" w:type="dxa"/>
            <w:gridSpan w:val="4"/>
          </w:tcPr>
          <w:p w14:paraId="19318107" w14:textId="055C2928" w:rsidR="00931298" w:rsidRPr="00ED4117" w:rsidRDefault="002612AA" w:rsidP="00C30155">
            <w:pPr>
              <w:pStyle w:val="Title1"/>
              <w:rPr>
                <w:lang w:val="es-ES"/>
              </w:rPr>
            </w:pPr>
            <w:r w:rsidRPr="00ED4117">
              <w:rPr>
                <w:lang w:val="es-ES"/>
              </w:rPr>
              <w:t>PROPUESTA DE SUPRESIÓN DE LA RESOLUCIÓN</w:t>
            </w:r>
            <w:r w:rsidR="006C136E" w:rsidRPr="00ED4117">
              <w:rPr>
                <w:lang w:val="es-ES"/>
              </w:rPr>
              <w:t xml:space="preserve"> 99</w:t>
            </w:r>
          </w:p>
        </w:tc>
      </w:tr>
      <w:tr w:rsidR="00657CDA" w:rsidRPr="00E3201B" w14:paraId="749D912C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12286E4" w14:textId="77777777" w:rsidR="00657CDA" w:rsidRPr="00ED4117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E3201B" w14:paraId="6A302F15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BD7359A" w14:textId="77777777" w:rsidR="00657CDA" w:rsidRPr="00ED4117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58B262C" w14:textId="77777777" w:rsidR="00931298" w:rsidRPr="00ED4117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E3201B" w14:paraId="64A0BD45" w14:textId="77777777" w:rsidTr="002612AA">
        <w:trPr>
          <w:cantSplit/>
        </w:trPr>
        <w:tc>
          <w:tcPr>
            <w:tcW w:w="1885" w:type="dxa"/>
          </w:tcPr>
          <w:p w14:paraId="56445540" w14:textId="77777777" w:rsidR="00931298" w:rsidRPr="00ED4117" w:rsidRDefault="00E610A4" w:rsidP="00C30155">
            <w:pPr>
              <w:rPr>
                <w:lang w:val="es-ES"/>
              </w:rPr>
            </w:pPr>
            <w:r w:rsidRPr="00ED4117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712B1A95" w14:textId="71FC5197" w:rsidR="00931298" w:rsidRPr="002E7496" w:rsidRDefault="002612AA" w:rsidP="002E7496">
            <w:pPr>
              <w:pStyle w:val="Abstract"/>
              <w:rPr>
                <w:lang w:val="es-ES"/>
              </w:rPr>
            </w:pPr>
            <w:r w:rsidRPr="002E7496">
              <w:rPr>
                <w:lang w:val="es-ES"/>
              </w:rPr>
              <w:t>La C</w:t>
            </w:r>
            <w:r w:rsidR="00ED4117" w:rsidRPr="002E7496">
              <w:rPr>
                <w:lang w:val="es-ES"/>
              </w:rPr>
              <w:t>R</w:t>
            </w:r>
            <w:r w:rsidRPr="002E7496">
              <w:rPr>
                <w:lang w:val="es-ES"/>
              </w:rPr>
              <w:t>C propone suprimir la Resolución</w:t>
            </w:r>
            <w:r w:rsidR="00183482">
              <w:rPr>
                <w:lang w:val="es-ES"/>
              </w:rPr>
              <w:t> </w:t>
            </w:r>
            <w:r w:rsidRPr="002E7496">
              <w:rPr>
                <w:lang w:val="es-ES"/>
              </w:rPr>
              <w:t>99 (Ginebra, 2022), relativa al examen de la reforma organizativa de las Comisiones de Estudio del Sector de Normalización de las Telecomunicaciones la UIT. Dado que en la última</w:t>
            </w:r>
            <w:r w:rsidR="00183482">
              <w:rPr>
                <w:lang w:val="es-ES"/>
              </w:rPr>
              <w:t> </w:t>
            </w:r>
            <w:r w:rsidRPr="002E7496">
              <w:rPr>
                <w:lang w:val="es-ES"/>
              </w:rPr>
              <w:t xml:space="preserve">AMNT se adoptó una decisión con respecto a la reestructuración y que, en consecuencia, no se han propuesto nuevas modificaciones estructurales </w:t>
            </w:r>
            <w:r w:rsidR="00ED4117" w:rsidRPr="002E7496">
              <w:rPr>
                <w:lang w:val="es-ES"/>
              </w:rPr>
              <w:t>de calado</w:t>
            </w:r>
            <w:r w:rsidRPr="002E7496">
              <w:rPr>
                <w:lang w:val="es-ES"/>
              </w:rPr>
              <w:t>, salvo la posible fusión de la CE</w:t>
            </w:r>
            <w:r w:rsidR="002E7496" w:rsidRPr="002E7496">
              <w:rPr>
                <w:lang w:val="es-ES"/>
              </w:rPr>
              <w:t> </w:t>
            </w:r>
            <w:r w:rsidRPr="002E7496">
              <w:rPr>
                <w:lang w:val="es-ES"/>
              </w:rPr>
              <w:t>9 y la CE</w:t>
            </w:r>
            <w:r w:rsidR="002E7496" w:rsidRPr="002E7496">
              <w:rPr>
                <w:lang w:val="es-ES"/>
              </w:rPr>
              <w:t> </w:t>
            </w:r>
            <w:r w:rsidRPr="002E7496">
              <w:rPr>
                <w:lang w:val="es-ES"/>
              </w:rPr>
              <w:t>16 del UIT-T, en adelante, los trabajos sobre la reforma organizativa de las Comisiones de Estudio pueden proseguirse en el marco del GANT, por ejemplo, como ya se hizo a efectos de la creación de la nueva CE</w:t>
            </w:r>
            <w:r w:rsidR="002E7496" w:rsidRPr="002E7496">
              <w:rPr>
                <w:lang w:val="es-ES"/>
              </w:rPr>
              <w:t> </w:t>
            </w:r>
            <w:r w:rsidRPr="002E7496">
              <w:rPr>
                <w:lang w:val="es-ES"/>
              </w:rPr>
              <w:t>20 del UIT-T, así como de las propias Comisiones de Estudio del UIT-T en virtud de la Resolución</w:t>
            </w:r>
            <w:r w:rsidR="002E7496" w:rsidRPr="002E7496">
              <w:rPr>
                <w:lang w:val="es-ES"/>
              </w:rPr>
              <w:t> </w:t>
            </w:r>
            <w:r w:rsidRPr="002E7496">
              <w:rPr>
                <w:lang w:val="es-ES"/>
              </w:rPr>
              <w:t>2.</w:t>
            </w:r>
          </w:p>
          <w:p w14:paraId="16876E57" w14:textId="1F84CB0A" w:rsidR="00ED4117" w:rsidRPr="002E7496" w:rsidRDefault="00ED4117" w:rsidP="002E7496">
            <w:pPr>
              <w:pStyle w:val="Abstract"/>
              <w:rPr>
                <w:lang w:val="es-ES"/>
              </w:rPr>
            </w:pPr>
            <w:r w:rsidRPr="002E7496">
              <w:rPr>
                <w:lang w:val="es-ES"/>
              </w:rPr>
              <w:t>Consideramos pues que esta Resolución es innecesaria.</w:t>
            </w:r>
          </w:p>
        </w:tc>
      </w:tr>
      <w:tr w:rsidR="00931298" w:rsidRPr="00E3201B" w14:paraId="5A266006" w14:textId="77777777" w:rsidTr="002612AA">
        <w:trPr>
          <w:cantSplit/>
        </w:trPr>
        <w:tc>
          <w:tcPr>
            <w:tcW w:w="1885" w:type="dxa"/>
          </w:tcPr>
          <w:p w14:paraId="0589ECB7" w14:textId="77777777" w:rsidR="00931298" w:rsidRPr="00ED4117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ED4117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174AEA7F" w14:textId="2BDB007A" w:rsidR="00FE5494" w:rsidRPr="00ED4117" w:rsidRDefault="002612AA" w:rsidP="002E7496">
            <w:pPr>
              <w:rPr>
                <w:lang w:val="es-ES"/>
              </w:rPr>
            </w:pPr>
            <w:r w:rsidRPr="00ED4117">
              <w:rPr>
                <w:lang w:val="es-ES"/>
              </w:rPr>
              <w:t>Alexey Borodin</w:t>
            </w:r>
            <w:r w:rsidRPr="00ED4117">
              <w:rPr>
                <w:lang w:val="es-ES"/>
              </w:rPr>
              <w:br/>
              <w:t>Comunidad Regional de Comunicaciones</w:t>
            </w:r>
          </w:p>
        </w:tc>
        <w:tc>
          <w:tcPr>
            <w:tcW w:w="3877" w:type="dxa"/>
          </w:tcPr>
          <w:p w14:paraId="3012BE96" w14:textId="48B83269" w:rsidR="00931298" w:rsidRPr="00E3201B" w:rsidRDefault="00E610A4" w:rsidP="00E6117A">
            <w:pPr>
              <w:rPr>
                <w:lang w:val="it-IT"/>
              </w:rPr>
            </w:pPr>
            <w:r w:rsidRPr="00E3201B">
              <w:rPr>
                <w:lang w:val="it-IT"/>
              </w:rPr>
              <w:t>Correo-e:</w:t>
            </w:r>
            <w:r w:rsidR="002612AA" w:rsidRPr="00E3201B">
              <w:rPr>
                <w:lang w:val="it-IT"/>
              </w:rPr>
              <w:t xml:space="preserve"> </w:t>
            </w:r>
            <w:hyperlink r:id="rId14" w:history="1">
              <w:r w:rsidR="002612AA" w:rsidRPr="00E3201B">
                <w:rPr>
                  <w:rStyle w:val="Hyperlink"/>
                  <w:lang w:val="it-IT"/>
                </w:rPr>
                <w:t>ecrcc@rcc.org.ru</w:t>
              </w:r>
            </w:hyperlink>
          </w:p>
        </w:tc>
      </w:tr>
      <w:tr w:rsidR="002612AA" w:rsidRPr="00E3201B" w14:paraId="4A8E8853" w14:textId="77777777" w:rsidTr="002612AA">
        <w:trPr>
          <w:cantSplit/>
        </w:trPr>
        <w:tc>
          <w:tcPr>
            <w:tcW w:w="1885" w:type="dxa"/>
          </w:tcPr>
          <w:p w14:paraId="53ECB2A1" w14:textId="71C89C52" w:rsidR="002612AA" w:rsidRPr="00ED4117" w:rsidRDefault="002612AA" w:rsidP="00DE57FE">
            <w:pPr>
              <w:rPr>
                <w:b/>
                <w:bCs/>
                <w:lang w:val="es-ES"/>
              </w:rPr>
            </w:pPr>
            <w:r w:rsidRPr="00ED4117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2DD547B4" w14:textId="69FE204C" w:rsidR="002612AA" w:rsidRPr="00ED4117" w:rsidRDefault="002612AA" w:rsidP="002E7496">
            <w:pPr>
              <w:rPr>
                <w:szCs w:val="22"/>
                <w:lang w:val="es-ES"/>
              </w:rPr>
            </w:pPr>
            <w:r w:rsidRPr="00ED4117">
              <w:rPr>
                <w:lang w:val="es-ES"/>
              </w:rPr>
              <w:t>Evgeny Tonkikh</w:t>
            </w:r>
            <w:r w:rsidR="002E7496">
              <w:rPr>
                <w:lang w:val="es-ES"/>
              </w:rPr>
              <w:br/>
            </w:r>
            <w:r w:rsidRPr="00ED4117">
              <w:rPr>
                <w:szCs w:val="22"/>
                <w:lang w:val="es-ES"/>
              </w:rPr>
              <w:t>Coordinador de la CRC para los preparativos de la AMNT</w:t>
            </w:r>
            <w:r w:rsidR="002E7496">
              <w:rPr>
                <w:szCs w:val="22"/>
                <w:lang w:val="es-ES"/>
              </w:rPr>
              <w:br/>
            </w:r>
            <w:r w:rsidRPr="00ED4117">
              <w:rPr>
                <w:szCs w:val="22"/>
                <w:lang w:val="es-ES"/>
              </w:rPr>
              <w:t>Federación de Rusia</w:t>
            </w:r>
          </w:p>
        </w:tc>
        <w:tc>
          <w:tcPr>
            <w:tcW w:w="3877" w:type="dxa"/>
          </w:tcPr>
          <w:p w14:paraId="6A2C8F9E" w14:textId="77D30EE1" w:rsidR="002612AA" w:rsidRPr="00E3201B" w:rsidRDefault="003C7D01" w:rsidP="00DE57FE">
            <w:pPr>
              <w:rPr>
                <w:lang w:val="it-IT"/>
              </w:rPr>
            </w:pPr>
            <w:r w:rsidRPr="00E3201B">
              <w:rPr>
                <w:lang w:val="it-IT"/>
              </w:rPr>
              <w:t>Correo-e</w:t>
            </w:r>
            <w:r w:rsidR="002612AA" w:rsidRPr="00E3201B">
              <w:rPr>
                <w:lang w:val="it-IT"/>
              </w:rPr>
              <w:t xml:space="preserve">: </w:t>
            </w:r>
            <w:hyperlink r:id="rId15" w:history="1">
              <w:r w:rsidR="002612AA" w:rsidRPr="00E3201B">
                <w:rPr>
                  <w:rStyle w:val="Hyperlink"/>
                  <w:lang w:val="it-IT"/>
                </w:rPr>
                <w:t>et@niir.ru</w:t>
              </w:r>
            </w:hyperlink>
          </w:p>
        </w:tc>
      </w:tr>
    </w:tbl>
    <w:p w14:paraId="39F4AA4E" w14:textId="77777777" w:rsidR="00931298" w:rsidRPr="00E3201B" w:rsidRDefault="009F4801" w:rsidP="002E7496">
      <w:pPr>
        <w:rPr>
          <w:lang w:val="it-IT"/>
        </w:rPr>
      </w:pPr>
      <w:r w:rsidRPr="00E3201B">
        <w:rPr>
          <w:lang w:val="it-IT"/>
        </w:rPr>
        <w:br w:type="page"/>
      </w:r>
    </w:p>
    <w:p w14:paraId="7A3636AB" w14:textId="77777777" w:rsidR="00675713" w:rsidRPr="00ED4117" w:rsidRDefault="009830A6">
      <w:pPr>
        <w:pStyle w:val="Proposal"/>
        <w:rPr>
          <w:lang w:val="es-ES"/>
        </w:rPr>
      </w:pPr>
      <w:r w:rsidRPr="00ED4117">
        <w:rPr>
          <w:lang w:val="es-ES"/>
        </w:rPr>
        <w:lastRenderedPageBreak/>
        <w:t>SUP</w:t>
      </w:r>
      <w:r w:rsidRPr="00ED4117">
        <w:rPr>
          <w:lang w:val="es-ES"/>
        </w:rPr>
        <w:tab/>
        <w:t>RCC/40A2/1</w:t>
      </w:r>
    </w:p>
    <w:p w14:paraId="0CDC3124" w14:textId="77777777" w:rsidR="00AD6870" w:rsidRPr="00ED4117" w:rsidRDefault="009830A6" w:rsidP="00AD6870">
      <w:pPr>
        <w:pStyle w:val="ResNo"/>
        <w:rPr>
          <w:lang w:val="es-ES"/>
        </w:rPr>
      </w:pPr>
      <w:bookmarkStart w:id="0" w:name="_Toc111990570"/>
      <w:r w:rsidRPr="00ED4117">
        <w:rPr>
          <w:lang w:val="es-ES"/>
        </w:rPr>
        <w:t xml:space="preserve">RESOLUCIÓN </w:t>
      </w:r>
      <w:r w:rsidRPr="00ED4117">
        <w:rPr>
          <w:rStyle w:val="href"/>
          <w:lang w:val="es-ES"/>
        </w:rPr>
        <w:t>99</w:t>
      </w:r>
      <w:r w:rsidRPr="00ED4117">
        <w:rPr>
          <w:lang w:val="es-ES"/>
        </w:rPr>
        <w:t xml:space="preserve"> (G</w:t>
      </w:r>
      <w:r w:rsidRPr="00ED4117">
        <w:rPr>
          <w:caps w:val="0"/>
          <w:lang w:val="es-ES"/>
        </w:rPr>
        <w:t>inebra</w:t>
      </w:r>
      <w:r w:rsidRPr="00ED4117">
        <w:rPr>
          <w:lang w:val="es-ES"/>
        </w:rPr>
        <w:t>, 2022)</w:t>
      </w:r>
      <w:bookmarkEnd w:id="0"/>
    </w:p>
    <w:p w14:paraId="7655DEA8" w14:textId="77777777" w:rsidR="00AD6870" w:rsidRPr="00ED4117" w:rsidRDefault="009830A6" w:rsidP="00AD6870">
      <w:pPr>
        <w:pStyle w:val="Restitle"/>
        <w:rPr>
          <w:lang w:val="es-ES"/>
        </w:rPr>
      </w:pPr>
      <w:bookmarkStart w:id="1" w:name="_Toc111990571"/>
      <w:r w:rsidRPr="00ED4117">
        <w:rPr>
          <w:lang w:val="es-ES"/>
        </w:rPr>
        <w:t>Examen de la reforma organizativa de las Comisiones</w:t>
      </w:r>
      <w:r w:rsidRPr="00ED4117">
        <w:rPr>
          <w:lang w:val="es-ES"/>
        </w:rPr>
        <w:br/>
        <w:t>de Estudio del Sector de Normalización de las Telecomunicaciones la UIT</w:t>
      </w:r>
      <w:bookmarkEnd w:id="1"/>
    </w:p>
    <w:p w14:paraId="574BD628" w14:textId="77777777" w:rsidR="00AD6870" w:rsidRPr="00ED4117" w:rsidRDefault="009830A6" w:rsidP="00AD6870">
      <w:pPr>
        <w:pStyle w:val="Resref"/>
        <w:rPr>
          <w:lang w:val="es-ES"/>
        </w:rPr>
      </w:pPr>
      <w:r w:rsidRPr="00ED4117">
        <w:rPr>
          <w:lang w:val="es-ES"/>
        </w:rPr>
        <w:t>(Ginebra, 2022)</w:t>
      </w:r>
    </w:p>
    <w:p w14:paraId="13639194" w14:textId="77777777" w:rsidR="00AD6870" w:rsidRPr="00ED4117" w:rsidRDefault="009830A6" w:rsidP="00AD6870">
      <w:pPr>
        <w:pStyle w:val="Normalaftertitle0"/>
        <w:rPr>
          <w:lang w:val="es-ES"/>
        </w:rPr>
      </w:pPr>
      <w:r w:rsidRPr="00ED4117">
        <w:rPr>
          <w:lang w:val="es-ES"/>
        </w:rPr>
        <w:t>La Asamblea Mundial de Normalización de las Telecomunicaciones (Ginebra, 2022),</w:t>
      </w:r>
    </w:p>
    <w:p w14:paraId="6DD49475" w14:textId="4D75FD2B" w:rsidR="00675713" w:rsidRPr="00183482" w:rsidRDefault="009830A6" w:rsidP="002E7496">
      <w:pPr>
        <w:pStyle w:val="Reasons"/>
        <w:rPr>
          <w:lang w:val="es-ES"/>
        </w:rPr>
      </w:pPr>
      <w:r w:rsidRPr="002E7496">
        <w:rPr>
          <w:b/>
          <w:bCs/>
          <w:lang w:val="es-ES"/>
        </w:rPr>
        <w:t>Motivos:</w:t>
      </w:r>
      <w:r w:rsidRPr="002E7496">
        <w:tab/>
      </w:r>
      <w:r w:rsidR="00DB7AEA" w:rsidRPr="00183482">
        <w:rPr>
          <w:lang w:val="es-ES"/>
        </w:rPr>
        <w:t>En adelante, los trabajos sobre la reforma organizativa de las Comisiones de Estudio pueden proseguirse en el marco del GANT, por ejemplo, como ya se hizo a efectos de la creación de la nueva CE</w:t>
      </w:r>
      <w:r w:rsidR="00183482" w:rsidRPr="00183482">
        <w:rPr>
          <w:lang w:val="es-ES"/>
        </w:rPr>
        <w:t> </w:t>
      </w:r>
      <w:r w:rsidR="00DB7AEA" w:rsidRPr="00183482">
        <w:rPr>
          <w:lang w:val="es-ES"/>
        </w:rPr>
        <w:t>20 del UIT-T, así como de las propias Comisiones de Estudio del UIT-T en virtud de la Resolución</w:t>
      </w:r>
      <w:r w:rsidR="00183482" w:rsidRPr="00183482">
        <w:rPr>
          <w:lang w:val="es-ES"/>
        </w:rPr>
        <w:t> </w:t>
      </w:r>
      <w:r w:rsidR="00DB7AEA" w:rsidRPr="00183482">
        <w:rPr>
          <w:lang w:val="es-ES"/>
        </w:rPr>
        <w:t>2.</w:t>
      </w:r>
      <w:r w:rsidR="00796D7A" w:rsidRPr="00183482">
        <w:rPr>
          <w:lang w:val="es-ES"/>
        </w:rPr>
        <w:t xml:space="preserve"> </w:t>
      </w:r>
      <w:r w:rsidR="00DB7AEA" w:rsidRPr="00183482">
        <w:rPr>
          <w:lang w:val="es-ES"/>
        </w:rPr>
        <w:t xml:space="preserve">Consideramos </w:t>
      </w:r>
      <w:r w:rsidR="00796D7A" w:rsidRPr="00183482">
        <w:rPr>
          <w:lang w:val="es-ES"/>
        </w:rPr>
        <w:t xml:space="preserve">pues </w:t>
      </w:r>
      <w:r w:rsidR="00DB7AEA" w:rsidRPr="00183482">
        <w:rPr>
          <w:lang w:val="es-ES"/>
        </w:rPr>
        <w:t xml:space="preserve">que esta Resolución es </w:t>
      </w:r>
      <w:r w:rsidR="00796D7A" w:rsidRPr="00183482">
        <w:rPr>
          <w:lang w:val="es-ES"/>
        </w:rPr>
        <w:t>innecesaria</w:t>
      </w:r>
      <w:r w:rsidR="00DB7AEA" w:rsidRPr="00183482">
        <w:rPr>
          <w:lang w:val="es-ES"/>
        </w:rPr>
        <w:t>.</w:t>
      </w:r>
    </w:p>
    <w:p w14:paraId="67EA674E" w14:textId="77777777" w:rsidR="002E7496" w:rsidRDefault="002E7496" w:rsidP="002E7496"/>
    <w:p w14:paraId="268A0403" w14:textId="77777777" w:rsidR="002E7496" w:rsidRDefault="002E7496">
      <w:pPr>
        <w:jc w:val="center"/>
      </w:pPr>
      <w:r>
        <w:t>______________</w:t>
      </w:r>
    </w:p>
    <w:sectPr w:rsidR="002E7496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BB26" w14:textId="77777777" w:rsidR="00D93B49" w:rsidRDefault="00D93B49">
      <w:r>
        <w:separator/>
      </w:r>
    </w:p>
  </w:endnote>
  <w:endnote w:type="continuationSeparator" w:id="0">
    <w:p w14:paraId="1596FDA2" w14:textId="77777777" w:rsidR="00D93B49" w:rsidRDefault="00D93B49">
      <w:r>
        <w:continuationSeparator/>
      </w:r>
    </w:p>
  </w:endnote>
  <w:endnote w:type="continuationNotice" w:id="1">
    <w:p w14:paraId="24E87475" w14:textId="77777777" w:rsidR="00D93B49" w:rsidRDefault="00D93B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268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2536CD" w14:textId="05C446D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01B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01F8" w14:textId="77777777" w:rsidR="00D93B49" w:rsidRDefault="00D93B49">
      <w:r>
        <w:rPr>
          <w:b/>
        </w:rPr>
        <w:t>_______________</w:t>
      </w:r>
    </w:p>
  </w:footnote>
  <w:footnote w:type="continuationSeparator" w:id="0">
    <w:p w14:paraId="7944951E" w14:textId="77777777" w:rsidR="00D93B49" w:rsidRDefault="00D9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1FCE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WTSA-24/40(Add.2)-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25434264">
    <w:abstractNumId w:val="8"/>
  </w:num>
  <w:num w:numId="2" w16cid:durableId="6499890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9440423">
    <w:abstractNumId w:val="9"/>
  </w:num>
  <w:num w:numId="4" w16cid:durableId="1466780383">
    <w:abstractNumId w:val="7"/>
  </w:num>
  <w:num w:numId="5" w16cid:durableId="313484403">
    <w:abstractNumId w:val="6"/>
  </w:num>
  <w:num w:numId="6" w16cid:durableId="541138589">
    <w:abstractNumId w:val="5"/>
  </w:num>
  <w:num w:numId="7" w16cid:durableId="1555039805">
    <w:abstractNumId w:val="4"/>
  </w:num>
  <w:num w:numId="8" w16cid:durableId="1799570385">
    <w:abstractNumId w:val="3"/>
  </w:num>
  <w:num w:numId="9" w16cid:durableId="1886747884">
    <w:abstractNumId w:val="2"/>
  </w:num>
  <w:num w:numId="10" w16cid:durableId="1644507213">
    <w:abstractNumId w:val="1"/>
  </w:num>
  <w:num w:numId="11" w16cid:durableId="1989628724">
    <w:abstractNumId w:val="0"/>
  </w:num>
  <w:num w:numId="12" w16cid:durableId="416756509">
    <w:abstractNumId w:val="12"/>
  </w:num>
  <w:num w:numId="13" w16cid:durableId="412430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3482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12AA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E7496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C7D01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B07D1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5713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6D7A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830A6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539D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42CE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3B49"/>
    <w:rsid w:val="00D96530"/>
    <w:rsid w:val="00DA7E2F"/>
    <w:rsid w:val="00DB13C5"/>
    <w:rsid w:val="00DB7AEA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201B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ED4117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62CE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fb82ce-347e-4add-9d5b-f747ad5cd0e7">DPM</DPM_x0020_Author>
    <DPM_x0020_File_x0020_name xmlns="60fb82ce-347e-4add-9d5b-f747ad5cd0e7">T22-WTSA.24-C-0040!A2!MSW-S</DPM_x0020_File_x0020_name>
    <DPM_x0020_Version xmlns="60fb82ce-347e-4add-9d5b-f747ad5cd0e7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fb82ce-347e-4add-9d5b-f747ad5cd0e7" targetNamespace="http://schemas.microsoft.com/office/2006/metadata/properties" ma:root="true" ma:fieldsID="d41af5c836d734370eb92e7ee5f83852" ns2:_="" ns3:_="">
    <xsd:import namespace="996b2e75-67fd-4955-a3b0-5ab9934cb50b"/>
    <xsd:import namespace="60fb82ce-347e-4add-9d5b-f747ad5cd0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b82ce-347e-4add-9d5b-f747ad5cd0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0fb82ce-347e-4add-9d5b-f747ad5cd0e7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fb82ce-347e-4add-9d5b-f747ad5cd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T22-WTSA.24-C-0040!A2!MSW-S</vt:lpstr>
    </vt:vector>
  </TitlesOfParts>
  <Manager>General Secretariat - Pool</Manager>
  <Company>International Telecommunication Union (ITU)</Company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4</cp:revision>
  <cp:lastPrinted>2016-06-06T07:49:00Z</cp:lastPrinted>
  <dcterms:created xsi:type="dcterms:W3CDTF">2024-10-02T13:13:00Z</dcterms:created>
  <dcterms:modified xsi:type="dcterms:W3CDTF">2024-10-02T13:18:00Z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