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360903" w14:paraId="32A3A153" w14:textId="77777777" w:rsidTr="00267BFB">
        <w:trPr>
          <w:cantSplit/>
          <w:trHeight w:val="1132"/>
        </w:trPr>
        <w:tc>
          <w:tcPr>
            <w:tcW w:w="1290" w:type="dxa"/>
            <w:vAlign w:val="center"/>
          </w:tcPr>
          <w:p w14:paraId="2AD141E6" w14:textId="77777777" w:rsidR="00D2023F" w:rsidRPr="00360903" w:rsidRDefault="0018215C" w:rsidP="00A77583">
            <w:pPr>
              <w:spacing w:before="0"/>
              <w:rPr>
                <w:lang w:val="fr-FR"/>
              </w:rPr>
            </w:pPr>
            <w:r w:rsidRPr="00360903">
              <w:rPr>
                <w:noProof/>
                <w:lang w:val="fr-FR"/>
              </w:rPr>
              <w:drawing>
                <wp:inline distT="0" distB="0" distL="0" distR="0" wp14:anchorId="4359F911" wp14:editId="6DB4DFC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8D9E1F5" w14:textId="77777777" w:rsidR="00D2023F" w:rsidRPr="00360903" w:rsidRDefault="006F0DB7" w:rsidP="00A77583">
            <w:pPr>
              <w:pStyle w:val="TopHeader"/>
              <w:rPr>
                <w:lang w:val="fr-FR"/>
              </w:rPr>
            </w:pPr>
            <w:r w:rsidRPr="00360903">
              <w:rPr>
                <w:lang w:val="fr-FR"/>
              </w:rPr>
              <w:t>Assemblée mondiale de normalisation des télécommunications (AMNT-24)</w:t>
            </w:r>
            <w:r w:rsidRPr="00360903">
              <w:rPr>
                <w:sz w:val="26"/>
                <w:szCs w:val="26"/>
                <w:lang w:val="fr-FR"/>
              </w:rPr>
              <w:br/>
            </w:r>
            <w:r w:rsidRPr="00360903">
              <w:rPr>
                <w:sz w:val="18"/>
                <w:szCs w:val="18"/>
                <w:lang w:val="fr-FR"/>
              </w:rPr>
              <w:t>New Delhi, 15</w:t>
            </w:r>
            <w:r w:rsidR="00BC053B" w:rsidRPr="00360903">
              <w:rPr>
                <w:sz w:val="18"/>
                <w:szCs w:val="18"/>
                <w:lang w:val="fr-FR"/>
              </w:rPr>
              <w:t>-</w:t>
            </w:r>
            <w:r w:rsidRPr="00360903">
              <w:rPr>
                <w:sz w:val="18"/>
                <w:szCs w:val="18"/>
                <w:lang w:val="fr-FR"/>
              </w:rPr>
              <w:t>24 octobre 2024</w:t>
            </w:r>
          </w:p>
        </w:tc>
        <w:tc>
          <w:tcPr>
            <w:tcW w:w="1306" w:type="dxa"/>
            <w:tcBorders>
              <w:left w:val="nil"/>
            </w:tcBorders>
            <w:vAlign w:val="center"/>
          </w:tcPr>
          <w:p w14:paraId="19BE3FD6" w14:textId="77777777" w:rsidR="00D2023F" w:rsidRPr="00360903" w:rsidRDefault="00D2023F" w:rsidP="00A77583">
            <w:pPr>
              <w:spacing w:before="0"/>
              <w:rPr>
                <w:lang w:val="fr-FR"/>
              </w:rPr>
            </w:pPr>
            <w:r w:rsidRPr="00360903">
              <w:rPr>
                <w:noProof/>
                <w:lang w:val="fr-FR" w:eastAsia="zh-CN"/>
              </w:rPr>
              <w:drawing>
                <wp:inline distT="0" distB="0" distL="0" distR="0" wp14:anchorId="4EFAF1D9" wp14:editId="0C1CF02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360903" w14:paraId="63FEEAE6" w14:textId="77777777" w:rsidTr="00267BFB">
        <w:trPr>
          <w:cantSplit/>
        </w:trPr>
        <w:tc>
          <w:tcPr>
            <w:tcW w:w="9811" w:type="dxa"/>
            <w:gridSpan w:val="4"/>
            <w:tcBorders>
              <w:bottom w:val="single" w:sz="12" w:space="0" w:color="auto"/>
            </w:tcBorders>
          </w:tcPr>
          <w:p w14:paraId="4A70C9EA" w14:textId="77777777" w:rsidR="00D2023F" w:rsidRPr="00360903" w:rsidRDefault="00D2023F" w:rsidP="00A77583">
            <w:pPr>
              <w:spacing w:before="0"/>
              <w:rPr>
                <w:lang w:val="fr-FR"/>
              </w:rPr>
            </w:pPr>
          </w:p>
        </w:tc>
      </w:tr>
      <w:tr w:rsidR="00931298" w:rsidRPr="00360903" w14:paraId="77B7C574" w14:textId="77777777" w:rsidTr="00267BFB">
        <w:trPr>
          <w:cantSplit/>
        </w:trPr>
        <w:tc>
          <w:tcPr>
            <w:tcW w:w="6237" w:type="dxa"/>
            <w:gridSpan w:val="2"/>
            <w:tcBorders>
              <w:top w:val="single" w:sz="12" w:space="0" w:color="auto"/>
            </w:tcBorders>
          </w:tcPr>
          <w:p w14:paraId="4586720A" w14:textId="77777777" w:rsidR="00931298" w:rsidRPr="00360903" w:rsidRDefault="00931298" w:rsidP="00A77583">
            <w:pPr>
              <w:spacing w:before="0"/>
              <w:rPr>
                <w:lang w:val="fr-FR"/>
              </w:rPr>
            </w:pPr>
          </w:p>
        </w:tc>
        <w:tc>
          <w:tcPr>
            <w:tcW w:w="3574" w:type="dxa"/>
            <w:gridSpan w:val="2"/>
          </w:tcPr>
          <w:p w14:paraId="51D1C678" w14:textId="77777777" w:rsidR="00931298" w:rsidRPr="00360903" w:rsidRDefault="00931298" w:rsidP="00A77583">
            <w:pPr>
              <w:spacing w:before="0"/>
              <w:rPr>
                <w:sz w:val="20"/>
                <w:szCs w:val="16"/>
                <w:lang w:val="fr-FR"/>
              </w:rPr>
            </w:pPr>
          </w:p>
        </w:tc>
      </w:tr>
      <w:tr w:rsidR="00752D4D" w:rsidRPr="00360903" w14:paraId="5EFF1A1D" w14:textId="77777777" w:rsidTr="00267BFB">
        <w:trPr>
          <w:cantSplit/>
        </w:trPr>
        <w:tc>
          <w:tcPr>
            <w:tcW w:w="6237" w:type="dxa"/>
            <w:gridSpan w:val="2"/>
          </w:tcPr>
          <w:p w14:paraId="601EE781" w14:textId="77777777" w:rsidR="00752D4D" w:rsidRPr="00360903" w:rsidRDefault="007F4179" w:rsidP="00A77583">
            <w:pPr>
              <w:pStyle w:val="Committee"/>
              <w:spacing w:line="240" w:lineRule="auto"/>
              <w:rPr>
                <w:lang w:val="fr-FR"/>
              </w:rPr>
            </w:pPr>
            <w:r w:rsidRPr="00360903">
              <w:rPr>
                <w:lang w:val="fr-FR"/>
              </w:rPr>
              <w:t>SÉANCE PLÉNIÈRE</w:t>
            </w:r>
          </w:p>
        </w:tc>
        <w:tc>
          <w:tcPr>
            <w:tcW w:w="3574" w:type="dxa"/>
            <w:gridSpan w:val="2"/>
          </w:tcPr>
          <w:p w14:paraId="1CA41D27" w14:textId="474C3314" w:rsidR="00752D4D" w:rsidRPr="00360903" w:rsidRDefault="007F4179" w:rsidP="00A77583">
            <w:pPr>
              <w:pStyle w:val="Docnumber"/>
              <w:rPr>
                <w:lang w:val="fr-FR"/>
              </w:rPr>
            </w:pPr>
            <w:r w:rsidRPr="00360903">
              <w:rPr>
                <w:lang w:val="fr-FR"/>
              </w:rPr>
              <w:t>Addendum 10 au</w:t>
            </w:r>
            <w:r w:rsidRPr="00360903">
              <w:rPr>
                <w:lang w:val="fr-FR"/>
              </w:rPr>
              <w:br/>
              <w:t>Document 40</w:t>
            </w:r>
            <w:r w:rsidR="003A453C" w:rsidRPr="00360903">
              <w:rPr>
                <w:lang w:val="fr-FR"/>
              </w:rPr>
              <w:t>-F</w:t>
            </w:r>
          </w:p>
        </w:tc>
      </w:tr>
      <w:tr w:rsidR="00931298" w:rsidRPr="00360903" w14:paraId="2A0B69C7" w14:textId="77777777" w:rsidTr="00267BFB">
        <w:trPr>
          <w:cantSplit/>
        </w:trPr>
        <w:tc>
          <w:tcPr>
            <w:tcW w:w="6237" w:type="dxa"/>
            <w:gridSpan w:val="2"/>
          </w:tcPr>
          <w:p w14:paraId="7B99A62B" w14:textId="77777777" w:rsidR="00931298" w:rsidRPr="00360903" w:rsidRDefault="00931298" w:rsidP="00A77583">
            <w:pPr>
              <w:spacing w:before="0"/>
              <w:rPr>
                <w:lang w:val="fr-FR"/>
              </w:rPr>
            </w:pPr>
          </w:p>
        </w:tc>
        <w:tc>
          <w:tcPr>
            <w:tcW w:w="3574" w:type="dxa"/>
            <w:gridSpan w:val="2"/>
          </w:tcPr>
          <w:p w14:paraId="5088C571" w14:textId="77777777" w:rsidR="00931298" w:rsidRPr="00360903" w:rsidRDefault="007F4179" w:rsidP="00A77583">
            <w:pPr>
              <w:pStyle w:val="TopHeader"/>
              <w:spacing w:before="0"/>
              <w:rPr>
                <w:sz w:val="20"/>
                <w:szCs w:val="20"/>
                <w:lang w:val="fr-FR"/>
              </w:rPr>
            </w:pPr>
            <w:r w:rsidRPr="00360903">
              <w:rPr>
                <w:sz w:val="20"/>
                <w:szCs w:val="16"/>
                <w:lang w:val="fr-FR"/>
              </w:rPr>
              <w:t>19 septembre 2024</w:t>
            </w:r>
          </w:p>
        </w:tc>
      </w:tr>
      <w:tr w:rsidR="00931298" w:rsidRPr="00360903" w14:paraId="08BE880B" w14:textId="77777777" w:rsidTr="00267BFB">
        <w:trPr>
          <w:cantSplit/>
        </w:trPr>
        <w:tc>
          <w:tcPr>
            <w:tcW w:w="6237" w:type="dxa"/>
            <w:gridSpan w:val="2"/>
          </w:tcPr>
          <w:p w14:paraId="12E5B616" w14:textId="77777777" w:rsidR="00931298" w:rsidRPr="00360903" w:rsidRDefault="00931298" w:rsidP="00A77583">
            <w:pPr>
              <w:spacing w:before="0"/>
              <w:rPr>
                <w:lang w:val="fr-FR"/>
              </w:rPr>
            </w:pPr>
          </w:p>
        </w:tc>
        <w:tc>
          <w:tcPr>
            <w:tcW w:w="3574" w:type="dxa"/>
            <w:gridSpan w:val="2"/>
          </w:tcPr>
          <w:p w14:paraId="118725B7" w14:textId="77777777" w:rsidR="00931298" w:rsidRPr="00360903" w:rsidRDefault="007F4179" w:rsidP="00A77583">
            <w:pPr>
              <w:pStyle w:val="TopHeader"/>
              <w:spacing w:before="0"/>
              <w:rPr>
                <w:sz w:val="20"/>
                <w:szCs w:val="20"/>
                <w:lang w:val="fr-FR"/>
              </w:rPr>
            </w:pPr>
            <w:r w:rsidRPr="00360903">
              <w:rPr>
                <w:sz w:val="20"/>
                <w:szCs w:val="16"/>
                <w:lang w:val="fr-FR"/>
              </w:rPr>
              <w:t>Original: russe</w:t>
            </w:r>
          </w:p>
        </w:tc>
      </w:tr>
      <w:tr w:rsidR="00931298" w:rsidRPr="00360903" w14:paraId="11890540" w14:textId="77777777" w:rsidTr="00267BFB">
        <w:trPr>
          <w:cantSplit/>
        </w:trPr>
        <w:tc>
          <w:tcPr>
            <w:tcW w:w="9811" w:type="dxa"/>
            <w:gridSpan w:val="4"/>
          </w:tcPr>
          <w:p w14:paraId="1075C812" w14:textId="77777777" w:rsidR="00931298" w:rsidRPr="00360903" w:rsidRDefault="00931298" w:rsidP="00A77583">
            <w:pPr>
              <w:spacing w:before="0"/>
              <w:rPr>
                <w:sz w:val="20"/>
                <w:szCs w:val="16"/>
                <w:lang w:val="fr-FR"/>
              </w:rPr>
            </w:pPr>
          </w:p>
        </w:tc>
      </w:tr>
      <w:tr w:rsidR="007F4179" w:rsidRPr="00360903" w14:paraId="6C971CCE" w14:textId="77777777" w:rsidTr="00267BFB">
        <w:trPr>
          <w:cantSplit/>
        </w:trPr>
        <w:tc>
          <w:tcPr>
            <w:tcW w:w="9811" w:type="dxa"/>
            <w:gridSpan w:val="4"/>
          </w:tcPr>
          <w:p w14:paraId="509B3041" w14:textId="11059A32" w:rsidR="007F4179" w:rsidRPr="00360903" w:rsidRDefault="007F4179" w:rsidP="00A77583">
            <w:pPr>
              <w:pStyle w:val="Source"/>
              <w:rPr>
                <w:lang w:val="fr-FR"/>
              </w:rPr>
            </w:pPr>
            <w:r w:rsidRPr="00360903">
              <w:rPr>
                <w:lang w:val="fr-FR"/>
              </w:rPr>
              <w:t>États Membres de l'UIT, membres de la Communauté</w:t>
            </w:r>
            <w:r w:rsidR="003A453C" w:rsidRPr="00360903">
              <w:rPr>
                <w:lang w:val="fr-FR"/>
              </w:rPr>
              <w:br/>
            </w:r>
            <w:r w:rsidRPr="00360903">
              <w:rPr>
                <w:lang w:val="fr-FR"/>
              </w:rPr>
              <w:t>régionale des communications (RCC)</w:t>
            </w:r>
          </w:p>
        </w:tc>
      </w:tr>
      <w:tr w:rsidR="007F4179" w:rsidRPr="00360903" w14:paraId="30D9EDDE" w14:textId="77777777" w:rsidTr="00267BFB">
        <w:trPr>
          <w:cantSplit/>
        </w:trPr>
        <w:tc>
          <w:tcPr>
            <w:tcW w:w="9811" w:type="dxa"/>
            <w:gridSpan w:val="4"/>
          </w:tcPr>
          <w:p w14:paraId="7C38F9F4" w14:textId="49C7979B" w:rsidR="007F4179" w:rsidRPr="00360903" w:rsidRDefault="003A453C" w:rsidP="00A77583">
            <w:pPr>
              <w:pStyle w:val="Title1"/>
              <w:rPr>
                <w:lang w:val="fr-FR"/>
              </w:rPr>
            </w:pPr>
            <w:r w:rsidRPr="00360903">
              <w:rPr>
                <w:lang w:val="fr-FR"/>
              </w:rPr>
              <w:t>projet de nouvelle résolution</w:t>
            </w:r>
            <w:r w:rsidR="007F4179" w:rsidRPr="00360903">
              <w:rPr>
                <w:lang w:val="fr-FR"/>
              </w:rPr>
              <w:t xml:space="preserve"> [RCC</w:t>
            </w:r>
            <w:r w:rsidRPr="00360903">
              <w:rPr>
                <w:lang w:val="fr-FR"/>
              </w:rPr>
              <w:t>-mv</w:t>
            </w:r>
            <w:r w:rsidR="007F4179" w:rsidRPr="00360903">
              <w:rPr>
                <w:lang w:val="fr-FR"/>
              </w:rPr>
              <w:t xml:space="preserve">] </w:t>
            </w:r>
            <w:r w:rsidRPr="00360903">
              <w:rPr>
                <w:lang w:val="fr-FR"/>
              </w:rPr>
              <w:t>(n</w:t>
            </w:r>
            <w:r w:rsidR="004F7FBB" w:rsidRPr="00360903">
              <w:rPr>
                <w:caps w:val="0"/>
                <w:lang w:val="fr-FR"/>
              </w:rPr>
              <w:t>ew</w:t>
            </w:r>
            <w:r w:rsidRPr="00360903">
              <w:rPr>
                <w:lang w:val="fr-FR"/>
              </w:rPr>
              <w:t xml:space="preserve"> d</w:t>
            </w:r>
            <w:r w:rsidR="004F7FBB" w:rsidRPr="00360903">
              <w:rPr>
                <w:caps w:val="0"/>
                <w:lang w:val="fr-FR"/>
              </w:rPr>
              <w:t>elhi</w:t>
            </w:r>
            <w:r w:rsidRPr="00360903">
              <w:rPr>
                <w:lang w:val="fr-FR"/>
              </w:rPr>
              <w:t>, 2024)</w:t>
            </w:r>
          </w:p>
        </w:tc>
      </w:tr>
      <w:tr w:rsidR="00657CDA" w:rsidRPr="00360903" w14:paraId="637A1E53" w14:textId="77777777" w:rsidTr="00267BFB">
        <w:trPr>
          <w:cantSplit/>
          <w:trHeight w:hRule="exact" w:val="240"/>
        </w:trPr>
        <w:tc>
          <w:tcPr>
            <w:tcW w:w="9811" w:type="dxa"/>
            <w:gridSpan w:val="4"/>
          </w:tcPr>
          <w:p w14:paraId="33872A9A" w14:textId="77777777" w:rsidR="00657CDA" w:rsidRPr="00360903" w:rsidRDefault="00657CDA" w:rsidP="00A77583">
            <w:pPr>
              <w:pStyle w:val="Title2"/>
              <w:spacing w:before="0"/>
              <w:rPr>
                <w:lang w:val="fr-FR"/>
              </w:rPr>
            </w:pPr>
          </w:p>
        </w:tc>
      </w:tr>
      <w:tr w:rsidR="00657CDA" w:rsidRPr="00360903" w14:paraId="5BEC162A" w14:textId="77777777" w:rsidTr="00267BFB">
        <w:trPr>
          <w:cantSplit/>
          <w:trHeight w:hRule="exact" w:val="240"/>
        </w:trPr>
        <w:tc>
          <w:tcPr>
            <w:tcW w:w="9811" w:type="dxa"/>
            <w:gridSpan w:val="4"/>
          </w:tcPr>
          <w:p w14:paraId="5EEA41D3" w14:textId="77777777" w:rsidR="00657CDA" w:rsidRPr="00360903" w:rsidRDefault="00657CDA" w:rsidP="00A77583">
            <w:pPr>
              <w:pStyle w:val="Agendaitem"/>
              <w:spacing w:before="0"/>
              <w:rPr>
                <w:lang w:val="fr-FR"/>
              </w:rPr>
            </w:pPr>
          </w:p>
        </w:tc>
      </w:tr>
    </w:tbl>
    <w:p w14:paraId="0B1B3349" w14:textId="77777777" w:rsidR="00931298" w:rsidRPr="00360903" w:rsidRDefault="00931298" w:rsidP="00A77583">
      <w:pPr>
        <w:rPr>
          <w:lang w:val="fr-FR"/>
        </w:rPr>
      </w:pPr>
    </w:p>
    <w:tbl>
      <w:tblPr>
        <w:tblW w:w="5000" w:type="pct"/>
        <w:tblLayout w:type="fixed"/>
        <w:tblLook w:val="0000" w:firstRow="0" w:lastRow="0" w:firstColumn="0" w:lastColumn="0" w:noHBand="0" w:noVBand="0"/>
      </w:tblPr>
      <w:tblGrid>
        <w:gridCol w:w="1885"/>
        <w:gridCol w:w="7754"/>
      </w:tblGrid>
      <w:tr w:rsidR="00931298" w:rsidRPr="00360903" w14:paraId="231F1EE3" w14:textId="77777777" w:rsidTr="00275BB9">
        <w:trPr>
          <w:cantSplit/>
        </w:trPr>
        <w:tc>
          <w:tcPr>
            <w:tcW w:w="1885" w:type="dxa"/>
          </w:tcPr>
          <w:p w14:paraId="2D8B2BD2" w14:textId="77777777" w:rsidR="00931298" w:rsidRPr="00360903" w:rsidRDefault="006F0DB7" w:rsidP="00A77583">
            <w:pPr>
              <w:rPr>
                <w:lang w:val="fr-FR"/>
              </w:rPr>
            </w:pPr>
            <w:r w:rsidRPr="00360903">
              <w:rPr>
                <w:b/>
                <w:bCs/>
                <w:lang w:val="fr-FR"/>
              </w:rPr>
              <w:t>Résumé:</w:t>
            </w:r>
          </w:p>
        </w:tc>
        <w:tc>
          <w:tcPr>
            <w:tcW w:w="7754" w:type="dxa"/>
          </w:tcPr>
          <w:p w14:paraId="348D91A4" w14:textId="6CF6B973" w:rsidR="006E0D71" w:rsidRPr="00360903" w:rsidRDefault="006E0D71" w:rsidP="00A77583">
            <w:pPr>
              <w:pStyle w:val="Abstract"/>
              <w:rPr>
                <w:lang w:val="fr-FR"/>
              </w:rPr>
            </w:pPr>
            <w:r w:rsidRPr="00360903">
              <w:rPr>
                <w:lang w:val="fr-FR"/>
              </w:rPr>
              <w:t>Grâce au développement rapide des technologies de l'information et de la communication (TIC) et aux technologies informatiques, les technologies fondamentales sur lesquelles reposent les métavers, ainsi que leurs applications, continuent d'évoluer de façon dynamique et se répandent rapidement à travers le monde.</w:t>
            </w:r>
          </w:p>
          <w:p w14:paraId="1B6A1BA7" w14:textId="50355A0D" w:rsidR="003A453C" w:rsidRPr="00360903" w:rsidRDefault="006E0D71" w:rsidP="00A77583">
            <w:pPr>
              <w:pStyle w:val="Abstract"/>
              <w:rPr>
                <w:lang w:val="fr-FR"/>
              </w:rPr>
            </w:pPr>
            <w:r w:rsidRPr="00360903">
              <w:rPr>
                <w:lang w:val="fr-FR"/>
              </w:rPr>
              <w:t>En particulier, les grandes organisations de normalisation du monde entier ont reconnu le caractère tant important que nécessaire de la normalisation du métavers et participent activement aux travaux de normalisation connexes et les encouragent. Dans ce paysage, l'UIT-T fait figure d'exception, en particulier depuis la création du Groupe spécialisé de l'UIT sur le métavers (FG-MV), en décembre 2022, et de l'intérêt considérable qu'ont manifesté les participants issus de différents domaines et secteurs d'activité, au-delà des télécommunications et des TIC.</w:t>
            </w:r>
          </w:p>
          <w:p w14:paraId="4F1CE8E3" w14:textId="73D5AD0A" w:rsidR="003A453C" w:rsidRPr="00360903" w:rsidRDefault="006E0D71" w:rsidP="00A77583">
            <w:pPr>
              <w:pStyle w:val="Abstract"/>
              <w:rPr>
                <w:lang w:val="fr-FR"/>
              </w:rPr>
            </w:pPr>
            <w:r w:rsidRPr="00360903">
              <w:rPr>
                <w:lang w:val="fr-FR"/>
              </w:rPr>
              <w:t xml:space="preserve">Depuis sa création, le Groupe FG-MV a obtenu d'excellents résultats et est à la pointe des travaux de normalisation relatifs au métavers menés à l'échelle internationale par les organisations de normalisation compétentes. </w:t>
            </w:r>
            <w:r w:rsidR="00275BB9" w:rsidRPr="00360903">
              <w:rPr>
                <w:lang w:val="fr-FR"/>
              </w:rPr>
              <w:t>À</w:t>
            </w:r>
            <w:r w:rsidR="007D6EE8" w:rsidRPr="00360903">
              <w:rPr>
                <w:lang w:val="fr-FR"/>
              </w:rPr>
              <w:t xml:space="preserve"> ce jour, plus de 40 produits ont été élaborés</w:t>
            </w:r>
            <w:r w:rsidRPr="00360903">
              <w:rPr>
                <w:lang w:val="fr-FR"/>
              </w:rPr>
              <w:t>.</w:t>
            </w:r>
            <w:r w:rsidR="007D6EE8" w:rsidRPr="00360903">
              <w:rPr>
                <w:lang w:val="fr-FR"/>
              </w:rPr>
              <w:t xml:space="preserve"> Il convient de noter que le succès remporté par le Groupe FG-MV a mis en évidence le rôle directeur</w:t>
            </w:r>
            <w:r w:rsidR="00A77583" w:rsidRPr="00360903">
              <w:rPr>
                <w:lang w:val="fr-FR"/>
              </w:rPr>
              <w:t>,</w:t>
            </w:r>
            <w:r w:rsidR="007D6EE8" w:rsidRPr="00360903">
              <w:rPr>
                <w:lang w:val="fr-FR"/>
              </w:rPr>
              <w:t xml:space="preserve"> à l'échelle mondiale</w:t>
            </w:r>
            <w:r w:rsidR="00A77583" w:rsidRPr="00360903">
              <w:rPr>
                <w:lang w:val="fr-FR"/>
              </w:rPr>
              <w:t>,</w:t>
            </w:r>
            <w:r w:rsidR="007D6EE8" w:rsidRPr="00360903">
              <w:rPr>
                <w:lang w:val="fr-FR"/>
              </w:rPr>
              <w:t xml:space="preserve"> que joue l'UIT-T dans les travaux de normalisation sur le métavers, lequel devrait être poursuivi et renforcé encore pendant la prochaine période d'études de l'UIT-T (2025-2028)</w:t>
            </w:r>
            <w:r w:rsidR="00A77583" w:rsidRPr="00360903">
              <w:rPr>
                <w:lang w:val="fr-FR"/>
              </w:rPr>
              <w:t xml:space="preserve">. Dans ce contexte, la RCC propose que l'AMNT-24 adopte une nouvelle </w:t>
            </w:r>
            <w:r w:rsidR="0047103F" w:rsidRPr="00360903">
              <w:rPr>
                <w:lang w:val="fr-FR"/>
              </w:rPr>
              <w:t>R</w:t>
            </w:r>
            <w:r w:rsidR="00A77583" w:rsidRPr="00360903">
              <w:rPr>
                <w:lang w:val="fr-FR"/>
              </w:rPr>
              <w:t>ésolution sur la normalisation du métavers au sein de l'UIT-T.</w:t>
            </w:r>
          </w:p>
        </w:tc>
      </w:tr>
    </w:tbl>
    <w:p w14:paraId="72A59DEA" w14:textId="0767795F" w:rsidR="004F7FBB" w:rsidRPr="00360903" w:rsidRDefault="004F7FBB">
      <w:pPr>
        <w:rPr>
          <w:lang w:val="fr-FR"/>
        </w:rPr>
      </w:pPr>
      <w:r w:rsidRPr="00360903">
        <w:rPr>
          <w:lang w:val="fr-FR"/>
        </w:rPr>
        <w:br w:type="page"/>
      </w:r>
    </w:p>
    <w:tbl>
      <w:tblPr>
        <w:tblW w:w="5000" w:type="pct"/>
        <w:tblLayout w:type="fixed"/>
        <w:tblLook w:val="0000" w:firstRow="0" w:lastRow="0" w:firstColumn="0" w:lastColumn="0" w:noHBand="0" w:noVBand="0"/>
      </w:tblPr>
      <w:tblGrid>
        <w:gridCol w:w="1885"/>
        <w:gridCol w:w="4494"/>
        <w:gridCol w:w="3260"/>
      </w:tblGrid>
      <w:tr w:rsidR="00931298" w:rsidRPr="00360903" w14:paraId="05BE6C98" w14:textId="77777777" w:rsidTr="00275BB9">
        <w:trPr>
          <w:cantSplit/>
        </w:trPr>
        <w:tc>
          <w:tcPr>
            <w:tcW w:w="1885" w:type="dxa"/>
          </w:tcPr>
          <w:p w14:paraId="7BF0BCCF" w14:textId="77777777" w:rsidR="00931298" w:rsidRPr="00360903" w:rsidRDefault="00931298" w:rsidP="00A77583">
            <w:pPr>
              <w:rPr>
                <w:b/>
                <w:bCs/>
                <w:szCs w:val="24"/>
                <w:lang w:val="fr-FR"/>
              </w:rPr>
            </w:pPr>
            <w:r w:rsidRPr="00360903">
              <w:rPr>
                <w:b/>
                <w:bCs/>
                <w:szCs w:val="24"/>
                <w:lang w:val="fr-FR"/>
              </w:rPr>
              <w:lastRenderedPageBreak/>
              <w:t>Contact:</w:t>
            </w:r>
          </w:p>
        </w:tc>
        <w:tc>
          <w:tcPr>
            <w:tcW w:w="4494" w:type="dxa"/>
          </w:tcPr>
          <w:p w14:paraId="5D8842F0" w14:textId="670F58C2" w:rsidR="00FE5494" w:rsidRPr="00360903" w:rsidRDefault="003A453C" w:rsidP="00A77583">
            <w:pPr>
              <w:rPr>
                <w:lang w:val="fr-FR"/>
              </w:rPr>
            </w:pPr>
            <w:r w:rsidRPr="00360903">
              <w:rPr>
                <w:lang w:val="fr-FR"/>
              </w:rPr>
              <w:t>Alexey Borodin</w:t>
            </w:r>
            <w:r w:rsidRPr="00360903">
              <w:rPr>
                <w:lang w:val="fr-FR"/>
              </w:rPr>
              <w:br/>
              <w:t>Communauté régionale des communications</w:t>
            </w:r>
          </w:p>
        </w:tc>
        <w:tc>
          <w:tcPr>
            <w:tcW w:w="3260" w:type="dxa"/>
          </w:tcPr>
          <w:p w14:paraId="4F7CE733" w14:textId="3F30678C" w:rsidR="00931298" w:rsidRPr="00360903" w:rsidRDefault="006F0DB7" w:rsidP="00A77583">
            <w:pPr>
              <w:rPr>
                <w:lang w:val="fr-FR"/>
              </w:rPr>
            </w:pPr>
            <w:r w:rsidRPr="00360903">
              <w:rPr>
                <w:lang w:val="fr-FR"/>
              </w:rPr>
              <w:t>Courriel:</w:t>
            </w:r>
            <w:r w:rsidR="003A453C" w:rsidRPr="00360903">
              <w:rPr>
                <w:lang w:val="fr-FR"/>
              </w:rPr>
              <w:tab/>
            </w:r>
            <w:hyperlink r:id="rId14" w:history="1">
              <w:r w:rsidR="003A453C" w:rsidRPr="00360903">
                <w:rPr>
                  <w:rStyle w:val="Hyperlink"/>
                  <w:lang w:val="fr-FR"/>
                </w:rPr>
                <w:t>ecrcc</w:t>
              </w:r>
              <w:r w:rsidR="003A453C" w:rsidRPr="00360903">
                <w:rPr>
                  <w:rStyle w:val="Hyperlink"/>
                  <w:lang w:val="fr-FR"/>
                </w:rPr>
                <w:t>@</w:t>
              </w:r>
              <w:r w:rsidR="003A453C" w:rsidRPr="00360903">
                <w:rPr>
                  <w:rStyle w:val="Hyperlink"/>
                  <w:lang w:val="fr-FR"/>
                </w:rPr>
                <w:t>rcc.org.ru</w:t>
              </w:r>
            </w:hyperlink>
          </w:p>
        </w:tc>
      </w:tr>
      <w:tr w:rsidR="003A453C" w:rsidRPr="00360903" w14:paraId="2F3E8BCF" w14:textId="77777777" w:rsidTr="00275BB9">
        <w:trPr>
          <w:cantSplit/>
        </w:trPr>
        <w:tc>
          <w:tcPr>
            <w:tcW w:w="1885" w:type="dxa"/>
          </w:tcPr>
          <w:p w14:paraId="57F5216E" w14:textId="5A391933" w:rsidR="003A453C" w:rsidRPr="00360903" w:rsidRDefault="003A453C" w:rsidP="00A77583">
            <w:pPr>
              <w:rPr>
                <w:b/>
                <w:bCs/>
                <w:szCs w:val="24"/>
                <w:lang w:val="fr-FR"/>
              </w:rPr>
            </w:pPr>
            <w:r w:rsidRPr="00360903">
              <w:rPr>
                <w:b/>
                <w:bCs/>
                <w:szCs w:val="24"/>
                <w:lang w:val="fr-FR"/>
              </w:rPr>
              <w:t>Contact</w:t>
            </w:r>
            <w:r w:rsidR="00360903" w:rsidRPr="00360903">
              <w:rPr>
                <w:b/>
                <w:bCs/>
                <w:szCs w:val="24"/>
                <w:lang w:val="fr-FR"/>
              </w:rPr>
              <w:t>:</w:t>
            </w:r>
          </w:p>
        </w:tc>
        <w:tc>
          <w:tcPr>
            <w:tcW w:w="4494" w:type="dxa"/>
          </w:tcPr>
          <w:p w14:paraId="72106C46" w14:textId="063A5639" w:rsidR="003A453C" w:rsidRPr="00360903" w:rsidRDefault="003A453C" w:rsidP="00A77583">
            <w:pPr>
              <w:rPr>
                <w:lang w:val="fr-FR"/>
              </w:rPr>
            </w:pPr>
            <w:r w:rsidRPr="00360903">
              <w:rPr>
                <w:lang w:val="fr-FR"/>
              </w:rPr>
              <w:t>Evgeny Tonkikh</w:t>
            </w:r>
            <w:r w:rsidRPr="00360903">
              <w:rPr>
                <w:lang w:val="fr-FR"/>
              </w:rPr>
              <w:br/>
              <w:t>Coordonnateur de la RCC pour les travaux préparatoires en vue de l'AMNT</w:t>
            </w:r>
            <w:r w:rsidRPr="00360903">
              <w:rPr>
                <w:lang w:val="fr-FR"/>
              </w:rPr>
              <w:br/>
              <w:t>Fédération de Russie</w:t>
            </w:r>
          </w:p>
        </w:tc>
        <w:tc>
          <w:tcPr>
            <w:tcW w:w="3260" w:type="dxa"/>
          </w:tcPr>
          <w:p w14:paraId="7B16A82C" w14:textId="7B9D7D18" w:rsidR="003A453C" w:rsidRPr="00360903" w:rsidRDefault="003A453C" w:rsidP="00A77583">
            <w:pPr>
              <w:rPr>
                <w:lang w:val="fr-FR"/>
              </w:rPr>
            </w:pPr>
            <w:r w:rsidRPr="00360903">
              <w:rPr>
                <w:lang w:val="fr-FR"/>
              </w:rPr>
              <w:t>Courriel:</w:t>
            </w:r>
            <w:r w:rsidRPr="00360903">
              <w:rPr>
                <w:lang w:val="fr-FR"/>
              </w:rPr>
              <w:tab/>
            </w:r>
            <w:hyperlink r:id="rId15" w:history="1">
              <w:r w:rsidRPr="00360903">
                <w:rPr>
                  <w:rStyle w:val="Hyperlink"/>
                  <w:lang w:val="fr-FR"/>
                </w:rPr>
                <w:t>et</w:t>
              </w:r>
              <w:r w:rsidRPr="00360903">
                <w:rPr>
                  <w:rStyle w:val="Hyperlink"/>
                  <w:lang w:val="fr-FR"/>
                </w:rPr>
                <w:t>@</w:t>
              </w:r>
              <w:r w:rsidRPr="00360903">
                <w:rPr>
                  <w:rStyle w:val="Hyperlink"/>
                  <w:lang w:val="fr-FR"/>
                </w:rPr>
                <w:t>niir.ru</w:t>
              </w:r>
            </w:hyperlink>
          </w:p>
        </w:tc>
      </w:tr>
    </w:tbl>
    <w:p w14:paraId="651576FA" w14:textId="77777777" w:rsidR="00931298" w:rsidRPr="00360903" w:rsidRDefault="009F4801" w:rsidP="00A77583">
      <w:pPr>
        <w:tabs>
          <w:tab w:val="clear" w:pos="1134"/>
          <w:tab w:val="clear" w:pos="1871"/>
          <w:tab w:val="clear" w:pos="2268"/>
        </w:tabs>
        <w:overflowPunct/>
        <w:autoSpaceDE/>
        <w:autoSpaceDN/>
        <w:adjustRightInd/>
        <w:spacing w:before="0"/>
        <w:textAlignment w:val="auto"/>
        <w:rPr>
          <w:lang w:val="fr-FR"/>
        </w:rPr>
      </w:pPr>
      <w:r w:rsidRPr="00360903">
        <w:rPr>
          <w:lang w:val="fr-FR"/>
        </w:rPr>
        <w:br w:type="page"/>
      </w:r>
    </w:p>
    <w:p w14:paraId="03823329" w14:textId="77777777" w:rsidR="00120650" w:rsidRPr="00360903" w:rsidRDefault="00D90B59" w:rsidP="00A77583">
      <w:pPr>
        <w:pStyle w:val="Proposal"/>
        <w:rPr>
          <w:lang w:val="fr-FR"/>
        </w:rPr>
      </w:pPr>
      <w:r w:rsidRPr="00360903">
        <w:rPr>
          <w:lang w:val="fr-FR"/>
        </w:rPr>
        <w:lastRenderedPageBreak/>
        <w:t>ADD</w:t>
      </w:r>
      <w:r w:rsidRPr="00360903">
        <w:rPr>
          <w:lang w:val="fr-FR"/>
        </w:rPr>
        <w:tab/>
        <w:t>RCC/40A10/1</w:t>
      </w:r>
    </w:p>
    <w:p w14:paraId="34F1534F" w14:textId="1B2F96AB" w:rsidR="00D90B59" w:rsidRPr="00360903" w:rsidRDefault="00D90B59" w:rsidP="00A77583">
      <w:pPr>
        <w:pStyle w:val="ResNo"/>
        <w:rPr>
          <w:lang w:val="fr-FR"/>
        </w:rPr>
      </w:pPr>
      <w:r w:rsidRPr="00360903">
        <w:rPr>
          <w:lang w:val="fr-FR"/>
        </w:rPr>
        <w:t>PROJET DE NOUVELLE RÉSOLUTION</w:t>
      </w:r>
      <w:r w:rsidR="003A453C" w:rsidRPr="00360903">
        <w:rPr>
          <w:lang w:val="fr-FR"/>
        </w:rPr>
        <w:t xml:space="preserve"> [RCC-MV] (N</w:t>
      </w:r>
      <w:r w:rsidR="004F7FBB" w:rsidRPr="00360903">
        <w:rPr>
          <w:caps w:val="0"/>
          <w:lang w:val="fr-FR"/>
        </w:rPr>
        <w:t>ew</w:t>
      </w:r>
      <w:r w:rsidR="003A453C" w:rsidRPr="00360903">
        <w:rPr>
          <w:lang w:val="fr-FR"/>
        </w:rPr>
        <w:t xml:space="preserve"> D</w:t>
      </w:r>
      <w:r w:rsidR="004F7FBB" w:rsidRPr="00360903">
        <w:rPr>
          <w:caps w:val="0"/>
          <w:lang w:val="fr-FR"/>
        </w:rPr>
        <w:t>elhi</w:t>
      </w:r>
      <w:r w:rsidR="003A453C" w:rsidRPr="00360903">
        <w:rPr>
          <w:lang w:val="fr-FR"/>
        </w:rPr>
        <w:t>, 2024)</w:t>
      </w:r>
    </w:p>
    <w:p w14:paraId="76AE94FF" w14:textId="2650DE47" w:rsidR="003A453C" w:rsidRPr="00360903" w:rsidRDefault="00A77583" w:rsidP="00A77583">
      <w:pPr>
        <w:pStyle w:val="Restitle"/>
        <w:rPr>
          <w:lang w:val="fr-FR"/>
        </w:rPr>
      </w:pPr>
      <w:r w:rsidRPr="00360903">
        <w:rPr>
          <w:lang w:val="fr-FR"/>
        </w:rPr>
        <w:t>Travaux au sein du Secteur de la normalisation des télécommunications</w:t>
      </w:r>
      <w:r w:rsidR="00CD5929" w:rsidRPr="00360903">
        <w:rPr>
          <w:lang w:val="fr-FR"/>
        </w:rPr>
        <w:br/>
      </w:r>
      <w:r w:rsidRPr="00360903">
        <w:rPr>
          <w:lang w:val="fr-FR"/>
        </w:rPr>
        <w:t>de l'UIT sur la normalisation du métavers</w:t>
      </w:r>
    </w:p>
    <w:p w14:paraId="4C9BEFAA" w14:textId="1AF81AC4" w:rsidR="003A453C" w:rsidRPr="00360903" w:rsidRDefault="003A453C" w:rsidP="00A77583">
      <w:pPr>
        <w:pStyle w:val="Resref"/>
        <w:rPr>
          <w:lang w:val="fr-FR"/>
        </w:rPr>
      </w:pPr>
      <w:r w:rsidRPr="00360903">
        <w:rPr>
          <w:lang w:val="fr-FR"/>
        </w:rPr>
        <w:t>(New Delhi, 2024)</w:t>
      </w:r>
    </w:p>
    <w:p w14:paraId="77B20684" w14:textId="0A30167E" w:rsidR="003A453C" w:rsidRPr="00360903" w:rsidRDefault="003A453C" w:rsidP="00A77583">
      <w:pPr>
        <w:pStyle w:val="Normalaftertitle"/>
        <w:rPr>
          <w:lang w:val="fr-FR"/>
        </w:rPr>
      </w:pPr>
      <w:r w:rsidRPr="00360903">
        <w:rPr>
          <w:lang w:val="fr-FR"/>
        </w:rPr>
        <w:t>L'Assemblée mondiale de normalisation des télécommunications (New Delhi, 2024),</w:t>
      </w:r>
    </w:p>
    <w:p w14:paraId="0F98B0D5" w14:textId="034E3C47" w:rsidR="003A453C" w:rsidRPr="00360903" w:rsidRDefault="003A453C" w:rsidP="00A77583">
      <w:pPr>
        <w:pStyle w:val="Call"/>
        <w:rPr>
          <w:lang w:val="fr-FR"/>
        </w:rPr>
      </w:pPr>
      <w:r w:rsidRPr="00360903">
        <w:rPr>
          <w:lang w:val="fr-FR"/>
        </w:rPr>
        <w:t>considérant</w:t>
      </w:r>
    </w:p>
    <w:p w14:paraId="05777F4D" w14:textId="0A6E8F7A" w:rsidR="003A453C" w:rsidRPr="00360903" w:rsidRDefault="003A453C" w:rsidP="00A77583">
      <w:pPr>
        <w:rPr>
          <w:lang w:val="fr-FR"/>
        </w:rPr>
      </w:pPr>
      <w:r w:rsidRPr="00360903">
        <w:rPr>
          <w:i/>
          <w:iCs/>
          <w:lang w:val="fr-FR"/>
        </w:rPr>
        <w:t>a)</w:t>
      </w:r>
      <w:r w:rsidRPr="00360903">
        <w:rPr>
          <w:lang w:val="fr-FR"/>
        </w:rPr>
        <w:tab/>
        <w:t>que le métavers, associé aux progrès de diverses technologies, révolutionne les modes de vie, et que cette transformation a de profonds effets sur la société dans son ensemble et permet de vivre des expériences d'un type nouveau au-delà des frontières entre le monde virtuel et le monde réel;</w:t>
      </w:r>
    </w:p>
    <w:p w14:paraId="12997C8F" w14:textId="30D61CC6" w:rsidR="003A453C" w:rsidRPr="00360903" w:rsidRDefault="003A453C" w:rsidP="00A77583">
      <w:pPr>
        <w:rPr>
          <w:lang w:val="fr-FR"/>
        </w:rPr>
      </w:pPr>
      <w:r w:rsidRPr="00360903">
        <w:rPr>
          <w:i/>
          <w:iCs/>
          <w:lang w:val="fr-FR"/>
        </w:rPr>
        <w:t>b)</w:t>
      </w:r>
      <w:r w:rsidRPr="00360903">
        <w:rPr>
          <w:lang w:val="fr-FR"/>
        </w:rPr>
        <w:tab/>
        <w:t>que le métavers accélère l'innovation dans de nombreux domaines, notamment dans l'industrie, l'enseignement, les soins de santé, l'immobilier et le divertissement, entre autres domaines, créant ainsi de nouveaux modèles économiques et de nouveaux marchés;</w:t>
      </w:r>
    </w:p>
    <w:p w14:paraId="181CE480" w14:textId="3C1E1264" w:rsidR="003A453C" w:rsidRPr="00360903" w:rsidRDefault="003A453C" w:rsidP="00A77583">
      <w:pPr>
        <w:rPr>
          <w:lang w:val="fr-FR"/>
        </w:rPr>
      </w:pPr>
      <w:r w:rsidRPr="00360903">
        <w:rPr>
          <w:i/>
          <w:iCs/>
          <w:lang w:val="fr-FR"/>
        </w:rPr>
        <w:t>c)</w:t>
      </w:r>
      <w:r w:rsidRPr="00360903">
        <w:rPr>
          <w:lang w:val="fr-FR"/>
        </w:rPr>
        <w:tab/>
        <w:t>que l</w:t>
      </w:r>
      <w:r w:rsidR="0047103F" w:rsidRPr="00360903">
        <w:rPr>
          <w:lang w:val="fr-FR"/>
        </w:rPr>
        <w:t xml:space="preserve">'utilisation généralisée </w:t>
      </w:r>
      <w:r w:rsidRPr="00360903">
        <w:rPr>
          <w:lang w:val="fr-FR"/>
        </w:rPr>
        <w:t>du métavers fait disparaître la séparation entre le monde virtuel et le monde réel en offrant des expériences immersives qui mêlent réel et virtuel, ce qui entraîne des changements dans de nombreux domaines, de la vie quotidienne aux environnements de travail;</w:t>
      </w:r>
    </w:p>
    <w:p w14:paraId="7AB87C3A" w14:textId="062AD109" w:rsidR="003A453C" w:rsidRPr="00360903" w:rsidRDefault="003A453C" w:rsidP="00A77583">
      <w:pPr>
        <w:rPr>
          <w:lang w:val="fr-FR"/>
        </w:rPr>
      </w:pPr>
      <w:r w:rsidRPr="00360903">
        <w:rPr>
          <w:i/>
          <w:iCs/>
          <w:lang w:val="fr-FR"/>
        </w:rPr>
        <w:t>d)</w:t>
      </w:r>
      <w:r w:rsidRPr="00360903">
        <w:rPr>
          <w:lang w:val="fr-FR"/>
        </w:rPr>
        <w:tab/>
      </w:r>
      <w:r w:rsidR="00DA74D2" w:rsidRPr="00360903">
        <w:rPr>
          <w:lang w:val="fr-FR"/>
        </w:rPr>
        <w:t>que le métavers devrait en principe jouer un rôle essentiel dans le développement et l'avènement de l'Internet du futur, qui révolutionnera la vie des personnes, la société et les secteurs sur les plans économique, social et culturel</w:t>
      </w:r>
      <w:r w:rsidR="00C36D0D" w:rsidRPr="00360903">
        <w:rPr>
          <w:lang w:val="fr-FR"/>
        </w:rPr>
        <w:t>,</w:t>
      </w:r>
    </w:p>
    <w:p w14:paraId="689C79A5" w14:textId="68D6BC98" w:rsidR="003A453C" w:rsidRPr="00360903" w:rsidRDefault="003A453C" w:rsidP="00A77583">
      <w:pPr>
        <w:pStyle w:val="Call"/>
        <w:rPr>
          <w:lang w:val="fr-FR"/>
        </w:rPr>
      </w:pPr>
      <w:r w:rsidRPr="00360903">
        <w:rPr>
          <w:lang w:val="fr-FR"/>
        </w:rPr>
        <w:t>notant</w:t>
      </w:r>
    </w:p>
    <w:p w14:paraId="09C2F259" w14:textId="3CC33107" w:rsidR="003A453C" w:rsidRPr="00360903" w:rsidRDefault="003A453C" w:rsidP="00A77583">
      <w:pPr>
        <w:rPr>
          <w:lang w:val="fr-FR"/>
        </w:rPr>
      </w:pPr>
      <w:r w:rsidRPr="00360903">
        <w:rPr>
          <w:i/>
          <w:iCs/>
          <w:lang w:val="fr-FR"/>
        </w:rPr>
        <w:t>a)</w:t>
      </w:r>
      <w:r w:rsidRPr="00360903">
        <w:rPr>
          <w:lang w:val="fr-FR"/>
        </w:rPr>
        <w:tab/>
      </w:r>
      <w:r w:rsidR="00837C25" w:rsidRPr="00360903">
        <w:rPr>
          <w:lang w:val="fr-FR"/>
        </w:rPr>
        <w:t>que le métavers est en passe de devenir un moteur essentiel des transformations socio</w:t>
      </w:r>
      <w:r w:rsidR="00CD5929" w:rsidRPr="00360903">
        <w:rPr>
          <w:lang w:val="fr-FR"/>
        </w:rPr>
        <w:noBreakHyphen/>
      </w:r>
      <w:r w:rsidR="00837C25" w:rsidRPr="00360903">
        <w:rPr>
          <w:lang w:val="fr-FR"/>
        </w:rPr>
        <w:t>économiques</w:t>
      </w:r>
      <w:r w:rsidR="00EC242C" w:rsidRPr="00360903">
        <w:rPr>
          <w:lang w:val="fr-FR"/>
        </w:rPr>
        <w:t>,</w:t>
      </w:r>
      <w:r w:rsidR="00837C25" w:rsidRPr="00360903">
        <w:rPr>
          <w:lang w:val="fr-FR"/>
        </w:rPr>
        <w:t xml:space="preserve"> au-delà des seuls progrès techniques;</w:t>
      </w:r>
    </w:p>
    <w:p w14:paraId="379B25F7" w14:textId="10B2D6D3" w:rsidR="00837C25" w:rsidRPr="00360903" w:rsidRDefault="00837C25" w:rsidP="00A77583">
      <w:pPr>
        <w:rPr>
          <w:lang w:val="fr-FR"/>
        </w:rPr>
      </w:pPr>
      <w:r w:rsidRPr="00360903">
        <w:rPr>
          <w:i/>
          <w:iCs/>
          <w:lang w:val="fr-FR"/>
        </w:rPr>
        <w:t>b)</w:t>
      </w:r>
      <w:r w:rsidRPr="00360903">
        <w:rPr>
          <w:lang w:val="fr-FR"/>
        </w:rPr>
        <w:tab/>
      </w:r>
      <w:r w:rsidR="00454D12" w:rsidRPr="00360903">
        <w:rPr>
          <w:lang w:val="fr-FR"/>
        </w:rPr>
        <w:t>que le métavers ne constitue pas, en tant que tel, une nouvelle technologie, mais qu'il est le fruit d'une combinaison de diverses technologies et que sa mise en œuvre repose sur la convergence de plusieurs technologies élémentaires et de normes émanant de nombreuses organisations de normalisation intéressées</w:t>
      </w:r>
      <w:r w:rsidRPr="00360903">
        <w:rPr>
          <w:lang w:val="fr-FR"/>
        </w:rPr>
        <w:t>;</w:t>
      </w:r>
    </w:p>
    <w:p w14:paraId="50EBEA0B" w14:textId="7A4F34DF" w:rsidR="00837C25" w:rsidRPr="00360903" w:rsidRDefault="00837C25" w:rsidP="00A77583">
      <w:pPr>
        <w:rPr>
          <w:lang w:val="fr-FR"/>
        </w:rPr>
      </w:pPr>
      <w:r w:rsidRPr="00360903">
        <w:rPr>
          <w:i/>
          <w:iCs/>
          <w:lang w:val="fr-FR"/>
        </w:rPr>
        <w:t>c)</w:t>
      </w:r>
      <w:r w:rsidRPr="00360903">
        <w:rPr>
          <w:lang w:val="fr-FR"/>
        </w:rPr>
        <w:tab/>
        <w:t>que les problèmes liés à un défaut de compréhension homogène</w:t>
      </w:r>
      <w:r w:rsidR="00EC242C" w:rsidRPr="00360903">
        <w:rPr>
          <w:lang w:val="fr-FR"/>
        </w:rPr>
        <w:t xml:space="preserve"> et</w:t>
      </w:r>
      <w:r w:rsidRPr="00360903">
        <w:rPr>
          <w:lang w:val="fr-FR"/>
        </w:rPr>
        <w:t xml:space="preserve"> à l'absence de normalisation des applications entravent le développement du métavers et que la normalisation du métavers joue un rôle essentiel pour favoriser le développement harmonieux de ce secteur;</w:t>
      </w:r>
    </w:p>
    <w:p w14:paraId="5DCE276F" w14:textId="4B8536AD" w:rsidR="00837C25" w:rsidRPr="00360903" w:rsidRDefault="00837C25" w:rsidP="00A77583">
      <w:pPr>
        <w:rPr>
          <w:lang w:val="fr-FR"/>
        </w:rPr>
      </w:pPr>
      <w:r w:rsidRPr="00360903">
        <w:rPr>
          <w:i/>
          <w:iCs/>
          <w:lang w:val="fr-FR"/>
        </w:rPr>
        <w:t>d)</w:t>
      </w:r>
      <w:r w:rsidRPr="00360903">
        <w:rPr>
          <w:lang w:val="fr-FR"/>
        </w:rPr>
        <w:tab/>
      </w:r>
      <w:r w:rsidR="00454D12" w:rsidRPr="00360903">
        <w:rPr>
          <w:lang w:val="fr-FR"/>
        </w:rPr>
        <w:t>qu'aux premières étapes de l'élaboration de solutions concrètes pour le monde numérique, nous assisterons à la création de plusieurs environnements virtuels distincts ou différents qui n'interagiront pas nécessairement, c'est-à-dire à un ensemble de métavers, formant ainsi un multivers, étant entendu que les métavers et le multivers constituent de nouvelles manières d'interagir avec l'environnement numérique et que la différence principale entre ces deux</w:t>
      </w:r>
      <w:r w:rsidR="004F7FBB" w:rsidRPr="00360903">
        <w:rPr>
          <w:lang w:val="fr-FR"/>
        </w:rPr>
        <w:t> </w:t>
      </w:r>
      <w:r w:rsidR="00454D12" w:rsidRPr="00360903">
        <w:rPr>
          <w:lang w:val="fr-FR"/>
        </w:rPr>
        <w:t xml:space="preserve">technologies tient au niveau d'interconnexion </w:t>
      </w:r>
      <w:r w:rsidR="00EC242C" w:rsidRPr="00360903">
        <w:rPr>
          <w:lang w:val="fr-FR"/>
        </w:rPr>
        <w:t>de c</w:t>
      </w:r>
      <w:r w:rsidR="00454D12" w:rsidRPr="00360903">
        <w:rPr>
          <w:lang w:val="fr-FR"/>
        </w:rPr>
        <w:t>es environnements</w:t>
      </w:r>
      <w:r w:rsidRPr="00360903">
        <w:rPr>
          <w:lang w:val="fr-FR"/>
        </w:rPr>
        <w:t>;</w:t>
      </w:r>
    </w:p>
    <w:p w14:paraId="58361F64" w14:textId="36D0EF5F" w:rsidR="00837C25" w:rsidRPr="00360903" w:rsidRDefault="00837C25" w:rsidP="00A77583">
      <w:pPr>
        <w:rPr>
          <w:lang w:val="fr-FR"/>
        </w:rPr>
      </w:pPr>
      <w:r w:rsidRPr="00360903">
        <w:rPr>
          <w:i/>
          <w:iCs/>
          <w:lang w:val="fr-FR"/>
        </w:rPr>
        <w:t>e)</w:t>
      </w:r>
      <w:r w:rsidRPr="00360903">
        <w:rPr>
          <w:lang w:val="fr-FR"/>
        </w:rPr>
        <w:tab/>
      </w:r>
      <w:r w:rsidR="00454D12" w:rsidRPr="00360903">
        <w:rPr>
          <w:lang w:val="fr-FR"/>
        </w:rPr>
        <w:t>que la qualité d'expérience dans le métavers dépendra du type de matériel et de connexion Internet dont dispose l'utilisateur</w:t>
      </w:r>
      <w:r w:rsidRPr="00360903">
        <w:rPr>
          <w:lang w:val="fr-FR"/>
        </w:rPr>
        <w:t>;</w:t>
      </w:r>
    </w:p>
    <w:p w14:paraId="2B331BE5" w14:textId="6362A788" w:rsidR="00837C25" w:rsidRPr="00360903" w:rsidRDefault="00837C25" w:rsidP="00A77583">
      <w:pPr>
        <w:rPr>
          <w:lang w:val="fr-FR"/>
        </w:rPr>
      </w:pPr>
      <w:r w:rsidRPr="00360903">
        <w:rPr>
          <w:i/>
          <w:iCs/>
          <w:lang w:val="fr-FR"/>
        </w:rPr>
        <w:lastRenderedPageBreak/>
        <w:t>f)</w:t>
      </w:r>
      <w:r w:rsidRPr="00360903">
        <w:rPr>
          <w:lang w:val="fr-FR"/>
        </w:rPr>
        <w:tab/>
      </w:r>
      <w:r w:rsidR="00454D12" w:rsidRPr="00360903">
        <w:rPr>
          <w:lang w:val="fr-FR"/>
        </w:rPr>
        <w:t>que le métavers, associé à des technologies telles que l'Internet des objets (IoT) et les jumeaux numériques, pourrait révolutionner la façon dont les villes et les communautés fonctionnent, interagissent et gèrent leurs ressources, en les rendant plus durables, neutres en ce qui concerne les émissions de carbone, efficaces et inclusives</w:t>
      </w:r>
      <w:r w:rsidRPr="00360903">
        <w:rPr>
          <w:lang w:val="fr-FR"/>
        </w:rPr>
        <w:t>;</w:t>
      </w:r>
    </w:p>
    <w:p w14:paraId="060CDD3D" w14:textId="4F714E96" w:rsidR="00837C25" w:rsidRPr="00360903" w:rsidRDefault="00837C25" w:rsidP="00A77583">
      <w:pPr>
        <w:rPr>
          <w:lang w:val="fr-FR"/>
        </w:rPr>
      </w:pPr>
      <w:r w:rsidRPr="00360903">
        <w:rPr>
          <w:i/>
          <w:iCs/>
          <w:lang w:val="fr-FR"/>
        </w:rPr>
        <w:t>g)</w:t>
      </w:r>
      <w:r w:rsidRPr="00360903">
        <w:rPr>
          <w:lang w:val="fr-FR"/>
        </w:rPr>
        <w:tab/>
      </w:r>
      <w:r w:rsidR="00454D12" w:rsidRPr="00360903">
        <w:rPr>
          <w:lang w:val="fr-FR"/>
        </w:rPr>
        <w:t>que la protection des utilisateurs du métavers contre les fraudes, les rançongiciels et d'autres cybermenace nécessitera l'élaboration de spécifications, de lignes directrices et de réglementations globales en matière de sécurité</w:t>
      </w:r>
      <w:r w:rsidRPr="00360903">
        <w:rPr>
          <w:lang w:val="fr-FR"/>
        </w:rPr>
        <w:t>;</w:t>
      </w:r>
    </w:p>
    <w:p w14:paraId="7E217431" w14:textId="6C2F0C17" w:rsidR="00837C25" w:rsidRPr="00360903" w:rsidRDefault="00837C25" w:rsidP="00A77583">
      <w:pPr>
        <w:rPr>
          <w:lang w:val="fr-FR"/>
        </w:rPr>
      </w:pPr>
      <w:r w:rsidRPr="00360903">
        <w:rPr>
          <w:i/>
          <w:iCs/>
          <w:lang w:val="fr-FR"/>
        </w:rPr>
        <w:t>h)</w:t>
      </w:r>
      <w:r w:rsidRPr="00360903">
        <w:rPr>
          <w:lang w:val="fr-FR"/>
        </w:rPr>
        <w:tab/>
      </w:r>
      <w:r w:rsidR="00A6160C" w:rsidRPr="00360903">
        <w:rPr>
          <w:lang w:val="fr-FR"/>
        </w:rPr>
        <w:t>que la compatibilité et la normalisation des aspects techniques et des protocoles joueront un rôle essentiel pour favoriser la bonne interopérabilité des plates-formes, encourager l'innovation et la concurrence et favoriser l'adoption mondiale</w:t>
      </w:r>
      <w:r w:rsidRPr="00360903">
        <w:rPr>
          <w:lang w:val="fr-FR"/>
        </w:rPr>
        <w:t>;</w:t>
      </w:r>
    </w:p>
    <w:p w14:paraId="486298D9" w14:textId="66327ADF" w:rsidR="00837C25" w:rsidRPr="00360903" w:rsidRDefault="00837C25" w:rsidP="00A77583">
      <w:pPr>
        <w:rPr>
          <w:lang w:val="fr-FR"/>
        </w:rPr>
      </w:pPr>
      <w:r w:rsidRPr="00360903">
        <w:rPr>
          <w:i/>
          <w:iCs/>
          <w:lang w:val="fr-FR"/>
        </w:rPr>
        <w:t>i)</w:t>
      </w:r>
      <w:r w:rsidRPr="00360903">
        <w:rPr>
          <w:lang w:val="fr-FR"/>
        </w:rPr>
        <w:tab/>
        <w:t>que les grandes organisations de normalisation du monde entier ont reconnu le caractère tant important que nécessaire de la normalisation du métavers et participent activement aux travaux de normalisation connexes et les encouragent;</w:t>
      </w:r>
    </w:p>
    <w:p w14:paraId="62A24587" w14:textId="2A5AE75F" w:rsidR="00837C25" w:rsidRPr="00360903" w:rsidRDefault="00837C25" w:rsidP="00A77583">
      <w:pPr>
        <w:rPr>
          <w:lang w:val="fr-FR"/>
        </w:rPr>
      </w:pPr>
      <w:r w:rsidRPr="00360903">
        <w:rPr>
          <w:i/>
          <w:iCs/>
          <w:lang w:val="fr-FR"/>
        </w:rPr>
        <w:t>j)</w:t>
      </w:r>
      <w:r w:rsidRPr="00360903">
        <w:rPr>
          <w:lang w:val="fr-FR"/>
        </w:rPr>
        <w:tab/>
      </w:r>
      <w:r w:rsidR="00A6160C" w:rsidRPr="00360903">
        <w:rPr>
          <w:lang w:val="fr-FR"/>
        </w:rPr>
        <w:t>que, parmi les activités de normalisation relatives au métavers soutenues par de nombreuses organisations de normalisation, les résultats les plus notables ont été obtenus par le Secteur de la normalisation des télécommunications de l'UIT (UIT-T) dans le cadre des activités préalables à la normalisation menées par le Groupe spécialisé de l'UIT sur le métavers (FG-MV)</w:t>
      </w:r>
      <w:r w:rsidRPr="00360903">
        <w:rPr>
          <w:lang w:val="fr-FR"/>
        </w:rPr>
        <w:t>;</w:t>
      </w:r>
    </w:p>
    <w:p w14:paraId="5AC44799" w14:textId="019119C4" w:rsidR="00837C25" w:rsidRPr="00360903" w:rsidRDefault="00837C25" w:rsidP="00A77583">
      <w:pPr>
        <w:rPr>
          <w:lang w:val="fr-FR"/>
        </w:rPr>
      </w:pPr>
      <w:r w:rsidRPr="00360903">
        <w:rPr>
          <w:i/>
          <w:iCs/>
          <w:lang w:val="fr-FR"/>
        </w:rPr>
        <w:t>k)</w:t>
      </w:r>
      <w:r w:rsidRPr="00360903">
        <w:rPr>
          <w:lang w:val="fr-FR"/>
        </w:rPr>
        <w:tab/>
      </w:r>
      <w:r w:rsidR="00A6160C" w:rsidRPr="00360903">
        <w:rPr>
          <w:lang w:val="fr-FR"/>
        </w:rPr>
        <w:t>que le Forum de l'UIT, la Journée des mondes virtuels des Nations Unies et le "Think</w:t>
      </w:r>
      <w:r w:rsidR="004F7FBB" w:rsidRPr="00360903">
        <w:rPr>
          <w:lang w:val="fr-FR"/>
        </w:rPr>
        <w:noBreakHyphen/>
      </w:r>
      <w:r w:rsidR="00A6160C" w:rsidRPr="00360903">
        <w:rPr>
          <w:lang w:val="fr-FR"/>
        </w:rPr>
        <w:t>a</w:t>
      </w:r>
      <w:r w:rsidR="004F7FBB" w:rsidRPr="00360903">
        <w:rPr>
          <w:lang w:val="fr-FR"/>
        </w:rPr>
        <w:noBreakHyphen/>
      </w:r>
      <w:r w:rsidR="00A6160C" w:rsidRPr="00360903">
        <w:rPr>
          <w:lang w:val="fr-FR"/>
        </w:rPr>
        <w:t>thon" de</w:t>
      </w:r>
      <w:r w:rsidR="004E1569" w:rsidRPr="00360903">
        <w:rPr>
          <w:lang w:val="fr-FR"/>
        </w:rPr>
        <w:t xml:space="preserve">s Nations Unies </w:t>
      </w:r>
      <w:r w:rsidR="00A6160C" w:rsidRPr="00360903">
        <w:rPr>
          <w:lang w:val="fr-FR"/>
        </w:rPr>
        <w:t>devraient continuer d'être utilisés à des fins de promotion, afin de renforcer les travaux de l'UIT-T sur le métavers</w:t>
      </w:r>
      <w:r w:rsidRPr="00360903">
        <w:rPr>
          <w:lang w:val="fr-FR"/>
        </w:rPr>
        <w:t>;</w:t>
      </w:r>
    </w:p>
    <w:p w14:paraId="185468A1" w14:textId="0D222207" w:rsidR="00837C25" w:rsidRPr="00360903" w:rsidRDefault="00837C25" w:rsidP="00A77583">
      <w:pPr>
        <w:rPr>
          <w:lang w:val="fr-FR"/>
        </w:rPr>
      </w:pPr>
      <w:r w:rsidRPr="00360903">
        <w:rPr>
          <w:i/>
          <w:iCs/>
          <w:lang w:val="fr-FR"/>
        </w:rPr>
        <w:t>l)</w:t>
      </w:r>
      <w:r w:rsidRPr="00360903">
        <w:rPr>
          <w:lang w:val="fr-FR"/>
        </w:rPr>
        <w:tab/>
        <w:t>que l'UIT-T doit également continuer de promouvoir et de renforcer la normalisation des futurs services et applications de télécommunication/TIC liés au métavers;</w:t>
      </w:r>
    </w:p>
    <w:p w14:paraId="5ACEFF59" w14:textId="05C0809C" w:rsidR="00837C25" w:rsidRPr="00360903" w:rsidRDefault="00837C25" w:rsidP="00A77583">
      <w:pPr>
        <w:rPr>
          <w:lang w:val="fr-FR"/>
        </w:rPr>
      </w:pPr>
      <w:r w:rsidRPr="00360903">
        <w:rPr>
          <w:i/>
          <w:iCs/>
          <w:lang w:val="fr-FR"/>
        </w:rPr>
        <w:t>m)</w:t>
      </w:r>
      <w:r w:rsidRPr="00360903">
        <w:rPr>
          <w:lang w:val="fr-FR"/>
        </w:rPr>
        <w:tab/>
      </w:r>
      <w:r w:rsidR="004E1569" w:rsidRPr="00360903">
        <w:rPr>
          <w:lang w:val="fr-FR"/>
        </w:rPr>
        <w:t>que le rôle global de l'UIT-T en tant que chef de file des travaux de normalisation sur le métavers devrait être poursuivi et encore renforcé au cours de la prochaine période d'études de l'UIT-T, après l'achèvement des travaux du Groupe FG-MV</w:t>
      </w:r>
      <w:r w:rsidRPr="00360903">
        <w:rPr>
          <w:lang w:val="fr-FR"/>
        </w:rPr>
        <w:t>,</w:t>
      </w:r>
    </w:p>
    <w:p w14:paraId="73BBFE2A" w14:textId="73E18BE2" w:rsidR="00837C25" w:rsidRPr="00360903" w:rsidRDefault="00837C25" w:rsidP="00A77583">
      <w:pPr>
        <w:pStyle w:val="Call"/>
        <w:rPr>
          <w:lang w:val="fr-FR"/>
        </w:rPr>
      </w:pPr>
      <w:r w:rsidRPr="00360903">
        <w:rPr>
          <w:lang w:val="fr-FR"/>
        </w:rPr>
        <w:t>reconnaissant</w:t>
      </w:r>
    </w:p>
    <w:p w14:paraId="245B1000" w14:textId="4F68B979" w:rsidR="00837C25" w:rsidRPr="00360903" w:rsidRDefault="00837C25" w:rsidP="00A77583">
      <w:pPr>
        <w:rPr>
          <w:lang w:val="fr-FR"/>
        </w:rPr>
      </w:pPr>
      <w:r w:rsidRPr="00360903">
        <w:rPr>
          <w:i/>
          <w:iCs/>
          <w:lang w:val="fr-FR"/>
        </w:rPr>
        <w:t>a)</w:t>
      </w:r>
      <w:r w:rsidRPr="00360903">
        <w:rPr>
          <w:lang w:val="fr-FR"/>
        </w:rPr>
        <w:tab/>
      </w:r>
      <w:r w:rsidR="004E1569" w:rsidRPr="00360903">
        <w:rPr>
          <w:lang w:val="fr-FR"/>
        </w:rPr>
        <w:t>que le Forum de l'UIT sur le métavers offre une tribune dynamique pour l'examen des travaux d'avant-garde menés par le Groupe FG-MV de l'UIT et a été organisé à cinq reprises pendant la période d'activité du Groupe FG-MV, entre mars 2023 et juin 2024</w:t>
      </w:r>
      <w:r w:rsidRPr="00360903">
        <w:rPr>
          <w:lang w:val="fr-FR"/>
        </w:rPr>
        <w:t>;</w:t>
      </w:r>
    </w:p>
    <w:p w14:paraId="0843FBE2" w14:textId="4F429911" w:rsidR="00837C25" w:rsidRPr="00360903" w:rsidRDefault="00837C25" w:rsidP="00A77583">
      <w:pPr>
        <w:rPr>
          <w:lang w:val="fr-FR"/>
        </w:rPr>
      </w:pPr>
      <w:r w:rsidRPr="00360903">
        <w:rPr>
          <w:i/>
          <w:iCs/>
          <w:lang w:val="fr-FR"/>
        </w:rPr>
        <w:t>b)</w:t>
      </w:r>
      <w:r w:rsidRPr="00360903">
        <w:rPr>
          <w:lang w:val="fr-FR"/>
        </w:rPr>
        <w:tab/>
        <w:t>la première Journée des mondes virtuels des Nations Unies, manifestation pionnière organisée par l'UIT en juin 2024 sur la base d'ébauches de concept proposées par le Groupe</w:t>
      </w:r>
      <w:r w:rsidR="00CD5929" w:rsidRPr="00360903">
        <w:rPr>
          <w:lang w:val="fr-FR"/>
        </w:rPr>
        <w:t> </w:t>
      </w:r>
      <w:r w:rsidRPr="00360903">
        <w:rPr>
          <w:lang w:val="fr-FR"/>
        </w:rPr>
        <w:t>FG</w:t>
      </w:r>
      <w:r w:rsidR="00CD5929" w:rsidRPr="00360903">
        <w:rPr>
          <w:lang w:val="fr-FR"/>
        </w:rPr>
        <w:noBreakHyphen/>
      </w:r>
      <w:r w:rsidRPr="00360903">
        <w:rPr>
          <w:lang w:val="fr-FR"/>
        </w:rPr>
        <w:t>MV, en partenariat avec 1</w:t>
      </w:r>
      <w:r w:rsidR="004E1569" w:rsidRPr="00360903">
        <w:rPr>
          <w:lang w:val="fr-FR"/>
        </w:rPr>
        <w:t>6</w:t>
      </w:r>
      <w:r w:rsidRPr="00360903">
        <w:rPr>
          <w:lang w:val="fr-FR"/>
        </w:rPr>
        <w:t xml:space="preserve"> entités des Nations Unies, à savoir la Banque mondiale, la Commission économique des Nations Unies pour l'Europe (CEE), le Centre international de formation de l'Organisation internationale du Travail (ITCILO), le Réseau Futures Lab Network des Nations Unies, l'Organisation météorologique mondiale (OMM), le Centre international de calcul des Nations Unies (UNICC), l'Organisation mondiale de la propriété intellectuelle (OMPI), le Fonds des Nations Unies pour l'enfance (UNICEF), ONU Tourisme, l'Université des Nations Unies (UNU), le Département des affaires politiques et de la consolidation de la paix de l'ONU (DPPA), le Réseau d'innovation des Nations Unies (UNIN), le dispositif des Nations Unies au Guatemala, l'Organisation des Nations Unies pour l'alimentation et l'agriculture (FAO), la Commission économique et sociale des Nations Unies pour l'Asie occidentale (CESAO), la Convention-cadre des Nations Unies sur les changements climatiques (CCNUCC) et son initiative interinstitutions Resilience Frontiers</w:t>
      </w:r>
      <w:r w:rsidR="004E1569" w:rsidRPr="00360903">
        <w:rPr>
          <w:lang w:val="fr-FR"/>
        </w:rPr>
        <w:t>;</w:t>
      </w:r>
    </w:p>
    <w:p w14:paraId="1B2306ED" w14:textId="296A2DA1" w:rsidR="00837C25" w:rsidRPr="00360903" w:rsidRDefault="00837C25" w:rsidP="00A77583">
      <w:pPr>
        <w:rPr>
          <w:lang w:val="fr-FR"/>
        </w:rPr>
      </w:pPr>
      <w:r w:rsidRPr="00360903">
        <w:rPr>
          <w:i/>
          <w:iCs/>
          <w:lang w:val="fr-FR"/>
        </w:rPr>
        <w:lastRenderedPageBreak/>
        <w:t>c)</w:t>
      </w:r>
      <w:r w:rsidRPr="00360903">
        <w:rPr>
          <w:lang w:val="fr-FR"/>
        </w:rPr>
        <w:tab/>
      </w:r>
      <w:r w:rsidR="004E1569" w:rsidRPr="00360903">
        <w:rPr>
          <w:lang w:val="fr-FR"/>
        </w:rPr>
        <w:t>les activités menées par le Groupe FG-MV de l'UIT et les plus de 40 produits remarquables qui ont été élaborés par ses groupes de travail dans le cadre des travaux préalables à la normalisation sur le métavers</w:t>
      </w:r>
      <w:r w:rsidRPr="00360903">
        <w:rPr>
          <w:lang w:val="fr-FR"/>
        </w:rPr>
        <w:t>;</w:t>
      </w:r>
    </w:p>
    <w:p w14:paraId="6A31AB2C" w14:textId="117C6509" w:rsidR="00837C25" w:rsidRPr="00360903" w:rsidRDefault="00837C25" w:rsidP="00A77583">
      <w:pPr>
        <w:rPr>
          <w:lang w:val="fr-FR"/>
        </w:rPr>
      </w:pPr>
      <w:r w:rsidRPr="00360903">
        <w:rPr>
          <w:i/>
          <w:iCs/>
          <w:lang w:val="fr-FR"/>
        </w:rPr>
        <w:t>d)</w:t>
      </w:r>
      <w:r w:rsidRPr="00360903">
        <w:rPr>
          <w:lang w:val="fr-FR"/>
        </w:rPr>
        <w:tab/>
      </w:r>
      <w:r w:rsidR="004E1569" w:rsidRPr="00360903">
        <w:rPr>
          <w:lang w:val="fr-FR"/>
        </w:rPr>
        <w:t>que les commissions d'études de l'UIT-T ont déjà commencé à recevoir des contributions pour l'étude de thèmes liés au métavers</w:t>
      </w:r>
      <w:r w:rsidRPr="00360903">
        <w:rPr>
          <w:lang w:val="fr-FR"/>
        </w:rPr>
        <w:t>,</w:t>
      </w:r>
    </w:p>
    <w:p w14:paraId="01FAEF67" w14:textId="79EE5A46" w:rsidR="00837C25" w:rsidRPr="00360903" w:rsidRDefault="00837C25" w:rsidP="00A77583">
      <w:pPr>
        <w:pStyle w:val="Call"/>
        <w:rPr>
          <w:lang w:val="fr-FR"/>
        </w:rPr>
      </w:pPr>
      <w:r w:rsidRPr="00360903">
        <w:rPr>
          <w:lang w:val="fr-FR"/>
        </w:rPr>
        <w:t>décide</w:t>
      </w:r>
    </w:p>
    <w:p w14:paraId="00A6E54B" w14:textId="2E3C8F2A" w:rsidR="00837C25" w:rsidRPr="00360903" w:rsidRDefault="00837C25" w:rsidP="00A77583">
      <w:pPr>
        <w:rPr>
          <w:lang w:val="fr-FR"/>
        </w:rPr>
      </w:pPr>
      <w:r w:rsidRPr="00360903">
        <w:rPr>
          <w:lang w:val="fr-FR"/>
        </w:rPr>
        <w:t>1</w:t>
      </w:r>
      <w:r w:rsidRPr="00360903">
        <w:rPr>
          <w:lang w:val="fr-FR"/>
        </w:rPr>
        <w:tab/>
      </w:r>
      <w:r w:rsidR="004E1569" w:rsidRPr="00360903">
        <w:rPr>
          <w:lang w:val="fr-FR"/>
        </w:rPr>
        <w:t>de promouvoir et de renforcer les travaux de normalisation des commissions d'études de l'UIT-T relatifs aux technologies, systèmes, applications et services pour le métavers, compte tenu des besoins actuels du marché, afin d'accroître l'utilité des produits de l'UIT-T tels que les recommandations, les rapports techniques et les lignes directrices</w:t>
      </w:r>
      <w:r w:rsidRPr="00360903">
        <w:rPr>
          <w:lang w:val="fr-FR"/>
        </w:rPr>
        <w:t>;</w:t>
      </w:r>
    </w:p>
    <w:p w14:paraId="568262C6" w14:textId="3C8B3CD7" w:rsidR="00837C25" w:rsidRPr="00360903" w:rsidRDefault="00837C25" w:rsidP="00A77583">
      <w:pPr>
        <w:rPr>
          <w:lang w:val="fr-FR"/>
        </w:rPr>
      </w:pPr>
      <w:r w:rsidRPr="00360903">
        <w:rPr>
          <w:lang w:val="fr-FR"/>
        </w:rPr>
        <w:t>2</w:t>
      </w:r>
      <w:r w:rsidRPr="00360903">
        <w:rPr>
          <w:lang w:val="fr-FR"/>
        </w:rPr>
        <w:tab/>
      </w:r>
      <w:r w:rsidR="004E1569" w:rsidRPr="00360903">
        <w:rPr>
          <w:lang w:val="fr-FR"/>
        </w:rPr>
        <w:t>de travailler en collaboration et en coopération avec d'autres organisations de normalisation et entités compétentes, en particulier pour permettre aux membres de l'UIT-T de se familiariser avec les tendances actuelles en matière de normalisation du métavers;</w:t>
      </w:r>
    </w:p>
    <w:p w14:paraId="1932BB5B" w14:textId="04107A8B" w:rsidR="00837C25" w:rsidRPr="00360903" w:rsidRDefault="00837C25" w:rsidP="00A77583">
      <w:pPr>
        <w:rPr>
          <w:lang w:val="fr-FR"/>
        </w:rPr>
      </w:pPr>
      <w:r w:rsidRPr="00360903">
        <w:rPr>
          <w:lang w:val="fr-FR"/>
        </w:rPr>
        <w:t>3</w:t>
      </w:r>
      <w:r w:rsidRPr="00360903">
        <w:rPr>
          <w:lang w:val="fr-FR"/>
        </w:rPr>
        <w:tab/>
        <w:t>de créer une Activité conjointe de coordination sur le métavers (JCA-MV), relevant de la commission d'études appropriée de l'UIT-T ou du Groupe consultatif de la normalisation des télécommunications (GCNT), destinée à coordonner les travaux de normalisation pertinents de chaque commission d'études de l'UIT-T et à collaborer avec les organisations de normalisation concernées et les parties intéressées extérieures à l'UIT-T;</w:t>
      </w:r>
    </w:p>
    <w:p w14:paraId="523DCDB0" w14:textId="3E49E8C2" w:rsidR="00837C25" w:rsidRPr="00360903" w:rsidRDefault="00837C25" w:rsidP="00A77583">
      <w:pPr>
        <w:rPr>
          <w:lang w:val="fr-FR"/>
        </w:rPr>
      </w:pPr>
      <w:r w:rsidRPr="00360903">
        <w:rPr>
          <w:lang w:val="fr-FR"/>
        </w:rPr>
        <w:t>4</w:t>
      </w:r>
      <w:r w:rsidRPr="00360903">
        <w:rPr>
          <w:lang w:val="fr-FR"/>
        </w:rPr>
        <w:tab/>
      </w:r>
      <w:r w:rsidR="00543D4E" w:rsidRPr="00360903">
        <w:rPr>
          <w:lang w:val="fr-FR"/>
        </w:rPr>
        <w:t>d'élaborer,</w:t>
      </w:r>
      <w:r w:rsidRPr="00360903">
        <w:rPr>
          <w:lang w:val="fr-FR"/>
        </w:rPr>
        <w:t xml:space="preserve"> dans le cadre de la JCA-MV</w:t>
      </w:r>
      <w:r w:rsidR="00543D4E" w:rsidRPr="00360903">
        <w:rPr>
          <w:lang w:val="fr-FR"/>
        </w:rPr>
        <w:t>,</w:t>
      </w:r>
      <w:r w:rsidRPr="00360903">
        <w:rPr>
          <w:lang w:val="fr-FR"/>
        </w:rPr>
        <w:t xml:space="preserve"> une feuille de route sur les activités de normalisation relatives au métavers, afin de diriger cette initiative mondiale et d'identifier les écarts en matière de normalisation avec les organisations de normalisation compétentes;</w:t>
      </w:r>
    </w:p>
    <w:p w14:paraId="1B2FA036" w14:textId="54B3CD8F" w:rsidR="00837C25" w:rsidRPr="00360903" w:rsidRDefault="00837C25" w:rsidP="00A77583">
      <w:pPr>
        <w:rPr>
          <w:lang w:val="fr-FR"/>
        </w:rPr>
      </w:pPr>
      <w:r w:rsidRPr="00360903">
        <w:rPr>
          <w:lang w:val="fr-FR"/>
        </w:rPr>
        <w:t>5</w:t>
      </w:r>
      <w:r w:rsidRPr="00360903">
        <w:rPr>
          <w:lang w:val="fr-FR"/>
        </w:rPr>
        <w:tab/>
      </w:r>
      <w:r w:rsidR="00091009" w:rsidRPr="00360903">
        <w:rPr>
          <w:lang w:val="fr-FR"/>
        </w:rPr>
        <w:t xml:space="preserve">que des </w:t>
      </w:r>
      <w:r w:rsidR="00543D4E" w:rsidRPr="00360903">
        <w:rPr>
          <w:lang w:val="fr-FR"/>
        </w:rPr>
        <w:t>séminaires</w:t>
      </w:r>
      <w:r w:rsidR="00091009" w:rsidRPr="00360903">
        <w:rPr>
          <w:lang w:val="fr-FR"/>
        </w:rPr>
        <w:t xml:space="preserve"> de l'UIT devront être organisés en vue de rendre compte de l'état d'avancement des travaux et des résultats obtenus par les commissions d'études de l'UIT-T qui s'occupent de la normalisation du métavers avant la prochaine Assemblée mondiale de normalisation des télécommunications</w:t>
      </w:r>
      <w:r w:rsidRPr="00360903">
        <w:rPr>
          <w:lang w:val="fr-FR"/>
        </w:rPr>
        <w:t>;</w:t>
      </w:r>
    </w:p>
    <w:p w14:paraId="66C2A838" w14:textId="2C4C1346" w:rsidR="00837C25" w:rsidRPr="00360903" w:rsidRDefault="00837C25" w:rsidP="00A77583">
      <w:pPr>
        <w:rPr>
          <w:lang w:val="fr-FR"/>
        </w:rPr>
      </w:pPr>
      <w:r w:rsidRPr="00360903">
        <w:rPr>
          <w:lang w:val="fr-FR"/>
        </w:rPr>
        <w:t>6</w:t>
      </w:r>
      <w:r w:rsidRPr="00360903">
        <w:rPr>
          <w:lang w:val="fr-FR"/>
        </w:rPr>
        <w:tab/>
        <w:t>d'encourager la coopération avec les organisations concernées, y compris les associations, consortiums et forums du secteur, pour ce qui est des systèmes, applications et services du métavers,</w:t>
      </w:r>
    </w:p>
    <w:p w14:paraId="0352A763" w14:textId="7BD144A4" w:rsidR="00837C25" w:rsidRPr="00360903" w:rsidRDefault="00837C25" w:rsidP="00A77583">
      <w:pPr>
        <w:pStyle w:val="Call"/>
        <w:rPr>
          <w:lang w:val="fr-FR"/>
        </w:rPr>
      </w:pPr>
      <w:r w:rsidRPr="00360903">
        <w:rPr>
          <w:lang w:val="fr-FR"/>
        </w:rPr>
        <w:t>charge le Directeur du Bureau de la normalisation des télécommunications</w:t>
      </w:r>
    </w:p>
    <w:p w14:paraId="7D314078" w14:textId="01E2AF43" w:rsidR="00837C25" w:rsidRPr="00360903" w:rsidRDefault="00837C25" w:rsidP="00A77583">
      <w:pPr>
        <w:rPr>
          <w:lang w:val="fr-FR"/>
        </w:rPr>
      </w:pPr>
      <w:r w:rsidRPr="00360903">
        <w:rPr>
          <w:lang w:val="fr-FR"/>
        </w:rPr>
        <w:t>1</w:t>
      </w:r>
      <w:r w:rsidRPr="00360903">
        <w:rPr>
          <w:lang w:val="fr-FR"/>
        </w:rPr>
        <w:tab/>
        <w:t xml:space="preserve">de travailler en collaboration avec le Directeur du </w:t>
      </w:r>
      <w:r w:rsidR="00A26ECF" w:rsidRPr="00360903">
        <w:rPr>
          <w:lang w:val="fr-FR"/>
        </w:rPr>
        <w:t>Bureau</w:t>
      </w:r>
      <w:r w:rsidRPr="00360903">
        <w:rPr>
          <w:lang w:val="fr-FR"/>
        </w:rPr>
        <w:t xml:space="preserve"> des radiocommunications et le Directeur du </w:t>
      </w:r>
      <w:r w:rsidR="00A26ECF" w:rsidRPr="00360903">
        <w:rPr>
          <w:lang w:val="fr-FR"/>
        </w:rPr>
        <w:t>Bureau de</w:t>
      </w:r>
      <w:r w:rsidRPr="00360903">
        <w:rPr>
          <w:lang w:val="fr-FR"/>
        </w:rPr>
        <w:t xml:space="preserve"> développement des télécommunications à l'appui des activités relatives au métavers, afin </w:t>
      </w:r>
      <w:r w:rsidR="00A26ECF" w:rsidRPr="00360903">
        <w:rPr>
          <w:lang w:val="fr-FR"/>
        </w:rPr>
        <w:t>de fournir des solutions de normalisation</w:t>
      </w:r>
      <w:r w:rsidRPr="00360903">
        <w:rPr>
          <w:lang w:val="fr-FR"/>
        </w:rPr>
        <w:t xml:space="preserve"> susceptibles d'être appliqué</w:t>
      </w:r>
      <w:r w:rsidR="00A26ECF" w:rsidRPr="00360903">
        <w:rPr>
          <w:lang w:val="fr-FR"/>
        </w:rPr>
        <w:t>e</w:t>
      </w:r>
      <w:r w:rsidRPr="00360903">
        <w:rPr>
          <w:lang w:val="fr-FR"/>
        </w:rPr>
        <w:t>s aux applications et services pertinents des autres secteurs;</w:t>
      </w:r>
    </w:p>
    <w:p w14:paraId="65304FCC" w14:textId="20EDE7D8" w:rsidR="00837C25" w:rsidRPr="00360903" w:rsidRDefault="00837C25" w:rsidP="00A77583">
      <w:pPr>
        <w:rPr>
          <w:lang w:val="fr-FR"/>
        </w:rPr>
      </w:pPr>
      <w:r w:rsidRPr="00360903">
        <w:rPr>
          <w:lang w:val="fr-FR"/>
        </w:rPr>
        <w:t>2</w:t>
      </w:r>
      <w:r w:rsidRPr="00360903">
        <w:rPr>
          <w:lang w:val="fr-FR"/>
        </w:rPr>
        <w:tab/>
      </w:r>
      <w:r w:rsidR="00A26ECF" w:rsidRPr="00360903">
        <w:rPr>
          <w:lang w:val="fr-FR"/>
        </w:rPr>
        <w:t>d'organiser des ateliers de renforcement des capacités sur les travaux de normalisation de l'UIT-T relatifs au métavers, en collaboration avec d'autres organisation de normalisation compétentes, notamment les communautés d'utilisateurs de code source ouvert travaillant sur les applications du métavers dans les domaines des télécommunications/TIC;</w:t>
      </w:r>
    </w:p>
    <w:p w14:paraId="61E4160B" w14:textId="00D8B95B" w:rsidR="00A26ECF" w:rsidRPr="00360903" w:rsidRDefault="00A26ECF" w:rsidP="00A77583">
      <w:pPr>
        <w:rPr>
          <w:lang w:val="fr-FR"/>
        </w:rPr>
      </w:pPr>
      <w:r w:rsidRPr="00360903">
        <w:rPr>
          <w:lang w:val="fr-FR"/>
        </w:rPr>
        <w:t>3</w:t>
      </w:r>
      <w:r w:rsidRPr="00360903">
        <w:rPr>
          <w:lang w:val="fr-FR"/>
        </w:rPr>
        <w:tab/>
        <w:t>de continuer d'organiser le Forum de l'UIT sur le métavers, qui sert de tribune d'échange et de réflexion sur les travaux d'avant-garde que mènent les commissions d'études de l'UIT-T en vue de la normalisation du métavers;</w:t>
      </w:r>
    </w:p>
    <w:p w14:paraId="0CE2210B" w14:textId="4C9500FC" w:rsidR="00837C25" w:rsidRPr="00360903" w:rsidRDefault="00A26ECF" w:rsidP="00A77583">
      <w:pPr>
        <w:rPr>
          <w:lang w:val="fr-FR"/>
        </w:rPr>
      </w:pPr>
      <w:r w:rsidRPr="00360903">
        <w:rPr>
          <w:lang w:val="fr-FR"/>
        </w:rPr>
        <w:t>4</w:t>
      </w:r>
      <w:r w:rsidR="00837C25" w:rsidRPr="00360903">
        <w:rPr>
          <w:lang w:val="fr-FR"/>
        </w:rPr>
        <w:tab/>
      </w:r>
      <w:r w:rsidRPr="00360903">
        <w:rPr>
          <w:lang w:val="fr-FR"/>
        </w:rPr>
        <w:t>de continuer d'organiser la Journée mondiale des mondes virtuels des Nations Unies, afin d'atteindre les Objectifs de développement durable définis par les Nations Unies au moyen du métavers, en collaboration avec les organisations du système des Nations Unies</w:t>
      </w:r>
      <w:r w:rsidR="00837C25" w:rsidRPr="00360903">
        <w:rPr>
          <w:lang w:val="fr-FR"/>
        </w:rPr>
        <w:t>;</w:t>
      </w:r>
    </w:p>
    <w:p w14:paraId="75E67953" w14:textId="2519AA7D" w:rsidR="00837C25" w:rsidRPr="00360903" w:rsidRDefault="00A26ECF" w:rsidP="00A77583">
      <w:pPr>
        <w:rPr>
          <w:lang w:val="fr-FR"/>
        </w:rPr>
      </w:pPr>
      <w:r w:rsidRPr="00360903">
        <w:rPr>
          <w:lang w:val="fr-FR"/>
        </w:rPr>
        <w:lastRenderedPageBreak/>
        <w:t>5</w:t>
      </w:r>
      <w:r w:rsidR="00837C25" w:rsidRPr="00360903">
        <w:rPr>
          <w:lang w:val="fr-FR"/>
        </w:rPr>
        <w:tab/>
      </w:r>
      <w:r w:rsidRPr="00360903">
        <w:rPr>
          <w:lang w:val="fr-FR"/>
        </w:rPr>
        <w:t>de continuer d'organiser des manifestations "Think-a-thon" des Nations Unies, destinées à recueillir des idées novatrices auprès des jeunes et à encourager leur participation;</w:t>
      </w:r>
    </w:p>
    <w:p w14:paraId="4E836CAA" w14:textId="3436447B" w:rsidR="00837C25" w:rsidRPr="00360903" w:rsidRDefault="00A26ECF" w:rsidP="00A77583">
      <w:pPr>
        <w:rPr>
          <w:lang w:val="fr-FR"/>
        </w:rPr>
      </w:pPr>
      <w:r w:rsidRPr="00360903">
        <w:rPr>
          <w:lang w:val="fr-FR"/>
        </w:rPr>
        <w:t>6</w:t>
      </w:r>
      <w:r w:rsidR="00837C25" w:rsidRPr="00360903">
        <w:rPr>
          <w:lang w:val="fr-FR"/>
        </w:rPr>
        <w:tab/>
      </w:r>
      <w:r w:rsidRPr="00360903">
        <w:rPr>
          <w:lang w:val="fr-FR"/>
        </w:rPr>
        <w:t>d'encourager les États Membres, les Membres de Secteur, les Associés et les établissements universitaires à échanger et à diffuser des bonnes pratiques relatives au métavers, y compris en ce qui concerne les systèmes, applications et services de divers domaines des télécommunications/TIC</w:t>
      </w:r>
      <w:r w:rsidR="00837C25" w:rsidRPr="00360903">
        <w:rPr>
          <w:lang w:val="fr-FR"/>
        </w:rPr>
        <w:t>,</w:t>
      </w:r>
    </w:p>
    <w:p w14:paraId="6364C37D" w14:textId="42A794C9" w:rsidR="00837C25" w:rsidRPr="00360903" w:rsidRDefault="00837C25" w:rsidP="00A77583">
      <w:pPr>
        <w:pStyle w:val="Call"/>
        <w:rPr>
          <w:lang w:val="fr-FR"/>
        </w:rPr>
      </w:pPr>
      <w:r w:rsidRPr="00360903">
        <w:rPr>
          <w:lang w:val="fr-FR"/>
        </w:rPr>
        <w:t xml:space="preserve">charge les </w:t>
      </w:r>
      <w:r w:rsidR="00543D4E" w:rsidRPr="00360903">
        <w:rPr>
          <w:lang w:val="fr-FR"/>
        </w:rPr>
        <w:t>c</w:t>
      </w:r>
      <w:r w:rsidRPr="00360903">
        <w:rPr>
          <w:lang w:val="fr-FR"/>
        </w:rPr>
        <w:t>ommissions d'études du Secteur du développement des télécommunications de l'UIT</w:t>
      </w:r>
    </w:p>
    <w:p w14:paraId="1C0EA119" w14:textId="49094504" w:rsidR="00837C25" w:rsidRPr="00360903" w:rsidRDefault="00837C25" w:rsidP="00A77583">
      <w:pPr>
        <w:rPr>
          <w:lang w:val="fr-FR"/>
        </w:rPr>
      </w:pPr>
      <w:r w:rsidRPr="00360903">
        <w:rPr>
          <w:lang w:val="fr-FR"/>
        </w:rPr>
        <w:t>1</w:t>
      </w:r>
      <w:r w:rsidRPr="00360903">
        <w:rPr>
          <w:lang w:val="fr-FR"/>
        </w:rPr>
        <w:tab/>
      </w:r>
      <w:r w:rsidR="00A26ECF" w:rsidRPr="00360903">
        <w:rPr>
          <w:lang w:val="fr-FR"/>
        </w:rPr>
        <w:t>de faire avancer rapidement les travaux de normalisation menés dans le prolongement des produits élaborés dans le cadre des travaux préalables à la normalisation du Groupe FG-MV</w:t>
      </w:r>
      <w:r w:rsidR="00E45EB9" w:rsidRPr="00360903">
        <w:rPr>
          <w:lang w:val="fr-FR"/>
        </w:rPr>
        <w:t xml:space="preserve"> et des contributions reçues de la part des membres de l'UIT-T </w:t>
      </w:r>
      <w:r w:rsidR="00543D4E" w:rsidRPr="00360903">
        <w:rPr>
          <w:lang w:val="fr-FR"/>
        </w:rPr>
        <w:t>contenant les</w:t>
      </w:r>
      <w:r w:rsidR="00E45EB9" w:rsidRPr="00360903">
        <w:rPr>
          <w:lang w:val="fr-FR"/>
        </w:rPr>
        <w:t xml:space="preserve"> </w:t>
      </w:r>
      <w:r w:rsidR="00543D4E" w:rsidRPr="00360903">
        <w:rPr>
          <w:lang w:val="fr-FR"/>
        </w:rPr>
        <w:t xml:space="preserve">thèmes qui, selon eux, présentent un </w:t>
      </w:r>
      <w:r w:rsidR="00E45EB9" w:rsidRPr="00360903">
        <w:rPr>
          <w:lang w:val="fr-FR"/>
        </w:rPr>
        <w:t>intérêt pour le développement du métavers</w:t>
      </w:r>
      <w:r w:rsidRPr="00360903">
        <w:rPr>
          <w:lang w:val="fr-FR"/>
        </w:rPr>
        <w:t>;</w:t>
      </w:r>
    </w:p>
    <w:p w14:paraId="16FD7C58" w14:textId="6668B8EF" w:rsidR="00837C25" w:rsidRPr="00360903" w:rsidRDefault="00837C25" w:rsidP="00A77583">
      <w:pPr>
        <w:rPr>
          <w:lang w:val="fr-FR"/>
        </w:rPr>
      </w:pPr>
      <w:r w:rsidRPr="00360903">
        <w:rPr>
          <w:lang w:val="fr-FR"/>
        </w:rPr>
        <w:t>2</w:t>
      </w:r>
      <w:r w:rsidRPr="00360903">
        <w:rPr>
          <w:lang w:val="fr-FR"/>
        </w:rPr>
        <w:tab/>
      </w:r>
      <w:r w:rsidR="00990FB9" w:rsidRPr="00360903">
        <w:rPr>
          <w:lang w:val="fr-FR"/>
        </w:rPr>
        <w:t>de coordonner les activités et les études menées dans le cadre des travaux de normalisation relatifs au métavers par les commissions d'études et les groupes spécialisés compétents et les autres groupes concernés de l'UIT-T, du Secteur des Radiocommunications de l'UIT (UIT-R) et du Secteur du développement des radiocommunications de l'UIT (UIT-D)</w:t>
      </w:r>
      <w:r w:rsidRPr="00360903">
        <w:rPr>
          <w:lang w:val="fr-FR"/>
        </w:rPr>
        <w:t>;</w:t>
      </w:r>
    </w:p>
    <w:p w14:paraId="0CE23E66" w14:textId="6BB0546B" w:rsidR="00837C25" w:rsidRPr="00360903" w:rsidRDefault="00837C25" w:rsidP="00A77583">
      <w:pPr>
        <w:rPr>
          <w:lang w:val="fr-FR"/>
        </w:rPr>
      </w:pPr>
      <w:r w:rsidRPr="00360903">
        <w:rPr>
          <w:lang w:val="fr-FR"/>
        </w:rPr>
        <w:t>3</w:t>
      </w:r>
      <w:r w:rsidRPr="00360903">
        <w:rPr>
          <w:lang w:val="fr-FR"/>
        </w:rPr>
        <w:tab/>
        <w:t>de mener des études et de continuer d'intensifier et d'accélérer les travaux de normalisation relatifs au métavers, afin d'accroître l'utilité des produits élaborés par chaque commission d'études conformément à son mandat,</w:t>
      </w:r>
    </w:p>
    <w:p w14:paraId="26FB569B" w14:textId="79EEDEB2" w:rsidR="00837C25" w:rsidRPr="00360903" w:rsidRDefault="00837C25" w:rsidP="00A77583">
      <w:pPr>
        <w:pStyle w:val="Call"/>
        <w:rPr>
          <w:lang w:val="fr-FR"/>
        </w:rPr>
      </w:pPr>
      <w:r w:rsidRPr="00360903">
        <w:rPr>
          <w:lang w:val="fr-FR"/>
        </w:rPr>
        <w:t>invite les États Membres, les Membres de Secteur, les Associés et les établissements universitaires</w:t>
      </w:r>
    </w:p>
    <w:p w14:paraId="134FEEE2" w14:textId="6B61FD22" w:rsidR="00837C25" w:rsidRPr="00360903" w:rsidRDefault="00837C25" w:rsidP="00A77583">
      <w:pPr>
        <w:rPr>
          <w:lang w:val="fr-FR"/>
        </w:rPr>
      </w:pPr>
      <w:r w:rsidRPr="00360903">
        <w:rPr>
          <w:lang w:val="fr-FR"/>
        </w:rPr>
        <w:t>1</w:t>
      </w:r>
      <w:r w:rsidRPr="00360903">
        <w:rPr>
          <w:lang w:val="fr-FR"/>
        </w:rPr>
        <w:tab/>
      </w:r>
      <w:r w:rsidR="002261D3" w:rsidRPr="00360903">
        <w:rPr>
          <w:lang w:val="fr-FR"/>
        </w:rPr>
        <w:t>à collaborer et à échanger des données d'expérience relatives au métavers avec les autres membres de l'UIT</w:t>
      </w:r>
      <w:r w:rsidRPr="00360903">
        <w:rPr>
          <w:lang w:val="fr-FR"/>
        </w:rPr>
        <w:t>;</w:t>
      </w:r>
    </w:p>
    <w:p w14:paraId="5B301B6C" w14:textId="4715C12E" w:rsidR="00837C25" w:rsidRPr="00360903" w:rsidRDefault="00837C25" w:rsidP="00A77583">
      <w:pPr>
        <w:rPr>
          <w:lang w:val="fr-FR"/>
        </w:rPr>
      </w:pPr>
      <w:r w:rsidRPr="00360903">
        <w:rPr>
          <w:lang w:val="fr-FR"/>
        </w:rPr>
        <w:t>2</w:t>
      </w:r>
      <w:r w:rsidRPr="00360903">
        <w:rPr>
          <w:lang w:val="fr-FR"/>
        </w:rPr>
        <w:tab/>
      </w:r>
      <w:r w:rsidR="002261D3" w:rsidRPr="00360903">
        <w:rPr>
          <w:lang w:val="fr-FR"/>
        </w:rPr>
        <w:t xml:space="preserve">à échanger des données d'expérience concernant la mise en </w:t>
      </w:r>
      <w:r w:rsidR="00CD5929" w:rsidRPr="00360903">
        <w:rPr>
          <w:lang w:val="fr-FR"/>
        </w:rPr>
        <w:t>œ</w:t>
      </w:r>
      <w:r w:rsidR="002261D3" w:rsidRPr="00360903">
        <w:rPr>
          <w:lang w:val="fr-FR"/>
        </w:rPr>
        <w:t>uvre de la présente résolution au moyen de manifestations et d'outils pertinents de l'UIT, y compris des ateliers</w:t>
      </w:r>
      <w:r w:rsidRPr="00360903">
        <w:rPr>
          <w:lang w:val="fr-FR"/>
        </w:rPr>
        <w:t>;</w:t>
      </w:r>
    </w:p>
    <w:p w14:paraId="51D8D9D5" w14:textId="51D89B64" w:rsidR="00837C25" w:rsidRPr="00360903" w:rsidRDefault="00837C25" w:rsidP="00A77583">
      <w:pPr>
        <w:rPr>
          <w:lang w:val="fr-FR"/>
        </w:rPr>
      </w:pPr>
      <w:r w:rsidRPr="00360903">
        <w:rPr>
          <w:lang w:val="fr-FR"/>
        </w:rPr>
        <w:t>3</w:t>
      </w:r>
      <w:r w:rsidRPr="00360903">
        <w:rPr>
          <w:lang w:val="fr-FR"/>
        </w:rPr>
        <w:tab/>
        <w:t>à verser des contributions volontaires et à participer activement aux travaux de normalisation relatifs au métavers et aux activités connexes de l'UIT-T, de l'UIT-R et de l'UIT-D.</w:t>
      </w:r>
    </w:p>
    <w:p w14:paraId="39F5082F" w14:textId="3EA5D441" w:rsidR="0013628B" w:rsidRPr="00360903" w:rsidRDefault="00837C25" w:rsidP="00C673D1">
      <w:pPr>
        <w:pStyle w:val="Reasons"/>
        <w:rPr>
          <w:lang w:val="fr-FR"/>
        </w:rPr>
      </w:pPr>
      <w:r w:rsidRPr="00360903">
        <w:rPr>
          <w:b/>
          <w:bCs/>
          <w:lang w:val="fr-FR"/>
        </w:rPr>
        <w:t>Motifs</w:t>
      </w:r>
      <w:r w:rsidRPr="00360903">
        <w:rPr>
          <w:lang w:val="fr-FR"/>
        </w:rPr>
        <w:t>:</w:t>
      </w:r>
      <w:r w:rsidR="0013628B" w:rsidRPr="00360903">
        <w:rPr>
          <w:lang w:val="fr-FR"/>
        </w:rPr>
        <w:tab/>
        <w:t>Les technologies fondamentales sur lesquelles reposent les métavers, ainsi que leurs applications, continuent d'évoluer de façon dynamique et se répandent rapidement à travers le monde. Compte tenu des travaux concluants du Groupe FG-MV, il est proposé de consolider le rôle de chef de file mondial que joue l'UIT-T dans le domaine de la normalisation du métavers et d'adopter une nouvelle Résolution de l'AMNT qui permettra d'approfondir et d'intensifier les études sur les questions relatives au métavers durant la prochaine période d'études de l'UIT-T (2025-2028).</w:t>
      </w:r>
    </w:p>
    <w:p w14:paraId="0CA08234" w14:textId="77777777" w:rsidR="00837C25" w:rsidRPr="00360903" w:rsidRDefault="00837C25" w:rsidP="00A77583">
      <w:pPr>
        <w:jc w:val="center"/>
        <w:rPr>
          <w:lang w:val="fr-FR"/>
        </w:rPr>
      </w:pPr>
      <w:r w:rsidRPr="00360903">
        <w:rPr>
          <w:lang w:val="fr-FR"/>
        </w:rPr>
        <w:t>______________</w:t>
      </w:r>
    </w:p>
    <w:sectPr w:rsidR="00837C25" w:rsidRPr="00360903">
      <w:headerReference w:type="default" r:id="rId16"/>
      <w:footerReference w:type="even" r:id="rId1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AD550" w14:textId="77777777" w:rsidR="00C362A7" w:rsidRDefault="00C362A7">
      <w:r>
        <w:separator/>
      </w:r>
    </w:p>
  </w:endnote>
  <w:endnote w:type="continuationSeparator" w:id="0">
    <w:p w14:paraId="6BA5F777" w14:textId="77777777" w:rsidR="00C362A7" w:rsidRDefault="00C362A7">
      <w:r>
        <w:continuationSeparator/>
      </w:r>
    </w:p>
  </w:endnote>
  <w:endnote w:type="continuationNotice" w:id="1">
    <w:p w14:paraId="5A5D14E7"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56C6" w14:textId="77777777" w:rsidR="009D4900" w:rsidRDefault="009D4900">
    <w:pPr>
      <w:framePr w:wrap="around" w:vAnchor="text" w:hAnchor="margin" w:xAlign="right" w:y="1"/>
    </w:pPr>
    <w:r>
      <w:fldChar w:fldCharType="begin"/>
    </w:r>
    <w:r>
      <w:instrText xml:space="preserve">PAGE  </w:instrText>
    </w:r>
    <w:r>
      <w:fldChar w:fldCharType="end"/>
    </w:r>
  </w:p>
  <w:p w14:paraId="10FEDEAC" w14:textId="506986FF" w:rsidR="009D4900" w:rsidRPr="0041348E" w:rsidRDefault="009D4900">
    <w:pPr>
      <w:ind w:right="360"/>
      <w:rPr>
        <w:lang w:val="en-US"/>
      </w:rPr>
    </w:pPr>
    <w:r>
      <w:fldChar w:fldCharType="begin"/>
    </w:r>
    <w:r w:rsidRPr="0041348E">
      <w:rPr>
        <w:lang w:val="en-US"/>
      </w:rPr>
      <w:instrText xml:space="preserve"> FILENAME \p  \* MERGEFORMAT </w:instrText>
    </w:r>
    <w:r w:rsidR="00360903">
      <w:fldChar w:fldCharType="separate"/>
    </w:r>
    <w:r w:rsidR="00360903">
      <w:rPr>
        <w:noProof/>
        <w:lang w:val="en-US"/>
      </w:rPr>
      <w:t>P:\FRA\gDoc\TSB\AMNT-24\2401912F.docx</w:t>
    </w:r>
    <w:r>
      <w:fldChar w:fldCharType="end"/>
    </w:r>
    <w:r w:rsidRPr="0041348E">
      <w:rPr>
        <w:lang w:val="en-US"/>
      </w:rPr>
      <w:tab/>
    </w:r>
    <w:r>
      <w:fldChar w:fldCharType="begin"/>
    </w:r>
    <w:r>
      <w:instrText xml:space="preserve"> SAVEDATE \@ DD.MM.YY </w:instrText>
    </w:r>
    <w:r>
      <w:fldChar w:fldCharType="separate"/>
    </w:r>
    <w:r w:rsidR="00360903">
      <w:rPr>
        <w:noProof/>
      </w:rPr>
      <w:t>08.10.24</w:t>
    </w:r>
    <w:r>
      <w:fldChar w:fldCharType="end"/>
    </w:r>
    <w:r w:rsidRPr="0041348E">
      <w:rPr>
        <w:lang w:val="en-US"/>
      </w:rPr>
      <w:tab/>
    </w:r>
    <w:r>
      <w:fldChar w:fldCharType="begin"/>
    </w:r>
    <w:r>
      <w:instrText xml:space="preserve"> PRINTDATE \@ DD.MM.YY </w:instrText>
    </w:r>
    <w:r>
      <w:fldChar w:fldCharType="separate"/>
    </w:r>
    <w:r w:rsidR="00360903">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C645C" w14:textId="77777777" w:rsidR="00C362A7" w:rsidRDefault="00C362A7">
      <w:r>
        <w:rPr>
          <w:b/>
        </w:rPr>
        <w:t>_______________</w:t>
      </w:r>
    </w:p>
  </w:footnote>
  <w:footnote w:type="continuationSeparator" w:id="0">
    <w:p w14:paraId="1FF56443" w14:textId="77777777" w:rsidR="00C362A7" w:rsidRDefault="00C36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D7D1C"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-24/40(Add.10)-F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49002629">
    <w:abstractNumId w:val="8"/>
  </w:num>
  <w:num w:numId="2" w16cid:durableId="138838060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19965763">
    <w:abstractNumId w:val="9"/>
  </w:num>
  <w:num w:numId="4" w16cid:durableId="1957323838">
    <w:abstractNumId w:val="7"/>
  </w:num>
  <w:num w:numId="5" w16cid:durableId="667489521">
    <w:abstractNumId w:val="6"/>
  </w:num>
  <w:num w:numId="6" w16cid:durableId="1828669047">
    <w:abstractNumId w:val="5"/>
  </w:num>
  <w:num w:numId="7" w16cid:durableId="1055010594">
    <w:abstractNumId w:val="4"/>
  </w:num>
  <w:num w:numId="8" w16cid:durableId="757869011">
    <w:abstractNumId w:val="3"/>
  </w:num>
  <w:num w:numId="9" w16cid:durableId="18048181">
    <w:abstractNumId w:val="2"/>
  </w:num>
  <w:num w:numId="10" w16cid:durableId="885334827">
    <w:abstractNumId w:val="1"/>
  </w:num>
  <w:num w:numId="11" w16cid:durableId="974869864">
    <w:abstractNumId w:val="0"/>
  </w:num>
  <w:num w:numId="12" w16cid:durableId="1321277371">
    <w:abstractNumId w:val="12"/>
  </w:num>
  <w:num w:numId="13" w16cid:durableId="20629012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15A0"/>
    <w:rsid w:val="00086491"/>
    <w:rsid w:val="00091009"/>
    <w:rsid w:val="00091346"/>
    <w:rsid w:val="0009706C"/>
    <w:rsid w:val="000A4F50"/>
    <w:rsid w:val="000D0578"/>
    <w:rsid w:val="000D708A"/>
    <w:rsid w:val="000F57C3"/>
    <w:rsid w:val="000F73FF"/>
    <w:rsid w:val="001043FF"/>
    <w:rsid w:val="001059D5"/>
    <w:rsid w:val="00114CF7"/>
    <w:rsid w:val="00120650"/>
    <w:rsid w:val="00123B68"/>
    <w:rsid w:val="001243B8"/>
    <w:rsid w:val="00126F2E"/>
    <w:rsid w:val="001301F4"/>
    <w:rsid w:val="00130789"/>
    <w:rsid w:val="0013628B"/>
    <w:rsid w:val="00137CF6"/>
    <w:rsid w:val="00146F6F"/>
    <w:rsid w:val="00161472"/>
    <w:rsid w:val="00163E58"/>
    <w:rsid w:val="0017074E"/>
    <w:rsid w:val="00170A46"/>
    <w:rsid w:val="00182117"/>
    <w:rsid w:val="0018215C"/>
    <w:rsid w:val="00187BD9"/>
    <w:rsid w:val="00187C46"/>
    <w:rsid w:val="00190B55"/>
    <w:rsid w:val="001C3B5F"/>
    <w:rsid w:val="001D058F"/>
    <w:rsid w:val="001E6F73"/>
    <w:rsid w:val="002009EA"/>
    <w:rsid w:val="00202CA0"/>
    <w:rsid w:val="00216B6D"/>
    <w:rsid w:val="002261D3"/>
    <w:rsid w:val="00227927"/>
    <w:rsid w:val="00236EBA"/>
    <w:rsid w:val="00245127"/>
    <w:rsid w:val="00246525"/>
    <w:rsid w:val="00250AF4"/>
    <w:rsid w:val="00260B50"/>
    <w:rsid w:val="00263BE8"/>
    <w:rsid w:val="00267BFB"/>
    <w:rsid w:val="0027050E"/>
    <w:rsid w:val="00271316"/>
    <w:rsid w:val="002729A5"/>
    <w:rsid w:val="00275BB9"/>
    <w:rsid w:val="00290F83"/>
    <w:rsid w:val="002931F4"/>
    <w:rsid w:val="00293F9A"/>
    <w:rsid w:val="002957A7"/>
    <w:rsid w:val="002A1D23"/>
    <w:rsid w:val="002A5392"/>
    <w:rsid w:val="002B100E"/>
    <w:rsid w:val="002B2FEC"/>
    <w:rsid w:val="002C4DC4"/>
    <w:rsid w:val="002C6531"/>
    <w:rsid w:val="002D151C"/>
    <w:rsid w:val="002D58BE"/>
    <w:rsid w:val="002E3AEE"/>
    <w:rsid w:val="002E4FDD"/>
    <w:rsid w:val="002E561F"/>
    <w:rsid w:val="002E7D1F"/>
    <w:rsid w:val="002F2D0C"/>
    <w:rsid w:val="002F442D"/>
    <w:rsid w:val="00316351"/>
    <w:rsid w:val="00316B80"/>
    <w:rsid w:val="003251EA"/>
    <w:rsid w:val="00336B4E"/>
    <w:rsid w:val="0034635C"/>
    <w:rsid w:val="00360903"/>
    <w:rsid w:val="00373C97"/>
    <w:rsid w:val="00377BD3"/>
    <w:rsid w:val="00384088"/>
    <w:rsid w:val="003879F0"/>
    <w:rsid w:val="0039169B"/>
    <w:rsid w:val="00394470"/>
    <w:rsid w:val="003A453C"/>
    <w:rsid w:val="003A7F8C"/>
    <w:rsid w:val="003B09A1"/>
    <w:rsid w:val="003B532E"/>
    <w:rsid w:val="003C33B7"/>
    <w:rsid w:val="003D0F8B"/>
    <w:rsid w:val="003F020A"/>
    <w:rsid w:val="0041348E"/>
    <w:rsid w:val="004142ED"/>
    <w:rsid w:val="00420EDB"/>
    <w:rsid w:val="004373CA"/>
    <w:rsid w:val="004420C9"/>
    <w:rsid w:val="00443CCE"/>
    <w:rsid w:val="00454D12"/>
    <w:rsid w:val="00462D00"/>
    <w:rsid w:val="00465799"/>
    <w:rsid w:val="0047103F"/>
    <w:rsid w:val="00471EF9"/>
    <w:rsid w:val="00492075"/>
    <w:rsid w:val="004969AD"/>
    <w:rsid w:val="004A26C4"/>
    <w:rsid w:val="004B13CB"/>
    <w:rsid w:val="004B4AAE"/>
    <w:rsid w:val="004C6FBE"/>
    <w:rsid w:val="004D5D5C"/>
    <w:rsid w:val="004D6DFC"/>
    <w:rsid w:val="004E05BE"/>
    <w:rsid w:val="004E1569"/>
    <w:rsid w:val="004E268A"/>
    <w:rsid w:val="004E2B16"/>
    <w:rsid w:val="004F630A"/>
    <w:rsid w:val="004F7FBB"/>
    <w:rsid w:val="0050139F"/>
    <w:rsid w:val="00510C3D"/>
    <w:rsid w:val="00513862"/>
    <w:rsid w:val="00543D4E"/>
    <w:rsid w:val="0055140B"/>
    <w:rsid w:val="00553247"/>
    <w:rsid w:val="0056747D"/>
    <w:rsid w:val="00581B01"/>
    <w:rsid w:val="00587F8C"/>
    <w:rsid w:val="00595780"/>
    <w:rsid w:val="005964AB"/>
    <w:rsid w:val="005A1A6A"/>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0D71"/>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D6EE8"/>
    <w:rsid w:val="007E51BA"/>
    <w:rsid w:val="007E66EA"/>
    <w:rsid w:val="007F3C67"/>
    <w:rsid w:val="007F4179"/>
    <w:rsid w:val="007F6D49"/>
    <w:rsid w:val="00800972"/>
    <w:rsid w:val="00804475"/>
    <w:rsid w:val="00811633"/>
    <w:rsid w:val="00822B56"/>
    <w:rsid w:val="00837C25"/>
    <w:rsid w:val="00840F52"/>
    <w:rsid w:val="008508D8"/>
    <w:rsid w:val="00850EEE"/>
    <w:rsid w:val="00854D8D"/>
    <w:rsid w:val="00864CD2"/>
    <w:rsid w:val="00872FC8"/>
    <w:rsid w:val="00874789"/>
    <w:rsid w:val="008777B8"/>
    <w:rsid w:val="008845D0"/>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90FB9"/>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26ECF"/>
    <w:rsid w:val="00A30305"/>
    <w:rsid w:val="00A31D2D"/>
    <w:rsid w:val="00A36DF9"/>
    <w:rsid w:val="00A41A0D"/>
    <w:rsid w:val="00A41CB8"/>
    <w:rsid w:val="00A4600A"/>
    <w:rsid w:val="00A46C09"/>
    <w:rsid w:val="00A47EC0"/>
    <w:rsid w:val="00A52D1A"/>
    <w:rsid w:val="00A538A6"/>
    <w:rsid w:val="00A54C25"/>
    <w:rsid w:val="00A6160C"/>
    <w:rsid w:val="00A710E7"/>
    <w:rsid w:val="00A7372E"/>
    <w:rsid w:val="00A77583"/>
    <w:rsid w:val="00A82A73"/>
    <w:rsid w:val="00A87A0A"/>
    <w:rsid w:val="00A93B85"/>
    <w:rsid w:val="00A94576"/>
    <w:rsid w:val="00AA0B18"/>
    <w:rsid w:val="00AA253A"/>
    <w:rsid w:val="00AA6097"/>
    <w:rsid w:val="00AA666F"/>
    <w:rsid w:val="00AB1A96"/>
    <w:rsid w:val="00AB416A"/>
    <w:rsid w:val="00AB6A82"/>
    <w:rsid w:val="00AB7C5F"/>
    <w:rsid w:val="00AC30A6"/>
    <w:rsid w:val="00AC5B55"/>
    <w:rsid w:val="00AE0E1B"/>
    <w:rsid w:val="00B067BF"/>
    <w:rsid w:val="00B305D7"/>
    <w:rsid w:val="00B529AD"/>
    <w:rsid w:val="00B6324B"/>
    <w:rsid w:val="00B639E9"/>
    <w:rsid w:val="00B66385"/>
    <w:rsid w:val="00B66C2B"/>
    <w:rsid w:val="00B817CD"/>
    <w:rsid w:val="00B94AD0"/>
    <w:rsid w:val="00BA5265"/>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36D0D"/>
    <w:rsid w:val="00C479FD"/>
    <w:rsid w:val="00C50EF4"/>
    <w:rsid w:val="00C54517"/>
    <w:rsid w:val="00C64CD8"/>
    <w:rsid w:val="00C673D1"/>
    <w:rsid w:val="00C701BF"/>
    <w:rsid w:val="00C72D5C"/>
    <w:rsid w:val="00C77E1A"/>
    <w:rsid w:val="00C97C68"/>
    <w:rsid w:val="00CA1A47"/>
    <w:rsid w:val="00CC247A"/>
    <w:rsid w:val="00CC7DAF"/>
    <w:rsid w:val="00CD5929"/>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0B59"/>
    <w:rsid w:val="00D936BC"/>
    <w:rsid w:val="00D96530"/>
    <w:rsid w:val="00DA74D2"/>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45EB9"/>
    <w:rsid w:val="00E55816"/>
    <w:rsid w:val="00E55AEF"/>
    <w:rsid w:val="00E6117A"/>
    <w:rsid w:val="00E765C9"/>
    <w:rsid w:val="00E808DD"/>
    <w:rsid w:val="00E82677"/>
    <w:rsid w:val="00E870AC"/>
    <w:rsid w:val="00E94DBA"/>
    <w:rsid w:val="00E976C1"/>
    <w:rsid w:val="00EA12E5"/>
    <w:rsid w:val="00EB55C6"/>
    <w:rsid w:val="00EC242C"/>
    <w:rsid w:val="00EC7F04"/>
    <w:rsid w:val="00ED30BC"/>
    <w:rsid w:val="00EF6205"/>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131D"/>
    <w:rsid w:val="00FF228B"/>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5D0B68"/>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31aaec59-94db-46d9-93e2-7469915cc19c">DPM</DPM_x0020_Author>
    <DPM_x0020_File_x0020_name xmlns="31aaec59-94db-46d9-93e2-7469915cc19c">T22-WTSA.24-C-0040!A10!MSW-F</DPM_x0020_File_x0020_name>
    <DPM_x0020_Version xmlns="31aaec59-94db-46d9-93e2-7469915cc19c">DPM_2024.10.03.01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1aaec59-94db-46d9-93e2-7469915cc19c" targetNamespace="http://schemas.microsoft.com/office/2006/metadata/properties" ma:root="true" ma:fieldsID="d41af5c836d734370eb92e7ee5f83852" ns2:_="" ns3:_="">
    <xsd:import namespace="996b2e75-67fd-4955-a3b0-5ab9934cb50b"/>
    <xsd:import namespace="31aaec59-94db-46d9-93e2-7469915cc19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1aaec59-94db-46d9-93e2-7469915cc19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ec59-94db-46d9-93e2-7469915cc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1aaec59-94db-46d9-93e2-7469915cc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2126</Words>
  <Characters>12513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T22-WTSA.24-C-0040!A10!MSW-F</vt:lpstr>
    </vt:vector>
  </TitlesOfParts>
  <Manager>General Secretariat - Pool</Manager>
  <Company>International Telecommunication Union (ITU)</Company>
  <LinksUpToDate>false</LinksUpToDate>
  <CharactersWithSpaces>14610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T22-WTSA.24-C-0040!A10!MSW-F</dc:title>
  <dc:subject>World Telecommunication Standardization Assembly</dc:subject>
  <dc:creator>Documents Proposals Manager (DPM)</dc:creator>
  <cp:keywords>DPM_v2024.10.3.1_prod</cp:keywords>
  <dc:description>Template used by DPM and CPI for the WTSA-24</dc:description>
  <cp:lastModifiedBy>French</cp:lastModifiedBy>
  <cp:revision>7</cp:revision>
  <cp:lastPrinted>2016-06-06T07:49:00Z</cp:lastPrinted>
  <dcterms:created xsi:type="dcterms:W3CDTF">2024-10-08T09:44:00Z</dcterms:created>
  <dcterms:modified xsi:type="dcterms:W3CDTF">2024-10-08T11:11:00Z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