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7636E" w14:paraId="3C217A1D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42C2289C" w14:textId="77777777" w:rsidR="00D2023F" w:rsidRPr="0057636E" w:rsidRDefault="0018215C" w:rsidP="00EB5053">
            <w:pPr>
              <w:rPr>
                <w:lang w:val="es-ES"/>
              </w:rPr>
            </w:pPr>
            <w:r w:rsidRPr="0057636E">
              <w:rPr>
                <w:lang w:val="es-ES"/>
              </w:rPr>
              <w:drawing>
                <wp:inline distT="0" distB="0" distL="0" distR="0" wp14:anchorId="592472FD" wp14:editId="665C44A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D9CB46D" w14:textId="77777777" w:rsidR="00E610A4" w:rsidRPr="0057636E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57636E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6FC28593" w14:textId="77777777" w:rsidR="00D2023F" w:rsidRPr="0057636E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57636E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48B394A" w14:textId="77777777" w:rsidR="00D2023F" w:rsidRPr="0057636E" w:rsidRDefault="00D2023F" w:rsidP="00C30155">
            <w:pPr>
              <w:spacing w:before="0"/>
              <w:rPr>
                <w:lang w:val="es-ES"/>
              </w:rPr>
            </w:pPr>
            <w:r w:rsidRPr="0057636E">
              <w:rPr>
                <w:lang w:val="es-ES" w:eastAsia="zh-CN"/>
              </w:rPr>
              <w:drawing>
                <wp:inline distT="0" distB="0" distL="0" distR="0" wp14:anchorId="7CC388D8" wp14:editId="7465CB2A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7636E" w14:paraId="718B83C2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B568725" w14:textId="77777777" w:rsidR="00D2023F" w:rsidRPr="0057636E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57636E" w14:paraId="30C16B7D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04AAA48" w14:textId="77777777" w:rsidR="00931298" w:rsidRPr="0057636E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1B7348ED" w14:textId="77777777" w:rsidR="00931298" w:rsidRPr="0057636E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752D4D" w:rsidRPr="0057636E" w14:paraId="132DC1B7" w14:textId="77777777" w:rsidTr="008E0616">
        <w:trPr>
          <w:cantSplit/>
        </w:trPr>
        <w:tc>
          <w:tcPr>
            <w:tcW w:w="6237" w:type="dxa"/>
            <w:gridSpan w:val="2"/>
          </w:tcPr>
          <w:p w14:paraId="07456784" w14:textId="77777777" w:rsidR="00752D4D" w:rsidRPr="0057636E" w:rsidRDefault="006C136E" w:rsidP="00C30155">
            <w:pPr>
              <w:pStyle w:val="Committee"/>
              <w:rPr>
                <w:lang w:val="es-ES"/>
              </w:rPr>
            </w:pPr>
            <w:r w:rsidRPr="0057636E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0CA0E2E9" w14:textId="1E98D904" w:rsidR="00752D4D" w:rsidRPr="0057636E" w:rsidRDefault="006C136E" w:rsidP="00A52D1A">
            <w:pPr>
              <w:pStyle w:val="Docnumber"/>
              <w:rPr>
                <w:lang w:val="es-ES"/>
              </w:rPr>
            </w:pPr>
            <w:r w:rsidRPr="0057636E">
              <w:rPr>
                <w:lang w:val="es-ES"/>
              </w:rPr>
              <w:t>Addéndum 5 al</w:t>
            </w:r>
            <w:r w:rsidRPr="0057636E">
              <w:rPr>
                <w:lang w:val="es-ES"/>
              </w:rPr>
              <w:br/>
              <w:t>Documento 39</w:t>
            </w:r>
            <w:r w:rsidR="0057636E">
              <w:rPr>
                <w:lang w:val="es-ES"/>
              </w:rPr>
              <w:t>-S</w:t>
            </w:r>
          </w:p>
        </w:tc>
      </w:tr>
      <w:tr w:rsidR="00931298" w:rsidRPr="0057636E" w14:paraId="499F2629" w14:textId="77777777" w:rsidTr="008E0616">
        <w:trPr>
          <w:cantSplit/>
        </w:trPr>
        <w:tc>
          <w:tcPr>
            <w:tcW w:w="6237" w:type="dxa"/>
            <w:gridSpan w:val="2"/>
          </w:tcPr>
          <w:p w14:paraId="5D6D3E61" w14:textId="77777777" w:rsidR="00931298" w:rsidRPr="0057636E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42FEF238" w14:textId="77777777" w:rsidR="00931298" w:rsidRPr="0057636E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57636E">
              <w:rPr>
                <w:sz w:val="20"/>
                <w:szCs w:val="16"/>
                <w:lang w:val="es-ES"/>
              </w:rPr>
              <w:t>13 de septiembre de 2024</w:t>
            </w:r>
          </w:p>
        </w:tc>
      </w:tr>
      <w:tr w:rsidR="00931298" w:rsidRPr="0057636E" w14:paraId="175E4732" w14:textId="77777777" w:rsidTr="008E0616">
        <w:trPr>
          <w:cantSplit/>
        </w:trPr>
        <w:tc>
          <w:tcPr>
            <w:tcW w:w="6237" w:type="dxa"/>
            <w:gridSpan w:val="2"/>
          </w:tcPr>
          <w:p w14:paraId="7987C83C" w14:textId="77777777" w:rsidR="00931298" w:rsidRPr="0057636E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6919A1BA" w14:textId="77777777" w:rsidR="00931298" w:rsidRPr="0057636E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57636E">
              <w:rPr>
                <w:sz w:val="20"/>
                <w:szCs w:val="16"/>
                <w:lang w:val="es-ES"/>
              </w:rPr>
              <w:t>Original: inglés</w:t>
            </w:r>
          </w:p>
        </w:tc>
      </w:tr>
      <w:tr w:rsidR="00931298" w:rsidRPr="0057636E" w14:paraId="5FEC71D2" w14:textId="77777777" w:rsidTr="008E0616">
        <w:trPr>
          <w:cantSplit/>
        </w:trPr>
        <w:tc>
          <w:tcPr>
            <w:tcW w:w="9811" w:type="dxa"/>
            <w:gridSpan w:val="4"/>
          </w:tcPr>
          <w:p w14:paraId="16DE0EDA" w14:textId="77777777" w:rsidR="00931298" w:rsidRPr="0057636E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931298" w:rsidRPr="0057636E" w14:paraId="427F6C13" w14:textId="77777777" w:rsidTr="008E0616">
        <w:trPr>
          <w:cantSplit/>
        </w:trPr>
        <w:tc>
          <w:tcPr>
            <w:tcW w:w="9811" w:type="dxa"/>
            <w:gridSpan w:val="4"/>
          </w:tcPr>
          <w:p w14:paraId="0CD78113" w14:textId="11BEC85E" w:rsidR="00931298" w:rsidRPr="0057636E" w:rsidRDefault="006C136E" w:rsidP="00C30155">
            <w:pPr>
              <w:pStyle w:val="Source"/>
              <w:rPr>
                <w:lang w:val="es-ES"/>
              </w:rPr>
            </w:pPr>
            <w:r w:rsidRPr="0057636E">
              <w:rPr>
                <w:lang w:val="es-ES"/>
              </w:rPr>
              <w:t>Estados Miembros de la Comisión Interamericana</w:t>
            </w:r>
            <w:r w:rsidR="00132A0B" w:rsidRPr="0057636E">
              <w:rPr>
                <w:lang w:val="es-ES"/>
              </w:rPr>
              <w:br/>
            </w:r>
            <w:r w:rsidRPr="0057636E">
              <w:rPr>
                <w:lang w:val="es-ES"/>
              </w:rPr>
              <w:t>de Telecomunicaciones (CITEL)</w:t>
            </w:r>
          </w:p>
        </w:tc>
      </w:tr>
      <w:tr w:rsidR="00931298" w:rsidRPr="0057636E" w14:paraId="22F0CB1A" w14:textId="77777777" w:rsidTr="008E0616">
        <w:trPr>
          <w:cantSplit/>
        </w:trPr>
        <w:tc>
          <w:tcPr>
            <w:tcW w:w="9811" w:type="dxa"/>
            <w:gridSpan w:val="4"/>
          </w:tcPr>
          <w:p w14:paraId="2D61FB41" w14:textId="6592FC20" w:rsidR="00931298" w:rsidRPr="0057636E" w:rsidRDefault="00C85D58" w:rsidP="00C30155">
            <w:pPr>
              <w:pStyle w:val="Title1"/>
              <w:rPr>
                <w:lang w:val="es-ES"/>
              </w:rPr>
            </w:pPr>
            <w:r w:rsidRPr="0057636E">
              <w:rPr>
                <w:lang w:val="es-ES"/>
              </w:rPr>
              <w:t>PROPUESTA DE MANTENIMIENTO DE LA RESOLUCIÓN</w:t>
            </w:r>
            <w:r w:rsidR="006C136E" w:rsidRPr="0057636E">
              <w:rPr>
                <w:lang w:val="es-ES"/>
              </w:rPr>
              <w:t xml:space="preserve"> 95</w:t>
            </w:r>
          </w:p>
        </w:tc>
      </w:tr>
      <w:tr w:rsidR="00657CDA" w:rsidRPr="0057636E" w14:paraId="10FDA72D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0AAC59CC" w14:textId="77777777" w:rsidR="00657CDA" w:rsidRPr="0057636E" w:rsidRDefault="00657CDA" w:rsidP="006C136E">
            <w:pPr>
              <w:pStyle w:val="Title2"/>
              <w:spacing w:before="0"/>
              <w:rPr>
                <w:lang w:val="es-ES"/>
              </w:rPr>
            </w:pPr>
          </w:p>
        </w:tc>
      </w:tr>
      <w:tr w:rsidR="00657CDA" w:rsidRPr="0057636E" w14:paraId="0A332848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6E03286F" w14:textId="77777777" w:rsidR="00657CDA" w:rsidRPr="0057636E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679D12AB" w14:textId="77777777" w:rsidR="00931298" w:rsidRPr="0057636E" w:rsidRDefault="00931298" w:rsidP="00931298">
      <w:pPr>
        <w:rPr>
          <w:lang w:val="es-E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57636E" w14:paraId="03096B0D" w14:textId="77777777" w:rsidTr="00C85D58">
        <w:trPr>
          <w:cantSplit/>
        </w:trPr>
        <w:tc>
          <w:tcPr>
            <w:tcW w:w="1885" w:type="dxa"/>
          </w:tcPr>
          <w:p w14:paraId="0FE21306" w14:textId="77777777" w:rsidR="00931298" w:rsidRPr="0057636E" w:rsidRDefault="00E610A4" w:rsidP="00C30155">
            <w:pPr>
              <w:rPr>
                <w:lang w:val="es-ES"/>
              </w:rPr>
            </w:pPr>
            <w:r w:rsidRPr="0057636E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754" w:type="dxa"/>
            <w:gridSpan w:val="2"/>
          </w:tcPr>
          <w:p w14:paraId="6F008C0B" w14:textId="6C2C25D8" w:rsidR="00931298" w:rsidRPr="0057636E" w:rsidRDefault="00C85D58" w:rsidP="00C30155">
            <w:pPr>
              <w:pStyle w:val="Abstract"/>
              <w:rPr>
                <w:lang w:val="es-ES"/>
              </w:rPr>
            </w:pPr>
            <w:r w:rsidRPr="0057636E">
              <w:rPr>
                <w:color w:val="000000" w:themeColor="text1"/>
                <w:lang w:val="es-ES"/>
              </w:rPr>
              <w:t xml:space="preserve">La CITEL propone que en la AMNT-24 </w:t>
            </w:r>
            <w:r w:rsidR="00597A15" w:rsidRPr="0057636E">
              <w:rPr>
                <w:color w:val="000000" w:themeColor="text1"/>
                <w:lang w:val="es-ES"/>
              </w:rPr>
              <w:t>"</w:t>
            </w:r>
            <w:r w:rsidRPr="0057636E">
              <w:rPr>
                <w:color w:val="000000" w:themeColor="text1"/>
                <w:lang w:val="es-ES"/>
              </w:rPr>
              <w:t xml:space="preserve">no se </w:t>
            </w:r>
            <w:r w:rsidR="006A3A12" w:rsidRPr="0057636E">
              <w:rPr>
                <w:color w:val="000000" w:themeColor="text1"/>
                <w:lang w:val="es-ES"/>
              </w:rPr>
              <w:t>modifique</w:t>
            </w:r>
            <w:r w:rsidRPr="0057636E">
              <w:rPr>
                <w:color w:val="000000" w:themeColor="text1"/>
                <w:lang w:val="es-ES"/>
              </w:rPr>
              <w:t xml:space="preserve"> (NOC)</w:t>
            </w:r>
            <w:r w:rsidR="00597A15" w:rsidRPr="0057636E">
              <w:rPr>
                <w:color w:val="000000" w:themeColor="text1"/>
                <w:lang w:val="es-ES"/>
              </w:rPr>
              <w:t>"</w:t>
            </w:r>
            <w:r w:rsidRPr="0057636E">
              <w:rPr>
                <w:color w:val="000000" w:themeColor="text1"/>
                <w:lang w:val="es-ES"/>
              </w:rPr>
              <w:t xml:space="preserve"> la Resolución 95</w:t>
            </w:r>
          </w:p>
        </w:tc>
      </w:tr>
      <w:tr w:rsidR="00C85D58" w:rsidRPr="0057636E" w14:paraId="20414305" w14:textId="77777777" w:rsidTr="00C85D58">
        <w:trPr>
          <w:cantSplit/>
        </w:trPr>
        <w:tc>
          <w:tcPr>
            <w:tcW w:w="1885" w:type="dxa"/>
          </w:tcPr>
          <w:p w14:paraId="1B5C7850" w14:textId="77777777" w:rsidR="00C85D58" w:rsidRPr="0057636E" w:rsidRDefault="00C85D58" w:rsidP="00C85D58">
            <w:pPr>
              <w:rPr>
                <w:b/>
                <w:bCs/>
                <w:szCs w:val="24"/>
                <w:lang w:val="es-ES"/>
              </w:rPr>
            </w:pPr>
            <w:r w:rsidRPr="0057636E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3877" w:type="dxa"/>
          </w:tcPr>
          <w:p w14:paraId="45805D72" w14:textId="1CE93C04" w:rsidR="00C85D58" w:rsidRPr="0057636E" w:rsidRDefault="00597A15" w:rsidP="00C85D58">
            <w:pPr>
              <w:rPr>
                <w:lang w:val="es-ES"/>
              </w:rPr>
            </w:pPr>
            <w:r w:rsidRPr="0057636E">
              <w:rPr>
                <w:lang w:val="es-ES"/>
              </w:rPr>
              <w:t>María</w:t>
            </w:r>
            <w:r w:rsidR="00C85D58" w:rsidRPr="0057636E">
              <w:rPr>
                <w:lang w:val="es-ES"/>
              </w:rPr>
              <w:t xml:space="preserve"> Celeste Fuenmayor</w:t>
            </w:r>
            <w:r w:rsidR="00C85D58" w:rsidRPr="0057636E">
              <w:rPr>
                <w:lang w:val="es-ES"/>
              </w:rPr>
              <w:br/>
              <w:t>Comisión Interamericana de Telecomunicaciones</w:t>
            </w:r>
          </w:p>
        </w:tc>
        <w:tc>
          <w:tcPr>
            <w:tcW w:w="3877" w:type="dxa"/>
          </w:tcPr>
          <w:p w14:paraId="688DBAB9" w14:textId="55F2A38C" w:rsidR="00C85D58" w:rsidRPr="0057636E" w:rsidRDefault="00C85D58" w:rsidP="00C85D58">
            <w:pPr>
              <w:rPr>
                <w:lang w:val="es-ES"/>
              </w:rPr>
            </w:pPr>
            <w:r w:rsidRPr="0057636E">
              <w:rPr>
                <w:lang w:val="es-ES"/>
              </w:rPr>
              <w:t xml:space="preserve">Correo-e: </w:t>
            </w:r>
            <w:hyperlink r:id="rId14" w:tgtFrame="_blank" w:history="1">
              <w:r w:rsidRPr="0057636E">
                <w:rPr>
                  <w:rStyle w:val="Hyperlink"/>
                  <w:lang w:val="es-ES"/>
                </w:rPr>
                <w:t>mfuenmayor@oas.org</w:t>
              </w:r>
            </w:hyperlink>
            <w:r w:rsidRPr="0057636E">
              <w:rPr>
                <w:lang w:val="es-ES"/>
              </w:rPr>
              <w:t xml:space="preserve"> </w:t>
            </w:r>
          </w:p>
        </w:tc>
      </w:tr>
    </w:tbl>
    <w:p w14:paraId="02B4DB4E" w14:textId="77777777" w:rsidR="00A52D1A" w:rsidRPr="0057636E" w:rsidRDefault="00A52D1A" w:rsidP="00A52D1A">
      <w:pPr>
        <w:rPr>
          <w:lang w:val="es-ES"/>
        </w:rPr>
      </w:pPr>
    </w:p>
    <w:p w14:paraId="6F4DF38F" w14:textId="77777777" w:rsidR="009F4801" w:rsidRPr="0057636E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57636E">
        <w:rPr>
          <w:lang w:val="es-ES"/>
        </w:rPr>
        <w:br w:type="page"/>
      </w:r>
    </w:p>
    <w:p w14:paraId="4E3BFC2C" w14:textId="77777777" w:rsidR="00FC7D42" w:rsidRPr="0057636E" w:rsidRDefault="009E2302">
      <w:pPr>
        <w:pStyle w:val="Proposal"/>
        <w:rPr>
          <w:lang w:val="es-ES"/>
        </w:rPr>
      </w:pPr>
      <w:r w:rsidRPr="0057636E">
        <w:rPr>
          <w:u w:val="single"/>
          <w:lang w:val="es-ES"/>
        </w:rPr>
        <w:lastRenderedPageBreak/>
        <w:t>NOC</w:t>
      </w:r>
      <w:r w:rsidRPr="0057636E">
        <w:rPr>
          <w:lang w:val="es-ES"/>
        </w:rPr>
        <w:tab/>
        <w:t>IAP/39A5/1</w:t>
      </w:r>
    </w:p>
    <w:p w14:paraId="6E45F3DB" w14:textId="77777777" w:rsidR="00132A0B" w:rsidRPr="0057636E" w:rsidRDefault="009E2302" w:rsidP="00E93AA0">
      <w:pPr>
        <w:pStyle w:val="ResNo"/>
        <w:rPr>
          <w:lang w:val="es-ES"/>
        </w:rPr>
      </w:pPr>
      <w:bookmarkStart w:id="0" w:name="_Toc111990562"/>
      <w:r w:rsidRPr="0057636E">
        <w:rPr>
          <w:lang w:val="es-ES"/>
        </w:rPr>
        <w:t>RESOLUCI</w:t>
      </w:r>
      <w:r w:rsidRPr="0057636E">
        <w:rPr>
          <w:rFonts w:asciiTheme="majorBidi" w:hAnsiTheme="majorBidi" w:cstheme="majorBidi"/>
          <w:lang w:val="es-ES"/>
        </w:rPr>
        <w:t>Ó</w:t>
      </w:r>
      <w:r w:rsidRPr="0057636E">
        <w:rPr>
          <w:lang w:val="es-ES"/>
        </w:rPr>
        <w:t xml:space="preserve">N </w:t>
      </w:r>
      <w:r w:rsidRPr="0057636E">
        <w:rPr>
          <w:rStyle w:val="href"/>
          <w:lang w:val="es-ES"/>
        </w:rPr>
        <w:t>95</w:t>
      </w:r>
      <w:r w:rsidRPr="0057636E">
        <w:rPr>
          <w:lang w:val="es-ES"/>
        </w:rPr>
        <w:t xml:space="preserve"> (Rev. Ginebra, 2022)</w:t>
      </w:r>
      <w:bookmarkEnd w:id="0"/>
    </w:p>
    <w:p w14:paraId="0CA90A87" w14:textId="77777777" w:rsidR="00132A0B" w:rsidRPr="0057636E" w:rsidRDefault="009E2302" w:rsidP="00E93AA0">
      <w:pPr>
        <w:pStyle w:val="Restitle"/>
        <w:rPr>
          <w:lang w:val="es-ES"/>
        </w:rPr>
      </w:pPr>
      <w:bookmarkStart w:id="1" w:name="_Toc111990563"/>
      <w:r w:rsidRPr="0057636E">
        <w:rPr>
          <w:lang w:val="es-ES"/>
        </w:rPr>
        <w:t>Iniciativas del Sector de Normalización de las Telecomunicaciones</w:t>
      </w:r>
      <w:r w:rsidRPr="0057636E">
        <w:rPr>
          <w:lang w:val="es-ES"/>
        </w:rPr>
        <w:br/>
        <w:t>de la UIT para sensibilizar sobre prácticas idóneas y políticas</w:t>
      </w:r>
      <w:r w:rsidRPr="0057636E">
        <w:rPr>
          <w:lang w:val="es-ES"/>
        </w:rPr>
        <w:br/>
        <w:t>relacionadas con la calidad de servicio</w:t>
      </w:r>
      <w:bookmarkEnd w:id="1"/>
    </w:p>
    <w:p w14:paraId="4C059B28" w14:textId="77777777" w:rsidR="00132A0B" w:rsidRPr="0057636E" w:rsidRDefault="009E2302" w:rsidP="00E93AA0">
      <w:pPr>
        <w:pStyle w:val="Resref"/>
        <w:rPr>
          <w:lang w:val="es-ES"/>
        </w:rPr>
      </w:pPr>
      <w:r w:rsidRPr="0057636E">
        <w:rPr>
          <w:lang w:val="es-ES"/>
        </w:rPr>
        <w:t>(Hammamet, 2016; Ginebra, 2022)</w:t>
      </w:r>
    </w:p>
    <w:p w14:paraId="0E1E3DA1" w14:textId="77777777" w:rsidR="00132A0B" w:rsidRPr="0057636E" w:rsidRDefault="009E2302" w:rsidP="00E93AA0">
      <w:pPr>
        <w:pStyle w:val="Normalaftertitle0"/>
        <w:rPr>
          <w:lang w:val="es-ES" w:eastAsia="es-ES"/>
        </w:rPr>
      </w:pPr>
      <w:r w:rsidRPr="0057636E">
        <w:rPr>
          <w:lang w:val="es-ES" w:eastAsia="es-ES"/>
        </w:rPr>
        <w:t>La Asamblea Mundial de Normalización de las Telecomunicaciones (Ginebra</w:t>
      </w:r>
      <w:r w:rsidRPr="0057636E">
        <w:rPr>
          <w:caps/>
          <w:lang w:val="es-ES" w:eastAsia="es-ES"/>
        </w:rPr>
        <w:t>, 2022</w:t>
      </w:r>
      <w:r w:rsidRPr="0057636E">
        <w:rPr>
          <w:lang w:val="es-ES" w:eastAsia="es-ES"/>
        </w:rPr>
        <w:t>),</w:t>
      </w:r>
    </w:p>
    <w:p w14:paraId="6702BC54" w14:textId="6F622AB3" w:rsidR="0044216D" w:rsidRPr="0057636E" w:rsidRDefault="009E2302" w:rsidP="0057636E">
      <w:pPr>
        <w:pStyle w:val="Reasons"/>
        <w:rPr>
          <w:lang w:val="es-ES"/>
        </w:rPr>
      </w:pPr>
      <w:r w:rsidRPr="0057636E">
        <w:rPr>
          <w:b/>
          <w:bCs/>
          <w:lang w:val="es-ES"/>
        </w:rPr>
        <w:t>Motivos:</w:t>
      </w:r>
      <w:r w:rsidRPr="0057636E">
        <w:rPr>
          <w:lang w:val="es-ES"/>
        </w:rPr>
        <w:tab/>
      </w:r>
      <w:r w:rsidR="00C85D58" w:rsidRPr="0057636E">
        <w:rPr>
          <w:lang w:val="es-ES"/>
        </w:rPr>
        <w:t xml:space="preserve">La CITEL propone que en la AMNT-24 </w:t>
      </w:r>
      <w:r w:rsidR="00132A0B" w:rsidRPr="0057636E">
        <w:rPr>
          <w:lang w:val="es-ES"/>
        </w:rPr>
        <w:t>"</w:t>
      </w:r>
      <w:r w:rsidR="00C85D58" w:rsidRPr="0057636E">
        <w:rPr>
          <w:lang w:val="es-ES"/>
        </w:rPr>
        <w:t xml:space="preserve">no se </w:t>
      </w:r>
      <w:r w:rsidR="008F451F" w:rsidRPr="0057636E">
        <w:rPr>
          <w:lang w:val="es-ES"/>
        </w:rPr>
        <w:t>modifique</w:t>
      </w:r>
      <w:r w:rsidR="00C85D58" w:rsidRPr="0057636E">
        <w:rPr>
          <w:lang w:val="es-ES"/>
        </w:rPr>
        <w:t xml:space="preserve"> (NOC)</w:t>
      </w:r>
      <w:r w:rsidR="00132A0B" w:rsidRPr="0057636E">
        <w:rPr>
          <w:lang w:val="es-ES"/>
        </w:rPr>
        <w:t>"</w:t>
      </w:r>
      <w:r w:rsidR="00C85D58" w:rsidRPr="0057636E">
        <w:rPr>
          <w:lang w:val="es-ES"/>
        </w:rPr>
        <w:t xml:space="preserve"> la Resolución</w:t>
      </w:r>
      <w:r w:rsidR="00132A0B" w:rsidRPr="0057636E">
        <w:rPr>
          <w:lang w:val="es-ES"/>
        </w:rPr>
        <w:t> </w:t>
      </w:r>
      <w:r w:rsidR="00C85D58" w:rsidRPr="0057636E">
        <w:rPr>
          <w:lang w:val="es-ES"/>
        </w:rPr>
        <w:t>95 de la AMNT</w:t>
      </w:r>
      <w:r w:rsidR="008F451F" w:rsidRPr="0057636E">
        <w:rPr>
          <w:lang w:val="es-ES"/>
        </w:rPr>
        <w:t>. C</w:t>
      </w:r>
      <w:r w:rsidR="00C85D58" w:rsidRPr="0057636E">
        <w:rPr>
          <w:lang w:val="es-ES"/>
        </w:rPr>
        <w:t xml:space="preserve">onsideramos que la versión actual de esta Resolución cumple plenamente con su finalidad y establece un marco adecuado para promover la calidad del servicio en las telecomunicaciones tomando en consideración la importancia de facilitar información transparente al usuario. La CITEL </w:t>
      </w:r>
      <w:r w:rsidR="008F451F" w:rsidRPr="0057636E">
        <w:rPr>
          <w:lang w:val="es-ES"/>
        </w:rPr>
        <w:t>estima</w:t>
      </w:r>
      <w:r w:rsidR="00C85D58" w:rsidRPr="0057636E">
        <w:rPr>
          <w:lang w:val="es-ES"/>
        </w:rPr>
        <w:t xml:space="preserve"> que esta Resolución permitirá garantizar la continuidad de </w:t>
      </w:r>
      <w:r w:rsidR="006A3A12" w:rsidRPr="0057636E">
        <w:rPr>
          <w:lang w:val="es-ES"/>
        </w:rPr>
        <w:t xml:space="preserve">las </w:t>
      </w:r>
      <w:r w:rsidR="00C85D58" w:rsidRPr="0057636E">
        <w:rPr>
          <w:lang w:val="es-ES"/>
        </w:rPr>
        <w:t>iniciativas que promueven la mejora constante de los servicios de telecomunicaciones</w:t>
      </w:r>
      <w:r w:rsidR="008F451F" w:rsidRPr="0057636E">
        <w:rPr>
          <w:lang w:val="es-ES"/>
        </w:rPr>
        <w:t>.</w:t>
      </w:r>
    </w:p>
    <w:p w14:paraId="6EFFC352" w14:textId="77777777" w:rsidR="0044216D" w:rsidRPr="0057636E" w:rsidRDefault="0044216D">
      <w:pPr>
        <w:jc w:val="center"/>
        <w:rPr>
          <w:lang w:val="es-ES"/>
        </w:rPr>
      </w:pPr>
      <w:r w:rsidRPr="0057636E">
        <w:rPr>
          <w:lang w:val="es-ES"/>
        </w:rPr>
        <w:t>______________</w:t>
      </w:r>
    </w:p>
    <w:sectPr w:rsidR="0044216D" w:rsidRPr="0057636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0D11F" w14:textId="77777777" w:rsidR="004F148B" w:rsidRDefault="004F148B">
      <w:r>
        <w:separator/>
      </w:r>
    </w:p>
  </w:endnote>
  <w:endnote w:type="continuationSeparator" w:id="0">
    <w:p w14:paraId="181A2A03" w14:textId="77777777" w:rsidR="004F148B" w:rsidRDefault="004F148B">
      <w:r>
        <w:continuationSeparator/>
      </w:r>
    </w:p>
  </w:endnote>
  <w:endnote w:type="continuationNotice" w:id="1">
    <w:p w14:paraId="761D3437" w14:textId="77777777" w:rsidR="004F148B" w:rsidRDefault="004F148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400E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B414309" w14:textId="7E7067D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2236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7073" w14:textId="77777777" w:rsidR="00EC34AB" w:rsidRDefault="00EC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F298" w14:textId="77777777" w:rsidR="00EC34AB" w:rsidRDefault="00EC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2FF0" w14:textId="77777777" w:rsidR="004F148B" w:rsidRDefault="004F148B">
      <w:r>
        <w:rPr>
          <w:b/>
        </w:rPr>
        <w:t>_______________</w:t>
      </w:r>
    </w:p>
  </w:footnote>
  <w:footnote w:type="continuationSeparator" w:id="0">
    <w:p w14:paraId="3D8E2D9E" w14:textId="77777777" w:rsidR="004F148B" w:rsidRDefault="004F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73F8" w14:textId="77777777" w:rsidR="00EC34AB" w:rsidRDefault="00EC3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9CB2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WTSA-24/39(Add.5)-</w:t>
    </w:r>
    <w:r w:rsidR="00EC34AB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1D85" w14:textId="77777777" w:rsidR="00EC34AB" w:rsidRDefault="00EC3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2A0B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37D6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16B80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216D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1EF9"/>
    <w:rsid w:val="004E268A"/>
    <w:rsid w:val="004E2B16"/>
    <w:rsid w:val="004F148B"/>
    <w:rsid w:val="004F630A"/>
    <w:rsid w:val="0050139F"/>
    <w:rsid w:val="00510C3D"/>
    <w:rsid w:val="00524283"/>
    <w:rsid w:val="0055140B"/>
    <w:rsid w:val="00553247"/>
    <w:rsid w:val="0056378B"/>
    <w:rsid w:val="0056747D"/>
    <w:rsid w:val="0057636E"/>
    <w:rsid w:val="00581B01"/>
    <w:rsid w:val="00587F8C"/>
    <w:rsid w:val="00590E6A"/>
    <w:rsid w:val="00595780"/>
    <w:rsid w:val="005964AB"/>
    <w:rsid w:val="00597A15"/>
    <w:rsid w:val="005A1A6A"/>
    <w:rsid w:val="005C099A"/>
    <w:rsid w:val="005C31A5"/>
    <w:rsid w:val="005D01EB"/>
    <w:rsid w:val="005D431B"/>
    <w:rsid w:val="005D4D62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3A12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7C4B"/>
    <w:rsid w:val="007A3309"/>
    <w:rsid w:val="007B55A0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34B9F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451F"/>
    <w:rsid w:val="008F7D1E"/>
    <w:rsid w:val="00902236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B2216"/>
    <w:rsid w:val="009B59BB"/>
    <w:rsid w:val="009B7300"/>
    <w:rsid w:val="009C56E5"/>
    <w:rsid w:val="009D1B93"/>
    <w:rsid w:val="009D4900"/>
    <w:rsid w:val="009D6289"/>
    <w:rsid w:val="009E1967"/>
    <w:rsid w:val="009E2302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36D53"/>
    <w:rsid w:val="00B43B1B"/>
    <w:rsid w:val="00B529AD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414E"/>
    <w:rsid w:val="00BB6222"/>
    <w:rsid w:val="00BC2FB6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85D58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053"/>
    <w:rsid w:val="00EB55C6"/>
    <w:rsid w:val="00EC34AB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C7D42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64F67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deea9da-fc2c-4d60-b2f3-4124d079bd99" targetNamespace="http://schemas.microsoft.com/office/2006/metadata/properties" ma:root="true" ma:fieldsID="d41af5c836d734370eb92e7ee5f83852" ns2:_="" ns3:_="">
    <xsd:import namespace="996b2e75-67fd-4955-a3b0-5ab9934cb50b"/>
    <xsd:import namespace="1deea9da-fc2c-4d60-b2f3-4124d079bd9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a9da-fc2c-4d60-b2f3-4124d079bd9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deea9da-fc2c-4d60-b2f3-4124d079bd99">DPM</DPM_x0020_Author>
    <DPM_x0020_File_x0020_name xmlns="1deea9da-fc2c-4d60-b2f3-4124d079bd99">T22-WTSA.24-C-0039!A5!MSW-S</DPM_x0020_File_x0020_name>
    <DPM_x0020_Version xmlns="1deea9da-fc2c-4d60-b2f3-4124d079bd99">DPM_2022.05.12.01</DPM_x0020_Vers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deea9da-fc2c-4d60-b2f3-4124d079b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1deea9da-fc2c-4d60-b2f3-4124d079bd99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T22-WTSA.24-C-0039!A5!MSW-S</vt:lpstr>
    </vt:vector>
  </TitlesOfParts>
  <Manager>General Secretariat - Pool</Manager>
  <Company>International Telecommunication Union (ITU)</Company>
  <LinksUpToDate>false</LinksUpToDate>
  <CharactersWithSpaces>1477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T22-WTSA.24-C-0039!A5!MSW-S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</cp:lastModifiedBy>
  <cp:revision>2</cp:revision>
  <cp:lastPrinted>2016-06-06T07:49:00Z</cp:lastPrinted>
  <dcterms:created xsi:type="dcterms:W3CDTF">2024-09-23T14:08:00Z</dcterms:created>
  <dcterms:modified xsi:type="dcterms:W3CDTF">2024-09-23T14:08:00Z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