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C7FD6" w14:paraId="398410B8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5CB1B4ED" w14:textId="77777777" w:rsidR="00D2023F" w:rsidRPr="005C7FD6" w:rsidRDefault="0018215C" w:rsidP="00EB5053">
            <w:pPr>
              <w:rPr>
                <w:lang w:val="es-ES_tradnl"/>
              </w:rPr>
            </w:pPr>
            <w:r w:rsidRPr="005C7FD6">
              <w:rPr>
                <w:noProof/>
                <w:lang w:val="es-ES_tradnl"/>
              </w:rPr>
              <w:drawing>
                <wp:inline distT="0" distB="0" distL="0" distR="0" wp14:anchorId="4BD59596" wp14:editId="5BD87DDF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876C622" w14:textId="77777777" w:rsidR="00E610A4" w:rsidRPr="005C7FD6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</w:pPr>
            <w:r w:rsidRPr="005C7FD6"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  <w:t>Asamblea Mundial de Normalización de las Telecomunicaciones (AMNT-24)</w:t>
            </w:r>
          </w:p>
          <w:p w14:paraId="6F9BDE9D" w14:textId="77777777" w:rsidR="00D2023F" w:rsidRPr="005C7FD6" w:rsidRDefault="00E610A4" w:rsidP="00E610A4">
            <w:pPr>
              <w:pStyle w:val="TopHeader"/>
              <w:spacing w:before="0"/>
              <w:rPr>
                <w:lang w:val="es-ES_tradnl"/>
              </w:rPr>
            </w:pPr>
            <w:r w:rsidRPr="005C7FD6">
              <w:rPr>
                <w:sz w:val="18"/>
                <w:szCs w:val="18"/>
                <w:lang w:val="es-ES_tradnl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9B82C30" w14:textId="77777777" w:rsidR="00D2023F" w:rsidRPr="005C7FD6" w:rsidRDefault="00D2023F" w:rsidP="00C30155">
            <w:pPr>
              <w:spacing w:before="0"/>
              <w:rPr>
                <w:lang w:val="es-ES_tradnl"/>
              </w:rPr>
            </w:pPr>
            <w:r w:rsidRPr="005C7FD6">
              <w:rPr>
                <w:noProof/>
                <w:lang w:val="es-ES_tradnl" w:eastAsia="zh-CN"/>
              </w:rPr>
              <w:drawing>
                <wp:inline distT="0" distB="0" distL="0" distR="0" wp14:anchorId="1B61C0CF" wp14:editId="102E952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C7FD6" w14:paraId="0F7ECCD9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1A82302C" w14:textId="77777777" w:rsidR="00D2023F" w:rsidRPr="005C7FD6" w:rsidRDefault="00D2023F" w:rsidP="00C30155">
            <w:pPr>
              <w:spacing w:before="0"/>
              <w:rPr>
                <w:lang w:val="es-ES_tradnl"/>
              </w:rPr>
            </w:pPr>
          </w:p>
        </w:tc>
      </w:tr>
      <w:tr w:rsidR="00931298" w:rsidRPr="005C7FD6" w14:paraId="2D85C3F3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E85518A" w14:textId="77777777" w:rsidR="00931298" w:rsidRPr="005C7FD6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2B95D128" w14:textId="77777777" w:rsidR="00931298" w:rsidRPr="005C7FD6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752D4D" w:rsidRPr="005C7FD6" w14:paraId="1E9F5AC1" w14:textId="77777777" w:rsidTr="008E0616">
        <w:trPr>
          <w:cantSplit/>
        </w:trPr>
        <w:tc>
          <w:tcPr>
            <w:tcW w:w="6237" w:type="dxa"/>
            <w:gridSpan w:val="2"/>
          </w:tcPr>
          <w:p w14:paraId="7FBB01A3" w14:textId="77777777" w:rsidR="00752D4D" w:rsidRPr="005C7FD6" w:rsidRDefault="006C136E" w:rsidP="00C30155">
            <w:pPr>
              <w:pStyle w:val="Committee"/>
              <w:rPr>
                <w:lang w:val="es-ES_tradnl"/>
              </w:rPr>
            </w:pPr>
            <w:r w:rsidRPr="005C7FD6">
              <w:rPr>
                <w:lang w:val="es-ES_tradnl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443ACB8B" w14:textId="2446B83C" w:rsidR="00752D4D" w:rsidRPr="005C7FD6" w:rsidRDefault="006C136E" w:rsidP="00A52D1A">
            <w:pPr>
              <w:pStyle w:val="Docnumber"/>
              <w:rPr>
                <w:lang w:val="es-ES_tradnl"/>
              </w:rPr>
            </w:pPr>
            <w:r w:rsidRPr="005C7FD6">
              <w:rPr>
                <w:lang w:val="es-ES_tradnl"/>
              </w:rPr>
              <w:t>Addéndum 20 al</w:t>
            </w:r>
            <w:r w:rsidRPr="005C7FD6">
              <w:rPr>
                <w:lang w:val="es-ES_tradnl"/>
              </w:rPr>
              <w:br/>
              <w:t>Documento 39</w:t>
            </w:r>
            <w:r w:rsidR="00632ABB" w:rsidRPr="005C7FD6">
              <w:rPr>
                <w:lang w:val="es-ES_tradnl"/>
              </w:rPr>
              <w:t>-S</w:t>
            </w:r>
          </w:p>
        </w:tc>
      </w:tr>
      <w:tr w:rsidR="00931298" w:rsidRPr="005C7FD6" w14:paraId="70A9DBFE" w14:textId="77777777" w:rsidTr="008E0616">
        <w:trPr>
          <w:cantSplit/>
        </w:trPr>
        <w:tc>
          <w:tcPr>
            <w:tcW w:w="6237" w:type="dxa"/>
            <w:gridSpan w:val="2"/>
          </w:tcPr>
          <w:p w14:paraId="62696DFC" w14:textId="77777777" w:rsidR="00931298" w:rsidRPr="005C7FD6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01AD4E84" w14:textId="77777777" w:rsidR="00931298" w:rsidRPr="005C7FD6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5C7FD6">
              <w:rPr>
                <w:sz w:val="20"/>
                <w:szCs w:val="16"/>
                <w:lang w:val="es-ES_tradnl"/>
              </w:rPr>
              <w:t>13 de septiembre de 2024</w:t>
            </w:r>
          </w:p>
        </w:tc>
      </w:tr>
      <w:tr w:rsidR="00931298" w:rsidRPr="005C7FD6" w14:paraId="4F40E7A3" w14:textId="77777777" w:rsidTr="008E0616">
        <w:trPr>
          <w:cantSplit/>
        </w:trPr>
        <w:tc>
          <w:tcPr>
            <w:tcW w:w="6237" w:type="dxa"/>
            <w:gridSpan w:val="2"/>
          </w:tcPr>
          <w:p w14:paraId="3F698867" w14:textId="77777777" w:rsidR="00931298" w:rsidRPr="005C7FD6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4EA29BD4" w14:textId="77777777" w:rsidR="00931298" w:rsidRPr="005C7FD6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5C7FD6">
              <w:rPr>
                <w:sz w:val="20"/>
                <w:szCs w:val="16"/>
                <w:lang w:val="es-ES_tradnl"/>
              </w:rPr>
              <w:t>Original: inglés</w:t>
            </w:r>
          </w:p>
        </w:tc>
      </w:tr>
      <w:tr w:rsidR="00931298" w:rsidRPr="005C7FD6" w14:paraId="7BFAA7E5" w14:textId="77777777" w:rsidTr="008E0616">
        <w:trPr>
          <w:cantSplit/>
        </w:trPr>
        <w:tc>
          <w:tcPr>
            <w:tcW w:w="9811" w:type="dxa"/>
            <w:gridSpan w:val="4"/>
          </w:tcPr>
          <w:p w14:paraId="080326F8" w14:textId="77777777" w:rsidR="00931298" w:rsidRPr="005C7FD6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931298" w:rsidRPr="00B90677" w14:paraId="7EC3C7F0" w14:textId="77777777" w:rsidTr="008E0616">
        <w:trPr>
          <w:cantSplit/>
        </w:trPr>
        <w:tc>
          <w:tcPr>
            <w:tcW w:w="9811" w:type="dxa"/>
            <w:gridSpan w:val="4"/>
          </w:tcPr>
          <w:p w14:paraId="5A07F80C" w14:textId="5F60C83A" w:rsidR="00931298" w:rsidRPr="005C7FD6" w:rsidRDefault="006C136E" w:rsidP="00C30155">
            <w:pPr>
              <w:pStyle w:val="Source"/>
              <w:rPr>
                <w:lang w:val="es-ES_tradnl"/>
              </w:rPr>
            </w:pPr>
            <w:r w:rsidRPr="005C7FD6">
              <w:rPr>
                <w:lang w:val="es-ES_tradnl"/>
              </w:rPr>
              <w:t>Estados Miembros de la Comisión Interamericana</w:t>
            </w:r>
            <w:r w:rsidR="00CF49CC" w:rsidRPr="005C7FD6">
              <w:rPr>
                <w:lang w:val="es-ES_tradnl"/>
              </w:rPr>
              <w:br/>
            </w:r>
            <w:r w:rsidRPr="005C7FD6">
              <w:rPr>
                <w:lang w:val="es-ES_tradnl"/>
              </w:rPr>
              <w:t>de Telecomunicaciones (CITEL)</w:t>
            </w:r>
          </w:p>
        </w:tc>
      </w:tr>
      <w:tr w:rsidR="00931298" w:rsidRPr="00B90677" w14:paraId="47BF4FB4" w14:textId="77777777" w:rsidTr="008E0616">
        <w:trPr>
          <w:cantSplit/>
        </w:trPr>
        <w:tc>
          <w:tcPr>
            <w:tcW w:w="9811" w:type="dxa"/>
            <w:gridSpan w:val="4"/>
          </w:tcPr>
          <w:p w14:paraId="37DA2B63" w14:textId="286CC7AC" w:rsidR="00931298" w:rsidRPr="005C7FD6" w:rsidRDefault="00632ABB" w:rsidP="00C30155">
            <w:pPr>
              <w:pStyle w:val="Title1"/>
              <w:rPr>
                <w:lang w:val="es-ES_tradnl"/>
              </w:rPr>
            </w:pPr>
            <w:r w:rsidRPr="005C7FD6">
              <w:rPr>
                <w:lang w:val="es-ES_tradnl"/>
              </w:rPr>
              <w:t>PROPUESTA DE MODIFICACIÓN DE LA RESOLUCIÓN</w:t>
            </w:r>
            <w:r w:rsidR="006C136E" w:rsidRPr="005C7FD6">
              <w:rPr>
                <w:lang w:val="es-ES_tradnl"/>
              </w:rPr>
              <w:t xml:space="preserve"> 2</w:t>
            </w:r>
          </w:p>
        </w:tc>
      </w:tr>
      <w:tr w:rsidR="00657CDA" w:rsidRPr="00B90677" w14:paraId="6536794D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116184F6" w14:textId="77777777" w:rsidR="00657CDA" w:rsidRPr="005C7FD6" w:rsidRDefault="00657CDA" w:rsidP="006C136E">
            <w:pPr>
              <w:pStyle w:val="Title2"/>
              <w:spacing w:before="0"/>
              <w:rPr>
                <w:lang w:val="es-ES_tradnl"/>
              </w:rPr>
            </w:pPr>
          </w:p>
        </w:tc>
      </w:tr>
      <w:tr w:rsidR="00657CDA" w:rsidRPr="00B90677" w14:paraId="0C829F4F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75D8780E" w14:textId="77777777" w:rsidR="00657CDA" w:rsidRPr="005C7FD6" w:rsidRDefault="00657CDA" w:rsidP="00293F9A">
            <w:pPr>
              <w:pStyle w:val="Agendaitem"/>
              <w:spacing w:before="0"/>
            </w:pPr>
          </w:p>
        </w:tc>
      </w:tr>
    </w:tbl>
    <w:p w14:paraId="0A2654AC" w14:textId="77777777" w:rsidR="00931298" w:rsidRPr="005C7FD6" w:rsidRDefault="00931298" w:rsidP="00931298">
      <w:pPr>
        <w:rPr>
          <w:lang w:val="es-ES_tradnl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B90677" w14:paraId="771E39D4" w14:textId="77777777" w:rsidTr="008E0616">
        <w:trPr>
          <w:cantSplit/>
        </w:trPr>
        <w:tc>
          <w:tcPr>
            <w:tcW w:w="1912" w:type="dxa"/>
          </w:tcPr>
          <w:p w14:paraId="7B8AFC15" w14:textId="77777777" w:rsidR="00931298" w:rsidRPr="005C7FD6" w:rsidRDefault="00E610A4" w:rsidP="00C30155">
            <w:pPr>
              <w:rPr>
                <w:lang w:val="es-ES_tradnl"/>
              </w:rPr>
            </w:pPr>
            <w:r w:rsidRPr="005C7FD6">
              <w:rPr>
                <w:b/>
                <w:bCs/>
                <w:lang w:val="es-ES_tradnl"/>
              </w:rPr>
              <w:t>Resumen:</w:t>
            </w:r>
          </w:p>
        </w:tc>
        <w:tc>
          <w:tcPr>
            <w:tcW w:w="7870" w:type="dxa"/>
            <w:gridSpan w:val="2"/>
          </w:tcPr>
          <w:p w14:paraId="1DF5BB46" w14:textId="0AC0BAA6" w:rsidR="00931298" w:rsidRPr="005C7FD6" w:rsidRDefault="00632ABB" w:rsidP="00C30155">
            <w:pPr>
              <w:pStyle w:val="Abstract"/>
              <w:rPr>
                <w:lang w:val="es-ES_tradnl"/>
              </w:rPr>
            </w:pPr>
            <w:r w:rsidRPr="005C7FD6">
              <w:rPr>
                <w:lang w:val="es-ES_tradnl"/>
              </w:rPr>
              <w:t>La CITEL afirma la necesidad de reestructurar las Comisiones de Estudio del</w:t>
            </w:r>
            <w:r w:rsidR="00B67ADB">
              <w:rPr>
                <w:lang w:val="es-ES_tradnl"/>
              </w:rPr>
              <w:t> </w:t>
            </w:r>
            <w:r w:rsidRPr="005C7FD6">
              <w:rPr>
                <w:lang w:val="es-ES_tradnl"/>
              </w:rPr>
              <w:t>UIT-T</w:t>
            </w:r>
            <w:r w:rsidR="008711F6" w:rsidRPr="005C7FD6">
              <w:rPr>
                <w:lang w:val="es-ES_tradnl"/>
              </w:rPr>
              <w:t>,</w:t>
            </w:r>
            <w:r w:rsidRPr="005C7FD6">
              <w:rPr>
                <w:lang w:val="es-ES_tradnl"/>
              </w:rPr>
              <w:t xml:space="preserve"> </w:t>
            </w:r>
            <w:r w:rsidR="003C039B" w:rsidRPr="005C7FD6">
              <w:rPr>
                <w:lang w:val="es-ES_tradnl"/>
              </w:rPr>
              <w:t>a fin de</w:t>
            </w:r>
            <w:r w:rsidRPr="005C7FD6">
              <w:rPr>
                <w:lang w:val="es-ES_tradnl"/>
              </w:rPr>
              <w:t xml:space="preserve"> abordar la fragmentación del trabajo en múltiples Comisiones de Estudio. La </w:t>
            </w:r>
            <w:r w:rsidR="008711F6" w:rsidRPr="005C7FD6">
              <w:rPr>
                <w:lang w:val="es-ES_tradnl"/>
              </w:rPr>
              <w:t xml:space="preserve">presente </w:t>
            </w:r>
            <w:r w:rsidRPr="005C7FD6">
              <w:rPr>
                <w:lang w:val="es-ES_tradnl"/>
              </w:rPr>
              <w:t>propuesta incluye la reducción del número de Comisiones de Estudio</w:t>
            </w:r>
            <w:r w:rsidR="008711F6" w:rsidRPr="005C7FD6">
              <w:rPr>
                <w:lang w:val="es-ES_tradnl"/>
              </w:rPr>
              <w:t xml:space="preserve"> en aras de</w:t>
            </w:r>
            <w:r w:rsidRPr="005C7FD6">
              <w:rPr>
                <w:lang w:val="es-ES_tradnl"/>
              </w:rPr>
              <w:t xml:space="preserve"> un compromiso </w:t>
            </w:r>
            <w:r w:rsidR="003C039B" w:rsidRPr="005C7FD6">
              <w:rPr>
                <w:lang w:val="es-ES_tradnl"/>
              </w:rPr>
              <w:t>significativo</w:t>
            </w:r>
            <w:r w:rsidRPr="005C7FD6">
              <w:rPr>
                <w:lang w:val="es-ES_tradnl"/>
              </w:rPr>
              <w:t xml:space="preserve">. </w:t>
            </w:r>
            <w:r w:rsidR="003C039B" w:rsidRPr="005C7FD6">
              <w:rPr>
                <w:lang w:val="es-ES_tradnl"/>
              </w:rPr>
              <w:t>El objetivo de l</w:t>
            </w:r>
            <w:r w:rsidRPr="005C7FD6">
              <w:rPr>
                <w:lang w:val="es-ES_tradnl"/>
              </w:rPr>
              <w:t xml:space="preserve">a reestructuración </w:t>
            </w:r>
            <w:r w:rsidR="003C039B" w:rsidRPr="005C7FD6">
              <w:rPr>
                <w:lang w:val="es-ES_tradnl"/>
              </w:rPr>
              <w:t xml:space="preserve">es agrupar los trabajos </w:t>
            </w:r>
            <w:r w:rsidRPr="005C7FD6">
              <w:rPr>
                <w:lang w:val="es-ES_tradnl"/>
              </w:rPr>
              <w:t>de naturaleza</w:t>
            </w:r>
            <w:r w:rsidR="003C039B" w:rsidRPr="005C7FD6">
              <w:rPr>
                <w:lang w:val="es-ES_tradnl"/>
              </w:rPr>
              <w:t xml:space="preserve">/tema </w:t>
            </w:r>
            <w:r w:rsidRPr="005C7FD6">
              <w:rPr>
                <w:lang w:val="es-ES_tradnl"/>
              </w:rPr>
              <w:t xml:space="preserve">similar de </w:t>
            </w:r>
            <w:r w:rsidR="003C039B" w:rsidRPr="005C7FD6">
              <w:rPr>
                <w:lang w:val="es-ES_tradnl"/>
              </w:rPr>
              <w:t>distintas</w:t>
            </w:r>
            <w:r w:rsidRPr="005C7FD6">
              <w:rPr>
                <w:lang w:val="es-ES_tradnl"/>
              </w:rPr>
              <w:t xml:space="preserve"> Comisiones de Estudio en </w:t>
            </w:r>
            <w:r w:rsidR="00F70D3C" w:rsidRPr="005C7FD6">
              <w:rPr>
                <w:lang w:val="es-ES_tradnl"/>
              </w:rPr>
              <w:t>una Comisión</w:t>
            </w:r>
            <w:r w:rsidRPr="005C7FD6">
              <w:rPr>
                <w:lang w:val="es-ES_tradnl"/>
              </w:rPr>
              <w:t xml:space="preserve"> con la experiencia necesaria y</w:t>
            </w:r>
            <w:r w:rsidR="003C039B" w:rsidRPr="005C7FD6">
              <w:rPr>
                <w:lang w:val="es-ES_tradnl"/>
              </w:rPr>
              <w:t xml:space="preserve"> el bagaje pertinente</w:t>
            </w:r>
            <w:r w:rsidRPr="005C7FD6">
              <w:rPr>
                <w:lang w:val="es-ES_tradnl"/>
              </w:rPr>
              <w:t>, minimizando así la duplicación de</w:t>
            </w:r>
            <w:r w:rsidR="00204747" w:rsidRPr="005C7FD6">
              <w:rPr>
                <w:lang w:val="es-ES_tradnl"/>
              </w:rPr>
              <w:t xml:space="preserve"> actividades</w:t>
            </w:r>
            <w:r w:rsidRPr="005C7FD6">
              <w:rPr>
                <w:lang w:val="es-ES_tradnl"/>
              </w:rPr>
              <w:t xml:space="preserve"> de normalización entre Comisiones de Estudio del UIT-T y garantizando la coherencia </w:t>
            </w:r>
            <w:r w:rsidR="00204747" w:rsidRPr="005C7FD6">
              <w:rPr>
                <w:lang w:val="es-ES_tradnl"/>
              </w:rPr>
              <w:t>terminológica de</w:t>
            </w:r>
            <w:r w:rsidRPr="005C7FD6">
              <w:rPr>
                <w:lang w:val="es-ES_tradnl"/>
              </w:rPr>
              <w:t xml:space="preserve"> </w:t>
            </w:r>
            <w:r w:rsidR="00204747" w:rsidRPr="005C7FD6">
              <w:rPr>
                <w:lang w:val="es-ES_tradnl"/>
              </w:rPr>
              <w:t>su</w:t>
            </w:r>
            <w:r w:rsidRPr="005C7FD6">
              <w:rPr>
                <w:lang w:val="es-ES_tradnl"/>
              </w:rPr>
              <w:t>s mandatos</w:t>
            </w:r>
            <w:r w:rsidR="00204747" w:rsidRPr="005C7FD6">
              <w:rPr>
                <w:lang w:val="es-ES_tradnl"/>
              </w:rPr>
              <w:t>.</w:t>
            </w:r>
            <w:r w:rsidR="008711F6" w:rsidRPr="005C7FD6">
              <w:rPr>
                <w:lang w:val="es-ES_tradnl"/>
              </w:rPr>
              <w:t xml:space="preserve"> E</w:t>
            </w:r>
            <w:r w:rsidRPr="005C7FD6">
              <w:rPr>
                <w:lang w:val="es-ES_tradnl"/>
              </w:rPr>
              <w:t xml:space="preserve">sta </w:t>
            </w:r>
            <w:r w:rsidR="00204747" w:rsidRPr="005C7FD6">
              <w:rPr>
                <w:lang w:val="es-ES_tradnl"/>
              </w:rPr>
              <w:t xml:space="preserve">fusión </w:t>
            </w:r>
            <w:r w:rsidRPr="005C7FD6">
              <w:rPr>
                <w:lang w:val="es-ES_tradnl"/>
              </w:rPr>
              <w:t>estratégica</w:t>
            </w:r>
            <w:r w:rsidR="008711F6" w:rsidRPr="005C7FD6">
              <w:rPr>
                <w:lang w:val="es-ES_tradnl"/>
              </w:rPr>
              <w:t xml:space="preserve"> también</w:t>
            </w:r>
            <w:r w:rsidRPr="005C7FD6">
              <w:rPr>
                <w:lang w:val="es-ES_tradnl"/>
              </w:rPr>
              <w:t xml:space="preserve"> ofrece una solución</w:t>
            </w:r>
            <w:r w:rsidR="00204747" w:rsidRPr="005C7FD6">
              <w:rPr>
                <w:lang w:val="es-ES_tradnl"/>
              </w:rPr>
              <w:t xml:space="preserve"> eficaz en términos de costes, </w:t>
            </w:r>
            <w:r w:rsidRPr="005C7FD6">
              <w:rPr>
                <w:lang w:val="es-ES_tradnl"/>
              </w:rPr>
              <w:t xml:space="preserve">que </w:t>
            </w:r>
            <w:r w:rsidR="00204747" w:rsidRPr="005C7FD6">
              <w:rPr>
                <w:lang w:val="es-ES_tradnl"/>
              </w:rPr>
              <w:t>optimiza</w:t>
            </w:r>
            <w:r w:rsidRPr="005C7FD6">
              <w:rPr>
                <w:lang w:val="es-ES_tradnl"/>
              </w:rPr>
              <w:t xml:space="preserve"> la atribución de recursos y mejora la eficiencia global.</w:t>
            </w:r>
          </w:p>
        </w:tc>
      </w:tr>
      <w:tr w:rsidR="00931298" w:rsidRPr="00B90677" w14:paraId="2525C8EE" w14:textId="77777777" w:rsidTr="008E0616">
        <w:trPr>
          <w:cantSplit/>
        </w:trPr>
        <w:tc>
          <w:tcPr>
            <w:tcW w:w="1912" w:type="dxa"/>
          </w:tcPr>
          <w:p w14:paraId="5D9D6C34" w14:textId="77777777" w:rsidR="00931298" w:rsidRPr="005C7FD6" w:rsidRDefault="00E610A4" w:rsidP="00C30155">
            <w:pPr>
              <w:rPr>
                <w:b/>
                <w:bCs/>
                <w:szCs w:val="24"/>
                <w:lang w:val="es-ES_tradnl"/>
              </w:rPr>
            </w:pPr>
            <w:r w:rsidRPr="005C7FD6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3935" w:type="dxa"/>
          </w:tcPr>
          <w:p w14:paraId="7B4D0032" w14:textId="05FB8ECC" w:rsidR="00FE5494" w:rsidRPr="005C7FD6" w:rsidRDefault="008201B0" w:rsidP="00E6117A">
            <w:pPr>
              <w:rPr>
                <w:lang w:val="es-ES_tradnl"/>
              </w:rPr>
            </w:pPr>
            <w:r w:rsidRPr="005C7FD6">
              <w:rPr>
                <w:lang w:val="es-ES_tradnl"/>
              </w:rPr>
              <w:t>María</w:t>
            </w:r>
            <w:r w:rsidR="00204747" w:rsidRPr="005C7FD6">
              <w:rPr>
                <w:lang w:val="es-ES_tradnl"/>
              </w:rPr>
              <w:t xml:space="preserve"> Celeste Fuenmayor</w:t>
            </w:r>
            <w:r w:rsidR="00204747" w:rsidRPr="005C7FD6">
              <w:rPr>
                <w:lang w:val="es-ES_tradnl"/>
              </w:rPr>
              <w:br/>
              <w:t>Comisión Interamericana de Telecomunicaciones</w:t>
            </w:r>
          </w:p>
        </w:tc>
        <w:tc>
          <w:tcPr>
            <w:tcW w:w="3935" w:type="dxa"/>
          </w:tcPr>
          <w:p w14:paraId="540D814A" w14:textId="62BD2A0B" w:rsidR="009E46B2" w:rsidRPr="009E46B2" w:rsidRDefault="00E610A4" w:rsidP="009E46B2">
            <w:pPr>
              <w:rPr>
                <w:lang w:val="it-IT"/>
              </w:rPr>
            </w:pPr>
            <w:r w:rsidRPr="00B67ADB">
              <w:rPr>
                <w:lang w:val="it-IT"/>
              </w:rPr>
              <w:t>Correo-e:</w:t>
            </w:r>
            <w:r w:rsidR="00204747" w:rsidRPr="00B67ADB">
              <w:rPr>
                <w:lang w:val="it-IT"/>
              </w:rPr>
              <w:t xml:space="preserve"> </w:t>
            </w:r>
            <w:hyperlink r:id="rId14" w:history="1">
              <w:r w:rsidR="009E46B2" w:rsidRPr="00084957">
                <w:rPr>
                  <w:rStyle w:val="Hyperlink"/>
                  <w:lang w:val="it-IT"/>
                </w:rPr>
                <w:t>mfuenmayor@oas.org</w:t>
              </w:r>
            </w:hyperlink>
          </w:p>
        </w:tc>
      </w:tr>
    </w:tbl>
    <w:p w14:paraId="66A8BD16" w14:textId="0F8791DD" w:rsidR="00204747" w:rsidRPr="005C7FD6" w:rsidRDefault="00204747" w:rsidP="00CF49CC">
      <w:pPr>
        <w:pStyle w:val="Headingb"/>
        <w:rPr>
          <w:lang w:val="es-ES_tradnl"/>
        </w:rPr>
      </w:pPr>
      <w:r w:rsidRPr="005C7FD6">
        <w:rPr>
          <w:lang w:val="es-ES_tradnl"/>
        </w:rPr>
        <w:t>Introducción</w:t>
      </w:r>
    </w:p>
    <w:p w14:paraId="63E5EB2E" w14:textId="6433DA44" w:rsidR="00006D73" w:rsidRPr="005C7FD6" w:rsidRDefault="00006D73" w:rsidP="00006D73">
      <w:pPr>
        <w:rPr>
          <w:lang w:val="es-ES_tradnl"/>
        </w:rPr>
      </w:pPr>
      <w:r w:rsidRPr="005C7FD6">
        <w:rPr>
          <w:lang w:val="es-ES_tradnl"/>
        </w:rPr>
        <w:t xml:space="preserve">Al analizar la estructura actual del UIT-T, las Cuestiones de estudio, el número de participantes y las estadísticas conexas, resulta evidente que las áreas de trabajo de las diferentes Comisiones de Estudio </w:t>
      </w:r>
      <w:r w:rsidR="008711F6" w:rsidRPr="005C7FD6">
        <w:rPr>
          <w:lang w:val="es-ES_tradnl"/>
        </w:rPr>
        <w:t>se superponen con frecuencia</w:t>
      </w:r>
      <w:r w:rsidRPr="005C7FD6">
        <w:rPr>
          <w:lang w:val="es-ES_tradnl"/>
        </w:rPr>
        <w:t>. Estos solapamientos plantean los siguientes problemas:</w:t>
      </w:r>
    </w:p>
    <w:p w14:paraId="067C1D8E" w14:textId="2DD7D5EA" w:rsidR="00006D73" w:rsidRPr="005C7FD6" w:rsidRDefault="00006D73" w:rsidP="00006D73">
      <w:pPr>
        <w:rPr>
          <w:lang w:val="es-ES_tradnl"/>
        </w:rPr>
      </w:pPr>
      <w:r w:rsidRPr="005C7FD6">
        <w:rPr>
          <w:lang w:val="es-ES_tradnl"/>
        </w:rPr>
        <w:t>Los expertos en un campo concreto, como pueden ser la seguridad o los multimedios, deben participar con frecuencia en distintas Comisiones de Estudio, lo que</w:t>
      </w:r>
      <w:r w:rsidR="0076755F" w:rsidRPr="005C7FD6">
        <w:rPr>
          <w:lang w:val="es-ES_tradnl"/>
        </w:rPr>
        <w:t xml:space="preserve"> merma la eficacia </w:t>
      </w:r>
      <w:r w:rsidR="008711F6" w:rsidRPr="005C7FD6">
        <w:rPr>
          <w:lang w:val="es-ES_tradnl"/>
        </w:rPr>
        <w:t xml:space="preserve">general </w:t>
      </w:r>
      <w:r w:rsidR="0076755F" w:rsidRPr="005C7FD6">
        <w:rPr>
          <w:lang w:val="es-ES_tradnl"/>
        </w:rPr>
        <w:t>y supone una</w:t>
      </w:r>
      <w:r w:rsidRPr="005C7FD6">
        <w:rPr>
          <w:lang w:val="es-ES_tradnl"/>
        </w:rPr>
        <w:t xml:space="preserve"> pérdida de tiempo para estas personas.</w:t>
      </w:r>
    </w:p>
    <w:p w14:paraId="62867BE5" w14:textId="3D8ECDBF" w:rsidR="00006D73" w:rsidRPr="005C7FD6" w:rsidRDefault="00006D73" w:rsidP="00006D73">
      <w:pPr>
        <w:rPr>
          <w:lang w:val="es-ES_tradnl"/>
        </w:rPr>
      </w:pPr>
      <w:r w:rsidRPr="005C7FD6">
        <w:rPr>
          <w:lang w:val="es-ES_tradnl"/>
        </w:rPr>
        <w:t>El número de</w:t>
      </w:r>
      <w:r w:rsidR="0076755F" w:rsidRPr="005C7FD6">
        <w:rPr>
          <w:lang w:val="es-ES_tradnl"/>
        </w:rPr>
        <w:t xml:space="preserve"> declaraciones de coordinación </w:t>
      </w:r>
      <w:r w:rsidRPr="005C7FD6">
        <w:rPr>
          <w:lang w:val="es-ES_tradnl"/>
        </w:rPr>
        <w:t xml:space="preserve">entre </w:t>
      </w:r>
      <w:r w:rsidR="0076755F" w:rsidRPr="005C7FD6">
        <w:rPr>
          <w:lang w:val="es-ES_tradnl"/>
        </w:rPr>
        <w:t xml:space="preserve">Comisiones </w:t>
      </w:r>
      <w:r w:rsidRPr="005C7FD6">
        <w:rPr>
          <w:lang w:val="es-ES_tradnl"/>
        </w:rPr>
        <w:t xml:space="preserve">de </w:t>
      </w:r>
      <w:r w:rsidR="0076755F" w:rsidRPr="005C7FD6">
        <w:rPr>
          <w:lang w:val="es-ES_tradnl"/>
        </w:rPr>
        <w:t xml:space="preserve">Estudio </w:t>
      </w:r>
      <w:r w:rsidRPr="005C7FD6">
        <w:rPr>
          <w:lang w:val="es-ES_tradnl"/>
        </w:rPr>
        <w:t xml:space="preserve">sobre temas similares </w:t>
      </w:r>
      <w:r w:rsidR="0076755F" w:rsidRPr="005C7FD6">
        <w:rPr>
          <w:lang w:val="es-ES_tradnl"/>
        </w:rPr>
        <w:t>retrasa</w:t>
      </w:r>
      <w:r w:rsidRPr="005C7FD6">
        <w:rPr>
          <w:lang w:val="es-ES_tradnl"/>
        </w:rPr>
        <w:t xml:space="preserve"> innecesari</w:t>
      </w:r>
      <w:r w:rsidR="0076755F" w:rsidRPr="005C7FD6">
        <w:rPr>
          <w:lang w:val="es-ES_tradnl"/>
        </w:rPr>
        <w:t>amente</w:t>
      </w:r>
      <w:r w:rsidRPr="005C7FD6">
        <w:rPr>
          <w:lang w:val="es-ES_tradnl"/>
        </w:rPr>
        <w:t xml:space="preserve"> el avance de los trabajos.</w:t>
      </w:r>
    </w:p>
    <w:p w14:paraId="6A2E6C6E" w14:textId="726F6C87" w:rsidR="00204747" w:rsidRPr="005C7FD6" w:rsidRDefault="0076755F" w:rsidP="00204747">
      <w:pPr>
        <w:rPr>
          <w:lang w:val="es-ES_tradnl"/>
        </w:rPr>
      </w:pPr>
      <w:r w:rsidRPr="005C7FD6">
        <w:rPr>
          <w:lang w:val="es-ES_tradnl"/>
        </w:rPr>
        <w:t xml:space="preserve">La </w:t>
      </w:r>
      <w:r w:rsidR="00006D73" w:rsidRPr="005C7FD6">
        <w:rPr>
          <w:lang w:val="es-ES_tradnl"/>
        </w:rPr>
        <w:t>celebración de reuniones con pocos temas de trabajo y participantes</w:t>
      </w:r>
      <w:r w:rsidRPr="005C7FD6">
        <w:rPr>
          <w:lang w:val="es-ES_tradnl"/>
        </w:rPr>
        <w:t xml:space="preserve"> conlleva una sobrecarga administrativa</w:t>
      </w:r>
      <w:r w:rsidR="00204747" w:rsidRPr="005C7FD6">
        <w:rPr>
          <w:lang w:val="es-ES_tradnl"/>
        </w:rPr>
        <w:t>.</w:t>
      </w:r>
    </w:p>
    <w:p w14:paraId="04A7F08F" w14:textId="63DB5036" w:rsidR="00FD76BA" w:rsidRPr="005C7FD6" w:rsidRDefault="0076755F" w:rsidP="00FD76BA">
      <w:pPr>
        <w:rPr>
          <w:lang w:val="es-ES_tradnl"/>
        </w:rPr>
      </w:pPr>
      <w:r w:rsidRPr="005C7FD6">
        <w:rPr>
          <w:lang w:val="es-ES_tradnl"/>
        </w:rPr>
        <w:lastRenderedPageBreak/>
        <w:t xml:space="preserve">Además, las Comisiones de Estudio deben tener mandatos definidos y objetivos precisos. Esto es primordial, sobre todo porque el UIT-T se esfuerza por abordar el panorama de la normalización mundial, </w:t>
      </w:r>
      <w:r w:rsidR="008711F6" w:rsidRPr="005C7FD6">
        <w:rPr>
          <w:lang w:val="es-ES_tradnl"/>
        </w:rPr>
        <w:t xml:space="preserve">el cual se halla </w:t>
      </w:r>
      <w:r w:rsidRPr="005C7FD6">
        <w:rPr>
          <w:lang w:val="es-ES_tradnl"/>
        </w:rPr>
        <w:t xml:space="preserve">en rápida evolución. En este entorno dinámico, </w:t>
      </w:r>
      <w:r w:rsidR="008711F6" w:rsidRPr="005C7FD6">
        <w:rPr>
          <w:lang w:val="es-ES_tradnl"/>
        </w:rPr>
        <w:t>caracterizado</w:t>
      </w:r>
      <w:r w:rsidRPr="005C7FD6">
        <w:rPr>
          <w:lang w:val="es-ES_tradnl"/>
        </w:rPr>
        <w:t xml:space="preserve"> por las apremiantes demandas de las redes del futuro, la inteligencia artificial, el metaverso y la seguridad, es esencial </w:t>
      </w:r>
      <w:r w:rsidR="00FD76BA" w:rsidRPr="005C7FD6">
        <w:rPr>
          <w:lang w:val="es-ES_tradnl"/>
        </w:rPr>
        <w:t>trazar</w:t>
      </w:r>
      <w:r w:rsidRPr="005C7FD6">
        <w:rPr>
          <w:lang w:val="es-ES_tradnl"/>
        </w:rPr>
        <w:t xml:space="preserve"> límites bien definidos para cada Comisión de Estudio a fin de acelerar el progreso y satisfacer l</w:t>
      </w:r>
      <w:r w:rsidR="00FD76BA" w:rsidRPr="005C7FD6">
        <w:rPr>
          <w:lang w:val="es-ES_tradnl"/>
        </w:rPr>
        <w:t xml:space="preserve">as </w:t>
      </w:r>
      <w:r w:rsidR="008711F6" w:rsidRPr="005C7FD6">
        <w:rPr>
          <w:lang w:val="es-ES_tradnl"/>
        </w:rPr>
        <w:t>acuciantes</w:t>
      </w:r>
      <w:r w:rsidR="00FD76BA" w:rsidRPr="005C7FD6">
        <w:rPr>
          <w:lang w:val="es-ES_tradnl"/>
        </w:rPr>
        <w:t xml:space="preserve"> necesidades </w:t>
      </w:r>
      <w:r w:rsidRPr="005C7FD6">
        <w:rPr>
          <w:lang w:val="es-ES_tradnl"/>
        </w:rPr>
        <w:t>de estos ámbitos críticos.</w:t>
      </w:r>
    </w:p>
    <w:p w14:paraId="0C630050" w14:textId="6A475144" w:rsidR="00204747" w:rsidRPr="005C7FD6" w:rsidRDefault="008711F6" w:rsidP="00B67ADB">
      <w:pPr>
        <w:rPr>
          <w:rFonts w:asciiTheme="majorBidi" w:hAnsiTheme="majorBidi" w:cstheme="majorBidi"/>
          <w:lang w:val="es-ES_tradnl"/>
        </w:rPr>
      </w:pPr>
      <w:r w:rsidRPr="005C7FD6">
        <w:rPr>
          <w:lang w:val="es-ES_tradnl"/>
        </w:rPr>
        <w:t>Con objeto de</w:t>
      </w:r>
      <w:r w:rsidR="00FD76BA" w:rsidRPr="005C7FD6">
        <w:rPr>
          <w:lang w:val="es-ES_tradnl"/>
        </w:rPr>
        <w:t xml:space="preserve"> abordar</w:t>
      </w:r>
      <w:r w:rsidR="00FD76BA" w:rsidRPr="005C7FD6">
        <w:rPr>
          <w:lang w:val="es-ES_tradnl" w:eastAsia="en-GB"/>
        </w:rPr>
        <w:t xml:space="preserve"> esta problemática,</w:t>
      </w:r>
      <w:r w:rsidRPr="005C7FD6">
        <w:rPr>
          <w:lang w:val="es-ES_tradnl" w:eastAsia="en-GB"/>
        </w:rPr>
        <w:t xml:space="preserve"> se propone</w:t>
      </w:r>
      <w:r w:rsidR="00D37398" w:rsidRPr="005C7FD6">
        <w:rPr>
          <w:lang w:val="es-ES_tradnl" w:eastAsia="en-GB"/>
        </w:rPr>
        <w:t xml:space="preserve"> utilizar</w:t>
      </w:r>
      <w:r w:rsidR="00FD76BA" w:rsidRPr="005C7FD6">
        <w:rPr>
          <w:lang w:val="es-ES_tradnl" w:eastAsia="en-GB"/>
        </w:rPr>
        <w:t xml:space="preserve"> los siguientes principios estratégicos clave </w:t>
      </w:r>
      <w:r w:rsidRPr="005C7FD6">
        <w:rPr>
          <w:lang w:val="es-ES_tradnl" w:eastAsia="en-GB"/>
        </w:rPr>
        <w:t>para</w:t>
      </w:r>
      <w:r w:rsidR="00FD76BA" w:rsidRPr="005C7FD6">
        <w:rPr>
          <w:lang w:val="es-ES_tradnl" w:eastAsia="en-GB"/>
        </w:rPr>
        <w:t xml:space="preserve"> orientar la reestructuración de las Comisiones de Estudio:</w:t>
      </w:r>
    </w:p>
    <w:p w14:paraId="4D0FC179" w14:textId="4504DBDC" w:rsidR="00204747" w:rsidRPr="00B67ADB" w:rsidRDefault="00204747" w:rsidP="00B67ADB">
      <w:pPr>
        <w:pStyle w:val="enumlev1"/>
        <w:rPr>
          <w:lang w:val="es-ES_tradnl"/>
        </w:rPr>
      </w:pPr>
      <w:r w:rsidRPr="00B67ADB">
        <w:rPr>
          <w:lang w:val="es-ES_tradnl"/>
        </w:rPr>
        <w:t>1</w:t>
      </w:r>
      <w:r w:rsidR="00CF49CC" w:rsidRPr="00B67ADB">
        <w:rPr>
          <w:lang w:val="es-ES_tradnl"/>
        </w:rPr>
        <w:t>)</w:t>
      </w:r>
      <w:r w:rsidRPr="00B67ADB">
        <w:rPr>
          <w:lang w:val="es-ES_tradnl"/>
        </w:rPr>
        <w:tab/>
      </w:r>
      <w:r w:rsidR="00FD76BA" w:rsidRPr="005C7FD6">
        <w:rPr>
          <w:lang w:val="es-ES_tradnl"/>
        </w:rPr>
        <w:t>Optimizar la estructura de las CE</w:t>
      </w:r>
      <w:r w:rsidR="001D31CF">
        <w:rPr>
          <w:lang w:val="es-ES_tradnl"/>
        </w:rPr>
        <w:t>:</w:t>
      </w:r>
    </w:p>
    <w:p w14:paraId="707E1293" w14:textId="4FE3EB96" w:rsidR="00204747" w:rsidRPr="00B67ADB" w:rsidRDefault="00204747" w:rsidP="00B67ADB">
      <w:pPr>
        <w:pStyle w:val="enumlev2"/>
        <w:rPr>
          <w:lang w:val="es-ES_tradnl"/>
        </w:rPr>
      </w:pPr>
      <w:r w:rsidRPr="00B67ADB">
        <w:rPr>
          <w:lang w:val="es-ES_tradnl"/>
        </w:rPr>
        <w:t>a</w:t>
      </w:r>
      <w:r w:rsidR="00CF49CC" w:rsidRPr="00B67ADB">
        <w:rPr>
          <w:lang w:val="es-ES_tradnl"/>
        </w:rPr>
        <w:t>)</w:t>
      </w:r>
      <w:r w:rsidRPr="00B67ADB">
        <w:rPr>
          <w:lang w:val="es-ES_tradnl"/>
        </w:rPr>
        <w:tab/>
      </w:r>
      <w:r w:rsidR="001D31CF">
        <w:rPr>
          <w:lang w:val="es-ES_tradnl"/>
        </w:rPr>
        <w:t>r</w:t>
      </w:r>
      <w:r w:rsidR="00FD76BA" w:rsidRPr="005C7FD6">
        <w:rPr>
          <w:lang w:val="es-ES_tradnl"/>
        </w:rPr>
        <w:t>educir el innecesario número de CE</w:t>
      </w:r>
      <w:r w:rsidR="001D31CF">
        <w:rPr>
          <w:lang w:val="es-ES_tradnl"/>
        </w:rPr>
        <w:t>;</w:t>
      </w:r>
    </w:p>
    <w:p w14:paraId="2F9B8684" w14:textId="75D1C90F" w:rsidR="00204747" w:rsidRPr="00B67ADB" w:rsidRDefault="00204747" w:rsidP="00B67ADB">
      <w:pPr>
        <w:pStyle w:val="enumlev2"/>
        <w:rPr>
          <w:lang w:val="es-ES_tradnl"/>
        </w:rPr>
      </w:pPr>
      <w:r w:rsidRPr="00B67ADB">
        <w:rPr>
          <w:lang w:val="es-ES_tradnl"/>
        </w:rPr>
        <w:t>b</w:t>
      </w:r>
      <w:r w:rsidR="00CF49CC" w:rsidRPr="00B67ADB">
        <w:rPr>
          <w:lang w:val="es-ES_tradnl"/>
        </w:rPr>
        <w:t>)</w:t>
      </w:r>
      <w:r w:rsidRPr="00B67ADB">
        <w:rPr>
          <w:lang w:val="es-ES_tradnl"/>
        </w:rPr>
        <w:tab/>
      </w:r>
      <w:r w:rsidR="001D31CF">
        <w:rPr>
          <w:lang w:val="es-ES_tradnl"/>
        </w:rPr>
        <w:t>r</w:t>
      </w:r>
      <w:r w:rsidR="00FD76BA" w:rsidRPr="005C7FD6">
        <w:rPr>
          <w:lang w:val="es-ES_tradnl"/>
        </w:rPr>
        <w:t>educir la sobrecarga administrativa asociada a la celebración de las reuniones</w:t>
      </w:r>
      <w:r w:rsidR="001D31CF">
        <w:rPr>
          <w:lang w:val="es-ES_tradnl"/>
        </w:rPr>
        <w:t>.</w:t>
      </w:r>
    </w:p>
    <w:p w14:paraId="7C844C31" w14:textId="0C1B300D" w:rsidR="00204747" w:rsidRPr="00B67ADB" w:rsidRDefault="00204747" w:rsidP="00CF49CC">
      <w:pPr>
        <w:pStyle w:val="enumlev1"/>
        <w:rPr>
          <w:lang w:val="es-ES_tradnl"/>
        </w:rPr>
      </w:pPr>
      <w:r w:rsidRPr="00B67ADB">
        <w:rPr>
          <w:lang w:val="es-ES_tradnl"/>
        </w:rPr>
        <w:t>2</w:t>
      </w:r>
      <w:r w:rsidR="00CF49CC" w:rsidRPr="00B67ADB">
        <w:rPr>
          <w:lang w:val="es-ES_tradnl"/>
        </w:rPr>
        <w:t>)</w:t>
      </w:r>
      <w:r w:rsidRPr="00B67ADB">
        <w:rPr>
          <w:lang w:val="es-ES_tradnl"/>
        </w:rPr>
        <w:tab/>
      </w:r>
      <w:r w:rsidR="00FD76BA" w:rsidRPr="00B67ADB">
        <w:rPr>
          <w:lang w:val="es-ES_tradnl"/>
        </w:rPr>
        <w:t>Aclarar los m</w:t>
      </w:r>
      <w:r w:rsidR="00FD76BA" w:rsidRPr="005C7FD6">
        <w:rPr>
          <w:lang w:val="es-ES_tradnl"/>
        </w:rPr>
        <w:t>andatos de las CE y evitar solapamientos entre ellos (aclarar los programas de trabajo)</w:t>
      </w:r>
      <w:r w:rsidR="001D31CF">
        <w:rPr>
          <w:lang w:val="es-ES_tradnl"/>
        </w:rPr>
        <w:t>:</w:t>
      </w:r>
    </w:p>
    <w:p w14:paraId="7A6BF69F" w14:textId="63B02835" w:rsidR="00204747" w:rsidRPr="00B67ADB" w:rsidRDefault="00204747" w:rsidP="00CF49CC">
      <w:pPr>
        <w:pStyle w:val="enumlev2"/>
        <w:rPr>
          <w:lang w:val="es-ES_tradnl"/>
        </w:rPr>
      </w:pPr>
      <w:r w:rsidRPr="00B67ADB">
        <w:rPr>
          <w:lang w:val="es-ES_tradnl"/>
        </w:rPr>
        <w:t>a</w:t>
      </w:r>
      <w:r w:rsidR="00CF49CC" w:rsidRPr="00B67ADB">
        <w:rPr>
          <w:lang w:val="es-ES_tradnl"/>
        </w:rPr>
        <w:t>)</w:t>
      </w:r>
      <w:r w:rsidRPr="00B67ADB">
        <w:rPr>
          <w:lang w:val="es-ES_tradnl"/>
        </w:rPr>
        <w:tab/>
      </w:r>
      <w:r w:rsidR="001D31CF">
        <w:rPr>
          <w:lang w:val="es-ES_tradnl"/>
        </w:rPr>
        <w:t>e</w:t>
      </w:r>
      <w:r w:rsidR="00FD76BA" w:rsidRPr="005C7FD6">
        <w:rPr>
          <w:lang w:val="es-ES_tradnl"/>
        </w:rPr>
        <w:t>vitar el uso de terminología confusa en los mandatos</w:t>
      </w:r>
      <w:r w:rsidR="001D31CF">
        <w:rPr>
          <w:lang w:val="es-ES_tradnl"/>
        </w:rPr>
        <w:t>;</w:t>
      </w:r>
    </w:p>
    <w:p w14:paraId="1AE137A9" w14:textId="78036BF7" w:rsidR="00204747" w:rsidRPr="00B67ADB" w:rsidRDefault="00204747" w:rsidP="00CF49CC">
      <w:pPr>
        <w:pStyle w:val="enumlev2"/>
        <w:rPr>
          <w:lang w:val="es-ES_tradnl"/>
        </w:rPr>
      </w:pPr>
      <w:r w:rsidRPr="00B67ADB">
        <w:rPr>
          <w:lang w:val="es-ES_tradnl"/>
        </w:rPr>
        <w:t>b</w:t>
      </w:r>
      <w:r w:rsidR="00CF49CC" w:rsidRPr="00B67ADB">
        <w:rPr>
          <w:lang w:val="es-ES_tradnl"/>
        </w:rPr>
        <w:t>)</w:t>
      </w:r>
      <w:r w:rsidRPr="00B67ADB">
        <w:rPr>
          <w:lang w:val="es-ES_tradnl"/>
        </w:rPr>
        <w:tab/>
      </w:r>
      <w:r w:rsidR="001D31CF">
        <w:rPr>
          <w:lang w:val="es-ES_tradnl"/>
        </w:rPr>
        <w:t>e</w:t>
      </w:r>
      <w:r w:rsidR="00FD76BA" w:rsidRPr="005C7FD6">
        <w:rPr>
          <w:lang w:val="es-ES_tradnl"/>
        </w:rPr>
        <w:t>vitar que las mismas propuestas de trabajo se introduzcan en distintas Comisiones de Estudio provocando posibles solapamientos</w:t>
      </w:r>
      <w:r w:rsidR="001D31CF">
        <w:rPr>
          <w:lang w:val="es-ES_tradnl"/>
        </w:rPr>
        <w:t>.</w:t>
      </w:r>
    </w:p>
    <w:p w14:paraId="4D2118A6" w14:textId="3651E675" w:rsidR="00204747" w:rsidRPr="00B67ADB" w:rsidRDefault="00204747" w:rsidP="00CF49CC">
      <w:pPr>
        <w:pStyle w:val="enumlev1"/>
        <w:rPr>
          <w:lang w:val="es-ES_tradnl"/>
        </w:rPr>
      </w:pPr>
      <w:r w:rsidRPr="00B67ADB">
        <w:rPr>
          <w:lang w:val="es-ES_tradnl"/>
        </w:rPr>
        <w:t>3</w:t>
      </w:r>
      <w:r w:rsidR="00CF49CC" w:rsidRPr="00B67ADB">
        <w:rPr>
          <w:lang w:val="es-ES_tradnl"/>
        </w:rPr>
        <w:t>)</w:t>
      </w:r>
      <w:r w:rsidRPr="00B67ADB">
        <w:rPr>
          <w:lang w:val="es-ES_tradnl"/>
        </w:rPr>
        <w:tab/>
      </w:r>
      <w:r w:rsidR="00FD76BA" w:rsidRPr="00B67ADB">
        <w:rPr>
          <w:lang w:val="es-ES_tradnl"/>
        </w:rPr>
        <w:t xml:space="preserve">Buscar la </w:t>
      </w:r>
      <w:r w:rsidR="00FD76BA" w:rsidRPr="005C7FD6">
        <w:rPr>
          <w:lang w:val="es-ES_tradnl"/>
        </w:rPr>
        <w:t>rentabilidad y la idoneidad para las partes interesadas</w:t>
      </w:r>
      <w:r w:rsidR="001D31CF">
        <w:rPr>
          <w:lang w:val="es-ES_tradnl"/>
        </w:rPr>
        <w:t>:</w:t>
      </w:r>
    </w:p>
    <w:p w14:paraId="079DB039" w14:textId="2AEE5E21" w:rsidR="00FD76BA" w:rsidRPr="00B67ADB" w:rsidRDefault="00204747" w:rsidP="00CF49CC">
      <w:pPr>
        <w:pStyle w:val="enumlev2"/>
        <w:rPr>
          <w:lang w:val="es-ES_tradnl"/>
        </w:rPr>
      </w:pPr>
      <w:r w:rsidRPr="00B67ADB">
        <w:rPr>
          <w:lang w:val="es-ES_tradnl"/>
        </w:rPr>
        <w:t>a</w:t>
      </w:r>
      <w:r w:rsidR="00CF49CC" w:rsidRPr="00B67ADB">
        <w:rPr>
          <w:lang w:val="es-ES_tradnl"/>
        </w:rPr>
        <w:t>)</w:t>
      </w:r>
      <w:r w:rsidRPr="00B67ADB">
        <w:rPr>
          <w:lang w:val="es-ES_tradnl"/>
        </w:rPr>
        <w:tab/>
      </w:r>
      <w:r w:rsidR="001D31CF">
        <w:rPr>
          <w:lang w:val="es-ES_tradnl"/>
        </w:rPr>
        <w:t>f</w:t>
      </w:r>
      <w:r w:rsidR="00FD76BA" w:rsidRPr="005C7FD6">
        <w:rPr>
          <w:lang w:val="es-ES_tradnl"/>
        </w:rPr>
        <w:t>usionar y consolidar Cuestiones de estudio y atribuirlas a las CE, de forma que los expertos participar en ellas y contribuir a sus trabajos de forma rentable</w:t>
      </w:r>
      <w:r w:rsidR="001D31CF">
        <w:rPr>
          <w:lang w:val="es-ES_tradnl"/>
        </w:rPr>
        <w:t>.</w:t>
      </w:r>
    </w:p>
    <w:p w14:paraId="71D12F1F" w14:textId="77777777" w:rsidR="009F4801" w:rsidRPr="005C7FD6" w:rsidRDefault="009F4801" w:rsidP="00B90677">
      <w:pPr>
        <w:rPr>
          <w:lang w:val="es-ES_tradnl"/>
        </w:rPr>
      </w:pPr>
      <w:r w:rsidRPr="005C7FD6">
        <w:rPr>
          <w:lang w:val="es-ES_tradnl"/>
        </w:rPr>
        <w:br w:type="page"/>
      </w:r>
    </w:p>
    <w:p w14:paraId="6D60DA1D" w14:textId="77777777" w:rsidR="00E374F7" w:rsidRPr="005C7FD6" w:rsidRDefault="00F4144B">
      <w:pPr>
        <w:pStyle w:val="Proposal"/>
        <w:rPr>
          <w:lang w:val="es-ES_tradnl"/>
        </w:rPr>
      </w:pPr>
      <w:r w:rsidRPr="005C7FD6">
        <w:rPr>
          <w:lang w:val="es-ES_tradnl"/>
        </w:rPr>
        <w:lastRenderedPageBreak/>
        <w:tab/>
        <w:t>IAP/39A20/1</w:t>
      </w:r>
    </w:p>
    <w:p w14:paraId="379C8B44" w14:textId="713C8157" w:rsidR="005C7FD6" w:rsidRPr="005C7FD6" w:rsidRDefault="00D37398" w:rsidP="00304FF9">
      <w:pPr>
        <w:pStyle w:val="Volumetitle"/>
        <w:rPr>
          <w:lang w:val="es-ES_tradnl"/>
        </w:rPr>
      </w:pPr>
      <w:r w:rsidRPr="005C7FD6">
        <w:rPr>
          <w:lang w:val="es-ES_tradnl"/>
        </w:rPr>
        <w:t>ASUNTOS GENERALES</w:t>
      </w:r>
    </w:p>
    <w:p w14:paraId="2A6B2E6D" w14:textId="2A305123" w:rsidR="005D35E4" w:rsidRPr="005C7FD6" w:rsidRDefault="005D35E4" w:rsidP="0004570C">
      <w:pPr>
        <w:pStyle w:val="Headingb"/>
        <w:rPr>
          <w:lang w:val="es-ES_tradnl"/>
        </w:rPr>
      </w:pPr>
      <w:r w:rsidRPr="005C7FD6">
        <w:rPr>
          <w:lang w:val="es-ES_tradnl"/>
        </w:rPr>
        <w:t>Propuesta</w:t>
      </w:r>
    </w:p>
    <w:p w14:paraId="785A00BA" w14:textId="584B1147" w:rsidR="00F70D3C" w:rsidRPr="005C7FD6" w:rsidRDefault="00F70D3C" w:rsidP="00B32052">
      <w:pPr>
        <w:rPr>
          <w:rFonts w:asciiTheme="majorBidi" w:hAnsiTheme="majorBidi" w:cstheme="majorBidi"/>
          <w:szCs w:val="24"/>
          <w:lang w:val="es-ES_tradnl"/>
        </w:rPr>
      </w:pPr>
      <w:r w:rsidRPr="005C7FD6">
        <w:rPr>
          <w:lang w:val="es-ES_tradnl"/>
        </w:rPr>
        <w:t xml:space="preserve">El objetivo de la </w:t>
      </w:r>
      <w:r w:rsidRPr="005C7FD6">
        <w:rPr>
          <w:rFonts w:asciiTheme="majorBidi" w:hAnsiTheme="majorBidi" w:cstheme="majorBidi"/>
          <w:szCs w:val="24"/>
          <w:lang w:val="es-ES_tradnl"/>
        </w:rPr>
        <w:t xml:space="preserve">presente propuesta de reestructuración de las Comisiones de Estudio </w:t>
      </w:r>
      <w:r w:rsidRPr="005C7FD6">
        <w:rPr>
          <w:lang w:val="es-ES_tradnl"/>
        </w:rPr>
        <w:t xml:space="preserve">es agrupar los trabajos de naturaleza/tema similar de distintas Comisiones de Estudio </w:t>
      </w:r>
      <w:r w:rsidRPr="005C7FD6">
        <w:rPr>
          <w:rFonts w:asciiTheme="majorBidi" w:hAnsiTheme="majorBidi" w:cstheme="majorBidi"/>
          <w:szCs w:val="24"/>
          <w:lang w:val="es-ES_tradnl"/>
        </w:rPr>
        <w:t>en una misma Comisión de Estudio dotada de</w:t>
      </w:r>
      <w:r w:rsidRPr="005C7FD6">
        <w:rPr>
          <w:lang w:val="es-ES_tradnl"/>
        </w:rPr>
        <w:t xml:space="preserve"> la experiencia y el bagaje necesarios y, al mismo tiempo, minimizar la duplicación de actividades de normalización entre Comisiones de Estudio del UIT-T </w:t>
      </w:r>
      <w:r w:rsidRPr="005C7FD6">
        <w:rPr>
          <w:rFonts w:asciiTheme="majorBidi" w:hAnsiTheme="majorBidi" w:cstheme="majorBidi"/>
          <w:szCs w:val="24"/>
          <w:lang w:val="es-ES_tradnl"/>
        </w:rPr>
        <w:t>y dotar a estas últimas de mandatos claros.</w:t>
      </w:r>
    </w:p>
    <w:p w14:paraId="09E315F8" w14:textId="2AC242BD" w:rsidR="005D35E4" w:rsidRPr="005C7FD6" w:rsidRDefault="00F70D3C" w:rsidP="00CF49CC">
      <w:pPr>
        <w:rPr>
          <w:lang w:val="es-ES_tradnl"/>
        </w:rPr>
      </w:pPr>
      <w:r w:rsidRPr="005C7FD6">
        <w:rPr>
          <w:lang w:val="es-ES_tradnl"/>
        </w:rPr>
        <w:t>A continuación se detalla la propuesta de reestructuración de las Comisiones de Estudio.</w:t>
      </w:r>
    </w:p>
    <w:p w14:paraId="67CE76C6" w14:textId="0C0B5783" w:rsidR="005D35E4" w:rsidRPr="005C7FD6" w:rsidRDefault="005D35E4" w:rsidP="0004570C">
      <w:pPr>
        <w:pStyle w:val="Heading1"/>
        <w:rPr>
          <w:lang w:val="es-ES_tradnl"/>
        </w:rPr>
      </w:pPr>
      <w:r w:rsidRPr="005C7FD6">
        <w:rPr>
          <w:lang w:val="es-ES_tradnl"/>
        </w:rPr>
        <w:t>1</w:t>
      </w:r>
      <w:r w:rsidRPr="005C7FD6">
        <w:rPr>
          <w:lang w:val="es-ES_tradnl"/>
        </w:rPr>
        <w:tab/>
      </w:r>
      <w:r w:rsidR="001F242C" w:rsidRPr="005C7FD6">
        <w:rPr>
          <w:lang w:val="es-ES_tradnl"/>
        </w:rPr>
        <w:t>Agrupar todos los trabajos relacionados con la seguridad en la CE</w:t>
      </w:r>
      <w:r w:rsidR="005D4177">
        <w:rPr>
          <w:lang w:val="es-ES_tradnl"/>
        </w:rPr>
        <w:t> </w:t>
      </w:r>
      <w:r w:rsidR="001F242C" w:rsidRPr="005C7FD6">
        <w:rPr>
          <w:lang w:val="es-ES_tradnl"/>
        </w:rPr>
        <w:t>17</w:t>
      </w:r>
    </w:p>
    <w:p w14:paraId="76AF8628" w14:textId="2C72D7CC" w:rsidR="005D35E4" w:rsidRPr="005C7FD6" w:rsidRDefault="001F242C" w:rsidP="0004570C">
      <w:pPr>
        <w:rPr>
          <w:lang w:val="es-ES_tradnl"/>
        </w:rPr>
      </w:pPr>
      <w:r w:rsidRPr="005C7FD6">
        <w:rPr>
          <w:lang w:val="es-ES_tradnl"/>
        </w:rPr>
        <w:t>La CE</w:t>
      </w:r>
      <w:r w:rsidR="005D4177">
        <w:rPr>
          <w:lang w:val="es-ES_tradnl"/>
        </w:rPr>
        <w:t> </w:t>
      </w:r>
      <w:r w:rsidRPr="005C7FD6">
        <w:rPr>
          <w:lang w:val="es-ES_tradnl"/>
        </w:rPr>
        <w:t>17 es la Comisión de Estudio rectora en materia de seguridad. Resulta esencial agrupar todos los trabajos relacionados con la seguridad en la CE</w:t>
      </w:r>
      <w:r w:rsidR="00B32052" w:rsidRPr="005C7FD6">
        <w:rPr>
          <w:lang w:val="es-ES_tradnl"/>
        </w:rPr>
        <w:t> </w:t>
      </w:r>
      <w:r w:rsidRPr="005C7FD6">
        <w:rPr>
          <w:lang w:val="es-ES_tradnl"/>
        </w:rPr>
        <w:t>17, donde se concentran los expertos en seguridad. Por ejemplo, la</w:t>
      </w:r>
      <w:r w:rsidR="0025725F" w:rsidRPr="005C7FD6">
        <w:rPr>
          <w:lang w:val="es-ES_tradnl"/>
        </w:rPr>
        <w:t xml:space="preserve"> parte de la</w:t>
      </w:r>
      <w:r w:rsidRPr="005C7FD6">
        <w:rPr>
          <w:lang w:val="es-ES_tradnl"/>
        </w:rPr>
        <w:t xml:space="preserve"> C6/20</w:t>
      </w:r>
      <w:r w:rsidR="0025725F" w:rsidRPr="005C7FD6">
        <w:rPr>
          <w:lang w:val="es-ES_tradnl"/>
        </w:rPr>
        <w:t xml:space="preserve"> que se ocupa de la</w:t>
      </w:r>
      <w:r w:rsidRPr="005C7FD6">
        <w:rPr>
          <w:lang w:val="es-ES_tradnl"/>
        </w:rPr>
        <w:t xml:space="preserve"> </w:t>
      </w:r>
      <w:r w:rsidR="0004570C" w:rsidRPr="005C7FD6">
        <w:rPr>
          <w:lang w:val="es-ES_tradnl"/>
        </w:rPr>
        <w:t>"</w:t>
      </w:r>
      <w:r w:rsidRPr="005C7FD6">
        <w:rPr>
          <w:lang w:val="es-ES_tradnl"/>
        </w:rPr>
        <w:t>seguridad, privacidad y confianza para la IoT y las C+CI</w:t>
      </w:r>
      <w:r w:rsidR="0004570C" w:rsidRPr="005C7FD6">
        <w:rPr>
          <w:lang w:val="es-ES_tradnl"/>
        </w:rPr>
        <w:t>"</w:t>
      </w:r>
      <w:r w:rsidRPr="005C7FD6">
        <w:rPr>
          <w:lang w:val="es-ES_tradnl"/>
        </w:rPr>
        <w:t xml:space="preserve"> podría </w:t>
      </w:r>
      <w:r w:rsidR="0025725F" w:rsidRPr="005C7FD6">
        <w:rPr>
          <w:lang w:val="es-ES_tradnl"/>
        </w:rPr>
        <w:t>fusionarse con l</w:t>
      </w:r>
      <w:r w:rsidRPr="005C7FD6">
        <w:rPr>
          <w:lang w:val="es-ES_tradnl"/>
        </w:rPr>
        <w:t>a C6/17, que versa sobre la seguridad de los servicios de telecomunicaciones y la Internet de las cosas (IoT).</w:t>
      </w:r>
    </w:p>
    <w:p w14:paraId="46BAB2E1" w14:textId="0126E7D4" w:rsidR="005D35E4" w:rsidRPr="005C7FD6" w:rsidRDefault="005D35E4" w:rsidP="0004570C">
      <w:pPr>
        <w:pStyle w:val="Heading1"/>
        <w:rPr>
          <w:lang w:val="es-ES_tradnl"/>
        </w:rPr>
      </w:pPr>
      <w:r w:rsidRPr="005C7FD6">
        <w:rPr>
          <w:lang w:val="es-ES_tradnl"/>
        </w:rPr>
        <w:t>2</w:t>
      </w:r>
      <w:r w:rsidRPr="005C7FD6">
        <w:rPr>
          <w:lang w:val="es-ES_tradnl"/>
        </w:rPr>
        <w:tab/>
      </w:r>
      <w:r w:rsidR="001F242C" w:rsidRPr="005C7FD6">
        <w:rPr>
          <w:lang w:val="es-ES_tradnl"/>
        </w:rPr>
        <w:t>Agrupar todos los trabajos relacionados con la denominación, la numeración, el direccionamiento y la identificación (NNAI) en la CE</w:t>
      </w:r>
      <w:r w:rsidR="005D4177">
        <w:rPr>
          <w:lang w:val="es-ES_tradnl"/>
        </w:rPr>
        <w:t> </w:t>
      </w:r>
      <w:r w:rsidR="001F242C" w:rsidRPr="005C7FD6">
        <w:rPr>
          <w:lang w:val="es-ES_tradnl"/>
        </w:rPr>
        <w:t>2</w:t>
      </w:r>
    </w:p>
    <w:p w14:paraId="036D2F71" w14:textId="37823258" w:rsidR="005D35E4" w:rsidRPr="00B67ADB" w:rsidRDefault="001F242C" w:rsidP="00B67ADB">
      <w:pPr>
        <w:rPr>
          <w:lang w:val="es-ES_tradnl"/>
        </w:rPr>
      </w:pPr>
      <w:r w:rsidRPr="00B67ADB">
        <w:rPr>
          <w:lang w:val="es-ES_tradnl"/>
        </w:rPr>
        <w:t>Resulta esencial agrupar todos los trabajos sobre</w:t>
      </w:r>
      <w:r w:rsidRPr="005C7FD6">
        <w:rPr>
          <w:lang w:val="es-ES_tradnl"/>
        </w:rPr>
        <w:t xml:space="preserve"> NNAI de otras Comisiones de Estudio en la CE</w:t>
      </w:r>
      <w:r w:rsidR="00B32052" w:rsidRPr="005C7FD6">
        <w:rPr>
          <w:lang w:val="es-ES_tradnl"/>
        </w:rPr>
        <w:t> </w:t>
      </w:r>
      <w:r w:rsidRPr="005C7FD6">
        <w:rPr>
          <w:lang w:val="es-ES_tradnl"/>
        </w:rPr>
        <w:t>2, donde se concentran los expertos en la materia. Por ejemplo,</w:t>
      </w:r>
      <w:r w:rsidR="0025725F" w:rsidRPr="005C7FD6">
        <w:rPr>
          <w:lang w:val="es-ES_tradnl"/>
        </w:rPr>
        <w:t xml:space="preserve"> la labor relativa a la</w:t>
      </w:r>
      <w:r w:rsidRPr="005C7FD6">
        <w:rPr>
          <w:lang w:val="es-ES_tradnl"/>
        </w:rPr>
        <w:t xml:space="preserve"> identificación para</w:t>
      </w:r>
      <w:r w:rsidR="0025725F" w:rsidRPr="005C7FD6">
        <w:rPr>
          <w:lang w:val="es-ES_tradnl"/>
        </w:rPr>
        <w:t xml:space="preserve"> la </w:t>
      </w:r>
      <w:r w:rsidRPr="005C7FD6">
        <w:rPr>
          <w:lang w:val="es-ES_tradnl"/>
        </w:rPr>
        <w:t>IoT y</w:t>
      </w:r>
      <w:r w:rsidR="0025725F" w:rsidRPr="005C7FD6">
        <w:rPr>
          <w:lang w:val="es-ES_tradnl"/>
        </w:rPr>
        <w:t xml:space="preserve"> las C+CI de la C</w:t>
      </w:r>
      <w:r w:rsidRPr="005C7FD6">
        <w:rPr>
          <w:lang w:val="es-ES_tradnl"/>
        </w:rPr>
        <w:t>6/20 podría transferirse a la CE</w:t>
      </w:r>
      <w:r w:rsidR="00B32052" w:rsidRPr="005C7FD6">
        <w:rPr>
          <w:lang w:val="es-ES_tradnl"/>
        </w:rPr>
        <w:t> </w:t>
      </w:r>
      <w:r w:rsidRPr="005C7FD6">
        <w:rPr>
          <w:lang w:val="es-ES_tradnl"/>
        </w:rPr>
        <w:t>2. Este reajuste responde al mandato de la</w:t>
      </w:r>
      <w:r w:rsidR="00B90677">
        <w:rPr>
          <w:lang w:val="es-ES_tradnl"/>
        </w:rPr>
        <w:t> </w:t>
      </w:r>
      <w:r w:rsidRPr="005C7FD6">
        <w:rPr>
          <w:lang w:val="es-ES_tradnl"/>
        </w:rPr>
        <w:t>C1/2 sobre NNAI para servicios de telecomunicaciones fij</w:t>
      </w:r>
      <w:r w:rsidR="0025725F" w:rsidRPr="005C7FD6">
        <w:rPr>
          <w:lang w:val="es-ES_tradnl"/>
        </w:rPr>
        <w:t>o</w:t>
      </w:r>
      <w:r w:rsidRPr="005C7FD6">
        <w:rPr>
          <w:lang w:val="es-ES_tradnl"/>
        </w:rPr>
        <w:t>s y móviles. Esta transferencia estratégica</w:t>
      </w:r>
      <w:r w:rsidR="0025725F" w:rsidRPr="005C7FD6">
        <w:rPr>
          <w:lang w:val="es-ES_tradnl"/>
        </w:rPr>
        <w:t xml:space="preserve"> permite aplicar</w:t>
      </w:r>
      <w:r w:rsidRPr="005C7FD6">
        <w:rPr>
          <w:lang w:val="es-ES_tradnl"/>
        </w:rPr>
        <w:t xml:space="preserve"> un enfoque más </w:t>
      </w:r>
      <w:r w:rsidR="0025725F" w:rsidRPr="005C7FD6">
        <w:rPr>
          <w:lang w:val="es-ES_tradnl"/>
        </w:rPr>
        <w:t>coherente</w:t>
      </w:r>
      <w:r w:rsidRPr="005C7FD6">
        <w:rPr>
          <w:lang w:val="es-ES_tradnl"/>
        </w:rPr>
        <w:t xml:space="preserve"> y racionalizado </w:t>
      </w:r>
      <w:r w:rsidR="0025725F" w:rsidRPr="005C7FD6">
        <w:rPr>
          <w:lang w:val="es-ES_tradnl"/>
        </w:rPr>
        <w:t>a</w:t>
      </w:r>
      <w:r w:rsidRPr="005C7FD6">
        <w:rPr>
          <w:lang w:val="es-ES_tradnl"/>
        </w:rPr>
        <w:t xml:space="preserve"> las diversas facetas de la identificación en el ámbito de las telecomunicaciones/TIC.</w:t>
      </w:r>
    </w:p>
    <w:p w14:paraId="0EC1C364" w14:textId="65921BCD" w:rsidR="005D35E4" w:rsidRPr="005D4177" w:rsidRDefault="005D35E4" w:rsidP="00130EAD">
      <w:pPr>
        <w:pStyle w:val="Heading1"/>
        <w:rPr>
          <w:lang w:val="es-ES"/>
        </w:rPr>
      </w:pPr>
      <w:r w:rsidRPr="005C7FD6">
        <w:rPr>
          <w:lang w:val="es-ES_tradnl"/>
        </w:rPr>
        <w:t>3</w:t>
      </w:r>
      <w:r w:rsidRPr="005C7FD6">
        <w:rPr>
          <w:lang w:val="es-ES_tradnl"/>
        </w:rPr>
        <w:tab/>
      </w:r>
      <w:r w:rsidR="00130EAD" w:rsidRPr="005C7FD6">
        <w:rPr>
          <w:lang w:val="es-ES_tradnl"/>
        </w:rPr>
        <w:t>Agrupar los trabajos relacionados con la calidad de funcionamiento, la</w:t>
      </w:r>
      <w:r w:rsidR="00B32052" w:rsidRPr="005C7FD6">
        <w:rPr>
          <w:lang w:val="es-ES_tradnl"/>
        </w:rPr>
        <w:t> </w:t>
      </w:r>
      <w:r w:rsidR="00130EAD" w:rsidRPr="005C7FD6">
        <w:rPr>
          <w:lang w:val="es-ES_tradnl"/>
        </w:rPr>
        <w:t>calidad de servicio y la calidad percibida en la CE</w:t>
      </w:r>
      <w:r w:rsidR="005D4177">
        <w:rPr>
          <w:lang w:val="es-ES_tradnl"/>
        </w:rPr>
        <w:t> </w:t>
      </w:r>
      <w:r w:rsidR="00130EAD" w:rsidRPr="005C7FD6">
        <w:rPr>
          <w:lang w:val="es-ES_tradnl"/>
        </w:rPr>
        <w:t>12</w:t>
      </w:r>
    </w:p>
    <w:p w14:paraId="1B45A9F6" w14:textId="31A05E22" w:rsidR="00130EAD" w:rsidRPr="005C7FD6" w:rsidRDefault="00130EAD" w:rsidP="00130EAD">
      <w:pPr>
        <w:rPr>
          <w:lang w:val="es-ES_tradnl"/>
        </w:rPr>
      </w:pPr>
      <w:r w:rsidRPr="005C7FD6">
        <w:rPr>
          <w:lang w:val="es-ES_tradnl"/>
        </w:rPr>
        <w:t>La CE</w:t>
      </w:r>
      <w:r w:rsidR="00B32052" w:rsidRPr="005C7FD6">
        <w:rPr>
          <w:lang w:val="es-ES_tradnl"/>
        </w:rPr>
        <w:t> </w:t>
      </w:r>
      <w:r w:rsidRPr="005C7FD6">
        <w:rPr>
          <w:lang w:val="es-ES_tradnl"/>
        </w:rPr>
        <w:t>12 es la Comisión de Estudio rectora sobre calidad de funcionamiento, calidad de servicio (QoS) y calidad percibida (QoE) para todo tipo de terminales, redes, servicios y aplicaciones, incluidos los aspectos operacionales de la QoS y la QoE.</w:t>
      </w:r>
    </w:p>
    <w:p w14:paraId="328C44A5" w14:textId="5B9AC4A0" w:rsidR="005D35E4" w:rsidRPr="005C7FD6" w:rsidRDefault="009D3515" w:rsidP="009D3515">
      <w:pPr>
        <w:rPr>
          <w:rFonts w:asciiTheme="majorBidi" w:hAnsiTheme="majorBidi" w:cstheme="majorBidi"/>
          <w:szCs w:val="24"/>
          <w:lang w:val="es-ES_tradnl"/>
        </w:rPr>
      </w:pPr>
      <w:r w:rsidRPr="005C7FD6">
        <w:rPr>
          <w:lang w:val="es-ES_tradnl"/>
        </w:rPr>
        <w:t>E</w:t>
      </w:r>
      <w:r w:rsidR="00130EAD" w:rsidRPr="005C7FD6">
        <w:rPr>
          <w:lang w:val="es-ES_tradnl"/>
        </w:rPr>
        <w:t>s necesario considerar la actualización de l</w:t>
      </w:r>
      <w:r w:rsidRPr="005C7FD6">
        <w:rPr>
          <w:lang w:val="es-ES_tradnl"/>
        </w:rPr>
        <w:t xml:space="preserve">as orientaciones a las CE para la elaboración del programa de trabajo posterior a 2024, consignadas en el </w:t>
      </w:r>
      <w:r w:rsidR="005D4177" w:rsidRPr="005C7FD6">
        <w:rPr>
          <w:lang w:val="es-ES_tradnl"/>
        </w:rPr>
        <w:t>Anexo</w:t>
      </w:r>
      <w:r w:rsidR="005D4177">
        <w:rPr>
          <w:lang w:val="es-ES_tradnl"/>
        </w:rPr>
        <w:t> </w:t>
      </w:r>
      <w:r w:rsidR="00130EAD" w:rsidRPr="005C7FD6">
        <w:rPr>
          <w:lang w:val="es-ES_tradnl"/>
        </w:rPr>
        <w:t xml:space="preserve">B </w:t>
      </w:r>
      <w:r w:rsidRPr="005C7FD6">
        <w:rPr>
          <w:lang w:val="es-ES_tradnl"/>
        </w:rPr>
        <w:t>a</w:t>
      </w:r>
      <w:r w:rsidR="00130EAD" w:rsidRPr="005C7FD6">
        <w:rPr>
          <w:lang w:val="es-ES_tradnl"/>
        </w:rPr>
        <w:t xml:space="preserve"> la Resolución</w:t>
      </w:r>
      <w:r w:rsidR="00B32052" w:rsidRPr="005C7FD6">
        <w:rPr>
          <w:lang w:val="es-ES_tradnl"/>
        </w:rPr>
        <w:t> </w:t>
      </w:r>
      <w:r w:rsidR="00130EAD" w:rsidRPr="005C7FD6">
        <w:rPr>
          <w:lang w:val="es-ES_tradnl"/>
        </w:rPr>
        <w:t>2 (Rev.</w:t>
      </w:r>
      <w:r w:rsidR="0004570C" w:rsidRPr="005C7FD6">
        <w:rPr>
          <w:lang w:val="es-ES_tradnl"/>
        </w:rPr>
        <w:t> </w:t>
      </w:r>
      <w:r w:rsidR="00130EAD" w:rsidRPr="005C7FD6">
        <w:rPr>
          <w:lang w:val="es-ES_tradnl"/>
        </w:rPr>
        <w:t>Ginebra</w:t>
      </w:r>
      <w:r w:rsidR="005D4177">
        <w:rPr>
          <w:lang w:val="es-ES_tradnl"/>
        </w:rPr>
        <w:t>,</w:t>
      </w:r>
      <w:r w:rsidR="0004570C" w:rsidRPr="005C7FD6">
        <w:rPr>
          <w:lang w:val="es-ES_tradnl"/>
        </w:rPr>
        <w:t> </w:t>
      </w:r>
      <w:r w:rsidR="00130EAD" w:rsidRPr="005C7FD6">
        <w:rPr>
          <w:lang w:val="es-ES_tradnl"/>
        </w:rPr>
        <w:t xml:space="preserve">2022), </w:t>
      </w:r>
      <w:r w:rsidRPr="005C7FD6">
        <w:rPr>
          <w:lang w:val="es-ES_tradnl"/>
        </w:rPr>
        <w:t>a fin de evitar de evitar s</w:t>
      </w:r>
      <w:r w:rsidR="00130EAD" w:rsidRPr="005C7FD6">
        <w:rPr>
          <w:lang w:val="es-ES_tradnl"/>
        </w:rPr>
        <w:t>olapamiento</w:t>
      </w:r>
      <w:r w:rsidRPr="005C7FD6">
        <w:rPr>
          <w:lang w:val="es-ES_tradnl"/>
        </w:rPr>
        <w:t>s</w:t>
      </w:r>
      <w:r w:rsidR="00130EAD" w:rsidRPr="005C7FD6">
        <w:rPr>
          <w:lang w:val="es-ES_tradnl"/>
        </w:rPr>
        <w:t xml:space="preserve"> entre </w:t>
      </w:r>
      <w:r w:rsidRPr="005C7FD6">
        <w:rPr>
          <w:lang w:val="es-ES_tradnl"/>
        </w:rPr>
        <w:t xml:space="preserve">los </w:t>
      </w:r>
      <w:r w:rsidR="00130EAD" w:rsidRPr="005C7FD6">
        <w:rPr>
          <w:lang w:val="es-ES_tradnl"/>
        </w:rPr>
        <w:t>trabajo</w:t>
      </w:r>
      <w:r w:rsidRPr="005C7FD6">
        <w:rPr>
          <w:lang w:val="es-ES_tradnl"/>
        </w:rPr>
        <w:t>s</w:t>
      </w:r>
      <w:r w:rsidR="00130EAD" w:rsidRPr="005C7FD6">
        <w:rPr>
          <w:lang w:val="es-ES_tradnl"/>
        </w:rPr>
        <w:t xml:space="preserve"> descrito</w:t>
      </w:r>
      <w:r w:rsidRPr="005C7FD6">
        <w:rPr>
          <w:lang w:val="es-ES_tradnl"/>
        </w:rPr>
        <w:t>s</w:t>
      </w:r>
      <w:r w:rsidR="00130EAD" w:rsidRPr="005C7FD6">
        <w:rPr>
          <w:lang w:val="es-ES_tradnl"/>
        </w:rPr>
        <w:t xml:space="preserve"> en</w:t>
      </w:r>
      <w:r w:rsidRPr="005C7FD6">
        <w:rPr>
          <w:lang w:val="es-ES_tradnl"/>
        </w:rPr>
        <w:t xml:space="preserve"> dichas orientaciones </w:t>
      </w:r>
      <w:r w:rsidR="00130EAD" w:rsidRPr="005C7FD6">
        <w:rPr>
          <w:lang w:val="es-ES_tradnl"/>
        </w:rPr>
        <w:t xml:space="preserve">y </w:t>
      </w:r>
      <w:r w:rsidR="004B1965" w:rsidRPr="005C7FD6">
        <w:rPr>
          <w:lang w:val="es-ES_tradnl"/>
        </w:rPr>
        <w:t>los</w:t>
      </w:r>
      <w:r w:rsidR="00130EAD" w:rsidRPr="005C7FD6">
        <w:rPr>
          <w:lang w:val="es-ES_tradnl"/>
        </w:rPr>
        <w:t xml:space="preserve"> mandato</w:t>
      </w:r>
      <w:r w:rsidR="004B1965" w:rsidRPr="005C7FD6">
        <w:rPr>
          <w:lang w:val="es-ES_tradnl"/>
        </w:rPr>
        <w:t>s</w:t>
      </w:r>
      <w:r w:rsidR="00130EAD" w:rsidRPr="005C7FD6">
        <w:rPr>
          <w:lang w:val="es-ES_tradnl"/>
        </w:rPr>
        <w:t xml:space="preserve"> de otras CE.</w:t>
      </w:r>
    </w:p>
    <w:p w14:paraId="4A3234C0" w14:textId="1D9A246C" w:rsidR="005D35E4" w:rsidRPr="00B90677" w:rsidRDefault="005D35E4" w:rsidP="009D3515">
      <w:pPr>
        <w:pStyle w:val="Heading1"/>
        <w:rPr>
          <w:lang w:val="es-ES"/>
        </w:rPr>
      </w:pPr>
      <w:r w:rsidRPr="005C7FD6">
        <w:rPr>
          <w:lang w:val="es-ES_tradnl"/>
        </w:rPr>
        <w:t>4</w:t>
      </w:r>
      <w:r w:rsidRPr="005C7FD6">
        <w:rPr>
          <w:lang w:val="es-ES_tradnl"/>
        </w:rPr>
        <w:tab/>
      </w:r>
      <w:r w:rsidR="009D3515" w:rsidRPr="005C7FD6">
        <w:rPr>
          <w:lang w:val="es-ES_tradnl"/>
        </w:rPr>
        <w:t>Agrupar los trabajos relacionados con las aplicaciones multimedi</w:t>
      </w:r>
      <w:r w:rsidR="004B1965" w:rsidRPr="005C7FD6">
        <w:rPr>
          <w:lang w:val="es-ES_tradnl"/>
        </w:rPr>
        <w:t>os</w:t>
      </w:r>
      <w:r w:rsidR="009D3515" w:rsidRPr="005C7FD6">
        <w:rPr>
          <w:lang w:val="es-ES_tradnl"/>
        </w:rPr>
        <w:t xml:space="preserve"> en curso en la CE</w:t>
      </w:r>
      <w:r w:rsidR="005D4177">
        <w:rPr>
          <w:lang w:val="es-ES_tradnl"/>
        </w:rPr>
        <w:t> </w:t>
      </w:r>
      <w:r w:rsidR="009D3515" w:rsidRPr="005C7FD6">
        <w:rPr>
          <w:lang w:val="es-ES_tradnl"/>
        </w:rPr>
        <w:t>9 y la CE</w:t>
      </w:r>
      <w:r w:rsidR="005D4177">
        <w:rPr>
          <w:lang w:val="es-ES_tradnl"/>
        </w:rPr>
        <w:t> </w:t>
      </w:r>
      <w:r w:rsidR="009D3515" w:rsidRPr="005C7FD6">
        <w:rPr>
          <w:lang w:val="es-ES_tradnl"/>
        </w:rPr>
        <w:t>16 del UIT-T en una sola Comisión de Estudio</w:t>
      </w:r>
    </w:p>
    <w:p w14:paraId="031E762E" w14:textId="70480BFA" w:rsidR="005D35E4" w:rsidRPr="005C7FD6" w:rsidRDefault="009D3515" w:rsidP="009D3515">
      <w:pPr>
        <w:rPr>
          <w:rFonts w:asciiTheme="majorBidi" w:hAnsiTheme="majorBidi" w:cstheme="majorBidi"/>
          <w:szCs w:val="24"/>
          <w:lang w:val="es-ES_tradnl"/>
        </w:rPr>
      </w:pPr>
      <w:r w:rsidRPr="005C7FD6">
        <w:rPr>
          <w:lang w:val="es-ES_tradnl"/>
        </w:rPr>
        <w:t>La CITEL apoya la fusión de la CE</w:t>
      </w:r>
      <w:r w:rsidR="00B32052" w:rsidRPr="005C7FD6">
        <w:rPr>
          <w:lang w:val="es-ES_tradnl"/>
        </w:rPr>
        <w:t> </w:t>
      </w:r>
      <w:r w:rsidRPr="005C7FD6">
        <w:rPr>
          <w:lang w:val="es-ES_tradnl"/>
        </w:rPr>
        <w:t>9 y la CE</w:t>
      </w:r>
      <w:r w:rsidR="00B32052" w:rsidRPr="005C7FD6">
        <w:rPr>
          <w:lang w:val="es-ES_tradnl"/>
        </w:rPr>
        <w:t> </w:t>
      </w:r>
      <w:r w:rsidRPr="005C7FD6">
        <w:rPr>
          <w:lang w:val="es-ES_tradnl"/>
        </w:rPr>
        <w:t>16 en una nueva Comisión de Estudio</w:t>
      </w:r>
      <w:r w:rsidR="00B32052" w:rsidRPr="005C7FD6">
        <w:rPr>
          <w:lang w:val="es-ES_tradnl"/>
        </w:rPr>
        <w:t> </w:t>
      </w:r>
      <w:r w:rsidRPr="005C7FD6">
        <w:rPr>
          <w:lang w:val="es-ES_tradnl"/>
        </w:rPr>
        <w:t xml:space="preserve">C, </w:t>
      </w:r>
      <w:r w:rsidR="0004570C" w:rsidRPr="005C7FD6">
        <w:rPr>
          <w:lang w:val="es-ES_tradnl"/>
        </w:rPr>
        <w:t>"</w:t>
      </w:r>
      <w:r w:rsidRPr="005C7FD6">
        <w:rPr>
          <w:lang w:val="es-ES_tradnl"/>
        </w:rPr>
        <w:t>Tecnologías para los multimedios, la distribución de contenidos y la televisión por cable</w:t>
      </w:r>
      <w:r w:rsidR="0004570C" w:rsidRPr="005C7FD6">
        <w:rPr>
          <w:lang w:val="es-ES_tradnl"/>
        </w:rPr>
        <w:t>"</w:t>
      </w:r>
      <w:r w:rsidRPr="005C7FD6">
        <w:rPr>
          <w:lang w:val="es-ES_tradnl"/>
        </w:rPr>
        <w:t>, conforme a lo acordado por el GANT.</w:t>
      </w:r>
    </w:p>
    <w:p w14:paraId="42A880AD" w14:textId="68690189" w:rsidR="005D35E4" w:rsidRPr="00B90677" w:rsidRDefault="005D35E4" w:rsidP="005D35E4">
      <w:pPr>
        <w:pStyle w:val="Heading1"/>
        <w:rPr>
          <w:lang w:val="es-ES"/>
        </w:rPr>
      </w:pPr>
      <w:r w:rsidRPr="005C7FD6">
        <w:rPr>
          <w:lang w:val="es-ES_tradnl"/>
        </w:rPr>
        <w:lastRenderedPageBreak/>
        <w:t>5</w:t>
      </w:r>
      <w:r w:rsidRPr="005C7FD6">
        <w:rPr>
          <w:lang w:val="es-ES_tradnl"/>
        </w:rPr>
        <w:tab/>
      </w:r>
      <w:r w:rsidR="00917F43" w:rsidRPr="005C7FD6">
        <w:rPr>
          <w:lang w:val="es-ES_tradnl"/>
        </w:rPr>
        <w:t>Utilizar una terminología clara y coherente en los mandatos de las CE</w:t>
      </w:r>
    </w:p>
    <w:p w14:paraId="7ECABA1D" w14:textId="1C3093E1" w:rsidR="00917F43" w:rsidRPr="005C7FD6" w:rsidRDefault="00917F43" w:rsidP="00917F43">
      <w:pPr>
        <w:rPr>
          <w:lang w:val="es-ES_tradnl"/>
        </w:rPr>
      </w:pPr>
      <w:r w:rsidRPr="005C7FD6">
        <w:rPr>
          <w:lang w:val="es-ES_tradnl"/>
        </w:rPr>
        <w:t>El UIT-T es responsable de</w:t>
      </w:r>
      <w:r w:rsidR="00592A99" w:rsidRPr="005C7FD6">
        <w:rPr>
          <w:lang w:val="es-ES_tradnl"/>
        </w:rPr>
        <w:t xml:space="preserve"> </w:t>
      </w:r>
      <w:r w:rsidRPr="005C7FD6">
        <w:rPr>
          <w:lang w:val="es-ES_tradnl"/>
        </w:rPr>
        <w:t>l</w:t>
      </w:r>
      <w:r w:rsidR="00592A99" w:rsidRPr="005C7FD6">
        <w:rPr>
          <w:lang w:val="es-ES_tradnl"/>
        </w:rPr>
        <w:t xml:space="preserve">a elaboración </w:t>
      </w:r>
      <w:r w:rsidRPr="005C7FD6">
        <w:rPr>
          <w:lang w:val="es-ES_tradnl"/>
        </w:rPr>
        <w:t xml:space="preserve">de normas internacionales para las telecomunicaciones/TIC. </w:t>
      </w:r>
      <w:r w:rsidR="00592A99" w:rsidRPr="005C7FD6">
        <w:rPr>
          <w:lang w:val="es-ES_tradnl"/>
        </w:rPr>
        <w:t>En los</w:t>
      </w:r>
      <w:r w:rsidRPr="005C7FD6">
        <w:rPr>
          <w:lang w:val="es-ES_tradnl"/>
        </w:rPr>
        <w:t xml:space="preserve"> mandatos</w:t>
      </w:r>
      <w:r w:rsidR="00592A99" w:rsidRPr="005C7FD6">
        <w:rPr>
          <w:lang w:val="es-ES_tradnl"/>
        </w:rPr>
        <w:t xml:space="preserve"> de</w:t>
      </w:r>
      <w:r w:rsidRPr="005C7FD6">
        <w:rPr>
          <w:lang w:val="es-ES_tradnl"/>
        </w:rPr>
        <w:t xml:space="preserve"> la CE</w:t>
      </w:r>
      <w:r w:rsidR="00B32052" w:rsidRPr="005C7FD6">
        <w:rPr>
          <w:lang w:val="es-ES_tradnl"/>
        </w:rPr>
        <w:t> </w:t>
      </w:r>
      <w:r w:rsidRPr="005C7FD6">
        <w:rPr>
          <w:lang w:val="es-ES_tradnl"/>
        </w:rPr>
        <w:t xml:space="preserve">5, </w:t>
      </w:r>
      <w:r w:rsidR="00592A99" w:rsidRPr="005C7FD6">
        <w:rPr>
          <w:lang w:val="es-ES_tradnl"/>
        </w:rPr>
        <w:t xml:space="preserve">la </w:t>
      </w:r>
      <w:r w:rsidRPr="005C7FD6">
        <w:rPr>
          <w:lang w:val="es-ES_tradnl"/>
        </w:rPr>
        <w:t>CE</w:t>
      </w:r>
      <w:r w:rsidR="00B32052" w:rsidRPr="005C7FD6">
        <w:rPr>
          <w:lang w:val="es-ES_tradnl"/>
        </w:rPr>
        <w:t> </w:t>
      </w:r>
      <w:r w:rsidRPr="005C7FD6">
        <w:rPr>
          <w:lang w:val="es-ES_tradnl"/>
        </w:rPr>
        <w:t>16 y</w:t>
      </w:r>
      <w:r w:rsidR="00592A99" w:rsidRPr="005C7FD6">
        <w:rPr>
          <w:lang w:val="es-ES_tradnl"/>
        </w:rPr>
        <w:t xml:space="preserve"> la</w:t>
      </w:r>
      <w:r w:rsidRPr="005C7FD6">
        <w:rPr>
          <w:lang w:val="es-ES_tradnl"/>
        </w:rPr>
        <w:t xml:space="preserve"> CE</w:t>
      </w:r>
      <w:r w:rsidR="00B32052" w:rsidRPr="005C7FD6">
        <w:rPr>
          <w:lang w:val="es-ES_tradnl"/>
        </w:rPr>
        <w:t> </w:t>
      </w:r>
      <w:r w:rsidRPr="005C7FD6">
        <w:rPr>
          <w:lang w:val="es-ES_tradnl"/>
        </w:rPr>
        <w:t>20</w:t>
      </w:r>
      <w:r w:rsidR="00592A99" w:rsidRPr="005C7FD6">
        <w:rPr>
          <w:lang w:val="es-ES_tradnl"/>
        </w:rPr>
        <w:t xml:space="preserve"> se utiliza</w:t>
      </w:r>
      <w:r w:rsidRPr="005C7FD6">
        <w:rPr>
          <w:lang w:val="es-ES_tradnl"/>
        </w:rPr>
        <w:t xml:space="preserve"> el término </w:t>
      </w:r>
      <w:r w:rsidR="0004570C" w:rsidRPr="005C7FD6">
        <w:rPr>
          <w:lang w:val="es-ES_tradnl"/>
        </w:rPr>
        <w:t>"</w:t>
      </w:r>
      <w:r w:rsidRPr="005C7FD6">
        <w:rPr>
          <w:lang w:val="es-ES_tradnl"/>
        </w:rPr>
        <w:t>tecnologías digitales</w:t>
      </w:r>
      <w:r w:rsidR="0004570C" w:rsidRPr="005C7FD6">
        <w:rPr>
          <w:lang w:val="es-ES_tradnl"/>
        </w:rPr>
        <w:t>"</w:t>
      </w:r>
      <w:r w:rsidRPr="005C7FD6">
        <w:rPr>
          <w:lang w:val="es-ES_tradnl"/>
        </w:rPr>
        <w:t>, lo que puede llevar a confusión</w:t>
      </w:r>
      <w:r w:rsidR="00592A99" w:rsidRPr="005C7FD6">
        <w:rPr>
          <w:lang w:val="es-ES_tradnl"/>
        </w:rPr>
        <w:t xml:space="preserve"> puesto </w:t>
      </w:r>
      <w:r w:rsidRPr="005C7FD6">
        <w:rPr>
          <w:lang w:val="es-ES_tradnl"/>
        </w:rPr>
        <w:t xml:space="preserve">que existen numerosas tecnologías digitales </w:t>
      </w:r>
      <w:r w:rsidR="005E1C2C" w:rsidRPr="005C7FD6">
        <w:rPr>
          <w:lang w:val="es-ES_tradnl"/>
        </w:rPr>
        <w:t>fuera</w:t>
      </w:r>
      <w:r w:rsidRPr="005C7FD6">
        <w:rPr>
          <w:lang w:val="es-ES_tradnl"/>
        </w:rPr>
        <w:t xml:space="preserve"> del ámbito de las TIC. </w:t>
      </w:r>
      <w:r w:rsidR="005E1C2C" w:rsidRPr="005C7FD6">
        <w:rPr>
          <w:lang w:val="es-ES_tradnl"/>
        </w:rPr>
        <w:t>Básicamente</w:t>
      </w:r>
      <w:r w:rsidRPr="005C7FD6">
        <w:rPr>
          <w:lang w:val="es-ES_tradnl"/>
        </w:rPr>
        <w:t xml:space="preserve">, </w:t>
      </w:r>
      <w:r w:rsidR="005E1C2C" w:rsidRPr="005C7FD6">
        <w:rPr>
          <w:lang w:val="es-ES_tradnl"/>
        </w:rPr>
        <w:t>las</w:t>
      </w:r>
      <w:r w:rsidRPr="005C7FD6">
        <w:rPr>
          <w:lang w:val="es-ES_tradnl"/>
        </w:rPr>
        <w:t xml:space="preserve"> TIC </w:t>
      </w:r>
      <w:r w:rsidR="005E1C2C" w:rsidRPr="005C7FD6">
        <w:rPr>
          <w:lang w:val="es-ES_tradnl"/>
        </w:rPr>
        <w:t xml:space="preserve">son </w:t>
      </w:r>
      <w:r w:rsidRPr="005C7FD6">
        <w:rPr>
          <w:lang w:val="es-ES_tradnl"/>
        </w:rPr>
        <w:t xml:space="preserve">tecnologías que facilitan el manejo y el intercambio de información a través de diversos </w:t>
      </w:r>
      <w:r w:rsidR="004B1965" w:rsidRPr="005C7FD6">
        <w:rPr>
          <w:lang w:val="es-ES_tradnl"/>
        </w:rPr>
        <w:t>medios</w:t>
      </w:r>
      <w:r w:rsidRPr="005C7FD6">
        <w:rPr>
          <w:lang w:val="es-ES_tradnl"/>
        </w:rPr>
        <w:t xml:space="preserve"> de comunicación. Aunque </w:t>
      </w:r>
      <w:r w:rsidR="005E1C2C" w:rsidRPr="005C7FD6">
        <w:rPr>
          <w:lang w:val="es-ES_tradnl"/>
        </w:rPr>
        <w:t xml:space="preserve">numerosas </w:t>
      </w:r>
      <w:r w:rsidRPr="005C7FD6">
        <w:rPr>
          <w:lang w:val="es-ES_tradnl"/>
        </w:rPr>
        <w:t>tecnologías analógicas y digitales entran dentro de esta categoría, existen tecnologías analógicas y digitales que</w:t>
      </w:r>
      <w:r w:rsidR="005E1C2C" w:rsidRPr="005C7FD6">
        <w:rPr>
          <w:lang w:val="es-ES_tradnl"/>
        </w:rPr>
        <w:t xml:space="preserve"> se utilizan</w:t>
      </w:r>
      <w:r w:rsidRPr="005C7FD6">
        <w:rPr>
          <w:lang w:val="es-ES_tradnl"/>
        </w:rPr>
        <w:t xml:space="preserve"> para fines ajenos a</w:t>
      </w:r>
      <w:r w:rsidR="005E1C2C" w:rsidRPr="005C7FD6">
        <w:rPr>
          <w:lang w:val="es-ES_tradnl"/>
        </w:rPr>
        <w:t xml:space="preserve"> la gestión de las comunicaciones y la información </w:t>
      </w:r>
      <w:r w:rsidRPr="005C7FD6">
        <w:rPr>
          <w:lang w:val="es-ES_tradnl"/>
        </w:rPr>
        <w:t>y, por tanto, no se consideraran TIC.</w:t>
      </w:r>
    </w:p>
    <w:p w14:paraId="77ACC841" w14:textId="6DFC8EC6" w:rsidR="005D35E4" w:rsidRPr="005C7FD6" w:rsidRDefault="005E1C2C" w:rsidP="005D35E4">
      <w:pPr>
        <w:rPr>
          <w:lang w:val="es-ES_tradnl"/>
        </w:rPr>
      </w:pPr>
      <w:r w:rsidRPr="005C7FD6">
        <w:rPr>
          <w:lang w:val="es-ES_tradnl"/>
        </w:rPr>
        <w:t>Conviene</w:t>
      </w:r>
      <w:r w:rsidR="00917F43" w:rsidRPr="005C7FD6">
        <w:rPr>
          <w:lang w:val="es-ES_tradnl"/>
        </w:rPr>
        <w:t xml:space="preserve"> abstenerse de utilizar el término </w:t>
      </w:r>
      <w:r w:rsidR="0004570C" w:rsidRPr="005C7FD6">
        <w:rPr>
          <w:lang w:val="es-ES_tradnl"/>
        </w:rPr>
        <w:t>"</w:t>
      </w:r>
      <w:r w:rsidR="00917F43" w:rsidRPr="005C7FD6">
        <w:rPr>
          <w:lang w:val="es-ES_tradnl"/>
        </w:rPr>
        <w:t>tecnologías digitales</w:t>
      </w:r>
      <w:r w:rsidR="0004570C" w:rsidRPr="005C7FD6">
        <w:rPr>
          <w:lang w:val="es-ES_tradnl"/>
        </w:rPr>
        <w:t>"</w:t>
      </w:r>
      <w:r w:rsidR="00917F43" w:rsidRPr="005C7FD6">
        <w:rPr>
          <w:lang w:val="es-ES_tradnl"/>
        </w:rPr>
        <w:t xml:space="preserve"> en los mandatos de las CE, optando en su lugar por términos como </w:t>
      </w:r>
      <w:r w:rsidR="0004570C" w:rsidRPr="005C7FD6">
        <w:rPr>
          <w:lang w:val="es-ES_tradnl"/>
        </w:rPr>
        <w:t>"</w:t>
      </w:r>
      <w:r w:rsidR="00917F43" w:rsidRPr="005C7FD6">
        <w:rPr>
          <w:lang w:val="es-ES_tradnl"/>
        </w:rPr>
        <w:t>telecomunicaciones/TIC</w:t>
      </w:r>
      <w:r w:rsidR="0004570C" w:rsidRPr="005C7FD6">
        <w:rPr>
          <w:lang w:val="es-ES_tradnl"/>
        </w:rPr>
        <w:t>"</w:t>
      </w:r>
      <w:r w:rsidR="00917F43" w:rsidRPr="005C7FD6">
        <w:rPr>
          <w:lang w:val="es-ES_tradnl"/>
        </w:rPr>
        <w:t xml:space="preserve"> o simplemente TIC.</w:t>
      </w:r>
    </w:p>
    <w:p w14:paraId="3A8B5F39" w14:textId="77A79B4F" w:rsidR="005D35E4" w:rsidRPr="00B90677" w:rsidRDefault="005D35E4" w:rsidP="005D35E4">
      <w:pPr>
        <w:pStyle w:val="Heading1"/>
        <w:rPr>
          <w:lang w:val="es-ES"/>
        </w:rPr>
      </w:pPr>
      <w:r w:rsidRPr="005C7FD6">
        <w:rPr>
          <w:lang w:val="es-ES_tradnl"/>
        </w:rPr>
        <w:t>6</w:t>
      </w:r>
      <w:r w:rsidRPr="005C7FD6">
        <w:rPr>
          <w:lang w:val="es-ES_tradnl"/>
        </w:rPr>
        <w:tab/>
      </w:r>
      <w:r w:rsidR="005E1C2C" w:rsidRPr="005C7FD6">
        <w:rPr>
          <w:lang w:val="es-ES_tradnl"/>
        </w:rPr>
        <w:t xml:space="preserve">Aclarar el concepto de </w:t>
      </w:r>
      <w:r w:rsidR="0004570C" w:rsidRPr="005C7FD6">
        <w:rPr>
          <w:lang w:val="es-ES_tradnl"/>
        </w:rPr>
        <w:t>"</w:t>
      </w:r>
      <w:r w:rsidR="005E1C2C" w:rsidRPr="005C7FD6">
        <w:rPr>
          <w:lang w:val="es-ES_tradnl"/>
        </w:rPr>
        <w:t>Comisión de Estudio rectora</w:t>
      </w:r>
      <w:r w:rsidR="0004570C" w:rsidRPr="005C7FD6">
        <w:rPr>
          <w:lang w:val="es-ES_tradnl"/>
        </w:rPr>
        <w:t>"</w:t>
      </w:r>
    </w:p>
    <w:p w14:paraId="037A31A3" w14:textId="1700568E" w:rsidR="005E1C2C" w:rsidRPr="005C7FD6" w:rsidRDefault="005E1C2C" w:rsidP="005E1C2C">
      <w:pPr>
        <w:rPr>
          <w:lang w:val="es-ES_tradnl"/>
        </w:rPr>
      </w:pPr>
      <w:r w:rsidRPr="005C7FD6">
        <w:rPr>
          <w:lang w:val="es-ES_tradnl"/>
        </w:rPr>
        <w:t xml:space="preserve">Aunque el concepto de Comisión de Estudio rectora emana de una práctica arraigada, la </w:t>
      </w:r>
      <w:r w:rsidR="0037451C" w:rsidRPr="005C7FD6">
        <w:rPr>
          <w:lang w:val="es-ES_tradnl"/>
        </w:rPr>
        <w:t xml:space="preserve">experiencia </w:t>
      </w:r>
      <w:r w:rsidRPr="005C7FD6">
        <w:rPr>
          <w:lang w:val="es-ES_tradnl"/>
        </w:rPr>
        <w:t xml:space="preserve">práctica ha puesto de manifiesto los retos que plantea la </w:t>
      </w:r>
      <w:r w:rsidR="0037451C" w:rsidRPr="005C7FD6">
        <w:rPr>
          <w:lang w:val="es-ES_tradnl"/>
        </w:rPr>
        <w:t>gestión</w:t>
      </w:r>
      <w:r w:rsidRPr="005C7FD6">
        <w:rPr>
          <w:lang w:val="es-ES_tradnl"/>
        </w:rPr>
        <w:t xml:space="preserve"> eficaz de los esfuerzos de colaboración, sobre todo teniendo en cuenta que los trabajos se basan en contribuciones.</w:t>
      </w:r>
    </w:p>
    <w:p w14:paraId="6645D717" w14:textId="238B2A74" w:rsidR="005E1C2C" w:rsidRPr="005C7FD6" w:rsidRDefault="005E1C2C" w:rsidP="00ED7B7F">
      <w:pPr>
        <w:rPr>
          <w:lang w:val="es-ES_tradnl"/>
        </w:rPr>
      </w:pPr>
      <w:r w:rsidRPr="005C7FD6">
        <w:rPr>
          <w:lang w:val="es-ES_tradnl"/>
        </w:rPr>
        <w:t>En particular, las dinámicas de las distintas Comisiones de Estudio parecen estar estrechamente vinculadas a sus distintos programas de trabajo, lo que resta relevancia al concepto de Comisión de Estudio rectora. Actualmente, las Comisiones de Estudio suelen definir sus funciones rectoras</w:t>
      </w:r>
      <w:r w:rsidR="00ED7B7F" w:rsidRPr="005C7FD6">
        <w:rPr>
          <w:lang w:val="es-ES_tradnl"/>
        </w:rPr>
        <w:t xml:space="preserve"> en el marco de </w:t>
      </w:r>
      <w:r w:rsidRPr="005C7FD6">
        <w:rPr>
          <w:lang w:val="es-ES_tradnl"/>
        </w:rPr>
        <w:t>sus respectivos programas de trabajo. Sin embargo, esta redundancia a menudo</w:t>
      </w:r>
      <w:r w:rsidR="00ED7B7F" w:rsidRPr="005C7FD6">
        <w:rPr>
          <w:lang w:val="es-ES_tradnl"/>
        </w:rPr>
        <w:t xml:space="preserve"> refleja</w:t>
      </w:r>
      <w:r w:rsidRPr="005C7FD6">
        <w:rPr>
          <w:lang w:val="es-ES_tradnl"/>
        </w:rPr>
        <w:t xml:space="preserve"> los mandatos </w:t>
      </w:r>
      <w:r w:rsidR="00ED7B7F" w:rsidRPr="005C7FD6">
        <w:rPr>
          <w:lang w:val="es-ES_tradnl"/>
        </w:rPr>
        <w:t>de</w:t>
      </w:r>
      <w:r w:rsidRPr="005C7FD6">
        <w:rPr>
          <w:lang w:val="es-ES_tradnl"/>
        </w:rPr>
        <w:t xml:space="preserve"> las </w:t>
      </w:r>
      <w:r w:rsidR="0037451C" w:rsidRPr="005C7FD6">
        <w:rPr>
          <w:lang w:val="es-ES_tradnl"/>
        </w:rPr>
        <w:t xml:space="preserve">propias </w:t>
      </w:r>
      <w:r w:rsidRPr="005C7FD6">
        <w:rPr>
          <w:lang w:val="es-ES_tradnl"/>
        </w:rPr>
        <w:t>Comisiones de Estudio, haciendo innecesaria la reiteración explícita. Por ejemplo, el mandato de la CE</w:t>
      </w:r>
      <w:r w:rsidR="00E2157E" w:rsidRPr="005C7FD6">
        <w:rPr>
          <w:lang w:val="es-ES_tradnl"/>
        </w:rPr>
        <w:t> </w:t>
      </w:r>
      <w:r w:rsidRPr="005C7FD6">
        <w:rPr>
          <w:lang w:val="es-ES_tradnl"/>
        </w:rPr>
        <w:t>17</w:t>
      </w:r>
      <w:r w:rsidR="00ED7B7F" w:rsidRPr="005C7FD6">
        <w:rPr>
          <w:lang w:val="es-ES_tradnl"/>
        </w:rPr>
        <w:t xml:space="preserve"> se centra en </w:t>
      </w:r>
      <w:r w:rsidRPr="005C7FD6">
        <w:rPr>
          <w:lang w:val="es-ES_tradnl"/>
        </w:rPr>
        <w:t>la seguridad y la CE</w:t>
      </w:r>
      <w:r w:rsidR="00E2157E" w:rsidRPr="005C7FD6">
        <w:rPr>
          <w:lang w:val="es-ES_tradnl"/>
        </w:rPr>
        <w:t> </w:t>
      </w:r>
      <w:r w:rsidRPr="005C7FD6">
        <w:rPr>
          <w:lang w:val="es-ES_tradnl"/>
        </w:rPr>
        <w:t xml:space="preserve">17 es la CE rectora en materia de seguridad, lo que parece tautológico. </w:t>
      </w:r>
      <w:r w:rsidR="00ED7B7F" w:rsidRPr="005C7FD6">
        <w:rPr>
          <w:lang w:val="es-ES_tradnl"/>
        </w:rPr>
        <w:t>Sucede lo mismo con la</w:t>
      </w:r>
      <w:r w:rsidRPr="005C7FD6">
        <w:rPr>
          <w:lang w:val="es-ES_tradnl"/>
        </w:rPr>
        <w:t xml:space="preserve"> CE</w:t>
      </w:r>
      <w:r w:rsidR="00E2157E" w:rsidRPr="005C7FD6">
        <w:rPr>
          <w:lang w:val="es-ES_tradnl"/>
        </w:rPr>
        <w:t> </w:t>
      </w:r>
      <w:r w:rsidRPr="005C7FD6">
        <w:rPr>
          <w:lang w:val="es-ES_tradnl"/>
        </w:rPr>
        <w:t>2,</w:t>
      </w:r>
      <w:r w:rsidR="00ED7B7F" w:rsidRPr="005C7FD6">
        <w:rPr>
          <w:lang w:val="es-ES_tradnl"/>
        </w:rPr>
        <w:t xml:space="preserve"> la</w:t>
      </w:r>
      <w:r w:rsidRPr="005C7FD6">
        <w:rPr>
          <w:lang w:val="es-ES_tradnl"/>
        </w:rPr>
        <w:t xml:space="preserve"> CE</w:t>
      </w:r>
      <w:r w:rsidR="00E2157E" w:rsidRPr="005C7FD6">
        <w:rPr>
          <w:lang w:val="es-ES_tradnl"/>
        </w:rPr>
        <w:t> </w:t>
      </w:r>
      <w:r w:rsidRPr="005C7FD6">
        <w:rPr>
          <w:lang w:val="es-ES_tradnl"/>
        </w:rPr>
        <w:t>3</w:t>
      </w:r>
      <w:r w:rsidR="00ED7B7F" w:rsidRPr="005C7FD6">
        <w:rPr>
          <w:lang w:val="es-ES_tradnl"/>
        </w:rPr>
        <w:t xml:space="preserve"> y la</w:t>
      </w:r>
      <w:r w:rsidRPr="005C7FD6">
        <w:rPr>
          <w:lang w:val="es-ES_tradnl"/>
        </w:rPr>
        <w:t xml:space="preserve"> CE</w:t>
      </w:r>
      <w:r w:rsidR="00E2157E" w:rsidRPr="005C7FD6">
        <w:rPr>
          <w:lang w:val="es-ES_tradnl"/>
        </w:rPr>
        <w:t> </w:t>
      </w:r>
      <w:r w:rsidRPr="005C7FD6">
        <w:rPr>
          <w:lang w:val="es-ES_tradnl"/>
        </w:rPr>
        <w:t>11</w:t>
      </w:r>
      <w:r w:rsidR="00ED7B7F" w:rsidRPr="005C7FD6">
        <w:rPr>
          <w:lang w:val="es-ES_tradnl"/>
        </w:rPr>
        <w:t>, entre</w:t>
      </w:r>
      <w:r w:rsidRPr="005C7FD6">
        <w:rPr>
          <w:lang w:val="es-ES_tradnl"/>
        </w:rPr>
        <w:t xml:space="preserve"> otras.</w:t>
      </w:r>
    </w:p>
    <w:p w14:paraId="7992DBB4" w14:textId="539356F8" w:rsidR="005E1C2C" w:rsidRPr="005C7FD6" w:rsidRDefault="00ED7B7F" w:rsidP="005E1C2C">
      <w:pPr>
        <w:rPr>
          <w:lang w:val="es-ES_tradnl"/>
        </w:rPr>
      </w:pPr>
      <w:r w:rsidRPr="005C7FD6">
        <w:rPr>
          <w:lang w:val="es-ES_tradnl"/>
        </w:rPr>
        <w:t>En consecuencia</w:t>
      </w:r>
      <w:r w:rsidR="005E1C2C" w:rsidRPr="005C7FD6">
        <w:rPr>
          <w:lang w:val="es-ES_tradnl"/>
        </w:rPr>
        <w:t xml:space="preserve">, el concepto de </w:t>
      </w:r>
      <w:r w:rsidR="0004570C" w:rsidRPr="005C7FD6">
        <w:rPr>
          <w:lang w:val="es-ES_tradnl"/>
        </w:rPr>
        <w:t>"</w:t>
      </w:r>
      <w:r w:rsidR="005E1C2C" w:rsidRPr="005C7FD6">
        <w:rPr>
          <w:lang w:val="es-ES_tradnl"/>
        </w:rPr>
        <w:t>Comisión de Estudio rectora</w:t>
      </w:r>
      <w:r w:rsidR="0004570C" w:rsidRPr="005C7FD6">
        <w:rPr>
          <w:lang w:val="es-ES_tradnl"/>
        </w:rPr>
        <w:t>"</w:t>
      </w:r>
      <w:r w:rsidR="005E1C2C" w:rsidRPr="005C7FD6">
        <w:rPr>
          <w:lang w:val="es-ES_tradnl"/>
        </w:rPr>
        <w:t xml:space="preserve"> debe reevaluarse para</w:t>
      </w:r>
      <w:r w:rsidRPr="005C7FD6">
        <w:rPr>
          <w:lang w:val="es-ES_tradnl"/>
        </w:rPr>
        <w:t xml:space="preserve"> reforzar</w:t>
      </w:r>
      <w:r w:rsidR="005E1C2C" w:rsidRPr="005C7FD6">
        <w:rPr>
          <w:lang w:val="es-ES_tradnl"/>
        </w:rPr>
        <w:t xml:space="preserve"> su eficacia. El objetivo </w:t>
      </w:r>
      <w:r w:rsidRPr="005C7FD6">
        <w:rPr>
          <w:lang w:val="es-ES_tradnl"/>
        </w:rPr>
        <w:t>sería</w:t>
      </w:r>
      <w:r w:rsidR="005E1C2C" w:rsidRPr="005C7FD6">
        <w:rPr>
          <w:lang w:val="es-ES_tradnl"/>
        </w:rPr>
        <w:t xml:space="preserve"> establecer una definición clara y abordar la forma en que una Comisión de Estudio se designa a sí misma Comisión de Estudio </w:t>
      </w:r>
      <w:r w:rsidRPr="005C7FD6">
        <w:rPr>
          <w:lang w:val="es-ES_tradnl"/>
        </w:rPr>
        <w:t>rectora</w:t>
      </w:r>
      <w:r w:rsidR="005E1C2C" w:rsidRPr="005C7FD6">
        <w:rPr>
          <w:lang w:val="es-ES_tradnl"/>
        </w:rPr>
        <w:t xml:space="preserve">, así como las </w:t>
      </w:r>
      <w:r w:rsidRPr="005C7FD6">
        <w:rPr>
          <w:lang w:val="es-ES_tradnl"/>
        </w:rPr>
        <w:t>repercusiones de esa decisión</w:t>
      </w:r>
      <w:r w:rsidR="005E1C2C" w:rsidRPr="005C7FD6">
        <w:rPr>
          <w:lang w:val="es-ES_tradnl"/>
        </w:rPr>
        <w:t xml:space="preserve">. </w:t>
      </w:r>
      <w:r w:rsidRPr="005C7FD6">
        <w:rPr>
          <w:lang w:val="es-ES_tradnl"/>
        </w:rPr>
        <w:t>Dicho</w:t>
      </w:r>
      <w:r w:rsidR="005E1C2C" w:rsidRPr="005C7FD6">
        <w:rPr>
          <w:lang w:val="es-ES_tradnl"/>
        </w:rPr>
        <w:t xml:space="preserve"> examen podría ayudar a mitigar los problemas derivados de que ciertas Comisiones de Estudio se arroguen </w:t>
      </w:r>
      <w:r w:rsidRPr="005C7FD6">
        <w:rPr>
          <w:lang w:val="es-ES_tradnl"/>
        </w:rPr>
        <w:t>un</w:t>
      </w:r>
      <w:r w:rsidR="005E1C2C" w:rsidRPr="005C7FD6">
        <w:rPr>
          <w:lang w:val="es-ES_tradnl"/>
        </w:rPr>
        <w:t xml:space="preserve"> liderazgo exclusivo</w:t>
      </w:r>
      <w:r w:rsidRPr="005C7FD6">
        <w:rPr>
          <w:lang w:val="es-ES_tradnl"/>
        </w:rPr>
        <w:t xml:space="preserve"> en ciertos ámbitos</w:t>
      </w:r>
      <w:r w:rsidR="005E1C2C" w:rsidRPr="005C7FD6">
        <w:rPr>
          <w:lang w:val="es-ES_tradnl"/>
        </w:rPr>
        <w:t>.</w:t>
      </w:r>
    </w:p>
    <w:p w14:paraId="0B9770F8" w14:textId="0927069B" w:rsidR="00E374F7" w:rsidRPr="005C7FD6" w:rsidRDefault="005E1C2C" w:rsidP="00FB04B4">
      <w:pPr>
        <w:rPr>
          <w:lang w:val="es-ES_tradnl"/>
        </w:rPr>
      </w:pPr>
      <w:r w:rsidRPr="005C7FD6">
        <w:rPr>
          <w:lang w:val="es-ES_tradnl"/>
        </w:rPr>
        <w:t>En la cláusula</w:t>
      </w:r>
      <w:r w:rsidR="001D31CF">
        <w:rPr>
          <w:lang w:val="es-ES_tradnl"/>
        </w:rPr>
        <w:t> </w:t>
      </w:r>
      <w:r w:rsidRPr="005C7FD6">
        <w:rPr>
          <w:lang w:val="es-ES_tradnl"/>
        </w:rPr>
        <w:t>2.1.5 de la Resolución</w:t>
      </w:r>
      <w:r w:rsidR="00E2157E" w:rsidRPr="005C7FD6">
        <w:rPr>
          <w:lang w:val="es-ES_tradnl"/>
        </w:rPr>
        <w:t> </w:t>
      </w:r>
      <w:r w:rsidRPr="005C7FD6">
        <w:rPr>
          <w:lang w:val="es-ES_tradnl"/>
        </w:rPr>
        <w:t xml:space="preserve">1 de la AMNT se define el concepto de Comisión de Estudio </w:t>
      </w:r>
      <w:r w:rsidR="00ED7B7F" w:rsidRPr="005C7FD6">
        <w:rPr>
          <w:lang w:val="es-ES_tradnl"/>
        </w:rPr>
        <w:t>rectora</w:t>
      </w:r>
      <w:r w:rsidRPr="005C7FD6">
        <w:rPr>
          <w:lang w:val="es-ES_tradnl"/>
        </w:rPr>
        <w:t xml:space="preserve">. </w:t>
      </w:r>
      <w:r w:rsidR="00ED7B7F" w:rsidRPr="005C7FD6">
        <w:rPr>
          <w:lang w:val="es-ES_tradnl"/>
        </w:rPr>
        <w:t>Fundamentalmente</w:t>
      </w:r>
      <w:r w:rsidRPr="005C7FD6">
        <w:rPr>
          <w:lang w:val="es-ES_tradnl"/>
        </w:rPr>
        <w:t xml:space="preserve">, una CE rectora </w:t>
      </w:r>
      <w:r w:rsidR="00ED7B7F" w:rsidRPr="005C7FD6">
        <w:rPr>
          <w:lang w:val="es-ES_tradnl"/>
        </w:rPr>
        <w:t xml:space="preserve">es responsable de los </w:t>
      </w:r>
      <w:r w:rsidRPr="005C7FD6">
        <w:rPr>
          <w:lang w:val="es-ES_tradnl"/>
        </w:rPr>
        <w:t>estudios de normalización en los que participan varias CE</w:t>
      </w:r>
      <w:r w:rsidR="00FB04B4" w:rsidRPr="005C7FD6">
        <w:rPr>
          <w:lang w:val="es-ES_tradnl"/>
        </w:rPr>
        <w:t xml:space="preserve"> y</w:t>
      </w:r>
      <w:r w:rsidR="00ED7B7F" w:rsidRPr="005C7FD6">
        <w:rPr>
          <w:lang w:val="es-ES_tradnl"/>
        </w:rPr>
        <w:t xml:space="preserve"> del estudio de las Cuestiones fundamentales, así como </w:t>
      </w:r>
      <w:r w:rsidRPr="005C7FD6">
        <w:rPr>
          <w:lang w:val="es-ES_tradnl"/>
        </w:rPr>
        <w:t xml:space="preserve">de coordinar el marco general. </w:t>
      </w:r>
      <w:r w:rsidR="00FB04B4" w:rsidRPr="005C7FD6">
        <w:rPr>
          <w:lang w:val="es-ES_tradnl"/>
        </w:rPr>
        <w:t>Además</w:t>
      </w:r>
      <w:r w:rsidRPr="005C7FD6">
        <w:rPr>
          <w:lang w:val="es-ES_tradnl"/>
        </w:rPr>
        <w:t>, coordina, asigna (en consulta con las Comisiones de</w:t>
      </w:r>
      <w:r w:rsidR="00FB04B4" w:rsidRPr="005C7FD6">
        <w:rPr>
          <w:lang w:val="es-ES_tradnl"/>
        </w:rPr>
        <w:t xml:space="preserve"> Estudio pertinentes y teniendo en cuenta sus mandatos)</w:t>
      </w:r>
      <w:r w:rsidRPr="005C7FD6">
        <w:rPr>
          <w:lang w:val="es-ES_tradnl"/>
        </w:rPr>
        <w:t xml:space="preserve"> y </w:t>
      </w:r>
      <w:r w:rsidR="00FB04B4" w:rsidRPr="005C7FD6">
        <w:rPr>
          <w:lang w:val="es-ES_tradnl"/>
        </w:rPr>
        <w:t>clasifica por orden de prioridad</w:t>
      </w:r>
      <w:r w:rsidRPr="005C7FD6">
        <w:rPr>
          <w:lang w:val="es-ES_tradnl"/>
        </w:rPr>
        <w:t xml:space="preserve"> los estudios que deben realizar las Comisiones de Estudio </w:t>
      </w:r>
      <w:r w:rsidR="00FB04B4" w:rsidRPr="005C7FD6">
        <w:rPr>
          <w:lang w:val="es-ES_tradnl"/>
        </w:rPr>
        <w:t>competentes</w:t>
      </w:r>
      <w:r w:rsidRPr="005C7FD6">
        <w:rPr>
          <w:lang w:val="es-ES_tradnl"/>
        </w:rPr>
        <w:t xml:space="preserve">. </w:t>
      </w:r>
      <w:r w:rsidR="00FB04B4" w:rsidRPr="005C7FD6">
        <w:rPr>
          <w:lang w:val="es-ES_tradnl"/>
        </w:rPr>
        <w:t>Por último, vela por la elaboración de Recomendaciones coherentes, completas y oportunas</w:t>
      </w:r>
      <w:r w:rsidRPr="005C7FD6">
        <w:rPr>
          <w:lang w:val="es-ES_tradnl"/>
        </w:rPr>
        <w:t xml:space="preserve">, informa al GANT </w:t>
      </w:r>
      <w:r w:rsidR="00FB04B4" w:rsidRPr="005C7FD6">
        <w:rPr>
          <w:lang w:val="es-ES_tradnl"/>
        </w:rPr>
        <w:t xml:space="preserve">sobre el avance de los trabajos </w:t>
      </w:r>
      <w:r w:rsidRPr="005C7FD6">
        <w:rPr>
          <w:lang w:val="es-ES_tradnl"/>
        </w:rPr>
        <w:t xml:space="preserve">y solicita asesoramiento </w:t>
      </w:r>
      <w:r w:rsidR="00FB04B4" w:rsidRPr="005C7FD6">
        <w:rPr>
          <w:lang w:val="es-ES_tradnl"/>
        </w:rPr>
        <w:t>a este último respecto de los asuntos que no pued</w:t>
      </w:r>
      <w:r w:rsidR="0037451C" w:rsidRPr="005C7FD6">
        <w:rPr>
          <w:lang w:val="es-ES_tradnl"/>
        </w:rPr>
        <w:t>e</w:t>
      </w:r>
      <w:r w:rsidR="00FB04B4" w:rsidRPr="005C7FD6">
        <w:rPr>
          <w:lang w:val="es-ES_tradnl"/>
        </w:rPr>
        <w:t xml:space="preserve"> resolver</w:t>
      </w:r>
      <w:r w:rsidR="005D35E4" w:rsidRPr="005C7FD6">
        <w:rPr>
          <w:lang w:val="es-ES_tradnl"/>
        </w:rPr>
        <w:t>.</w:t>
      </w:r>
    </w:p>
    <w:p w14:paraId="52E1982F" w14:textId="77777777" w:rsidR="0004570C" w:rsidRPr="005C7FD6" w:rsidRDefault="0004570C" w:rsidP="00411C49">
      <w:pPr>
        <w:pStyle w:val="Reasons"/>
        <w:rPr>
          <w:lang w:val="es-ES_tradnl"/>
        </w:rPr>
      </w:pPr>
    </w:p>
    <w:p w14:paraId="339819FE" w14:textId="77777777" w:rsidR="0004570C" w:rsidRPr="005C7FD6" w:rsidRDefault="0004570C">
      <w:pPr>
        <w:jc w:val="center"/>
        <w:rPr>
          <w:lang w:val="es-ES_tradnl"/>
        </w:rPr>
      </w:pPr>
      <w:r w:rsidRPr="005C7FD6">
        <w:rPr>
          <w:lang w:val="es-ES_tradnl"/>
        </w:rPr>
        <w:t>______________</w:t>
      </w:r>
    </w:p>
    <w:sectPr w:rsidR="0004570C" w:rsidRPr="005C7F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9D93" w14:textId="77777777" w:rsidR="006D4EAA" w:rsidRDefault="006D4EAA">
      <w:r>
        <w:separator/>
      </w:r>
    </w:p>
  </w:endnote>
  <w:endnote w:type="continuationSeparator" w:id="0">
    <w:p w14:paraId="112FA5F7" w14:textId="77777777" w:rsidR="006D4EAA" w:rsidRDefault="006D4EAA">
      <w:r>
        <w:continuationSeparator/>
      </w:r>
    </w:p>
  </w:endnote>
  <w:endnote w:type="continuationNotice" w:id="1">
    <w:p w14:paraId="25FEBE8A" w14:textId="77777777" w:rsidR="006D4EAA" w:rsidRDefault="006D4EA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843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70D5819" w14:textId="41A08938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90677">
      <w:rPr>
        <w:noProof/>
      </w:rPr>
      <w:t>23.09.24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F374" w14:textId="77777777" w:rsidR="00EC34AB" w:rsidRDefault="00EC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ECFE" w14:textId="77777777" w:rsidR="00EC34AB" w:rsidRDefault="00EC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A6D1" w14:textId="77777777" w:rsidR="006D4EAA" w:rsidRDefault="006D4EAA">
      <w:r>
        <w:rPr>
          <w:b/>
        </w:rPr>
        <w:t>_______________</w:t>
      </w:r>
    </w:p>
  </w:footnote>
  <w:footnote w:type="continuationSeparator" w:id="0">
    <w:p w14:paraId="38250DF7" w14:textId="77777777" w:rsidR="006D4EAA" w:rsidRDefault="006D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C013" w14:textId="77777777" w:rsidR="00EC34AB" w:rsidRDefault="00EC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4AE2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WTSA-24/39(Add.20)-</w:t>
    </w:r>
    <w:r w:rsidR="00EC34AB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E0C8" w14:textId="77777777" w:rsidR="00EC34AB" w:rsidRDefault="00EC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018848442">
    <w:abstractNumId w:val="8"/>
  </w:num>
  <w:num w:numId="2" w16cid:durableId="59960657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31320728">
    <w:abstractNumId w:val="9"/>
  </w:num>
  <w:num w:numId="4" w16cid:durableId="964314985">
    <w:abstractNumId w:val="7"/>
  </w:num>
  <w:num w:numId="5" w16cid:durableId="1571698753">
    <w:abstractNumId w:val="6"/>
  </w:num>
  <w:num w:numId="6" w16cid:durableId="191262699">
    <w:abstractNumId w:val="5"/>
  </w:num>
  <w:num w:numId="7" w16cid:durableId="628169914">
    <w:abstractNumId w:val="4"/>
  </w:num>
  <w:num w:numId="8" w16cid:durableId="669065517">
    <w:abstractNumId w:val="3"/>
  </w:num>
  <w:num w:numId="9" w16cid:durableId="928856120">
    <w:abstractNumId w:val="2"/>
  </w:num>
  <w:num w:numId="10" w16cid:durableId="175654962">
    <w:abstractNumId w:val="1"/>
  </w:num>
  <w:num w:numId="11" w16cid:durableId="1489781408">
    <w:abstractNumId w:val="0"/>
  </w:num>
  <w:num w:numId="12" w16cid:durableId="1528368457">
    <w:abstractNumId w:val="12"/>
  </w:num>
  <w:num w:numId="13" w16cid:durableId="1172449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06D73"/>
    <w:rsid w:val="0001425B"/>
    <w:rsid w:val="00022A29"/>
    <w:rsid w:val="00024294"/>
    <w:rsid w:val="00034F78"/>
    <w:rsid w:val="000355FD"/>
    <w:rsid w:val="0004570C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13B"/>
    <w:rsid w:val="000D0578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0EAD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D31CF"/>
    <w:rsid w:val="001E6F73"/>
    <w:rsid w:val="001F242C"/>
    <w:rsid w:val="002009EA"/>
    <w:rsid w:val="00202CA0"/>
    <w:rsid w:val="00204747"/>
    <w:rsid w:val="00216B6D"/>
    <w:rsid w:val="00227927"/>
    <w:rsid w:val="00236EBA"/>
    <w:rsid w:val="00245127"/>
    <w:rsid w:val="00246525"/>
    <w:rsid w:val="00250AF4"/>
    <w:rsid w:val="0025725F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251EA"/>
    <w:rsid w:val="00336ABE"/>
    <w:rsid w:val="00336B4E"/>
    <w:rsid w:val="0034635C"/>
    <w:rsid w:val="0037451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039B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1965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378B"/>
    <w:rsid w:val="0056747D"/>
    <w:rsid w:val="00581B01"/>
    <w:rsid w:val="00587F8C"/>
    <w:rsid w:val="00590E6A"/>
    <w:rsid w:val="00592A99"/>
    <w:rsid w:val="00595780"/>
    <w:rsid w:val="005964AB"/>
    <w:rsid w:val="005A1A6A"/>
    <w:rsid w:val="005C099A"/>
    <w:rsid w:val="005C31A5"/>
    <w:rsid w:val="005C7FD6"/>
    <w:rsid w:val="005D01EB"/>
    <w:rsid w:val="005D35E4"/>
    <w:rsid w:val="005D4177"/>
    <w:rsid w:val="005D431B"/>
    <w:rsid w:val="005D4D62"/>
    <w:rsid w:val="005E10C9"/>
    <w:rsid w:val="005E1C2C"/>
    <w:rsid w:val="005E61DD"/>
    <w:rsid w:val="006023DF"/>
    <w:rsid w:val="00602F64"/>
    <w:rsid w:val="00622829"/>
    <w:rsid w:val="00623F15"/>
    <w:rsid w:val="006256C0"/>
    <w:rsid w:val="00632ABB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D4EAA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6755F"/>
    <w:rsid w:val="007742CA"/>
    <w:rsid w:val="00776230"/>
    <w:rsid w:val="00777235"/>
    <w:rsid w:val="00780F10"/>
    <w:rsid w:val="00785E1D"/>
    <w:rsid w:val="00790D70"/>
    <w:rsid w:val="00797C4B"/>
    <w:rsid w:val="007B55A0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01B0"/>
    <w:rsid w:val="00822B56"/>
    <w:rsid w:val="00840F52"/>
    <w:rsid w:val="008508D8"/>
    <w:rsid w:val="00850EEE"/>
    <w:rsid w:val="00864CD2"/>
    <w:rsid w:val="00867A11"/>
    <w:rsid w:val="008711F6"/>
    <w:rsid w:val="00872FC8"/>
    <w:rsid w:val="00874789"/>
    <w:rsid w:val="008777B8"/>
    <w:rsid w:val="008845D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17F43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B2216"/>
    <w:rsid w:val="009B59BB"/>
    <w:rsid w:val="009B7300"/>
    <w:rsid w:val="009C56E5"/>
    <w:rsid w:val="009D1B93"/>
    <w:rsid w:val="009D3515"/>
    <w:rsid w:val="009D4900"/>
    <w:rsid w:val="009D6289"/>
    <w:rsid w:val="009E1967"/>
    <w:rsid w:val="009E46B2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32052"/>
    <w:rsid w:val="00B36D53"/>
    <w:rsid w:val="00B529AD"/>
    <w:rsid w:val="00B6324B"/>
    <w:rsid w:val="00B639E9"/>
    <w:rsid w:val="00B66385"/>
    <w:rsid w:val="00B66C2B"/>
    <w:rsid w:val="00B67ADB"/>
    <w:rsid w:val="00B817CD"/>
    <w:rsid w:val="00B90677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378E0"/>
    <w:rsid w:val="00C46C0A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CF49CC"/>
    <w:rsid w:val="00D055D3"/>
    <w:rsid w:val="00D14CE0"/>
    <w:rsid w:val="00D2023F"/>
    <w:rsid w:val="00D24E8D"/>
    <w:rsid w:val="00D278AC"/>
    <w:rsid w:val="00D37398"/>
    <w:rsid w:val="00D41719"/>
    <w:rsid w:val="00D54009"/>
    <w:rsid w:val="00D5651D"/>
    <w:rsid w:val="00D57A34"/>
    <w:rsid w:val="00D62074"/>
    <w:rsid w:val="00D643B3"/>
    <w:rsid w:val="00D74898"/>
    <w:rsid w:val="00D801ED"/>
    <w:rsid w:val="00D80C93"/>
    <w:rsid w:val="00D936BC"/>
    <w:rsid w:val="00D96530"/>
    <w:rsid w:val="00DA7E2F"/>
    <w:rsid w:val="00DB13C5"/>
    <w:rsid w:val="00DD1890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157E"/>
    <w:rsid w:val="00E26226"/>
    <w:rsid w:val="00E3103C"/>
    <w:rsid w:val="00E374F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053"/>
    <w:rsid w:val="00EB55C6"/>
    <w:rsid w:val="00EC34AB"/>
    <w:rsid w:val="00EC7F04"/>
    <w:rsid w:val="00ED1C98"/>
    <w:rsid w:val="00ED30BC"/>
    <w:rsid w:val="00ED7B7F"/>
    <w:rsid w:val="00F00DDC"/>
    <w:rsid w:val="00F01223"/>
    <w:rsid w:val="00F02766"/>
    <w:rsid w:val="00F05BD4"/>
    <w:rsid w:val="00F2404A"/>
    <w:rsid w:val="00F30C7C"/>
    <w:rsid w:val="00F3630D"/>
    <w:rsid w:val="00F4144B"/>
    <w:rsid w:val="00F4677D"/>
    <w:rsid w:val="00F46E90"/>
    <w:rsid w:val="00F528B4"/>
    <w:rsid w:val="00F60D05"/>
    <w:rsid w:val="00F6155B"/>
    <w:rsid w:val="00F65C19"/>
    <w:rsid w:val="00F70D3C"/>
    <w:rsid w:val="00F7356B"/>
    <w:rsid w:val="00F80977"/>
    <w:rsid w:val="00F83F75"/>
    <w:rsid w:val="00F972D2"/>
    <w:rsid w:val="00FB04B4"/>
    <w:rsid w:val="00FC1DB9"/>
    <w:rsid w:val="00FD2546"/>
    <w:rsid w:val="00FD76BA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84A2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EA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debf292-9aad-4e01-95d9-b56e845c16c4">DPM</DPM_x0020_Author>
    <DPM_x0020_File_x0020_name xmlns="0debf292-9aad-4e01-95d9-b56e845c16c4">T22-WTSA.24-C-0039!A20!MSW-S</DPM_x0020_File_x0020_name>
    <DPM_x0020_Version xmlns="0debf292-9aad-4e01-95d9-b56e845c16c4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debf292-9aad-4e01-95d9-b56e845c16c4" targetNamespace="http://schemas.microsoft.com/office/2006/metadata/properties" ma:root="true" ma:fieldsID="d41af5c836d734370eb92e7ee5f83852" ns2:_="" ns3:_="">
    <xsd:import namespace="996b2e75-67fd-4955-a3b0-5ab9934cb50b"/>
    <xsd:import namespace="0debf292-9aad-4e01-95d9-b56e845c16c4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f292-9aad-4e01-95d9-b56e845c16c4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debf292-9aad-4e01-95d9-b56e845c16c4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debf292-9aad-4e01-95d9-b56e845c1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1478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T22-WTSA.24-C-0039!A20!MSW-S</vt:lpstr>
    </vt:vector>
  </TitlesOfParts>
  <Manager>General Secretariat - Pool</Manager>
  <Company>International Telecommunication Union (ITU)</Company>
  <LinksUpToDate>false</LinksUpToDate>
  <CharactersWithSpaces>9480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T22-WTSA.24-C-0039!A20!MSW-S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Spanish83</cp:lastModifiedBy>
  <cp:revision>6</cp:revision>
  <cp:lastPrinted>2016-06-06T07:49:00Z</cp:lastPrinted>
  <dcterms:created xsi:type="dcterms:W3CDTF">2024-09-23T08:14:00Z</dcterms:created>
  <dcterms:modified xsi:type="dcterms:W3CDTF">2024-09-23T09:22:00Z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