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7E87548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391F3C3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3016CB1" wp14:editId="78B39E8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E54E06A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93240B1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DD5DE9D" wp14:editId="30C9F5C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33C43AE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BE820B9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B9391BE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9FD486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4CF30E6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FCEA99D" w14:textId="77777777" w:rsidTr="0068791E">
        <w:trPr>
          <w:cantSplit/>
        </w:trPr>
        <w:tc>
          <w:tcPr>
            <w:tcW w:w="6237" w:type="dxa"/>
            <w:gridSpan w:val="2"/>
          </w:tcPr>
          <w:p w14:paraId="074AE39E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F0AE3B6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20</w:t>
            </w:r>
            <w:r>
              <w:rPr>
                <w:sz w:val="18"/>
                <w:szCs w:val="18"/>
              </w:rPr>
              <w:br/>
              <w:t>к Документу 39</w:t>
            </w:r>
            <w:r w:rsidR="00967E61" w:rsidRPr="002A6D84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84E9907" w14:textId="77777777" w:rsidTr="0068791E">
        <w:trPr>
          <w:cantSplit/>
        </w:trPr>
        <w:tc>
          <w:tcPr>
            <w:tcW w:w="6237" w:type="dxa"/>
            <w:gridSpan w:val="2"/>
          </w:tcPr>
          <w:p w14:paraId="764DC67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0C3F304" w14:textId="162FD507" w:rsidR="00931298" w:rsidRPr="002A6D8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2A6D84">
              <w:rPr>
                <w:sz w:val="18"/>
                <w:szCs w:val="18"/>
                <w:lang w:val="en-GB"/>
              </w:rPr>
              <w:t xml:space="preserve"> </w:t>
            </w:r>
            <w:r w:rsidR="002A6D84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28B75D0A" w14:textId="77777777" w:rsidTr="0068791E">
        <w:trPr>
          <w:cantSplit/>
        </w:trPr>
        <w:tc>
          <w:tcPr>
            <w:tcW w:w="6237" w:type="dxa"/>
            <w:gridSpan w:val="2"/>
          </w:tcPr>
          <w:p w14:paraId="1A515A5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E03894E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47AB75FA" w14:textId="77777777" w:rsidTr="0068791E">
        <w:trPr>
          <w:cantSplit/>
        </w:trPr>
        <w:tc>
          <w:tcPr>
            <w:tcW w:w="9811" w:type="dxa"/>
            <w:gridSpan w:val="4"/>
          </w:tcPr>
          <w:p w14:paraId="1D790B19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1D32B0B4" w14:textId="77777777" w:rsidTr="0068791E">
        <w:trPr>
          <w:cantSplit/>
        </w:trPr>
        <w:tc>
          <w:tcPr>
            <w:tcW w:w="9811" w:type="dxa"/>
            <w:gridSpan w:val="4"/>
          </w:tcPr>
          <w:p w14:paraId="17D9E4FE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931298" w:rsidRPr="008D37A5" w14:paraId="066E3038" w14:textId="77777777" w:rsidTr="0068791E">
        <w:trPr>
          <w:cantSplit/>
        </w:trPr>
        <w:tc>
          <w:tcPr>
            <w:tcW w:w="9811" w:type="dxa"/>
            <w:gridSpan w:val="4"/>
          </w:tcPr>
          <w:p w14:paraId="3CB1A75B" w14:textId="7F68ED6F" w:rsidR="00931298" w:rsidRPr="005115A5" w:rsidRDefault="002A6D84" w:rsidP="00C30155">
            <w:pPr>
              <w:pStyle w:val="Title1"/>
            </w:pPr>
            <w:r w:rsidRPr="006E566E">
              <w:t>ПРЕДЛАГАЕМЫЕ ИЗМЕНЕНИЯ К РЕЗОЛЮЦИИ 2</w:t>
            </w:r>
          </w:p>
        </w:tc>
      </w:tr>
      <w:tr w:rsidR="00657CDA" w:rsidRPr="008D37A5" w14:paraId="48E8985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C3C85DF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11CDCD6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E28799A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F4ECF8D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8D37A5" w14:paraId="34398FA2" w14:textId="77777777" w:rsidTr="002A6D84">
        <w:trPr>
          <w:cantSplit/>
        </w:trPr>
        <w:tc>
          <w:tcPr>
            <w:tcW w:w="1957" w:type="dxa"/>
          </w:tcPr>
          <w:p w14:paraId="2D7D1EDA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41567BD" w14:textId="04064F80" w:rsidR="00931298" w:rsidRPr="008D37A5" w:rsidRDefault="002A6D84" w:rsidP="00E45467">
            <w:pPr>
              <w:pStyle w:val="Abstract"/>
              <w:rPr>
                <w:lang w:val="ru-RU"/>
              </w:rPr>
            </w:pPr>
            <w:r w:rsidRPr="006E566E">
              <w:rPr>
                <w:bCs/>
                <w:szCs w:val="24"/>
                <w:lang w:val="ru-RU"/>
              </w:rPr>
              <w:t>СИТЕЛ заявляет о необходимости реструктуризации исследовательских комиссий МСЭ-Т для решения проблемы дробления работы между несколькими исследовательскими комиссиями. Предложение включает сокращение числа исследовательских комиссий для стимулирования активного взаимодействия. Целью реструктуризации является консолидация работы по схожей тематике/характеру, проводимой различными исследовательскими комиссиями, в рамках комиссий, обладающих необходимым опытом и профильными знаниями, что позволит свести к минимуму дублирование работы по стандартизации между исследовательскими комиссиями МСЭ-Т, а также обеспечить единообразие терминологии в рамках мандатов исследовательских комиссий. Кроме того, такая стратегическая консолидация предлагает экономически эффективное решение, которое обеспечивает оптимальное распределение ресурсов и повышает общую результативность.</w:t>
            </w:r>
          </w:p>
        </w:tc>
      </w:tr>
      <w:tr w:rsidR="00931298" w:rsidRPr="008D37A5" w14:paraId="67552874" w14:textId="77777777" w:rsidTr="002A6D84">
        <w:trPr>
          <w:cantSplit/>
        </w:trPr>
        <w:tc>
          <w:tcPr>
            <w:tcW w:w="1957" w:type="dxa"/>
          </w:tcPr>
          <w:p w14:paraId="1F4808C1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298491DB" w14:textId="5BD1104A" w:rsidR="00FE5494" w:rsidRPr="008D37A5" w:rsidRDefault="002A6D84" w:rsidP="00E45467">
            <w:r w:rsidRPr="006E566E">
              <w:t xml:space="preserve">Мария Селесте </w:t>
            </w:r>
            <w:proofErr w:type="spellStart"/>
            <w:r w:rsidRPr="006E566E">
              <w:t>Фуэнмайор</w:t>
            </w:r>
            <w:proofErr w:type="spellEnd"/>
            <w:r w:rsidRPr="006E566E">
              <w:t xml:space="preserve"> </w:t>
            </w:r>
            <w:r>
              <w:br/>
            </w:r>
            <w:r w:rsidRPr="006E566E">
              <w:t xml:space="preserve">(Maria </w:t>
            </w:r>
            <w:proofErr w:type="spellStart"/>
            <w:r w:rsidRPr="006E566E">
              <w:t>Celeste</w:t>
            </w:r>
            <w:proofErr w:type="spellEnd"/>
            <w:r w:rsidRPr="006E566E">
              <w:t xml:space="preserve"> </w:t>
            </w:r>
            <w:proofErr w:type="spellStart"/>
            <w:r w:rsidRPr="006E566E">
              <w:t>Fuenmayor</w:t>
            </w:r>
            <w:proofErr w:type="spellEnd"/>
            <w:r w:rsidRPr="006E566E">
              <w:t>)</w:t>
            </w:r>
            <w:r w:rsidRPr="006E566E">
              <w:br/>
              <w:t>Межамериканская комиссия по</w:t>
            </w:r>
            <w:r>
              <w:t> </w:t>
            </w:r>
            <w:r w:rsidRPr="006E566E">
              <w:t>электросвязи</w:t>
            </w:r>
          </w:p>
        </w:tc>
        <w:tc>
          <w:tcPr>
            <w:tcW w:w="3877" w:type="dxa"/>
          </w:tcPr>
          <w:p w14:paraId="5DDC4BCF" w14:textId="44DD95FC" w:rsidR="00931298" w:rsidRPr="008D37A5" w:rsidRDefault="002A6D84" w:rsidP="00E45467">
            <w:r w:rsidRPr="006E566E">
              <w:t xml:space="preserve">Эл. почта: </w:t>
            </w:r>
            <w:hyperlink r:id="rId14" w:tgtFrame="_blank" w:history="1">
              <w:r w:rsidRPr="006E566E">
                <w:rPr>
                  <w:rStyle w:val="Hyperlink"/>
                </w:rPr>
                <w:t>mfuenmayor@oas.org</w:t>
              </w:r>
            </w:hyperlink>
          </w:p>
        </w:tc>
      </w:tr>
    </w:tbl>
    <w:p w14:paraId="4695BCE7" w14:textId="77777777" w:rsidR="002A6D84" w:rsidRPr="006E566E" w:rsidRDefault="002A6D84" w:rsidP="002A6D84">
      <w:pPr>
        <w:pStyle w:val="Headingb"/>
        <w:rPr>
          <w:lang w:val="ru-RU"/>
        </w:rPr>
      </w:pPr>
      <w:r w:rsidRPr="006E566E">
        <w:rPr>
          <w:lang w:val="ru-RU"/>
        </w:rPr>
        <w:t>Введение</w:t>
      </w:r>
    </w:p>
    <w:p w14:paraId="797CBE5C" w14:textId="77777777" w:rsidR="002A6D84" w:rsidRPr="006E566E" w:rsidRDefault="002A6D84" w:rsidP="002A6D84">
      <w:r w:rsidRPr="006E566E">
        <w:t xml:space="preserve">Анализ существующей структуры МСЭ-Т, исследуемых вопросов, числа участников и соответствующих статистических данных показывает, что области работы различных исследовательских комиссий во многом пересекаются. Такое дублирование порождает следующие проблемы: </w:t>
      </w:r>
    </w:p>
    <w:p w14:paraId="419FC476" w14:textId="77777777" w:rsidR="002A6D84" w:rsidRPr="006E566E" w:rsidRDefault="002A6D84" w:rsidP="002A6D84">
      <w:r w:rsidRPr="006E566E">
        <w:t xml:space="preserve">Специалистам в какой-либо конкретной области, например в области безопасности или мультимедиа, часто приходится участвовать в работе разных исследовательских комиссий, что приводит к неэффективности и нерациональной трате времени этих специалистов. </w:t>
      </w:r>
    </w:p>
    <w:p w14:paraId="2940B238" w14:textId="77777777" w:rsidR="002A6D84" w:rsidRPr="006E566E" w:rsidRDefault="002A6D84" w:rsidP="002A6D84">
      <w:r w:rsidRPr="006E566E">
        <w:t xml:space="preserve">Необходимость большого числа контактов между исследовательскими комиссиями по схожим темам приведет к неоправданным задержкам в ходе работы. </w:t>
      </w:r>
    </w:p>
    <w:p w14:paraId="3201CF88" w14:textId="77777777" w:rsidR="002A6D84" w:rsidRPr="006E566E" w:rsidRDefault="002A6D84" w:rsidP="002A6D84">
      <w:r w:rsidRPr="006E566E">
        <w:t>Возникают административные накладные расходы, связанные с проведением собраний с ограниченным числом участников, которые занимаются лишь немногими направлениями работы.</w:t>
      </w:r>
    </w:p>
    <w:p w14:paraId="0A836F4C" w14:textId="77777777" w:rsidR="002A6D84" w:rsidRPr="006E566E" w:rsidRDefault="002A6D84" w:rsidP="002A6D84">
      <w:r w:rsidRPr="006E566E">
        <w:lastRenderedPageBreak/>
        <w:t xml:space="preserve">Кроме того, исследовательские комиссии должны иметь четко очерченные мандаты и строго определенную цель. Это приобретает первостепенное значение, особенно в свете усилий, предпринимаемых МСЭ-Т для рассмотрения стремительно меняющейся среды глобальной стандартизации. В этой динамичной среде, на которую влияют насущные требования, связанные с будущими сетями, искусственным интеллектом, метавселенной и безопасностью, наличие четко очерченных границ для каждой исследовательской комиссии имеет огромное значение для ускорения прогресса и удовлетворения неотложных потребностей в этих важнейших областях. </w:t>
      </w:r>
    </w:p>
    <w:p w14:paraId="6F5176BF" w14:textId="77777777" w:rsidR="002A6D84" w:rsidRPr="006E566E" w:rsidRDefault="002A6D84" w:rsidP="002A6D84">
      <w:pPr>
        <w:rPr>
          <w:rFonts w:asciiTheme="majorBidi" w:hAnsiTheme="majorBidi" w:cstheme="majorBidi"/>
          <w:szCs w:val="24"/>
        </w:rPr>
      </w:pPr>
      <w:r w:rsidRPr="006E566E">
        <w:rPr>
          <w:rFonts w:asciiTheme="majorBidi" w:hAnsiTheme="majorBidi" w:cstheme="majorBidi"/>
          <w:szCs w:val="24"/>
        </w:rPr>
        <w:t>Для решения этих вопросов используются следующие основные стратегические принципы, которые служат ориентирами в контексте усилий по реструктуризации исследовательских комиссий:</w:t>
      </w:r>
    </w:p>
    <w:p w14:paraId="234569CF" w14:textId="77777777" w:rsidR="002A6D84" w:rsidRPr="006E566E" w:rsidRDefault="002A6D84" w:rsidP="002A6D84">
      <w:pPr>
        <w:pStyle w:val="enumlev1"/>
        <w:rPr>
          <w:rFonts w:eastAsia="ヒラギノ角ゴ Pro W3"/>
        </w:rPr>
      </w:pPr>
      <w:r w:rsidRPr="006E566E">
        <w:rPr>
          <w:rFonts w:eastAsia="ヒラギノ角ゴ Pro W3"/>
        </w:rPr>
        <w:t>1</w:t>
      </w:r>
      <w:r w:rsidRPr="006E566E">
        <w:rPr>
          <w:rFonts w:eastAsia="ヒラギノ角ゴ Pro W3"/>
        </w:rPr>
        <w:tab/>
        <w:t>Оптимизация структуры ИК</w:t>
      </w:r>
      <w:r>
        <w:rPr>
          <w:rFonts w:eastAsia="ヒラギノ角ゴ Pro W3"/>
        </w:rPr>
        <w:t>:</w:t>
      </w:r>
    </w:p>
    <w:p w14:paraId="38F8FDBF" w14:textId="77777777" w:rsidR="002A6D84" w:rsidRPr="006E566E" w:rsidRDefault="002A6D84" w:rsidP="002A6D84">
      <w:pPr>
        <w:pStyle w:val="enumlev2"/>
        <w:rPr>
          <w:rFonts w:eastAsia="ヒラギノ角ゴ Pro W3"/>
        </w:rPr>
      </w:pPr>
      <w:r w:rsidRPr="006E566E">
        <w:rPr>
          <w:rFonts w:eastAsia="ヒラギノ角ゴ Pro W3"/>
        </w:rPr>
        <w:t>a)</w:t>
      </w:r>
      <w:r w:rsidRPr="006E566E">
        <w:rPr>
          <w:rFonts w:eastAsia="ヒラギノ角ゴ Pro W3"/>
        </w:rPr>
        <w:tab/>
        <w:t>уменьшение чрезмерного количества ИК</w:t>
      </w:r>
      <w:r>
        <w:rPr>
          <w:rFonts w:eastAsia="ヒラギノ角ゴ Pro W3"/>
        </w:rPr>
        <w:t>;</w:t>
      </w:r>
    </w:p>
    <w:p w14:paraId="432B502B" w14:textId="77777777" w:rsidR="002A6D84" w:rsidRPr="006E566E" w:rsidRDefault="002A6D84" w:rsidP="002A6D84">
      <w:pPr>
        <w:pStyle w:val="enumlev2"/>
        <w:rPr>
          <w:rFonts w:eastAsia="ヒラギノ角ゴ Pro W3"/>
        </w:rPr>
      </w:pPr>
      <w:r w:rsidRPr="006E566E">
        <w:rPr>
          <w:rFonts w:eastAsia="ヒラギノ角ゴ Pro W3"/>
        </w:rPr>
        <w:t>b)</w:t>
      </w:r>
      <w:r w:rsidRPr="006E566E">
        <w:rPr>
          <w:rFonts w:eastAsia="ヒラギノ角ゴ Pro W3"/>
        </w:rPr>
        <w:tab/>
        <w:t>сокращение административных накладных расходов, связанных с проведением собраний.</w:t>
      </w:r>
    </w:p>
    <w:p w14:paraId="6FAF5BE8" w14:textId="77777777" w:rsidR="002A6D84" w:rsidRPr="006E566E" w:rsidRDefault="002A6D84" w:rsidP="002A6D84">
      <w:pPr>
        <w:pStyle w:val="enumlev1"/>
        <w:rPr>
          <w:rFonts w:eastAsia="ヒラギノ角ゴ Pro W3"/>
        </w:rPr>
      </w:pPr>
      <w:r w:rsidRPr="006E566E">
        <w:rPr>
          <w:rFonts w:eastAsia="ヒラギノ角ゴ Pro W3"/>
        </w:rPr>
        <w:t>2</w:t>
      </w:r>
      <w:r w:rsidRPr="006E566E">
        <w:rPr>
          <w:rFonts w:eastAsia="ヒラギノ角ゴ Pro W3"/>
        </w:rPr>
        <w:tab/>
        <w:t>Четкие и не дублирующие друг друга мандаты ИК (ясность программ работы)</w:t>
      </w:r>
      <w:r>
        <w:rPr>
          <w:rFonts w:eastAsia="ヒラギノ角ゴ Pro W3"/>
        </w:rPr>
        <w:t>:</w:t>
      </w:r>
    </w:p>
    <w:p w14:paraId="3565CEC4" w14:textId="77777777" w:rsidR="002A6D84" w:rsidRPr="006E566E" w:rsidRDefault="002A6D84" w:rsidP="002A6D84">
      <w:pPr>
        <w:pStyle w:val="enumlev2"/>
        <w:rPr>
          <w:rFonts w:eastAsia="ヒラギノ角ゴ Pro W3"/>
        </w:rPr>
      </w:pPr>
      <w:r w:rsidRPr="006E566E">
        <w:rPr>
          <w:rFonts w:eastAsia="ヒラギノ角ゴ Pro W3"/>
        </w:rPr>
        <w:t>a)</w:t>
      </w:r>
      <w:r w:rsidRPr="006E566E">
        <w:rPr>
          <w:rFonts w:eastAsia="ヒラギノ角ゴ Pro W3"/>
        </w:rPr>
        <w:tab/>
        <w:t>формулировки мандатов не должны содержать двусмысленной терминологии</w:t>
      </w:r>
      <w:r>
        <w:rPr>
          <w:rFonts w:eastAsia="ヒラギノ角ゴ Pro W3"/>
        </w:rPr>
        <w:t>;</w:t>
      </w:r>
    </w:p>
    <w:p w14:paraId="1DB9F5DE" w14:textId="77777777" w:rsidR="002A6D84" w:rsidRPr="006E566E" w:rsidRDefault="002A6D84" w:rsidP="002A6D84">
      <w:pPr>
        <w:pStyle w:val="enumlev2"/>
        <w:rPr>
          <w:rFonts w:eastAsia="ヒラギノ角ゴ Pro W3"/>
        </w:rPr>
      </w:pPr>
      <w:r w:rsidRPr="006E566E">
        <w:rPr>
          <w:rFonts w:eastAsia="ヒラギノ角ゴ Pro W3"/>
        </w:rPr>
        <w:t>b)</w:t>
      </w:r>
      <w:r w:rsidRPr="006E566E">
        <w:rPr>
          <w:rFonts w:eastAsia="ヒラギノ角ゴ Pro W3"/>
        </w:rPr>
        <w:tab/>
        <w:t>следует избегать внесения одних и тех же рабочих предложений в различные исследовательские комиссии, что потенциально может приводить к дублированию в работе.</w:t>
      </w:r>
    </w:p>
    <w:p w14:paraId="021A1620" w14:textId="77777777" w:rsidR="002A6D84" w:rsidRPr="006E566E" w:rsidRDefault="002A6D84" w:rsidP="002A6D84">
      <w:pPr>
        <w:pStyle w:val="enumlev1"/>
        <w:rPr>
          <w:rFonts w:eastAsia="ヒラギノ角ゴ Pro W3"/>
        </w:rPr>
      </w:pPr>
      <w:r w:rsidRPr="006E566E">
        <w:rPr>
          <w:rFonts w:eastAsia="ヒラギノ角ゴ Pro W3"/>
        </w:rPr>
        <w:t>3</w:t>
      </w:r>
      <w:r w:rsidRPr="006E566E">
        <w:rPr>
          <w:rFonts w:eastAsia="ヒラギノ角ゴ Pro W3"/>
        </w:rPr>
        <w:tab/>
        <w:t>Экономическая эффективность и уместность с точки зрения заинтересованных сторон</w:t>
      </w:r>
      <w:r>
        <w:rPr>
          <w:rFonts w:eastAsia="ヒラギノ角ゴ Pro W3"/>
        </w:rPr>
        <w:t>:</w:t>
      </w:r>
    </w:p>
    <w:p w14:paraId="3DCF8040" w14:textId="77777777" w:rsidR="002A6D84" w:rsidRPr="006E566E" w:rsidRDefault="002A6D84" w:rsidP="002A6D84">
      <w:pPr>
        <w:pStyle w:val="enumlev2"/>
        <w:rPr>
          <w:rFonts w:eastAsia="ヒラギノ角ゴ Pro W3"/>
          <w:color w:val="000000" w:themeColor="text1"/>
          <w:kern w:val="24"/>
        </w:rPr>
      </w:pPr>
      <w:r w:rsidRPr="006E566E">
        <w:t>a)</w:t>
      </w:r>
      <w:r w:rsidRPr="006E566E">
        <w:tab/>
        <w:t>объединение и консолидация исследуемых вопросов и их распределение между ИК позволит специалистам присутствовать на собраниях и вносить свой вклад с минимальными затратами.</w:t>
      </w:r>
    </w:p>
    <w:p w14:paraId="4A880387" w14:textId="77777777" w:rsidR="00461C79" w:rsidRPr="00461C79" w:rsidRDefault="009F4801" w:rsidP="00781A83">
      <w:r w:rsidRPr="008D37A5">
        <w:br w:type="page"/>
      </w:r>
    </w:p>
    <w:p w14:paraId="5EFC2DFA" w14:textId="77777777" w:rsidR="00BC2201" w:rsidRDefault="002A6D84">
      <w:pPr>
        <w:pStyle w:val="Proposal"/>
      </w:pPr>
      <w:r>
        <w:lastRenderedPageBreak/>
        <w:tab/>
      </w:r>
      <w:proofErr w:type="spellStart"/>
      <w:r>
        <w:t>IAP</w:t>
      </w:r>
      <w:proofErr w:type="spellEnd"/>
      <w:r>
        <w:t>/</w:t>
      </w:r>
      <w:proofErr w:type="spellStart"/>
      <w:r>
        <w:t>39A20</w:t>
      </w:r>
      <w:proofErr w:type="spellEnd"/>
      <w:r>
        <w:t>/1</w:t>
      </w:r>
    </w:p>
    <w:p w14:paraId="0B7CCB28" w14:textId="77777777" w:rsidR="002A6D84" w:rsidRPr="0065673D" w:rsidRDefault="002A6D84" w:rsidP="00BD74FB">
      <w:pPr>
        <w:pStyle w:val="Volumetitle"/>
      </w:pPr>
      <w:r>
        <w:t>Общие вопросы</w:t>
      </w:r>
    </w:p>
    <w:p w14:paraId="5A34A517" w14:textId="77777777" w:rsidR="002A6D84" w:rsidRPr="006E566E" w:rsidRDefault="002A6D84" w:rsidP="002A6D84">
      <w:pPr>
        <w:pStyle w:val="Headingb"/>
        <w:rPr>
          <w:lang w:val="ru-RU"/>
        </w:rPr>
      </w:pPr>
      <w:r w:rsidRPr="006E566E">
        <w:rPr>
          <w:lang w:val="ru-RU"/>
        </w:rPr>
        <w:t>Предложение</w:t>
      </w:r>
    </w:p>
    <w:p w14:paraId="30AE3C5F" w14:textId="77777777" w:rsidR="002A6D84" w:rsidRPr="006E566E" w:rsidRDefault="002A6D84" w:rsidP="002A6D84">
      <w:r w:rsidRPr="006E566E">
        <w:t xml:space="preserve">Предлагаемая реструктуризация исследовательских комиссий направлена на то, чтобы перегруппировать мероприятия по сходным темам/характеру, выполняемые разными исследовательскими комиссиями, путем их объединения в рамках одной исследовательской комиссии с необходимыми специальными знаниями и опытом и одновременной минимизации дублирования работы по стандартизации между исследовательскими комиссиями МСЭ-Т на основе четких мандатов исследовательских комиссий. </w:t>
      </w:r>
    </w:p>
    <w:p w14:paraId="274EDA43" w14:textId="77777777" w:rsidR="002A6D84" w:rsidRPr="006E566E" w:rsidRDefault="002A6D84" w:rsidP="002A6D84">
      <w:r w:rsidRPr="006E566E">
        <w:t>В частности, вносятся следующие предложения по реструктуризации исследовательских комиссий:</w:t>
      </w:r>
    </w:p>
    <w:p w14:paraId="1717F656" w14:textId="77777777" w:rsidR="002A6D84" w:rsidRPr="006E566E" w:rsidRDefault="002A6D84" w:rsidP="002A6D84">
      <w:pPr>
        <w:pStyle w:val="Heading1"/>
      </w:pPr>
      <w:r w:rsidRPr="006E566E">
        <w:t>1</w:t>
      </w:r>
      <w:r w:rsidRPr="006E566E">
        <w:tab/>
        <w:t>Консолидация всей работы, связанной с безопасностью, в рамках ИК17</w:t>
      </w:r>
    </w:p>
    <w:p w14:paraId="0D520B5A" w14:textId="77777777" w:rsidR="002A6D84" w:rsidRPr="006E566E" w:rsidRDefault="002A6D84" w:rsidP="002A6D84">
      <w:r w:rsidRPr="006E566E">
        <w:t>ИК17 является ведущей комиссией по вопросам безопасности. Важно объединить работу, связанную с</w:t>
      </w:r>
      <w:r>
        <w:t> </w:t>
      </w:r>
      <w:r w:rsidRPr="006E566E">
        <w:t xml:space="preserve">безопасностью, в рамках ИК17, где работают специалисты по безопасности. Например, часть Вопроса 6/20 "Безопасность, конфиденциальность и доверие для </w:t>
      </w:r>
      <w:proofErr w:type="spellStart"/>
      <w:r w:rsidRPr="006E566E">
        <w:t>IoT</w:t>
      </w:r>
      <w:proofErr w:type="spellEnd"/>
      <w:r w:rsidRPr="006E566E">
        <w:t xml:space="preserve"> и </w:t>
      </w:r>
      <w:proofErr w:type="spellStart"/>
      <w:r w:rsidRPr="006E566E">
        <w:t>SC&amp;C</w:t>
      </w:r>
      <w:proofErr w:type="spellEnd"/>
      <w:r w:rsidRPr="006E566E">
        <w:t>" может быть объединена с частью Вопроса 6/17, в которой речь идет о безопасности услуг электросвязи и</w:t>
      </w:r>
      <w:r>
        <w:t> </w:t>
      </w:r>
      <w:r w:rsidRPr="006E566E">
        <w:t xml:space="preserve">интернета вещей (IoT). </w:t>
      </w:r>
    </w:p>
    <w:p w14:paraId="1F8A2176" w14:textId="77777777" w:rsidR="002A6D84" w:rsidRPr="006E566E" w:rsidRDefault="002A6D84" w:rsidP="002A6D84">
      <w:pPr>
        <w:pStyle w:val="Heading1"/>
      </w:pPr>
      <w:r w:rsidRPr="006E566E">
        <w:t>2</w:t>
      </w:r>
      <w:r w:rsidRPr="006E566E">
        <w:tab/>
        <w:t xml:space="preserve">Консолидация всей работы, связанной с нумерацией, наименованием, адресацией и идентификацией (ННАИ), в рамках ИК2 </w:t>
      </w:r>
    </w:p>
    <w:p w14:paraId="11327453" w14:textId="77777777" w:rsidR="002A6D84" w:rsidRPr="006E566E" w:rsidRDefault="002A6D84" w:rsidP="002A6D84">
      <w:r w:rsidRPr="006E566E">
        <w:t xml:space="preserve">Важно объединить работу, касающуюся тех аспектов ННАИ, которыми занимаются другие исследовательские комиссии, в рамках ИК2, где сосредоточены профильные специалисты. Например, ИК2 можно было бы передать работу по идентификации для </w:t>
      </w:r>
      <w:proofErr w:type="spellStart"/>
      <w:r w:rsidRPr="006E566E">
        <w:t>IoT</w:t>
      </w:r>
      <w:proofErr w:type="spellEnd"/>
      <w:r w:rsidRPr="006E566E">
        <w:t xml:space="preserve"> и </w:t>
      </w:r>
      <w:proofErr w:type="spellStart"/>
      <w:r w:rsidRPr="006E566E">
        <w:t>SC&amp;C</w:t>
      </w:r>
      <w:proofErr w:type="spellEnd"/>
      <w:r w:rsidRPr="006E566E">
        <w:t>, выполняемую в рамках Вопроса</w:t>
      </w:r>
      <w:r>
        <w:t> </w:t>
      </w:r>
      <w:r w:rsidRPr="006E566E">
        <w:t>6/20. Данная перегруппировка осуществляется в соответствии с мандатом Вопроса</w:t>
      </w:r>
      <w:r>
        <w:t> </w:t>
      </w:r>
      <w:r w:rsidRPr="006E566E">
        <w:t>1/2 по</w:t>
      </w:r>
      <w:r>
        <w:t> </w:t>
      </w:r>
      <w:r w:rsidRPr="006E566E">
        <w:t>ННАИ для услуг фиксированной и подвижной электросвязи. Эта стратегическая передача функций обеспечивает более согласованный и оптимизированный подход к разнообразным аспектам идентификации в рамках сферы электросвязи/ИКТ.</w:t>
      </w:r>
    </w:p>
    <w:p w14:paraId="57A5606E" w14:textId="77777777" w:rsidR="002A6D84" w:rsidRPr="006E566E" w:rsidRDefault="002A6D84" w:rsidP="002A6D84">
      <w:pPr>
        <w:pStyle w:val="Heading1"/>
      </w:pPr>
      <w:r w:rsidRPr="006E566E">
        <w:t>3</w:t>
      </w:r>
      <w:r w:rsidRPr="006E566E">
        <w:tab/>
        <w:t>Консолидация деятельности, связанной с показателями работы, качеством обслуживания и оценкой пользователем качества услуги, в</w:t>
      </w:r>
      <w:r>
        <w:t> </w:t>
      </w:r>
      <w:r w:rsidRPr="006E566E">
        <w:t>рамках ИК12</w:t>
      </w:r>
    </w:p>
    <w:p w14:paraId="7E71325A" w14:textId="77777777" w:rsidR="002A6D84" w:rsidRPr="006E566E" w:rsidRDefault="002A6D84" w:rsidP="002A6D84">
      <w:r w:rsidRPr="006E566E">
        <w:t>ИК12 является ведущей исследовательской комиссией по вопросам показателей работы, QoS и QoE для полного спектра терминалов, сетей, услуг и приложений, включая эксплуатационные аспекты QoS и QoE.</w:t>
      </w:r>
    </w:p>
    <w:p w14:paraId="57A59118" w14:textId="77777777" w:rsidR="002A6D84" w:rsidRPr="006E566E" w:rsidRDefault="002A6D84" w:rsidP="002A6D84">
      <w:r w:rsidRPr="006E566E">
        <w:t>Необходимо рассмотреть вопрос об обновлении руководящих ориентиров ИК для программы работы на период после 2024</w:t>
      </w:r>
      <w:r>
        <w:t> </w:t>
      </w:r>
      <w:r w:rsidRPr="006E566E">
        <w:t>года в Приложении</w:t>
      </w:r>
      <w:r>
        <w:t> </w:t>
      </w:r>
      <w:r w:rsidRPr="006E566E">
        <w:t>В к Резолюции</w:t>
      </w:r>
      <w:r>
        <w:t> </w:t>
      </w:r>
      <w:r w:rsidRPr="006E566E">
        <w:t>2 (Пересм. Женева, 2022</w:t>
      </w:r>
      <w:r>
        <w:t> </w:t>
      </w:r>
      <w:r w:rsidRPr="006E566E">
        <w:t>г.), с тем чтобы убедиться в отсутствии дублирования между работой, описанной в руководящих ориентирах, и</w:t>
      </w:r>
      <w:r>
        <w:t> </w:t>
      </w:r>
      <w:r w:rsidRPr="006E566E">
        <w:t>мандатом других ИК.</w:t>
      </w:r>
    </w:p>
    <w:p w14:paraId="05BC1CDD" w14:textId="77777777" w:rsidR="002A6D84" w:rsidRPr="006E566E" w:rsidRDefault="002A6D84" w:rsidP="002A6D84">
      <w:pPr>
        <w:pStyle w:val="Heading1"/>
      </w:pPr>
      <w:r w:rsidRPr="006E566E">
        <w:t>4</w:t>
      </w:r>
      <w:r w:rsidRPr="006E566E">
        <w:tab/>
        <w:t>Консолидация связанной с мультимедийными приложениями работы, проводимой в настоящее время в ИК9 и ИК16 МСЭ-T, в рамках одной исследовательской комиссии</w:t>
      </w:r>
    </w:p>
    <w:p w14:paraId="1CAC0747" w14:textId="77777777" w:rsidR="002A6D84" w:rsidRPr="006E566E" w:rsidRDefault="002A6D84" w:rsidP="002A6D84">
      <w:r w:rsidRPr="006E566E">
        <w:t>СИТЕЛ поддерживает объединение ИК9 и ИК16 в новую Исследовательскую комиссию</w:t>
      </w:r>
      <w:r>
        <w:t> </w:t>
      </w:r>
      <w:r w:rsidRPr="006E566E">
        <w:t>С "Технологии мультимедиа, доставки контента и кабельного телевидения", как это уже было согласовано КГСЭ.</w:t>
      </w:r>
    </w:p>
    <w:p w14:paraId="0EA00317" w14:textId="77777777" w:rsidR="002A6D84" w:rsidRPr="006E566E" w:rsidRDefault="002A6D84" w:rsidP="002A6D84">
      <w:pPr>
        <w:pStyle w:val="Heading1"/>
      </w:pPr>
      <w:r w:rsidRPr="006E566E">
        <w:lastRenderedPageBreak/>
        <w:t>5</w:t>
      </w:r>
      <w:r w:rsidRPr="006E566E">
        <w:tab/>
        <w:t>Четкая и последовательная терминология в мандатах ИК</w:t>
      </w:r>
    </w:p>
    <w:p w14:paraId="2BA34A18" w14:textId="77777777" w:rsidR="002A6D84" w:rsidRPr="006E566E" w:rsidRDefault="002A6D84" w:rsidP="002A6D84">
      <w:r w:rsidRPr="006E566E">
        <w:t>МСЭ-T отвечает за разработку международных стандартов для электросвязи/ИКТ. В рамках своих мандатов ИК5, ИК16 и ИК20 используют термин "цифровые технологии", который может привести к</w:t>
      </w:r>
      <w:r>
        <w:t> </w:t>
      </w:r>
      <w:r w:rsidRPr="006E566E">
        <w:t>путанице, поскольку многочисленные цифровые технологии существуют за пределами сферы ИКТ. ИКТ в своей сущности обозначают технологии, которые облегчают работу с информацией и обмен ею с помощью различных методов связи. Хотя многие аналоговые и цифровые технологии действительно попадают в эту категорию, существуют также аналоговые и цифровые технологии, которые служат целям, не связанным со связью и обработкой информации, и поэтому не будут считаться ИКТ.</w:t>
      </w:r>
    </w:p>
    <w:p w14:paraId="325E5229" w14:textId="77777777" w:rsidR="002A6D84" w:rsidRPr="006E566E" w:rsidRDefault="002A6D84" w:rsidP="002A6D84">
      <w:r w:rsidRPr="006E566E">
        <w:t>Желательно воздерживаться от использования термина "цифровые технологии" в рамках мандатов ИК, используя вместо этого такие термины, как "электросвязь/ИКТ" или просто ИКТ.</w:t>
      </w:r>
    </w:p>
    <w:p w14:paraId="6782C7C2" w14:textId="77777777" w:rsidR="002A6D84" w:rsidRPr="006E566E" w:rsidRDefault="002A6D84" w:rsidP="002A6D84">
      <w:pPr>
        <w:pStyle w:val="Heading1"/>
      </w:pPr>
      <w:r w:rsidRPr="006E566E">
        <w:t>6</w:t>
      </w:r>
      <w:r w:rsidRPr="006E566E">
        <w:tab/>
        <w:t xml:space="preserve">Уточнение понятия </w:t>
      </w:r>
      <w:r w:rsidRPr="002A6D84">
        <w:rPr>
          <w:b w:val="0"/>
          <w:bCs/>
        </w:rPr>
        <w:t>"</w:t>
      </w:r>
      <w:r w:rsidRPr="006E566E">
        <w:t>ведущая Исследовательская комиссия</w:t>
      </w:r>
      <w:r w:rsidRPr="002A6D84">
        <w:rPr>
          <w:b w:val="0"/>
          <w:bCs/>
        </w:rPr>
        <w:t>"</w:t>
      </w:r>
    </w:p>
    <w:p w14:paraId="1F3647A7" w14:textId="77777777" w:rsidR="002A6D84" w:rsidRPr="006E566E" w:rsidRDefault="002A6D84" w:rsidP="002A6D84">
      <w:r w:rsidRPr="006E566E">
        <w:t>Концепция ведущих исследовательских комиссий существует уже давно, однако практический опыт выявил проблемы в эффективном руководстве совместной деятельностью, особенно с учетом того, что работа основывается на вкладах.</w:t>
      </w:r>
    </w:p>
    <w:p w14:paraId="006793E9" w14:textId="77777777" w:rsidR="002A6D84" w:rsidRPr="006E566E" w:rsidRDefault="002A6D84" w:rsidP="002A6D84">
      <w:r w:rsidRPr="006E566E">
        <w:t>Примечательно, что динамика работы каждой исследовательской комиссии, по-видимому, глубоко укоренена в их отдельных программах работы, что снижает актуальность концепции ведущей исследовательской комиссии. В настоящее время исследовательские комиссии обычно определяют свои ведущие роли, намечая соответствующие программы работы. Однако это дополнительное пояснение нередко перекликается с мандатами, вверенными исследовательским комиссиям, вследствие чего необходимость в конкретном повторении отпадает. Например, мандат ИК17 относится к безопасности, и ИК17 при этом также является ведущей ИК в области безопасности, что</w:t>
      </w:r>
      <w:r>
        <w:t> </w:t>
      </w:r>
      <w:r w:rsidRPr="006E566E">
        <w:t>представляется тавтологичным. Аналогичная ситуация сложилась в случае с ИК2, ИК3, ИК11 и</w:t>
      </w:r>
      <w:r>
        <w:t> </w:t>
      </w:r>
      <w:r w:rsidRPr="006E566E">
        <w:t>другими ИК.</w:t>
      </w:r>
    </w:p>
    <w:p w14:paraId="20A1F4A3" w14:textId="77777777" w:rsidR="002A6D84" w:rsidRPr="006E566E" w:rsidRDefault="002A6D84" w:rsidP="002A6D84">
      <w:r w:rsidRPr="006E566E">
        <w:t>В связи с этим концепцию "ведущих исследовательских комиссий" необходимо пересмотреть, с тем чтобы повысить ее эффективность. Цель должна состоять в разработке четкого определения и</w:t>
      </w:r>
      <w:r>
        <w:t> </w:t>
      </w:r>
      <w:r w:rsidRPr="006E566E">
        <w:t>рассмотрении вопроса о том, как именно исследовательская комиссия назначает себя ведущей исследовательской комиссией, а также последствий такого назначения. Такое рассмотрение могло бы помочь смягчить проблемы, возникающие в связи с тем, что некоторые исследовательские комиссии претендуют на исключительность своей ведущей роли.</w:t>
      </w:r>
    </w:p>
    <w:p w14:paraId="0032E464" w14:textId="77777777" w:rsidR="002A6D84" w:rsidRPr="006E566E" w:rsidRDefault="002A6D84" w:rsidP="002A6D84">
      <w:r w:rsidRPr="006E566E">
        <w:t>В пункте 2.1.5 Резолюции 1 ВАСЭ определяется понятие ведущей исследовательской комиссии. В</w:t>
      </w:r>
      <w:r>
        <w:t> </w:t>
      </w:r>
      <w:r w:rsidRPr="006E566E">
        <w:t>сущности, ведущая ИК занимается исследованиями в области стандартизации, в которых участвуют несколько ИК. Ведущая ИК отвечает за изучение основных Вопросов и координацию общей структуры. Она осуществляет координацию, распределяет (на основе консультаций с</w:t>
      </w:r>
      <w:r>
        <w:t> </w:t>
      </w:r>
      <w:r w:rsidRPr="006E566E">
        <w:t>соответствующими исследовательскими комиссиями и с учетом их мандатов) и устанавливает приоритетность исследований, которые должны быть проведены соответствующими ИК. Она</w:t>
      </w:r>
      <w:r>
        <w:t> </w:t>
      </w:r>
      <w:r w:rsidRPr="006E566E">
        <w:t>обеспечивает подготовку согласованных и своевременных Рекомендаций, предоставляет КГСЭ информацию о ходе работы и обращается к КГСЭ за консультационной помощью по нерешенным вопросам.</w:t>
      </w:r>
    </w:p>
    <w:p w14:paraId="3B7083A8" w14:textId="77777777" w:rsidR="002A6D84" w:rsidRPr="006E566E" w:rsidRDefault="002A6D84" w:rsidP="002A6D84">
      <w:pPr>
        <w:pStyle w:val="Reasons"/>
      </w:pPr>
    </w:p>
    <w:p w14:paraId="4D8A7042" w14:textId="4AE21C2A" w:rsidR="00BC2201" w:rsidRDefault="002A6D84" w:rsidP="002A6D84">
      <w:pPr>
        <w:jc w:val="center"/>
      </w:pPr>
      <w:r w:rsidRPr="006E566E">
        <w:t>______________</w:t>
      </w:r>
    </w:p>
    <w:sectPr w:rsidR="00BC2201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DB64" w14:textId="77777777" w:rsidR="0023451B" w:rsidRDefault="0023451B">
      <w:r>
        <w:separator/>
      </w:r>
    </w:p>
  </w:endnote>
  <w:endnote w:type="continuationSeparator" w:id="0">
    <w:p w14:paraId="46FCFD8C" w14:textId="77777777" w:rsidR="0023451B" w:rsidRDefault="0023451B">
      <w:r>
        <w:continuationSeparator/>
      </w:r>
    </w:p>
  </w:endnote>
  <w:endnote w:type="continuationNotice" w:id="1">
    <w:p w14:paraId="43CDDCC2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94A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B042A54" w14:textId="5709F1B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97BC7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EFBE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769D3BB5" w14:textId="77777777"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B288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WTSA-24/39(</w:t>
    </w:r>
    <w:proofErr w:type="spellStart"/>
    <w:r w:rsidR="00955FE7">
      <w:t>Add.20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96468573">
    <w:abstractNumId w:val="8"/>
  </w:num>
  <w:num w:numId="2" w16cid:durableId="20792058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64177743">
    <w:abstractNumId w:val="9"/>
  </w:num>
  <w:num w:numId="4" w16cid:durableId="904533455">
    <w:abstractNumId w:val="7"/>
  </w:num>
  <w:num w:numId="5" w16cid:durableId="1936863131">
    <w:abstractNumId w:val="6"/>
  </w:num>
  <w:num w:numId="6" w16cid:durableId="2052194395">
    <w:abstractNumId w:val="5"/>
  </w:num>
  <w:num w:numId="7" w16cid:durableId="423498063">
    <w:abstractNumId w:val="4"/>
  </w:num>
  <w:num w:numId="8" w16cid:durableId="696853334">
    <w:abstractNumId w:val="3"/>
  </w:num>
  <w:num w:numId="9" w16cid:durableId="371421652">
    <w:abstractNumId w:val="2"/>
  </w:num>
  <w:num w:numId="10" w16cid:durableId="1555388238">
    <w:abstractNumId w:val="1"/>
  </w:num>
  <w:num w:numId="11" w16cid:durableId="585921636">
    <w:abstractNumId w:val="0"/>
  </w:num>
  <w:num w:numId="12" w16cid:durableId="1042899048">
    <w:abstractNumId w:val="12"/>
  </w:num>
  <w:num w:numId="13" w16cid:durableId="742414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97BC7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A6D84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717D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201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5804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197BC7"/>
    <w:pPr>
      <w:jc w:val="center"/>
    </w:pPr>
    <w:rPr>
      <w:rFonts w:ascii="Times New Roman Bold" w:hAnsi="Times New Roman Bold"/>
      <w:b/>
      <w:bCs/>
      <w:sz w:val="26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2ad7936-d38a-4868-a83a-6411d1e10482" targetNamespace="http://schemas.microsoft.com/office/2006/metadata/properties" ma:root="true" ma:fieldsID="d41af5c836d734370eb92e7ee5f83852" ns2:_="" ns3:_="">
    <xsd:import namespace="996b2e75-67fd-4955-a3b0-5ab9934cb50b"/>
    <xsd:import namespace="12ad7936-d38a-4868-a83a-6411d1e1048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7936-d38a-4868-a83a-6411d1e1048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2ad7936-d38a-4868-a83a-6411d1e10482">DPM</DPM_x0020_Author>
    <DPM_x0020_File_x0020_name xmlns="12ad7936-d38a-4868-a83a-6411d1e10482">T22-WTSA.24-C-0039!A20!MSW-R</DPM_x0020_File_x0020_name>
    <DPM_x0020_Version xmlns="12ad7936-d38a-4868-a83a-6411d1e10482">DPM_2024.10.03.01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2ad7936-d38a-4868-a83a-6411d1e10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7936-d38a-4868-a83a-6411d1e10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1140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T22-WTSA.24-C-0039!A20!MSW-R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2024-10-07T14:07:00Z</dcterms:created>
  <dcterms:modified xsi:type="dcterms:W3CDTF">2024-10-07T14:21:00Z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