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257DED" w14:paraId="27FEA507" w14:textId="77777777" w:rsidTr="00267BFB">
        <w:trPr>
          <w:cantSplit/>
          <w:trHeight w:val="1132"/>
        </w:trPr>
        <w:tc>
          <w:tcPr>
            <w:tcW w:w="1290" w:type="dxa"/>
            <w:vAlign w:val="center"/>
          </w:tcPr>
          <w:p w14:paraId="454A0FB7" w14:textId="77777777" w:rsidR="00D2023F" w:rsidRPr="00257DED" w:rsidRDefault="0018215C" w:rsidP="00FB2C98">
            <w:pPr>
              <w:spacing w:before="0"/>
              <w:rPr>
                <w:lang w:val="fr-FR"/>
              </w:rPr>
            </w:pPr>
            <w:r w:rsidRPr="00257DED">
              <w:rPr>
                <w:lang w:val="fr-FR"/>
              </w:rPr>
              <w:drawing>
                <wp:inline distT="0" distB="0" distL="0" distR="0" wp14:anchorId="41F90931" wp14:editId="09E26569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4549C263" w14:textId="7E6C8A52" w:rsidR="00D2023F" w:rsidRPr="00257DED" w:rsidRDefault="006F0DB7" w:rsidP="008A186A">
            <w:pPr>
              <w:pStyle w:val="TopHeader"/>
              <w:rPr>
                <w:lang w:val="fr-FR"/>
              </w:rPr>
            </w:pPr>
            <w:r w:rsidRPr="00257DED">
              <w:rPr>
                <w:lang w:val="fr-FR"/>
              </w:rPr>
              <w:t>Assemblée mondiale de normalisation des télécommunications (AMNT-24)</w:t>
            </w:r>
            <w:r w:rsidRPr="00257DED">
              <w:rPr>
                <w:sz w:val="26"/>
                <w:szCs w:val="26"/>
                <w:lang w:val="fr-FR"/>
              </w:rPr>
              <w:br/>
            </w:r>
            <w:r w:rsidRPr="00257DED">
              <w:rPr>
                <w:sz w:val="18"/>
                <w:szCs w:val="18"/>
                <w:lang w:val="fr-FR"/>
              </w:rPr>
              <w:t>New Delhi, 15</w:t>
            </w:r>
            <w:r w:rsidR="009F29D4" w:rsidRPr="00257DED">
              <w:rPr>
                <w:sz w:val="18"/>
                <w:szCs w:val="18"/>
                <w:lang w:val="fr-FR"/>
              </w:rPr>
              <w:t>-</w:t>
            </w:r>
            <w:r w:rsidRPr="00257DED">
              <w:rPr>
                <w:sz w:val="18"/>
                <w:szCs w:val="18"/>
                <w:lang w:val="fr-FR"/>
              </w:rPr>
              <w:t>24 octobre 2024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39B320D0" w14:textId="77777777" w:rsidR="00D2023F" w:rsidRPr="00257DED" w:rsidRDefault="00D2023F" w:rsidP="00C30155">
            <w:pPr>
              <w:spacing w:before="0"/>
              <w:rPr>
                <w:lang w:val="fr-FR"/>
              </w:rPr>
            </w:pPr>
            <w:r w:rsidRPr="00257DED">
              <w:rPr>
                <w:lang w:val="fr-FR" w:eastAsia="zh-CN"/>
              </w:rPr>
              <w:drawing>
                <wp:inline distT="0" distB="0" distL="0" distR="0" wp14:anchorId="4D5920FF" wp14:editId="6F53A4C9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257DED" w14:paraId="005A644C" w14:textId="77777777" w:rsidTr="00267BFB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6F0DD2BC" w14:textId="77777777" w:rsidR="00D2023F" w:rsidRPr="00257DED" w:rsidRDefault="00D2023F" w:rsidP="00C30155">
            <w:pPr>
              <w:spacing w:before="0"/>
              <w:rPr>
                <w:lang w:val="fr-FR"/>
              </w:rPr>
            </w:pPr>
          </w:p>
        </w:tc>
      </w:tr>
      <w:tr w:rsidR="00931298" w:rsidRPr="00257DED" w14:paraId="0E957938" w14:textId="77777777" w:rsidTr="00267BFB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26C65D9A" w14:textId="77777777" w:rsidR="00931298" w:rsidRPr="00257DED" w:rsidRDefault="00931298" w:rsidP="00C30155">
            <w:pPr>
              <w:spacing w:before="0"/>
              <w:rPr>
                <w:lang w:val="fr-FR"/>
              </w:rPr>
            </w:pPr>
          </w:p>
        </w:tc>
        <w:tc>
          <w:tcPr>
            <w:tcW w:w="3574" w:type="dxa"/>
            <w:gridSpan w:val="2"/>
          </w:tcPr>
          <w:p w14:paraId="230193F2" w14:textId="77777777" w:rsidR="00931298" w:rsidRPr="00257DED" w:rsidRDefault="00931298" w:rsidP="00C30155">
            <w:pPr>
              <w:spacing w:before="0"/>
              <w:rPr>
                <w:sz w:val="20"/>
                <w:szCs w:val="16"/>
                <w:lang w:val="fr-FR"/>
              </w:rPr>
            </w:pPr>
          </w:p>
        </w:tc>
      </w:tr>
      <w:tr w:rsidR="00752D4D" w:rsidRPr="00257DED" w14:paraId="69FA5C24" w14:textId="77777777" w:rsidTr="00267BFB">
        <w:trPr>
          <w:cantSplit/>
        </w:trPr>
        <w:tc>
          <w:tcPr>
            <w:tcW w:w="6237" w:type="dxa"/>
            <w:gridSpan w:val="2"/>
          </w:tcPr>
          <w:p w14:paraId="175805B4" w14:textId="77777777" w:rsidR="00752D4D" w:rsidRPr="00257DED" w:rsidRDefault="007F4179" w:rsidP="00C30155">
            <w:pPr>
              <w:pStyle w:val="Committee"/>
              <w:rPr>
                <w:lang w:val="fr-FR"/>
              </w:rPr>
            </w:pPr>
            <w:r w:rsidRPr="00257DED">
              <w:rPr>
                <w:lang w:val="fr-FR"/>
              </w:rPr>
              <w:t>SÉANCE PLÉNIÈRE</w:t>
            </w:r>
          </w:p>
        </w:tc>
        <w:tc>
          <w:tcPr>
            <w:tcW w:w="3574" w:type="dxa"/>
            <w:gridSpan w:val="2"/>
          </w:tcPr>
          <w:p w14:paraId="26DF9240" w14:textId="7AADCF88" w:rsidR="00752D4D" w:rsidRPr="00257DED" w:rsidRDefault="007F4179" w:rsidP="00A52D1A">
            <w:pPr>
              <w:pStyle w:val="Docnumber"/>
              <w:rPr>
                <w:lang w:val="fr-FR"/>
              </w:rPr>
            </w:pPr>
            <w:r w:rsidRPr="00257DED">
              <w:rPr>
                <w:lang w:val="fr-FR"/>
              </w:rPr>
              <w:t>Addendum 20 au</w:t>
            </w:r>
            <w:r w:rsidRPr="00257DED">
              <w:rPr>
                <w:lang w:val="fr-FR"/>
              </w:rPr>
              <w:br/>
              <w:t>Document 39</w:t>
            </w:r>
            <w:r w:rsidR="00081378" w:rsidRPr="00257DED">
              <w:rPr>
                <w:lang w:val="fr-FR"/>
              </w:rPr>
              <w:t>-F</w:t>
            </w:r>
          </w:p>
        </w:tc>
      </w:tr>
      <w:tr w:rsidR="00931298" w:rsidRPr="00257DED" w14:paraId="4E13374E" w14:textId="77777777" w:rsidTr="00267BFB">
        <w:trPr>
          <w:cantSplit/>
        </w:trPr>
        <w:tc>
          <w:tcPr>
            <w:tcW w:w="6237" w:type="dxa"/>
            <w:gridSpan w:val="2"/>
          </w:tcPr>
          <w:p w14:paraId="44ADC870" w14:textId="77777777" w:rsidR="00931298" w:rsidRPr="00257DED" w:rsidRDefault="00931298" w:rsidP="00C30155">
            <w:pPr>
              <w:spacing w:before="0"/>
              <w:rPr>
                <w:lang w:val="fr-FR"/>
              </w:rPr>
            </w:pPr>
          </w:p>
        </w:tc>
        <w:tc>
          <w:tcPr>
            <w:tcW w:w="3574" w:type="dxa"/>
            <w:gridSpan w:val="2"/>
          </w:tcPr>
          <w:p w14:paraId="59EF5816" w14:textId="77777777" w:rsidR="00931298" w:rsidRPr="00257DED" w:rsidRDefault="007F4179" w:rsidP="00C30155">
            <w:pPr>
              <w:pStyle w:val="TopHeader"/>
              <w:spacing w:before="0"/>
              <w:rPr>
                <w:sz w:val="20"/>
                <w:szCs w:val="20"/>
                <w:lang w:val="fr-FR"/>
              </w:rPr>
            </w:pPr>
            <w:r w:rsidRPr="00257DED">
              <w:rPr>
                <w:sz w:val="20"/>
                <w:szCs w:val="16"/>
                <w:lang w:val="fr-FR"/>
              </w:rPr>
              <w:t>13 septembre 2024</w:t>
            </w:r>
          </w:p>
        </w:tc>
      </w:tr>
      <w:tr w:rsidR="00931298" w:rsidRPr="00257DED" w14:paraId="3FC4BDB4" w14:textId="77777777" w:rsidTr="00267BFB">
        <w:trPr>
          <w:cantSplit/>
        </w:trPr>
        <w:tc>
          <w:tcPr>
            <w:tcW w:w="6237" w:type="dxa"/>
            <w:gridSpan w:val="2"/>
          </w:tcPr>
          <w:p w14:paraId="523D9A14" w14:textId="77777777" w:rsidR="00931298" w:rsidRPr="00257DED" w:rsidRDefault="00931298" w:rsidP="00C30155">
            <w:pPr>
              <w:spacing w:before="0"/>
              <w:rPr>
                <w:lang w:val="fr-FR"/>
              </w:rPr>
            </w:pPr>
          </w:p>
        </w:tc>
        <w:tc>
          <w:tcPr>
            <w:tcW w:w="3574" w:type="dxa"/>
            <w:gridSpan w:val="2"/>
          </w:tcPr>
          <w:p w14:paraId="204CDCF1" w14:textId="77777777" w:rsidR="00931298" w:rsidRPr="00257DED" w:rsidRDefault="007F4179" w:rsidP="00C30155">
            <w:pPr>
              <w:pStyle w:val="TopHeader"/>
              <w:spacing w:before="0"/>
              <w:rPr>
                <w:sz w:val="20"/>
                <w:szCs w:val="20"/>
                <w:lang w:val="fr-FR"/>
              </w:rPr>
            </w:pPr>
            <w:r w:rsidRPr="00257DED">
              <w:rPr>
                <w:sz w:val="20"/>
                <w:szCs w:val="16"/>
                <w:lang w:val="fr-FR"/>
              </w:rPr>
              <w:t>Original: anglais</w:t>
            </w:r>
          </w:p>
        </w:tc>
      </w:tr>
      <w:tr w:rsidR="00931298" w:rsidRPr="00257DED" w14:paraId="328DDB63" w14:textId="77777777" w:rsidTr="00267BFB">
        <w:trPr>
          <w:cantSplit/>
        </w:trPr>
        <w:tc>
          <w:tcPr>
            <w:tcW w:w="9811" w:type="dxa"/>
            <w:gridSpan w:val="4"/>
          </w:tcPr>
          <w:p w14:paraId="79AE660C" w14:textId="77777777" w:rsidR="00931298" w:rsidRPr="00257DED" w:rsidRDefault="00931298" w:rsidP="00706168">
            <w:pPr>
              <w:spacing w:before="0"/>
              <w:rPr>
                <w:sz w:val="20"/>
                <w:szCs w:val="16"/>
                <w:lang w:val="fr-FR"/>
              </w:rPr>
            </w:pPr>
          </w:p>
        </w:tc>
      </w:tr>
      <w:tr w:rsidR="007F4179" w:rsidRPr="00257DED" w14:paraId="600DC479" w14:textId="77777777" w:rsidTr="00267BFB">
        <w:trPr>
          <w:cantSplit/>
        </w:trPr>
        <w:tc>
          <w:tcPr>
            <w:tcW w:w="9811" w:type="dxa"/>
            <w:gridSpan w:val="4"/>
          </w:tcPr>
          <w:p w14:paraId="072636B7" w14:textId="4371D898" w:rsidR="007F4179" w:rsidRPr="00257DED" w:rsidRDefault="00554EFD" w:rsidP="00FB2C98">
            <w:pPr>
              <w:pStyle w:val="Source"/>
              <w:rPr>
                <w:lang w:val="fr-FR"/>
              </w:rPr>
            </w:pPr>
            <w:r w:rsidRPr="00257DED">
              <w:rPr>
                <w:lang w:val="fr-FR"/>
              </w:rPr>
              <w:t>États</w:t>
            </w:r>
            <w:r w:rsidR="007F4179" w:rsidRPr="00257DED">
              <w:rPr>
                <w:lang w:val="fr-FR"/>
              </w:rPr>
              <w:t xml:space="preserve"> Membres de la Commission interaméricaine des télécommunications (CITEL)</w:t>
            </w:r>
          </w:p>
        </w:tc>
      </w:tr>
      <w:tr w:rsidR="007F4179" w:rsidRPr="00257DED" w14:paraId="62958FB9" w14:textId="77777777" w:rsidTr="00267BFB">
        <w:trPr>
          <w:cantSplit/>
        </w:trPr>
        <w:tc>
          <w:tcPr>
            <w:tcW w:w="9811" w:type="dxa"/>
            <w:gridSpan w:val="4"/>
          </w:tcPr>
          <w:p w14:paraId="0B37466E" w14:textId="677DF969" w:rsidR="007F4179" w:rsidRPr="00257DED" w:rsidRDefault="000E1C14" w:rsidP="00FB2C98">
            <w:pPr>
              <w:pStyle w:val="Title1"/>
              <w:rPr>
                <w:lang w:val="fr-FR"/>
              </w:rPr>
            </w:pPr>
            <w:r w:rsidRPr="00257DED">
              <w:rPr>
                <w:lang w:val="fr-FR"/>
              </w:rPr>
              <w:t>PROPOSITIONS DE</w:t>
            </w:r>
            <w:r w:rsidR="007F4179" w:rsidRPr="00257DED">
              <w:rPr>
                <w:lang w:val="fr-FR"/>
              </w:rPr>
              <w:t xml:space="preserve"> modification </w:t>
            </w:r>
            <w:r w:rsidRPr="00257DED">
              <w:rPr>
                <w:lang w:val="fr-FR"/>
              </w:rPr>
              <w:t xml:space="preserve">DE LA </w:t>
            </w:r>
            <w:r w:rsidR="007F4179" w:rsidRPr="00257DED">
              <w:rPr>
                <w:lang w:val="fr-FR"/>
              </w:rPr>
              <w:t>R</w:t>
            </w:r>
            <w:r w:rsidRPr="00257DED">
              <w:rPr>
                <w:lang w:val="fr-FR"/>
              </w:rPr>
              <w:t>É</w:t>
            </w:r>
            <w:r w:rsidR="007F4179" w:rsidRPr="00257DED">
              <w:rPr>
                <w:lang w:val="fr-FR"/>
              </w:rPr>
              <w:t>solution 2</w:t>
            </w:r>
          </w:p>
        </w:tc>
      </w:tr>
      <w:tr w:rsidR="00657CDA" w:rsidRPr="00257DED" w14:paraId="04C327D3" w14:textId="77777777" w:rsidTr="00267BFB">
        <w:trPr>
          <w:cantSplit/>
          <w:trHeight w:hRule="exact" w:val="240"/>
        </w:trPr>
        <w:tc>
          <w:tcPr>
            <w:tcW w:w="9811" w:type="dxa"/>
            <w:gridSpan w:val="4"/>
          </w:tcPr>
          <w:p w14:paraId="1EB79B07" w14:textId="77777777" w:rsidR="00657CDA" w:rsidRPr="00257DED" w:rsidRDefault="00657CDA" w:rsidP="007F4179">
            <w:pPr>
              <w:pStyle w:val="Title2"/>
              <w:spacing w:before="0"/>
              <w:rPr>
                <w:lang w:val="fr-FR"/>
              </w:rPr>
            </w:pPr>
          </w:p>
        </w:tc>
      </w:tr>
      <w:tr w:rsidR="00657CDA" w:rsidRPr="00257DED" w14:paraId="77D7F29B" w14:textId="77777777" w:rsidTr="00267BFB">
        <w:trPr>
          <w:cantSplit/>
          <w:trHeight w:hRule="exact" w:val="240"/>
        </w:trPr>
        <w:tc>
          <w:tcPr>
            <w:tcW w:w="9811" w:type="dxa"/>
            <w:gridSpan w:val="4"/>
          </w:tcPr>
          <w:p w14:paraId="4DDB79AE" w14:textId="77777777" w:rsidR="00657CDA" w:rsidRPr="00257DED" w:rsidRDefault="00657CDA" w:rsidP="00293F9A">
            <w:pPr>
              <w:pStyle w:val="Agendaitem"/>
              <w:spacing w:before="0"/>
              <w:rPr>
                <w:lang w:val="fr-FR"/>
              </w:rPr>
            </w:pPr>
          </w:p>
        </w:tc>
      </w:tr>
    </w:tbl>
    <w:p w14:paraId="328321D1" w14:textId="77777777" w:rsidR="00931298" w:rsidRPr="00257DED" w:rsidRDefault="00931298" w:rsidP="00931298">
      <w:pPr>
        <w:rPr>
          <w:lang w:val="fr-FR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885"/>
        <w:gridCol w:w="3877"/>
        <w:gridCol w:w="3877"/>
      </w:tblGrid>
      <w:tr w:rsidR="00931298" w:rsidRPr="00257DED" w14:paraId="7AC76CE5" w14:textId="77777777" w:rsidTr="00267BFB">
        <w:trPr>
          <w:cantSplit/>
        </w:trPr>
        <w:tc>
          <w:tcPr>
            <w:tcW w:w="1912" w:type="dxa"/>
          </w:tcPr>
          <w:p w14:paraId="6BB50BFD" w14:textId="77777777" w:rsidR="00931298" w:rsidRPr="00257DED" w:rsidRDefault="006F0DB7" w:rsidP="00C30155">
            <w:pPr>
              <w:rPr>
                <w:lang w:val="fr-FR"/>
              </w:rPr>
            </w:pPr>
            <w:r w:rsidRPr="00257DED">
              <w:rPr>
                <w:b/>
                <w:bCs/>
                <w:lang w:val="fr-FR"/>
              </w:rPr>
              <w:t>Résumé:</w:t>
            </w:r>
          </w:p>
        </w:tc>
        <w:tc>
          <w:tcPr>
            <w:tcW w:w="7870" w:type="dxa"/>
            <w:gridSpan w:val="2"/>
          </w:tcPr>
          <w:p w14:paraId="1B99EA8A" w14:textId="5BED9A19" w:rsidR="00931298" w:rsidRPr="00257DED" w:rsidRDefault="000E1C14" w:rsidP="00D56DF2">
            <w:pPr>
              <w:pStyle w:val="Abstract"/>
              <w:rPr>
                <w:lang w:val="fr-FR"/>
              </w:rPr>
            </w:pPr>
            <w:r w:rsidRPr="00257DED">
              <w:rPr>
                <w:lang w:val="fr-FR"/>
              </w:rPr>
              <w:t>La CITEL estime qu</w:t>
            </w:r>
            <w:r w:rsidR="00257DED">
              <w:rPr>
                <w:lang w:val="fr-FR"/>
              </w:rPr>
              <w:t>'</w:t>
            </w:r>
            <w:r w:rsidRPr="00257DED">
              <w:rPr>
                <w:lang w:val="fr-FR"/>
              </w:rPr>
              <w:t xml:space="preserve">il est nécessaire de restructurer les </w:t>
            </w:r>
            <w:r w:rsidR="0042420B" w:rsidRPr="00257DED">
              <w:rPr>
                <w:lang w:val="fr-FR"/>
              </w:rPr>
              <w:t>c</w:t>
            </w:r>
            <w:r w:rsidRPr="00257DED">
              <w:rPr>
                <w:lang w:val="fr-FR"/>
              </w:rPr>
              <w:t>ommissions d</w:t>
            </w:r>
            <w:r w:rsidR="00257DED">
              <w:rPr>
                <w:lang w:val="fr-FR"/>
              </w:rPr>
              <w:t>'</w:t>
            </w:r>
            <w:r w:rsidRPr="00257DED">
              <w:rPr>
                <w:lang w:val="fr-FR"/>
              </w:rPr>
              <w:t>études du Secteur de la normalisation des télécommunications de l</w:t>
            </w:r>
            <w:r w:rsidR="00257DED">
              <w:rPr>
                <w:lang w:val="fr-FR"/>
              </w:rPr>
              <w:t>'</w:t>
            </w:r>
            <w:r w:rsidRPr="00257DED">
              <w:rPr>
                <w:lang w:val="fr-FR"/>
              </w:rPr>
              <w:t xml:space="preserve">UIT (UIT-T) pour </w:t>
            </w:r>
            <w:r w:rsidR="00925AC0" w:rsidRPr="00257DED">
              <w:rPr>
                <w:lang w:val="fr-FR"/>
              </w:rPr>
              <w:t>lutter contre</w:t>
            </w:r>
            <w:r w:rsidRPr="00257DED">
              <w:rPr>
                <w:lang w:val="fr-FR"/>
              </w:rPr>
              <w:t xml:space="preserve"> </w:t>
            </w:r>
            <w:r w:rsidR="00925AC0" w:rsidRPr="00257DED">
              <w:rPr>
                <w:lang w:val="fr-FR"/>
              </w:rPr>
              <w:t>l</w:t>
            </w:r>
            <w:r w:rsidR="00257DED">
              <w:rPr>
                <w:lang w:val="fr-FR"/>
              </w:rPr>
              <w:t>'</w:t>
            </w:r>
            <w:r w:rsidR="00925AC0" w:rsidRPr="00257DED">
              <w:rPr>
                <w:lang w:val="fr-FR"/>
              </w:rPr>
              <w:t xml:space="preserve">éparpillement des travaux </w:t>
            </w:r>
            <w:r w:rsidRPr="00257DED">
              <w:rPr>
                <w:lang w:val="fr-FR"/>
              </w:rPr>
              <w:t xml:space="preserve">entre </w:t>
            </w:r>
            <w:r w:rsidR="00B515FA" w:rsidRPr="00257DED">
              <w:rPr>
                <w:lang w:val="fr-FR"/>
              </w:rPr>
              <w:t>ces dernières</w:t>
            </w:r>
            <w:r w:rsidRPr="00257DED">
              <w:rPr>
                <w:lang w:val="fr-FR"/>
              </w:rPr>
              <w:t>. Il est notamment proposé de réduire le nombre de commissions d</w:t>
            </w:r>
            <w:r w:rsidR="00257DED">
              <w:rPr>
                <w:lang w:val="fr-FR"/>
              </w:rPr>
              <w:t>'</w:t>
            </w:r>
            <w:r w:rsidRPr="00257DED">
              <w:rPr>
                <w:lang w:val="fr-FR"/>
              </w:rPr>
              <w:t>études afin de favoriser une participation effective aux travaux. Cette restructuration vise à regrouper les travaux sur des sujets similaires ou de même nature menés par différentes commissions d</w:t>
            </w:r>
            <w:r w:rsidR="00257DED">
              <w:rPr>
                <w:lang w:val="fr-FR"/>
              </w:rPr>
              <w:t>'</w:t>
            </w:r>
            <w:r w:rsidRPr="00257DED">
              <w:rPr>
                <w:lang w:val="fr-FR"/>
              </w:rPr>
              <w:t xml:space="preserve">études au sein de </w:t>
            </w:r>
            <w:r w:rsidR="00B515FA" w:rsidRPr="00257DED">
              <w:rPr>
                <w:lang w:val="fr-FR"/>
              </w:rPr>
              <w:t xml:space="preserve">celles </w:t>
            </w:r>
            <w:r w:rsidR="00925AC0" w:rsidRPr="00257DED">
              <w:rPr>
                <w:lang w:val="fr-FR"/>
              </w:rPr>
              <w:t>dotées d</w:t>
            </w:r>
            <w:r w:rsidRPr="00257DED">
              <w:rPr>
                <w:lang w:val="fr-FR"/>
              </w:rPr>
              <w:t xml:space="preserve">es compétences </w:t>
            </w:r>
            <w:r w:rsidR="00925AC0" w:rsidRPr="00257DED">
              <w:rPr>
                <w:lang w:val="fr-FR"/>
              </w:rPr>
              <w:t xml:space="preserve">techniques </w:t>
            </w:r>
            <w:r w:rsidRPr="00257DED">
              <w:rPr>
                <w:lang w:val="fr-FR"/>
              </w:rPr>
              <w:t xml:space="preserve">et </w:t>
            </w:r>
            <w:r w:rsidR="00925AC0" w:rsidRPr="00257DED">
              <w:rPr>
                <w:lang w:val="fr-FR"/>
              </w:rPr>
              <w:t xml:space="preserve">des </w:t>
            </w:r>
            <w:r w:rsidRPr="00257DED">
              <w:rPr>
                <w:lang w:val="fr-FR"/>
              </w:rPr>
              <w:t>connaissances nécessaires, ce qui réduirait au minimum les doubles emplois dans les travaux de normalisation des différentes commissions d</w:t>
            </w:r>
            <w:r w:rsidR="00257DED">
              <w:rPr>
                <w:lang w:val="fr-FR"/>
              </w:rPr>
              <w:t>'</w:t>
            </w:r>
            <w:r w:rsidRPr="00257DED">
              <w:rPr>
                <w:lang w:val="fr-FR"/>
              </w:rPr>
              <w:t>études de l</w:t>
            </w:r>
            <w:r w:rsidR="00257DED">
              <w:rPr>
                <w:lang w:val="fr-FR"/>
              </w:rPr>
              <w:t>'</w:t>
            </w:r>
            <w:r w:rsidRPr="00257DED">
              <w:rPr>
                <w:lang w:val="fr-FR"/>
              </w:rPr>
              <w:t xml:space="preserve">UIT-T et garantirait la cohérence terminologique </w:t>
            </w:r>
            <w:r w:rsidR="00925AC0" w:rsidRPr="00257DED">
              <w:rPr>
                <w:lang w:val="fr-FR"/>
              </w:rPr>
              <w:t>dans</w:t>
            </w:r>
            <w:r w:rsidRPr="00257DED">
              <w:rPr>
                <w:lang w:val="fr-FR"/>
              </w:rPr>
              <w:t xml:space="preserve"> le mandat de</w:t>
            </w:r>
            <w:r w:rsidR="00925AC0" w:rsidRPr="00257DED">
              <w:rPr>
                <w:lang w:val="fr-FR"/>
              </w:rPr>
              <w:t xml:space="preserve"> </w:t>
            </w:r>
            <w:r w:rsidR="00B515FA" w:rsidRPr="00257DED">
              <w:rPr>
                <w:lang w:val="fr-FR"/>
              </w:rPr>
              <w:t>chacune d</w:t>
            </w:r>
            <w:r w:rsidR="00257DED">
              <w:rPr>
                <w:lang w:val="fr-FR"/>
              </w:rPr>
              <w:t>'</w:t>
            </w:r>
            <w:r w:rsidR="00B515FA" w:rsidRPr="00257DED">
              <w:rPr>
                <w:lang w:val="fr-FR"/>
              </w:rPr>
              <w:t>elles</w:t>
            </w:r>
            <w:r w:rsidRPr="00257DED">
              <w:rPr>
                <w:lang w:val="fr-FR"/>
              </w:rPr>
              <w:t xml:space="preserve">. De plus, ce regroupement stratégique est une solution économique </w:t>
            </w:r>
            <w:r w:rsidR="00E852E5" w:rsidRPr="00257DED">
              <w:rPr>
                <w:lang w:val="fr-FR"/>
              </w:rPr>
              <w:t xml:space="preserve">qui </w:t>
            </w:r>
            <w:r w:rsidRPr="00257DED">
              <w:rPr>
                <w:lang w:val="fr-FR"/>
              </w:rPr>
              <w:t>permet d</w:t>
            </w:r>
            <w:r w:rsidR="00257DED">
              <w:rPr>
                <w:lang w:val="fr-FR"/>
              </w:rPr>
              <w:t>'</w:t>
            </w:r>
            <w:r w:rsidRPr="00257DED">
              <w:rPr>
                <w:lang w:val="fr-FR"/>
              </w:rPr>
              <w:t>optimiser l</w:t>
            </w:r>
            <w:r w:rsidR="00257DED">
              <w:rPr>
                <w:lang w:val="fr-FR"/>
              </w:rPr>
              <w:t>'</w:t>
            </w:r>
            <w:r w:rsidRPr="00257DED">
              <w:rPr>
                <w:lang w:val="fr-FR"/>
              </w:rPr>
              <w:t>affectation des ressources et d</w:t>
            </w:r>
            <w:r w:rsidR="00257DED">
              <w:rPr>
                <w:lang w:val="fr-FR"/>
              </w:rPr>
              <w:t>'</w:t>
            </w:r>
            <w:r w:rsidRPr="00257DED">
              <w:rPr>
                <w:lang w:val="fr-FR"/>
              </w:rPr>
              <w:t>améliorer l</w:t>
            </w:r>
            <w:r w:rsidR="00257DED">
              <w:rPr>
                <w:lang w:val="fr-FR"/>
              </w:rPr>
              <w:t>'</w:t>
            </w:r>
            <w:r w:rsidRPr="00257DED">
              <w:rPr>
                <w:lang w:val="fr-FR"/>
              </w:rPr>
              <w:t>efficacité globale</w:t>
            </w:r>
            <w:r w:rsidR="00E852E5" w:rsidRPr="00257DED">
              <w:rPr>
                <w:lang w:val="fr-FR"/>
              </w:rPr>
              <w:t xml:space="preserve"> des travaux.</w:t>
            </w:r>
          </w:p>
        </w:tc>
      </w:tr>
      <w:tr w:rsidR="00931298" w:rsidRPr="00257DED" w14:paraId="0A258A99" w14:textId="77777777" w:rsidTr="00267BFB">
        <w:trPr>
          <w:cantSplit/>
        </w:trPr>
        <w:tc>
          <w:tcPr>
            <w:tcW w:w="1912" w:type="dxa"/>
          </w:tcPr>
          <w:p w14:paraId="4FA9994F" w14:textId="77777777" w:rsidR="00931298" w:rsidRPr="00257DED" w:rsidRDefault="00931298" w:rsidP="00C30155">
            <w:pPr>
              <w:rPr>
                <w:b/>
                <w:bCs/>
                <w:szCs w:val="24"/>
                <w:lang w:val="fr-FR"/>
              </w:rPr>
            </w:pPr>
            <w:r w:rsidRPr="00257DED">
              <w:rPr>
                <w:b/>
                <w:bCs/>
                <w:szCs w:val="24"/>
                <w:lang w:val="fr-FR"/>
              </w:rPr>
              <w:t>Contact:</w:t>
            </w:r>
          </w:p>
        </w:tc>
        <w:tc>
          <w:tcPr>
            <w:tcW w:w="3935" w:type="dxa"/>
          </w:tcPr>
          <w:p w14:paraId="386B38F3" w14:textId="75534563" w:rsidR="00FE5494" w:rsidRPr="00257DED" w:rsidRDefault="00554EFD" w:rsidP="00FB2C98">
            <w:pPr>
              <w:rPr>
                <w:lang w:val="fr-FR"/>
              </w:rPr>
            </w:pPr>
            <w:r w:rsidRPr="00257DED">
              <w:rPr>
                <w:lang w:val="fr-FR"/>
              </w:rPr>
              <w:t>Maria Celeste Fuenmayor</w:t>
            </w:r>
            <w:r w:rsidR="006F0DB7" w:rsidRPr="00257DED">
              <w:rPr>
                <w:lang w:val="fr-FR"/>
              </w:rPr>
              <w:br/>
            </w:r>
            <w:r w:rsidR="000E1C14" w:rsidRPr="00257DED">
              <w:rPr>
                <w:lang w:val="fr-FR"/>
              </w:rPr>
              <w:t>Commission interaméricaine des télécommunications</w:t>
            </w:r>
          </w:p>
        </w:tc>
        <w:tc>
          <w:tcPr>
            <w:tcW w:w="3935" w:type="dxa"/>
          </w:tcPr>
          <w:p w14:paraId="0474A689" w14:textId="3818554A" w:rsidR="00931298" w:rsidRPr="00257DED" w:rsidRDefault="006F0DB7" w:rsidP="00E6117A">
            <w:pPr>
              <w:rPr>
                <w:lang w:val="fr-FR"/>
              </w:rPr>
            </w:pPr>
            <w:r w:rsidRPr="00257DED">
              <w:rPr>
                <w:lang w:val="fr-FR"/>
              </w:rPr>
              <w:t>Courriel:</w:t>
            </w:r>
            <w:r w:rsidR="00DD022F" w:rsidRPr="00257DED">
              <w:rPr>
                <w:lang w:val="fr-FR"/>
              </w:rPr>
              <w:tab/>
            </w:r>
            <w:hyperlink r:id="rId14" w:history="1">
              <w:r w:rsidR="00DD022F" w:rsidRPr="00257DED">
                <w:rPr>
                  <w:rStyle w:val="Hyperlink"/>
                  <w:lang w:val="fr-FR"/>
                </w:rPr>
                <w:t>mfuenmayor@oas.org</w:t>
              </w:r>
            </w:hyperlink>
          </w:p>
        </w:tc>
      </w:tr>
    </w:tbl>
    <w:p w14:paraId="19DEB12D" w14:textId="44277CE8" w:rsidR="000E1C14" w:rsidRPr="00257DED" w:rsidRDefault="000E1C14" w:rsidP="000E1C14">
      <w:pPr>
        <w:pStyle w:val="Headingb"/>
        <w:rPr>
          <w:lang w:val="fr-FR"/>
        </w:rPr>
      </w:pPr>
      <w:r w:rsidRPr="00257DED">
        <w:rPr>
          <w:bCs/>
          <w:lang w:val="fr-FR"/>
        </w:rPr>
        <w:t>Introduction</w:t>
      </w:r>
    </w:p>
    <w:p w14:paraId="0F3FCFE9" w14:textId="57F5264F" w:rsidR="000E1C14" w:rsidRPr="00257DED" w:rsidRDefault="00F44598" w:rsidP="00EC3192">
      <w:pPr>
        <w:rPr>
          <w:lang w:val="fr-FR"/>
        </w:rPr>
      </w:pPr>
      <w:r w:rsidRPr="00257DED">
        <w:rPr>
          <w:lang w:val="fr-FR"/>
        </w:rPr>
        <w:t xml:space="preserve">Au vu </w:t>
      </w:r>
      <w:r w:rsidR="000E1C14" w:rsidRPr="00257DED">
        <w:rPr>
          <w:lang w:val="fr-FR"/>
        </w:rPr>
        <w:t>de la structure actuelle du Secteur de la normalisation des télécommunications de l</w:t>
      </w:r>
      <w:r w:rsidR="00257DED">
        <w:rPr>
          <w:lang w:val="fr-FR"/>
        </w:rPr>
        <w:t>'</w:t>
      </w:r>
      <w:r w:rsidR="000E1C14" w:rsidRPr="00257DED">
        <w:rPr>
          <w:lang w:val="fr-FR"/>
        </w:rPr>
        <w:t xml:space="preserve">UIT (UIT-T), des questions </w:t>
      </w:r>
      <w:r w:rsidRPr="00257DED">
        <w:rPr>
          <w:lang w:val="fr-FR"/>
        </w:rPr>
        <w:t>qu</w:t>
      </w:r>
      <w:r w:rsidR="00257DED">
        <w:rPr>
          <w:lang w:val="fr-FR"/>
        </w:rPr>
        <w:t>'</w:t>
      </w:r>
      <w:r w:rsidRPr="00257DED">
        <w:rPr>
          <w:lang w:val="fr-FR"/>
        </w:rPr>
        <w:t>il est chargé d</w:t>
      </w:r>
      <w:r w:rsidR="00257DED">
        <w:rPr>
          <w:lang w:val="fr-FR"/>
        </w:rPr>
        <w:t>'</w:t>
      </w:r>
      <w:r w:rsidRPr="00257DED">
        <w:rPr>
          <w:lang w:val="fr-FR"/>
        </w:rPr>
        <w:t>étudier</w:t>
      </w:r>
      <w:r w:rsidR="000E1C14" w:rsidRPr="00257DED">
        <w:rPr>
          <w:lang w:val="fr-FR"/>
        </w:rPr>
        <w:t xml:space="preserve">, du nombre de participants à ses travaux et des statistiques connexes, il </w:t>
      </w:r>
      <w:r w:rsidRPr="00257DED">
        <w:rPr>
          <w:lang w:val="fr-FR"/>
        </w:rPr>
        <w:t xml:space="preserve">est évident </w:t>
      </w:r>
      <w:r w:rsidR="000E1C14" w:rsidRPr="00257DED">
        <w:rPr>
          <w:lang w:val="fr-FR"/>
        </w:rPr>
        <w:t>que les chevauchements sont nombreux dans les domaines de travail des différentes commissions d</w:t>
      </w:r>
      <w:r w:rsidR="00257DED">
        <w:rPr>
          <w:lang w:val="fr-FR"/>
        </w:rPr>
        <w:t>'</w:t>
      </w:r>
      <w:r w:rsidR="000E1C14" w:rsidRPr="00257DED">
        <w:rPr>
          <w:lang w:val="fr-FR"/>
        </w:rPr>
        <w:t xml:space="preserve">études. De tels chevauchements posent les problèmes </w:t>
      </w:r>
      <w:r w:rsidR="000D478F" w:rsidRPr="00257DED">
        <w:rPr>
          <w:lang w:val="fr-FR"/>
        </w:rPr>
        <w:t>exposés ci-dessous.</w:t>
      </w:r>
    </w:p>
    <w:p w14:paraId="1E17D8D7" w14:textId="11E137B6" w:rsidR="000E1C14" w:rsidRPr="00257DED" w:rsidRDefault="000E1C14" w:rsidP="00EC3192">
      <w:pPr>
        <w:rPr>
          <w:lang w:val="fr-FR"/>
        </w:rPr>
      </w:pPr>
      <w:r w:rsidRPr="00257DED">
        <w:rPr>
          <w:lang w:val="fr-FR"/>
        </w:rPr>
        <w:t>Les spécialistes de certains domaines comme la sécurité ou le multimédia sont souvent amenés à</w:t>
      </w:r>
      <w:r w:rsidR="00EC3192" w:rsidRPr="00257DED">
        <w:rPr>
          <w:lang w:val="fr-FR"/>
        </w:rPr>
        <w:t> </w:t>
      </w:r>
      <w:r w:rsidRPr="00257DED">
        <w:rPr>
          <w:lang w:val="fr-FR"/>
        </w:rPr>
        <w:t>participer aux travaux de plusieurs commissions d</w:t>
      </w:r>
      <w:r w:rsidR="00257DED">
        <w:rPr>
          <w:lang w:val="fr-FR"/>
        </w:rPr>
        <w:t>'</w:t>
      </w:r>
      <w:r w:rsidRPr="00257DED">
        <w:rPr>
          <w:lang w:val="fr-FR"/>
        </w:rPr>
        <w:t>études</w:t>
      </w:r>
      <w:r w:rsidR="00274AF4" w:rsidRPr="00257DED">
        <w:rPr>
          <w:lang w:val="fr-FR"/>
        </w:rPr>
        <w:t xml:space="preserve"> (CE)</w:t>
      </w:r>
      <w:r w:rsidRPr="00257DED">
        <w:rPr>
          <w:lang w:val="fr-FR"/>
        </w:rPr>
        <w:t xml:space="preserve">, </w:t>
      </w:r>
      <w:r w:rsidR="00652944" w:rsidRPr="00257DED">
        <w:rPr>
          <w:lang w:val="fr-FR"/>
        </w:rPr>
        <w:t>ce qui est</w:t>
      </w:r>
      <w:r w:rsidRPr="00257DED">
        <w:rPr>
          <w:lang w:val="fr-FR"/>
        </w:rPr>
        <w:t xml:space="preserve"> inefficace </w:t>
      </w:r>
      <w:r w:rsidR="00652944" w:rsidRPr="00257DED">
        <w:rPr>
          <w:lang w:val="fr-FR"/>
        </w:rPr>
        <w:t xml:space="preserve">et leur </w:t>
      </w:r>
      <w:r w:rsidRPr="00257DED">
        <w:rPr>
          <w:lang w:val="fr-FR"/>
        </w:rPr>
        <w:t>fait perdre du temps.</w:t>
      </w:r>
    </w:p>
    <w:p w14:paraId="13E6769E" w14:textId="4C90A7D1" w:rsidR="000E1C14" w:rsidRPr="00257DED" w:rsidRDefault="000E1C14" w:rsidP="00EC3192">
      <w:pPr>
        <w:rPr>
          <w:lang w:val="fr-FR"/>
        </w:rPr>
      </w:pPr>
      <w:r w:rsidRPr="00257DED">
        <w:rPr>
          <w:lang w:val="fr-FR"/>
        </w:rPr>
        <w:lastRenderedPageBreak/>
        <w:t>La quantité d</w:t>
      </w:r>
      <w:r w:rsidR="00257DED">
        <w:rPr>
          <w:lang w:val="fr-FR"/>
        </w:rPr>
        <w:t>'</w:t>
      </w:r>
      <w:r w:rsidRPr="00257DED">
        <w:rPr>
          <w:lang w:val="fr-FR"/>
        </w:rPr>
        <w:t xml:space="preserve">échanges entre </w:t>
      </w:r>
      <w:r w:rsidR="00116A7C" w:rsidRPr="00257DED">
        <w:rPr>
          <w:lang w:val="fr-FR"/>
        </w:rPr>
        <w:t xml:space="preserve">les </w:t>
      </w:r>
      <w:r w:rsidRPr="00257DED">
        <w:rPr>
          <w:lang w:val="fr-FR"/>
        </w:rPr>
        <w:t>commissions d</w:t>
      </w:r>
      <w:r w:rsidR="00257DED">
        <w:rPr>
          <w:lang w:val="fr-FR"/>
        </w:rPr>
        <w:t>'</w:t>
      </w:r>
      <w:r w:rsidRPr="00257DED">
        <w:rPr>
          <w:lang w:val="fr-FR"/>
        </w:rPr>
        <w:t xml:space="preserve">études </w:t>
      </w:r>
      <w:r w:rsidR="00116A7C" w:rsidRPr="00257DED">
        <w:rPr>
          <w:lang w:val="fr-FR"/>
        </w:rPr>
        <w:t xml:space="preserve">qui </w:t>
      </w:r>
      <w:r w:rsidRPr="00257DED">
        <w:rPr>
          <w:lang w:val="fr-FR"/>
        </w:rPr>
        <w:t>trait</w:t>
      </w:r>
      <w:r w:rsidR="00116A7C" w:rsidRPr="00257DED">
        <w:rPr>
          <w:lang w:val="fr-FR"/>
        </w:rPr>
        <w:t>e</w:t>
      </w:r>
      <w:r w:rsidRPr="00257DED">
        <w:rPr>
          <w:lang w:val="fr-FR"/>
        </w:rPr>
        <w:t>nt de sujets similaires freine inutilement l</w:t>
      </w:r>
      <w:r w:rsidR="00257DED">
        <w:rPr>
          <w:lang w:val="fr-FR"/>
        </w:rPr>
        <w:t>'</w:t>
      </w:r>
      <w:r w:rsidRPr="00257DED">
        <w:rPr>
          <w:lang w:val="fr-FR"/>
        </w:rPr>
        <w:t>avancée des travaux.</w:t>
      </w:r>
    </w:p>
    <w:p w14:paraId="0B613BF5" w14:textId="0BBDA023" w:rsidR="000E1C14" w:rsidRPr="00257DED" w:rsidRDefault="000E1C14" w:rsidP="00EC3192">
      <w:pPr>
        <w:rPr>
          <w:lang w:val="fr-FR"/>
        </w:rPr>
      </w:pPr>
      <w:r w:rsidRPr="00257DED">
        <w:rPr>
          <w:lang w:val="fr-FR"/>
        </w:rPr>
        <w:t xml:space="preserve">La tenue de réunions consacrées à </w:t>
      </w:r>
      <w:r w:rsidR="00B32676" w:rsidRPr="00257DED">
        <w:rPr>
          <w:lang w:val="fr-FR"/>
        </w:rPr>
        <w:t>un petit nombre de</w:t>
      </w:r>
      <w:r w:rsidRPr="00257DED">
        <w:rPr>
          <w:lang w:val="fr-FR"/>
        </w:rPr>
        <w:t xml:space="preserve"> sujets d</w:t>
      </w:r>
      <w:r w:rsidR="00257DED">
        <w:rPr>
          <w:lang w:val="fr-FR"/>
        </w:rPr>
        <w:t>'</w:t>
      </w:r>
      <w:r w:rsidRPr="00257DED">
        <w:rPr>
          <w:lang w:val="fr-FR"/>
        </w:rPr>
        <w:t>étude</w:t>
      </w:r>
      <w:r w:rsidR="00B32676" w:rsidRPr="00257DED">
        <w:rPr>
          <w:lang w:val="fr-FR"/>
        </w:rPr>
        <w:t>, avec p</w:t>
      </w:r>
      <w:r w:rsidRPr="00257DED">
        <w:rPr>
          <w:lang w:val="fr-FR"/>
        </w:rPr>
        <w:t>eu de participants</w:t>
      </w:r>
      <w:r w:rsidR="00B32676" w:rsidRPr="00257DED">
        <w:rPr>
          <w:lang w:val="fr-FR"/>
        </w:rPr>
        <w:t>,</w:t>
      </w:r>
      <w:r w:rsidRPr="00257DED">
        <w:rPr>
          <w:lang w:val="fr-FR"/>
        </w:rPr>
        <w:t xml:space="preserve"> </w:t>
      </w:r>
      <w:r w:rsidR="00B32676" w:rsidRPr="00257DED">
        <w:rPr>
          <w:lang w:val="fr-FR"/>
        </w:rPr>
        <w:t xml:space="preserve">entraîne </w:t>
      </w:r>
      <w:r w:rsidRPr="00257DED">
        <w:rPr>
          <w:lang w:val="fr-FR"/>
        </w:rPr>
        <w:t>de</w:t>
      </w:r>
      <w:r w:rsidR="00B32676" w:rsidRPr="00257DED">
        <w:rPr>
          <w:lang w:val="fr-FR"/>
        </w:rPr>
        <w:t>s</w:t>
      </w:r>
      <w:r w:rsidRPr="00257DED">
        <w:rPr>
          <w:lang w:val="fr-FR"/>
        </w:rPr>
        <w:t xml:space="preserve"> frais administratifs.</w:t>
      </w:r>
    </w:p>
    <w:p w14:paraId="2C45CE18" w14:textId="72EEBD1B" w:rsidR="000E1C14" w:rsidRPr="00257DED" w:rsidRDefault="000E1C14" w:rsidP="00EC3192">
      <w:pPr>
        <w:rPr>
          <w:rFonts w:asciiTheme="majorBidi" w:hAnsiTheme="majorBidi" w:cstheme="majorBidi"/>
          <w:szCs w:val="24"/>
          <w:lang w:val="fr-FR"/>
        </w:rPr>
      </w:pPr>
      <w:r w:rsidRPr="00257DED">
        <w:rPr>
          <w:lang w:val="fr-FR"/>
        </w:rPr>
        <w:t>En outre, les commissions d</w:t>
      </w:r>
      <w:r w:rsidR="00257DED">
        <w:rPr>
          <w:lang w:val="fr-FR"/>
        </w:rPr>
        <w:t>'</w:t>
      </w:r>
      <w:r w:rsidRPr="00257DED">
        <w:rPr>
          <w:lang w:val="fr-FR"/>
        </w:rPr>
        <w:t xml:space="preserve">études doivent avoir </w:t>
      </w:r>
      <w:r w:rsidR="0078601C" w:rsidRPr="00257DED">
        <w:rPr>
          <w:lang w:val="fr-FR"/>
        </w:rPr>
        <w:t>un</w:t>
      </w:r>
      <w:r w:rsidRPr="00257DED">
        <w:rPr>
          <w:lang w:val="fr-FR"/>
        </w:rPr>
        <w:t xml:space="preserve"> mandat bien défini et un objectif précis. Il s</w:t>
      </w:r>
      <w:r w:rsidR="00257DED">
        <w:rPr>
          <w:lang w:val="fr-FR"/>
        </w:rPr>
        <w:t>'</w:t>
      </w:r>
      <w:r w:rsidRPr="00257DED">
        <w:rPr>
          <w:lang w:val="fr-FR"/>
        </w:rPr>
        <w:t>agit là d</w:t>
      </w:r>
      <w:r w:rsidR="00257DED">
        <w:rPr>
          <w:lang w:val="fr-FR"/>
        </w:rPr>
        <w:t>'</w:t>
      </w:r>
      <w:r w:rsidRPr="00257DED">
        <w:rPr>
          <w:lang w:val="fr-FR"/>
        </w:rPr>
        <w:t>une condition d</w:t>
      </w:r>
      <w:r w:rsidR="00257DED">
        <w:rPr>
          <w:lang w:val="fr-FR"/>
        </w:rPr>
        <w:t>'</w:t>
      </w:r>
      <w:r w:rsidRPr="00257DED">
        <w:rPr>
          <w:lang w:val="fr-FR"/>
        </w:rPr>
        <w:t>autant plus importante que l</w:t>
      </w:r>
      <w:r w:rsidR="00257DED">
        <w:rPr>
          <w:lang w:val="fr-FR"/>
        </w:rPr>
        <w:t>'</w:t>
      </w:r>
      <w:r w:rsidRPr="00257DED">
        <w:rPr>
          <w:lang w:val="fr-FR"/>
        </w:rPr>
        <w:t>UIT-T s</w:t>
      </w:r>
      <w:r w:rsidR="00257DED">
        <w:rPr>
          <w:lang w:val="fr-FR"/>
        </w:rPr>
        <w:t>'</w:t>
      </w:r>
      <w:r w:rsidRPr="00257DED">
        <w:rPr>
          <w:lang w:val="fr-FR"/>
        </w:rPr>
        <w:t>efforce de faire face à l</w:t>
      </w:r>
      <w:r w:rsidR="00257DED">
        <w:rPr>
          <w:lang w:val="fr-FR"/>
        </w:rPr>
        <w:t>'</w:t>
      </w:r>
      <w:r w:rsidRPr="00257DED">
        <w:rPr>
          <w:lang w:val="fr-FR"/>
        </w:rPr>
        <w:t>évolution rapide du contexte de la normalisation à l</w:t>
      </w:r>
      <w:r w:rsidR="00257DED">
        <w:rPr>
          <w:lang w:val="fr-FR"/>
        </w:rPr>
        <w:t>'</w:t>
      </w:r>
      <w:r w:rsidRPr="00257DED">
        <w:rPr>
          <w:lang w:val="fr-FR"/>
        </w:rPr>
        <w:t>échelle mondiale. Dans cet environnement dynamique, marqué par les exigences pressantes des réseaux futurs, de l</w:t>
      </w:r>
      <w:r w:rsidR="00257DED">
        <w:rPr>
          <w:lang w:val="fr-FR"/>
        </w:rPr>
        <w:t>'</w:t>
      </w:r>
      <w:r w:rsidRPr="00257DED">
        <w:rPr>
          <w:lang w:val="fr-FR"/>
        </w:rPr>
        <w:t>intelligence artificielle, du métavers et de la sécurité, il est essentiel que les champs de compétence de chaque commission d</w:t>
      </w:r>
      <w:r w:rsidR="00257DED">
        <w:rPr>
          <w:lang w:val="fr-FR"/>
        </w:rPr>
        <w:t>'</w:t>
      </w:r>
      <w:r w:rsidRPr="00257DED">
        <w:rPr>
          <w:lang w:val="fr-FR"/>
        </w:rPr>
        <w:t>études soient clairement définis, afin d</w:t>
      </w:r>
      <w:r w:rsidR="00257DED">
        <w:rPr>
          <w:lang w:val="fr-FR"/>
        </w:rPr>
        <w:t>'</w:t>
      </w:r>
      <w:r w:rsidRPr="00257DED">
        <w:rPr>
          <w:lang w:val="fr-FR"/>
        </w:rPr>
        <w:t>accélérer les progrès et de répondre aux besoins urgents dans ces domaines essentiels.</w:t>
      </w:r>
    </w:p>
    <w:p w14:paraId="0D002904" w14:textId="779241F9" w:rsidR="000E1C14" w:rsidRPr="00257DED" w:rsidRDefault="000E1C14" w:rsidP="00EC3192">
      <w:pPr>
        <w:rPr>
          <w:rFonts w:asciiTheme="majorBidi" w:hAnsiTheme="majorBidi" w:cstheme="majorBidi"/>
          <w:szCs w:val="24"/>
          <w:lang w:val="fr-FR"/>
        </w:rPr>
      </w:pPr>
      <w:r w:rsidRPr="00257DED">
        <w:rPr>
          <w:lang w:val="fr-FR"/>
        </w:rPr>
        <w:t>Pour répondre à ces problèmes, les grands principes stratégiques ci-après sont proposés pour guider la restructuration des commissions d</w:t>
      </w:r>
      <w:r w:rsidR="00257DED">
        <w:rPr>
          <w:lang w:val="fr-FR"/>
        </w:rPr>
        <w:t>'</w:t>
      </w:r>
      <w:r w:rsidRPr="00257DED">
        <w:rPr>
          <w:lang w:val="fr-FR"/>
        </w:rPr>
        <w:t>études:</w:t>
      </w:r>
    </w:p>
    <w:p w14:paraId="073B7B6C" w14:textId="4D2DF497" w:rsidR="00554EFD" w:rsidRPr="00257DED" w:rsidRDefault="00554EFD" w:rsidP="00554EFD">
      <w:pPr>
        <w:pStyle w:val="enumlev1"/>
        <w:rPr>
          <w:lang w:val="fr-FR"/>
        </w:rPr>
      </w:pPr>
      <w:r w:rsidRPr="00257DED">
        <w:rPr>
          <w:lang w:val="fr-FR"/>
        </w:rPr>
        <w:t>1)</w:t>
      </w:r>
      <w:r w:rsidRPr="00257DED">
        <w:rPr>
          <w:lang w:val="fr-FR"/>
        </w:rPr>
        <w:tab/>
      </w:r>
      <w:r w:rsidR="000E1C14" w:rsidRPr="00257DED">
        <w:rPr>
          <w:lang w:val="fr-FR"/>
        </w:rPr>
        <w:t>Optimisation de la structure des commissions d</w:t>
      </w:r>
      <w:r w:rsidR="00257DED">
        <w:rPr>
          <w:lang w:val="fr-FR"/>
        </w:rPr>
        <w:t>'</w:t>
      </w:r>
      <w:r w:rsidR="000E1C14" w:rsidRPr="00257DED">
        <w:rPr>
          <w:lang w:val="fr-FR"/>
        </w:rPr>
        <w:t>études</w:t>
      </w:r>
      <w:r w:rsidR="00F74F2F" w:rsidRPr="00257DED">
        <w:rPr>
          <w:lang w:val="fr-FR"/>
        </w:rPr>
        <w:t>:</w:t>
      </w:r>
    </w:p>
    <w:p w14:paraId="4788714F" w14:textId="38512121" w:rsidR="00554EFD" w:rsidRPr="00257DED" w:rsidRDefault="00554EFD" w:rsidP="00554EFD">
      <w:pPr>
        <w:pStyle w:val="enumlev2"/>
        <w:rPr>
          <w:lang w:val="fr-FR"/>
        </w:rPr>
      </w:pPr>
      <w:r w:rsidRPr="00257DED">
        <w:rPr>
          <w:lang w:val="fr-FR"/>
        </w:rPr>
        <w:t>a)</w:t>
      </w:r>
      <w:r w:rsidRPr="00257DED">
        <w:rPr>
          <w:lang w:val="fr-FR"/>
        </w:rPr>
        <w:tab/>
      </w:r>
      <w:r w:rsidR="0031172D" w:rsidRPr="00257DED">
        <w:rPr>
          <w:lang w:val="fr-FR"/>
        </w:rPr>
        <w:t>d</w:t>
      </w:r>
      <w:r w:rsidR="000E1C14" w:rsidRPr="00257DED">
        <w:rPr>
          <w:lang w:val="fr-FR"/>
        </w:rPr>
        <w:t>iminution du nombre injustifié de commissions</w:t>
      </w:r>
      <w:r w:rsidR="0031172D" w:rsidRPr="00257DED">
        <w:rPr>
          <w:lang w:val="fr-FR"/>
        </w:rPr>
        <w:t>;</w:t>
      </w:r>
    </w:p>
    <w:p w14:paraId="5112DD0C" w14:textId="4F2ACEEC" w:rsidR="00554EFD" w:rsidRPr="00257DED" w:rsidRDefault="00554EFD" w:rsidP="00554EFD">
      <w:pPr>
        <w:pStyle w:val="enumlev2"/>
        <w:rPr>
          <w:lang w:val="fr-FR"/>
        </w:rPr>
      </w:pPr>
      <w:r w:rsidRPr="00257DED">
        <w:rPr>
          <w:lang w:val="fr-FR"/>
        </w:rPr>
        <w:t>b)</w:t>
      </w:r>
      <w:r w:rsidRPr="00257DED">
        <w:rPr>
          <w:lang w:val="fr-FR"/>
        </w:rPr>
        <w:tab/>
      </w:r>
      <w:r w:rsidR="0031172D" w:rsidRPr="00257DED">
        <w:rPr>
          <w:lang w:val="fr-FR"/>
        </w:rPr>
        <w:t>d</w:t>
      </w:r>
      <w:r w:rsidR="000E1C14" w:rsidRPr="00257DED">
        <w:rPr>
          <w:lang w:val="fr-FR"/>
        </w:rPr>
        <w:t>iminution des frais administratifs liés à la tenue des réunions</w:t>
      </w:r>
      <w:r w:rsidR="0078601C" w:rsidRPr="00257DED">
        <w:rPr>
          <w:lang w:val="fr-FR"/>
        </w:rPr>
        <w:t>.</w:t>
      </w:r>
    </w:p>
    <w:p w14:paraId="3B06101F" w14:textId="4D00889A" w:rsidR="00554EFD" w:rsidRPr="00257DED" w:rsidRDefault="00554EFD" w:rsidP="00554EFD">
      <w:pPr>
        <w:pStyle w:val="enumlev1"/>
        <w:rPr>
          <w:lang w:val="fr-FR"/>
        </w:rPr>
      </w:pPr>
      <w:r w:rsidRPr="00257DED">
        <w:rPr>
          <w:lang w:val="fr-FR"/>
        </w:rPr>
        <w:t>2)</w:t>
      </w:r>
      <w:r w:rsidRPr="00257DED">
        <w:rPr>
          <w:lang w:val="fr-FR"/>
        </w:rPr>
        <w:tab/>
      </w:r>
      <w:r w:rsidR="000E1C14" w:rsidRPr="00257DED">
        <w:rPr>
          <w:lang w:val="fr-FR"/>
        </w:rPr>
        <w:t>Clarté et non-chevauchement d</w:t>
      </w:r>
      <w:r w:rsidR="0078601C" w:rsidRPr="00257DED">
        <w:rPr>
          <w:lang w:val="fr-FR"/>
        </w:rPr>
        <w:t>u</w:t>
      </w:r>
      <w:r w:rsidR="000E1C14" w:rsidRPr="00257DED">
        <w:rPr>
          <w:lang w:val="fr-FR"/>
        </w:rPr>
        <w:t xml:space="preserve"> mandat de</w:t>
      </w:r>
      <w:r w:rsidR="0078601C" w:rsidRPr="00257DED">
        <w:rPr>
          <w:lang w:val="fr-FR"/>
        </w:rPr>
        <w:t xml:space="preserve"> chaque</w:t>
      </w:r>
      <w:r w:rsidR="000E1C14" w:rsidRPr="00257DED">
        <w:rPr>
          <w:lang w:val="fr-FR"/>
        </w:rPr>
        <w:t xml:space="preserve"> commission d</w:t>
      </w:r>
      <w:r w:rsidR="00257DED">
        <w:rPr>
          <w:lang w:val="fr-FR"/>
        </w:rPr>
        <w:t>'</w:t>
      </w:r>
      <w:r w:rsidR="000E1C14" w:rsidRPr="00257DED">
        <w:rPr>
          <w:lang w:val="fr-FR"/>
        </w:rPr>
        <w:t>études (clarté des programmes de travail)</w:t>
      </w:r>
      <w:r w:rsidR="00F74F2F" w:rsidRPr="00257DED">
        <w:rPr>
          <w:lang w:val="fr-FR"/>
        </w:rPr>
        <w:t>:</w:t>
      </w:r>
    </w:p>
    <w:p w14:paraId="359D73C4" w14:textId="7425C815" w:rsidR="00554EFD" w:rsidRPr="00257DED" w:rsidRDefault="00554EFD" w:rsidP="00554EFD">
      <w:pPr>
        <w:pStyle w:val="enumlev2"/>
        <w:rPr>
          <w:lang w:val="fr-FR"/>
        </w:rPr>
      </w:pPr>
      <w:r w:rsidRPr="00257DED">
        <w:rPr>
          <w:lang w:val="fr-FR"/>
        </w:rPr>
        <w:t>a)</w:t>
      </w:r>
      <w:r w:rsidRPr="00257DED">
        <w:rPr>
          <w:lang w:val="fr-FR"/>
        </w:rPr>
        <w:tab/>
      </w:r>
      <w:r w:rsidR="0031172D" w:rsidRPr="00257DED">
        <w:rPr>
          <w:lang w:val="fr-FR"/>
        </w:rPr>
        <w:t>d</w:t>
      </w:r>
      <w:r w:rsidR="00273D98" w:rsidRPr="00257DED">
        <w:rPr>
          <w:lang w:val="fr-FR"/>
        </w:rPr>
        <w:t xml:space="preserve">ans les mandats, il </w:t>
      </w:r>
      <w:r w:rsidR="000E1C14" w:rsidRPr="00257DED">
        <w:rPr>
          <w:lang w:val="fr-FR"/>
        </w:rPr>
        <w:t>conviendrait d</w:t>
      </w:r>
      <w:r w:rsidR="00257DED">
        <w:rPr>
          <w:lang w:val="fr-FR"/>
        </w:rPr>
        <w:t>'</w:t>
      </w:r>
      <w:r w:rsidR="000E1C14" w:rsidRPr="00257DED">
        <w:rPr>
          <w:lang w:val="fr-FR"/>
        </w:rPr>
        <w:t>éviter d</w:t>
      </w:r>
      <w:r w:rsidR="00257DED">
        <w:rPr>
          <w:lang w:val="fr-FR"/>
        </w:rPr>
        <w:t>'</w:t>
      </w:r>
      <w:r w:rsidR="000E1C14" w:rsidRPr="00257DED">
        <w:rPr>
          <w:lang w:val="fr-FR"/>
        </w:rPr>
        <w:t xml:space="preserve">employer une terminologie </w:t>
      </w:r>
      <w:r w:rsidR="00273D98" w:rsidRPr="00257DED">
        <w:rPr>
          <w:lang w:val="fr-FR"/>
        </w:rPr>
        <w:t xml:space="preserve">pouvant prêter à </w:t>
      </w:r>
      <w:r w:rsidR="000E1C14" w:rsidRPr="00257DED">
        <w:rPr>
          <w:lang w:val="fr-FR"/>
        </w:rPr>
        <w:t>confusion</w:t>
      </w:r>
      <w:r w:rsidR="0031172D" w:rsidRPr="00257DED">
        <w:rPr>
          <w:lang w:val="fr-FR"/>
        </w:rPr>
        <w:t>;</w:t>
      </w:r>
    </w:p>
    <w:p w14:paraId="068239A7" w14:textId="2CE6BCB7" w:rsidR="00554EFD" w:rsidRPr="00257DED" w:rsidRDefault="00554EFD" w:rsidP="00554EFD">
      <w:pPr>
        <w:pStyle w:val="enumlev2"/>
        <w:rPr>
          <w:lang w:val="fr-FR"/>
        </w:rPr>
      </w:pPr>
      <w:r w:rsidRPr="00257DED">
        <w:rPr>
          <w:lang w:val="fr-FR"/>
        </w:rPr>
        <w:t>b)</w:t>
      </w:r>
      <w:r w:rsidRPr="00257DED">
        <w:rPr>
          <w:lang w:val="fr-FR"/>
        </w:rPr>
        <w:tab/>
      </w:r>
      <w:r w:rsidR="0031172D" w:rsidRPr="00257DED">
        <w:rPr>
          <w:lang w:val="fr-FR"/>
        </w:rPr>
        <w:t>i</w:t>
      </w:r>
      <w:r w:rsidR="000E1C14" w:rsidRPr="00257DED">
        <w:rPr>
          <w:lang w:val="fr-FR"/>
        </w:rPr>
        <w:t>l conviendrait d</w:t>
      </w:r>
      <w:r w:rsidR="00257DED">
        <w:rPr>
          <w:lang w:val="fr-FR"/>
        </w:rPr>
        <w:t>'</w:t>
      </w:r>
      <w:r w:rsidR="000E1C14" w:rsidRPr="00257DED">
        <w:rPr>
          <w:lang w:val="fr-FR"/>
        </w:rPr>
        <w:t xml:space="preserve">éviter de présenter </w:t>
      </w:r>
      <w:r w:rsidR="00B515FA" w:rsidRPr="00257DED">
        <w:rPr>
          <w:lang w:val="fr-FR"/>
        </w:rPr>
        <w:t xml:space="preserve">les mêmes </w:t>
      </w:r>
      <w:r w:rsidR="000E1C14" w:rsidRPr="00257DED">
        <w:rPr>
          <w:lang w:val="fr-FR"/>
        </w:rPr>
        <w:t>propositions de travaux à différentes commissions d</w:t>
      </w:r>
      <w:r w:rsidR="00257DED">
        <w:rPr>
          <w:lang w:val="fr-FR"/>
        </w:rPr>
        <w:t>'</w:t>
      </w:r>
      <w:r w:rsidR="000E1C14" w:rsidRPr="00257DED">
        <w:rPr>
          <w:lang w:val="fr-FR"/>
        </w:rPr>
        <w:t>études, ce qui peut entraîner un chevauchement des travaux.</w:t>
      </w:r>
    </w:p>
    <w:p w14:paraId="1F919E63" w14:textId="51702152" w:rsidR="00554EFD" w:rsidRPr="00257DED" w:rsidRDefault="00554EFD" w:rsidP="00554EFD">
      <w:pPr>
        <w:pStyle w:val="enumlev1"/>
        <w:rPr>
          <w:lang w:val="fr-FR"/>
        </w:rPr>
      </w:pPr>
      <w:r w:rsidRPr="00257DED">
        <w:rPr>
          <w:lang w:val="fr-FR"/>
        </w:rPr>
        <w:t>3)</w:t>
      </w:r>
      <w:r w:rsidRPr="00257DED">
        <w:rPr>
          <w:lang w:val="fr-FR"/>
        </w:rPr>
        <w:tab/>
      </w:r>
      <w:r w:rsidR="00273D98" w:rsidRPr="00257DED">
        <w:rPr>
          <w:lang w:val="fr-FR"/>
        </w:rPr>
        <w:t>Souci d</w:t>
      </w:r>
      <w:r w:rsidR="00257DED">
        <w:rPr>
          <w:lang w:val="fr-FR"/>
        </w:rPr>
        <w:t>'</w:t>
      </w:r>
      <w:r w:rsidR="00273D98" w:rsidRPr="00257DED">
        <w:rPr>
          <w:lang w:val="fr-FR"/>
        </w:rPr>
        <w:t xml:space="preserve">économie </w:t>
      </w:r>
      <w:r w:rsidR="000E1C14" w:rsidRPr="00257DED">
        <w:rPr>
          <w:lang w:val="fr-FR"/>
        </w:rPr>
        <w:t>et pertinence pour les parties prenantes</w:t>
      </w:r>
      <w:r w:rsidR="00F74F2F" w:rsidRPr="00257DED">
        <w:rPr>
          <w:lang w:val="fr-FR"/>
        </w:rPr>
        <w:t>:</w:t>
      </w:r>
    </w:p>
    <w:p w14:paraId="2A6CC57B" w14:textId="4715FFED" w:rsidR="00931298" w:rsidRPr="00257DED" w:rsidRDefault="00554EFD" w:rsidP="00FB2C98">
      <w:pPr>
        <w:pStyle w:val="enumlev2"/>
        <w:rPr>
          <w:lang w:val="fr-FR"/>
        </w:rPr>
      </w:pPr>
      <w:r w:rsidRPr="00257DED">
        <w:rPr>
          <w:lang w:val="fr-FR"/>
        </w:rPr>
        <w:t>a)</w:t>
      </w:r>
      <w:r w:rsidRPr="00257DED">
        <w:rPr>
          <w:lang w:val="fr-FR"/>
        </w:rPr>
        <w:tab/>
      </w:r>
      <w:r w:rsidR="0031172D" w:rsidRPr="00257DED">
        <w:rPr>
          <w:lang w:val="fr-FR"/>
        </w:rPr>
        <w:t>l</w:t>
      </w:r>
      <w:r w:rsidR="000E1C14" w:rsidRPr="00257DED">
        <w:rPr>
          <w:lang w:val="fr-FR"/>
        </w:rPr>
        <w:t xml:space="preserve">e regroupement des Questions à </w:t>
      </w:r>
      <w:r w:rsidR="00273D98" w:rsidRPr="00257DED">
        <w:rPr>
          <w:lang w:val="fr-FR"/>
        </w:rPr>
        <w:t xml:space="preserve">étudier </w:t>
      </w:r>
      <w:r w:rsidR="000E1C14" w:rsidRPr="00257DED">
        <w:rPr>
          <w:lang w:val="fr-FR"/>
        </w:rPr>
        <w:t>et leur attribution aux commissions d</w:t>
      </w:r>
      <w:r w:rsidR="00257DED">
        <w:rPr>
          <w:lang w:val="fr-FR"/>
        </w:rPr>
        <w:t>'</w:t>
      </w:r>
      <w:r w:rsidR="000E1C14" w:rsidRPr="00257DED">
        <w:rPr>
          <w:lang w:val="fr-FR"/>
        </w:rPr>
        <w:t>études permettrait aux spécialistes d</w:t>
      </w:r>
      <w:r w:rsidR="00257DED">
        <w:rPr>
          <w:lang w:val="fr-FR"/>
        </w:rPr>
        <w:t>'</w:t>
      </w:r>
      <w:r w:rsidR="000E1C14" w:rsidRPr="00257DED">
        <w:rPr>
          <w:lang w:val="fr-FR"/>
        </w:rPr>
        <w:t>assister et de contribuer aux travaux de manière économique.</w:t>
      </w:r>
      <w:r w:rsidR="009F4801" w:rsidRPr="00257DED">
        <w:rPr>
          <w:lang w:val="fr-FR"/>
        </w:rPr>
        <w:br w:type="page"/>
      </w:r>
    </w:p>
    <w:p w14:paraId="29E0D8C6" w14:textId="77777777" w:rsidR="00485813" w:rsidRPr="00257DED" w:rsidRDefault="009F29D4">
      <w:pPr>
        <w:pStyle w:val="Proposal"/>
        <w:rPr>
          <w:lang w:val="fr-FR"/>
        </w:rPr>
      </w:pPr>
      <w:r w:rsidRPr="00257DED">
        <w:rPr>
          <w:lang w:val="fr-FR"/>
        </w:rPr>
        <w:lastRenderedPageBreak/>
        <w:tab/>
        <w:t>IAP/39A20/1</w:t>
      </w:r>
    </w:p>
    <w:p w14:paraId="31E8FCA5" w14:textId="77777777" w:rsidR="003B6915" w:rsidRPr="00257DED" w:rsidRDefault="009F29D4" w:rsidP="00AF0947">
      <w:pPr>
        <w:pStyle w:val="Volumetitle"/>
        <w:rPr>
          <w:lang w:val="fr-FR"/>
        </w:rPr>
      </w:pPr>
      <w:r w:rsidRPr="00257DED">
        <w:rPr>
          <w:lang w:val="fr-FR"/>
        </w:rPr>
        <w:t>Questions générales</w:t>
      </w:r>
    </w:p>
    <w:p w14:paraId="14B4D354" w14:textId="77777777" w:rsidR="000E1C14" w:rsidRPr="00257DED" w:rsidRDefault="000E1C14" w:rsidP="009B2F07">
      <w:pPr>
        <w:pStyle w:val="Headingb"/>
        <w:rPr>
          <w:rFonts w:asciiTheme="majorBidi" w:hAnsiTheme="majorBidi" w:cstheme="majorBidi"/>
          <w:szCs w:val="24"/>
          <w:lang w:val="fr-FR"/>
        </w:rPr>
      </w:pPr>
      <w:r w:rsidRPr="00257DED">
        <w:rPr>
          <w:lang w:val="fr-FR"/>
        </w:rPr>
        <w:t>Proposition</w:t>
      </w:r>
    </w:p>
    <w:p w14:paraId="781C0CDD" w14:textId="47310AF1" w:rsidR="000E1C14" w:rsidRPr="00257DED" w:rsidRDefault="000E1C14" w:rsidP="000E1C14">
      <w:pPr>
        <w:rPr>
          <w:rFonts w:asciiTheme="majorBidi" w:hAnsiTheme="majorBidi" w:cstheme="majorBidi"/>
          <w:szCs w:val="24"/>
          <w:lang w:val="fr-FR"/>
        </w:rPr>
      </w:pPr>
      <w:r w:rsidRPr="00257DED">
        <w:rPr>
          <w:lang w:val="fr-FR"/>
        </w:rPr>
        <w:t>La proposition de restructuration des commissions d</w:t>
      </w:r>
      <w:r w:rsidR="00257DED">
        <w:rPr>
          <w:lang w:val="fr-FR"/>
        </w:rPr>
        <w:t>'</w:t>
      </w:r>
      <w:r w:rsidRPr="00257DED">
        <w:rPr>
          <w:lang w:val="fr-FR"/>
        </w:rPr>
        <w:t>études consiste avant tout à regrouper les travaux sur des sujets similaires ou de même nature menés par différentes commissions d</w:t>
      </w:r>
      <w:r w:rsidR="00257DED">
        <w:rPr>
          <w:lang w:val="fr-FR"/>
        </w:rPr>
        <w:t>'</w:t>
      </w:r>
      <w:r w:rsidRPr="00257DED">
        <w:rPr>
          <w:lang w:val="fr-FR"/>
        </w:rPr>
        <w:t>études au sein d</w:t>
      </w:r>
      <w:r w:rsidR="00257DED">
        <w:rPr>
          <w:lang w:val="fr-FR"/>
        </w:rPr>
        <w:t>'</w:t>
      </w:r>
      <w:r w:rsidRPr="00257DED">
        <w:rPr>
          <w:lang w:val="fr-FR"/>
        </w:rPr>
        <w:t xml:space="preserve">une seule commission dotée des compétences techniques et des connaissances nécessaires, </w:t>
      </w:r>
      <w:r w:rsidR="00274AF4" w:rsidRPr="00257DED">
        <w:rPr>
          <w:lang w:val="fr-FR"/>
        </w:rPr>
        <w:t>ainsi qu</w:t>
      </w:r>
      <w:r w:rsidR="00257DED">
        <w:rPr>
          <w:lang w:val="fr-FR"/>
        </w:rPr>
        <w:t>'</w:t>
      </w:r>
      <w:r w:rsidRPr="00257DED">
        <w:rPr>
          <w:lang w:val="fr-FR"/>
        </w:rPr>
        <w:t>à réduire au minimum l</w:t>
      </w:r>
      <w:r w:rsidR="00274AF4" w:rsidRPr="00257DED">
        <w:rPr>
          <w:lang w:val="fr-FR"/>
        </w:rPr>
        <w:t>a répétition</w:t>
      </w:r>
      <w:r w:rsidRPr="00257DED">
        <w:rPr>
          <w:lang w:val="fr-FR"/>
        </w:rPr>
        <w:t xml:space="preserve"> </w:t>
      </w:r>
      <w:r w:rsidR="00274AF4" w:rsidRPr="00257DED">
        <w:rPr>
          <w:lang w:val="fr-FR"/>
        </w:rPr>
        <w:t>d</w:t>
      </w:r>
      <w:r w:rsidRPr="00257DED">
        <w:rPr>
          <w:lang w:val="fr-FR"/>
        </w:rPr>
        <w:t>es travaux de normalisation des commissions d</w:t>
      </w:r>
      <w:r w:rsidR="00257DED">
        <w:rPr>
          <w:lang w:val="fr-FR"/>
        </w:rPr>
        <w:t>'</w:t>
      </w:r>
      <w:r w:rsidRPr="00257DED">
        <w:rPr>
          <w:lang w:val="fr-FR"/>
        </w:rPr>
        <w:t>études de l</w:t>
      </w:r>
      <w:r w:rsidR="00257DED">
        <w:rPr>
          <w:lang w:val="fr-FR"/>
        </w:rPr>
        <w:t>'</w:t>
      </w:r>
      <w:r w:rsidRPr="00257DED">
        <w:rPr>
          <w:lang w:val="fr-FR"/>
        </w:rPr>
        <w:t xml:space="preserve">UIT-T et à définir clairement le mandat </w:t>
      </w:r>
      <w:r w:rsidR="002F6BE6" w:rsidRPr="00257DED">
        <w:rPr>
          <w:lang w:val="fr-FR"/>
        </w:rPr>
        <w:t>de chacune d</w:t>
      </w:r>
      <w:r w:rsidR="00257DED">
        <w:rPr>
          <w:lang w:val="fr-FR"/>
        </w:rPr>
        <w:t>'</w:t>
      </w:r>
      <w:r w:rsidR="002F6BE6" w:rsidRPr="00257DED">
        <w:rPr>
          <w:lang w:val="fr-FR"/>
        </w:rPr>
        <w:t>elles</w:t>
      </w:r>
      <w:r w:rsidRPr="00257DED">
        <w:rPr>
          <w:lang w:val="fr-FR"/>
        </w:rPr>
        <w:t>.</w:t>
      </w:r>
    </w:p>
    <w:p w14:paraId="672661D6" w14:textId="503325D8" w:rsidR="000E1C14" w:rsidRPr="00257DED" w:rsidRDefault="000E1C14" w:rsidP="000E1C14">
      <w:pPr>
        <w:rPr>
          <w:rFonts w:asciiTheme="majorBidi" w:hAnsiTheme="majorBidi" w:cstheme="majorBidi"/>
          <w:szCs w:val="24"/>
          <w:lang w:val="fr-FR"/>
        </w:rPr>
      </w:pPr>
      <w:r w:rsidRPr="00257DED">
        <w:rPr>
          <w:lang w:val="fr-FR"/>
        </w:rPr>
        <w:t>Concrètement, il est proposé de restructurer les commissions d</w:t>
      </w:r>
      <w:r w:rsidR="00257DED">
        <w:rPr>
          <w:lang w:val="fr-FR"/>
        </w:rPr>
        <w:t>'</w:t>
      </w:r>
      <w:r w:rsidRPr="00257DED">
        <w:rPr>
          <w:lang w:val="fr-FR"/>
        </w:rPr>
        <w:t>études comme suit:</w:t>
      </w:r>
    </w:p>
    <w:p w14:paraId="468429C8" w14:textId="35487681" w:rsidR="000E1C14" w:rsidRPr="00257DED" w:rsidRDefault="000E1C14" w:rsidP="009B2F07">
      <w:pPr>
        <w:pStyle w:val="Heading1"/>
        <w:rPr>
          <w:lang w:val="fr-FR"/>
        </w:rPr>
      </w:pPr>
      <w:r w:rsidRPr="00257DED">
        <w:rPr>
          <w:lang w:val="fr-FR"/>
        </w:rPr>
        <w:t>1</w:t>
      </w:r>
      <w:r w:rsidRPr="00257DED">
        <w:rPr>
          <w:lang w:val="fr-FR"/>
        </w:rPr>
        <w:tab/>
        <w:t>Regrouper tous les travaux relatifs à la sécurité au sein de la CE</w:t>
      </w:r>
      <w:r w:rsidR="00FB2C98" w:rsidRPr="00257DED">
        <w:rPr>
          <w:lang w:val="fr-FR"/>
        </w:rPr>
        <w:t> </w:t>
      </w:r>
      <w:r w:rsidRPr="00257DED">
        <w:rPr>
          <w:lang w:val="fr-FR"/>
        </w:rPr>
        <w:t>17:</w:t>
      </w:r>
    </w:p>
    <w:p w14:paraId="5743ABBB" w14:textId="29EBADD3" w:rsidR="000E1C14" w:rsidRPr="00257DED" w:rsidRDefault="000E1C14" w:rsidP="000E1C14">
      <w:pPr>
        <w:rPr>
          <w:rFonts w:asciiTheme="majorBidi" w:hAnsiTheme="majorBidi" w:cstheme="majorBidi"/>
          <w:szCs w:val="24"/>
          <w:lang w:val="fr-FR"/>
        </w:rPr>
      </w:pPr>
      <w:r w:rsidRPr="00257DED">
        <w:rPr>
          <w:lang w:val="fr-FR"/>
        </w:rPr>
        <w:t>La CE 17 est la commission d</w:t>
      </w:r>
      <w:r w:rsidR="00257DED">
        <w:rPr>
          <w:lang w:val="fr-FR"/>
        </w:rPr>
        <w:t>'</w:t>
      </w:r>
      <w:r w:rsidRPr="00257DED">
        <w:rPr>
          <w:lang w:val="fr-FR"/>
        </w:rPr>
        <w:t xml:space="preserve">études directrice pour la sécurité. Il est essentiel de regrouper les travaux </w:t>
      </w:r>
      <w:r w:rsidR="002F6BE6" w:rsidRPr="00257DED">
        <w:rPr>
          <w:lang w:val="fr-FR"/>
        </w:rPr>
        <w:t>qui s</w:t>
      </w:r>
      <w:r w:rsidR="00257DED">
        <w:rPr>
          <w:lang w:val="fr-FR"/>
        </w:rPr>
        <w:t>'</w:t>
      </w:r>
      <w:r w:rsidR="002F6BE6" w:rsidRPr="00257DED">
        <w:rPr>
          <w:lang w:val="fr-FR"/>
        </w:rPr>
        <w:t>y rapportent</w:t>
      </w:r>
      <w:r w:rsidRPr="00257DED">
        <w:rPr>
          <w:lang w:val="fr-FR"/>
        </w:rPr>
        <w:t xml:space="preserve"> au sein de </w:t>
      </w:r>
      <w:r w:rsidR="002F6BE6" w:rsidRPr="00257DED">
        <w:rPr>
          <w:lang w:val="fr-FR"/>
        </w:rPr>
        <w:t>cette commission</w:t>
      </w:r>
      <w:r w:rsidRPr="00257DED">
        <w:rPr>
          <w:lang w:val="fr-FR"/>
        </w:rPr>
        <w:t xml:space="preserve">, à laquelle les spécialistes de la sécurité sont rattachés. </w:t>
      </w:r>
      <w:r w:rsidR="00274AF4" w:rsidRPr="00257DED">
        <w:rPr>
          <w:lang w:val="fr-FR"/>
        </w:rPr>
        <w:t>À titre d</w:t>
      </w:r>
      <w:r w:rsidR="00257DED">
        <w:rPr>
          <w:lang w:val="fr-FR"/>
        </w:rPr>
        <w:t>'</w:t>
      </w:r>
      <w:r w:rsidR="00274AF4" w:rsidRPr="00257DED">
        <w:rPr>
          <w:lang w:val="fr-FR"/>
        </w:rPr>
        <w:t>exemple</w:t>
      </w:r>
      <w:r w:rsidRPr="00257DED">
        <w:rPr>
          <w:lang w:val="fr-FR"/>
        </w:rPr>
        <w:t>, les travaux sur la sécurité, la confidentialité et la confiance pour l</w:t>
      </w:r>
      <w:r w:rsidR="00257DED">
        <w:rPr>
          <w:lang w:val="fr-FR"/>
        </w:rPr>
        <w:t>'</w:t>
      </w:r>
      <w:r w:rsidRPr="00257DED">
        <w:rPr>
          <w:lang w:val="fr-FR"/>
        </w:rPr>
        <w:t>Internet des objets et les villes et les communautés intelligentes menés au titre de la Question 6/20 pourrai</w:t>
      </w:r>
      <w:r w:rsidR="00274AF4" w:rsidRPr="00257DED">
        <w:rPr>
          <w:lang w:val="fr-FR"/>
        </w:rPr>
        <w:t>en</w:t>
      </w:r>
      <w:r w:rsidRPr="00257DED">
        <w:rPr>
          <w:lang w:val="fr-FR"/>
        </w:rPr>
        <w:t>t être regroupés avec ceux sur la sécurité des services de télécommunication et de l</w:t>
      </w:r>
      <w:r w:rsidR="00257DED">
        <w:rPr>
          <w:lang w:val="fr-FR"/>
        </w:rPr>
        <w:t>'</w:t>
      </w:r>
      <w:r w:rsidRPr="00257DED">
        <w:rPr>
          <w:lang w:val="fr-FR"/>
        </w:rPr>
        <w:t>Internet des objets (IoT) menés au titre de la Question 6/17.</w:t>
      </w:r>
    </w:p>
    <w:p w14:paraId="5A20091D" w14:textId="75861A8B" w:rsidR="000E1C14" w:rsidRPr="00257DED" w:rsidRDefault="000E1C14" w:rsidP="000E1C14">
      <w:pPr>
        <w:pStyle w:val="Heading1"/>
        <w:rPr>
          <w:lang w:val="fr-FR"/>
        </w:rPr>
      </w:pPr>
      <w:r w:rsidRPr="00257DED">
        <w:rPr>
          <w:lang w:val="fr-FR"/>
        </w:rPr>
        <w:t>2</w:t>
      </w:r>
      <w:r w:rsidRPr="00257DED">
        <w:rPr>
          <w:lang w:val="fr-FR"/>
        </w:rPr>
        <w:tab/>
        <w:t>Regrouper tous les travaux relatifs au numérotage, au nommage, à l</w:t>
      </w:r>
      <w:r w:rsidR="00257DED">
        <w:rPr>
          <w:lang w:val="fr-FR"/>
        </w:rPr>
        <w:t>'</w:t>
      </w:r>
      <w:r w:rsidRPr="00257DED">
        <w:rPr>
          <w:lang w:val="fr-FR"/>
        </w:rPr>
        <w:t>adressage et à l</w:t>
      </w:r>
      <w:r w:rsidR="00257DED">
        <w:rPr>
          <w:lang w:val="fr-FR"/>
        </w:rPr>
        <w:t>'</w:t>
      </w:r>
      <w:r w:rsidRPr="00257DED">
        <w:rPr>
          <w:lang w:val="fr-FR"/>
        </w:rPr>
        <w:t>identification (NNAI) au sein de la CE</w:t>
      </w:r>
      <w:r w:rsidR="00FB2C98" w:rsidRPr="00257DED">
        <w:rPr>
          <w:lang w:val="fr-FR"/>
        </w:rPr>
        <w:t> </w:t>
      </w:r>
      <w:r w:rsidRPr="00257DED">
        <w:rPr>
          <w:lang w:val="fr-FR"/>
        </w:rPr>
        <w:t>2</w:t>
      </w:r>
    </w:p>
    <w:p w14:paraId="1A0A71C2" w14:textId="310703C0" w:rsidR="000E1C14" w:rsidRPr="00257DED" w:rsidRDefault="000E1C14" w:rsidP="000E1C14">
      <w:pPr>
        <w:rPr>
          <w:rFonts w:asciiTheme="majorBidi" w:hAnsiTheme="majorBidi" w:cstheme="majorBidi"/>
          <w:szCs w:val="24"/>
          <w:lang w:val="fr-FR"/>
        </w:rPr>
      </w:pPr>
      <w:r w:rsidRPr="00257DED">
        <w:rPr>
          <w:lang w:val="fr-FR"/>
        </w:rPr>
        <w:t>Il est essentiel de regrouper les travaux menés par d</w:t>
      </w:r>
      <w:r w:rsidR="00257DED">
        <w:rPr>
          <w:lang w:val="fr-FR"/>
        </w:rPr>
        <w:t>'</w:t>
      </w:r>
      <w:r w:rsidRPr="00257DED">
        <w:rPr>
          <w:lang w:val="fr-FR"/>
        </w:rPr>
        <w:t>autres commissions d</w:t>
      </w:r>
      <w:r w:rsidR="00257DED">
        <w:rPr>
          <w:lang w:val="fr-FR"/>
        </w:rPr>
        <w:t>'</w:t>
      </w:r>
      <w:r w:rsidRPr="00257DED">
        <w:rPr>
          <w:lang w:val="fr-FR"/>
        </w:rPr>
        <w:t>études sur les aspects du numérotage, du nommage, de l</w:t>
      </w:r>
      <w:r w:rsidR="00257DED">
        <w:rPr>
          <w:lang w:val="fr-FR"/>
        </w:rPr>
        <w:t>'</w:t>
      </w:r>
      <w:r w:rsidRPr="00257DED">
        <w:rPr>
          <w:lang w:val="fr-FR"/>
        </w:rPr>
        <w:t>adressage et de l</w:t>
      </w:r>
      <w:r w:rsidR="00257DED">
        <w:rPr>
          <w:lang w:val="fr-FR"/>
        </w:rPr>
        <w:t>'</w:t>
      </w:r>
      <w:r w:rsidRPr="00257DED">
        <w:rPr>
          <w:lang w:val="fr-FR"/>
        </w:rPr>
        <w:t>identification au sein de la CE 2, à laquelle les spécialistes de la question sont rattachés. À titre d</w:t>
      </w:r>
      <w:r w:rsidR="00257DED">
        <w:rPr>
          <w:lang w:val="fr-FR"/>
        </w:rPr>
        <w:t>'</w:t>
      </w:r>
      <w:r w:rsidRPr="00257DED">
        <w:rPr>
          <w:lang w:val="fr-FR"/>
        </w:rPr>
        <w:t>exemple, les travaux sur l</w:t>
      </w:r>
      <w:r w:rsidR="00257DED">
        <w:rPr>
          <w:lang w:val="fr-FR"/>
        </w:rPr>
        <w:t>'</w:t>
      </w:r>
      <w:r w:rsidRPr="00257DED">
        <w:rPr>
          <w:lang w:val="fr-FR"/>
        </w:rPr>
        <w:t>identification de l</w:t>
      </w:r>
      <w:r w:rsidR="00257DED">
        <w:rPr>
          <w:lang w:val="fr-FR"/>
        </w:rPr>
        <w:t>'</w:t>
      </w:r>
      <w:r w:rsidRPr="00257DED">
        <w:rPr>
          <w:lang w:val="fr-FR"/>
        </w:rPr>
        <w:t xml:space="preserve">Internet des objets et des villes et communautés intelligentes menés au titre de la Question 6/20 pourraient être </w:t>
      </w:r>
      <w:r w:rsidR="00274AF4" w:rsidRPr="00257DED">
        <w:rPr>
          <w:lang w:val="fr-FR"/>
        </w:rPr>
        <w:t>confiés</w:t>
      </w:r>
      <w:r w:rsidRPr="00257DED">
        <w:rPr>
          <w:lang w:val="fr-FR"/>
        </w:rPr>
        <w:t xml:space="preserve"> à la CE 2. Cette restructuration des travaux serait conforme au mandat de la Question 1/2 sur le numérotage, le nommage, l</w:t>
      </w:r>
      <w:r w:rsidR="00257DED">
        <w:rPr>
          <w:lang w:val="fr-FR"/>
        </w:rPr>
        <w:t>'</w:t>
      </w:r>
      <w:r w:rsidRPr="00257DED">
        <w:rPr>
          <w:lang w:val="fr-FR"/>
        </w:rPr>
        <w:t>adressage et l</w:t>
      </w:r>
      <w:r w:rsidR="00257DED">
        <w:rPr>
          <w:lang w:val="fr-FR"/>
        </w:rPr>
        <w:t>'</w:t>
      </w:r>
      <w:r w:rsidRPr="00257DED">
        <w:rPr>
          <w:lang w:val="fr-FR"/>
        </w:rPr>
        <w:t xml:space="preserve">identification des services de télécommunication fixes et mobiles. Cette redistribution stratégique permettrait de traiter de manière </w:t>
      </w:r>
      <w:r w:rsidR="002F6BE6" w:rsidRPr="00257DED">
        <w:rPr>
          <w:lang w:val="fr-FR"/>
        </w:rPr>
        <w:t xml:space="preserve">plus </w:t>
      </w:r>
      <w:r w:rsidRPr="00257DED">
        <w:rPr>
          <w:lang w:val="fr-FR"/>
        </w:rPr>
        <w:t>rationnelle et plus cohérente les divers aspects de l</w:t>
      </w:r>
      <w:r w:rsidR="00257DED">
        <w:rPr>
          <w:lang w:val="fr-FR"/>
        </w:rPr>
        <w:t>'</w:t>
      </w:r>
      <w:r w:rsidRPr="00257DED">
        <w:rPr>
          <w:lang w:val="fr-FR"/>
        </w:rPr>
        <w:t>identification dans le domaine des télécommunications/technologies de l</w:t>
      </w:r>
      <w:r w:rsidR="00257DED">
        <w:rPr>
          <w:lang w:val="fr-FR"/>
        </w:rPr>
        <w:t>'</w:t>
      </w:r>
      <w:r w:rsidRPr="00257DED">
        <w:rPr>
          <w:lang w:val="fr-FR"/>
        </w:rPr>
        <w:t>information et de la communication (TIC).</w:t>
      </w:r>
    </w:p>
    <w:p w14:paraId="1DBAD940" w14:textId="0BA95DAA" w:rsidR="000E1C14" w:rsidRPr="00257DED" w:rsidRDefault="000E1C14" w:rsidP="000E1C14">
      <w:pPr>
        <w:pStyle w:val="Heading1"/>
        <w:rPr>
          <w:lang w:val="fr-FR"/>
        </w:rPr>
      </w:pPr>
      <w:r w:rsidRPr="00257DED">
        <w:rPr>
          <w:lang w:val="fr-FR"/>
        </w:rPr>
        <w:lastRenderedPageBreak/>
        <w:t>3</w:t>
      </w:r>
      <w:r w:rsidRPr="00257DED">
        <w:rPr>
          <w:lang w:val="fr-FR"/>
        </w:rPr>
        <w:tab/>
        <w:t>Regrouper les travaux sur la qualité de fonctionnement, la qualité de service et la qualité d</w:t>
      </w:r>
      <w:r w:rsidR="00257DED">
        <w:rPr>
          <w:lang w:val="fr-FR"/>
        </w:rPr>
        <w:t>'</w:t>
      </w:r>
      <w:r w:rsidRPr="00257DED">
        <w:rPr>
          <w:lang w:val="fr-FR"/>
        </w:rPr>
        <w:t>expérience au sein de la CE 12</w:t>
      </w:r>
    </w:p>
    <w:p w14:paraId="242D2173" w14:textId="4EABAFD1" w:rsidR="000E1C14" w:rsidRPr="00257DED" w:rsidRDefault="000E1C14" w:rsidP="000E1C14">
      <w:pPr>
        <w:rPr>
          <w:rFonts w:asciiTheme="majorBidi" w:hAnsiTheme="majorBidi" w:cstheme="majorBidi"/>
          <w:szCs w:val="24"/>
          <w:lang w:val="fr-FR"/>
        </w:rPr>
      </w:pPr>
      <w:r w:rsidRPr="00257DED">
        <w:rPr>
          <w:lang w:val="fr-FR"/>
        </w:rPr>
        <w:t>La CE 12 est la commission d</w:t>
      </w:r>
      <w:r w:rsidR="00257DED">
        <w:rPr>
          <w:lang w:val="fr-FR"/>
        </w:rPr>
        <w:t>'</w:t>
      </w:r>
      <w:r w:rsidRPr="00257DED">
        <w:rPr>
          <w:lang w:val="fr-FR"/>
        </w:rPr>
        <w:t>études directrice pour la qualité de fonctionnement, la qualité de service et la qualité d</w:t>
      </w:r>
      <w:r w:rsidR="00257DED">
        <w:rPr>
          <w:lang w:val="fr-FR"/>
        </w:rPr>
        <w:t>'</w:t>
      </w:r>
      <w:r w:rsidRPr="00257DED">
        <w:rPr>
          <w:lang w:val="fr-FR"/>
        </w:rPr>
        <w:t>expérience pour l</w:t>
      </w:r>
      <w:r w:rsidR="00257DED">
        <w:rPr>
          <w:lang w:val="fr-FR"/>
        </w:rPr>
        <w:t>'</w:t>
      </w:r>
      <w:r w:rsidRPr="00257DED">
        <w:rPr>
          <w:lang w:val="fr-FR"/>
        </w:rPr>
        <w:t>ensemble des terminaux, réseaux, services et applications, y</w:t>
      </w:r>
      <w:r w:rsidR="00FB2C98" w:rsidRPr="00257DED">
        <w:rPr>
          <w:lang w:val="fr-FR"/>
        </w:rPr>
        <w:t> </w:t>
      </w:r>
      <w:r w:rsidRPr="00257DED">
        <w:rPr>
          <w:lang w:val="fr-FR"/>
        </w:rPr>
        <w:t>compris les aspects opérationnels de la qualité de service et de la qualité d</w:t>
      </w:r>
      <w:r w:rsidR="00257DED">
        <w:rPr>
          <w:lang w:val="fr-FR"/>
        </w:rPr>
        <w:t>'</w:t>
      </w:r>
      <w:r w:rsidRPr="00257DED">
        <w:rPr>
          <w:lang w:val="fr-FR"/>
        </w:rPr>
        <w:t>expérience.</w:t>
      </w:r>
    </w:p>
    <w:p w14:paraId="72691144" w14:textId="53710822" w:rsidR="000E1C14" w:rsidRPr="00257DED" w:rsidRDefault="000E1C14" w:rsidP="000E1C14">
      <w:pPr>
        <w:rPr>
          <w:rFonts w:asciiTheme="majorBidi" w:hAnsiTheme="majorBidi" w:cstheme="majorBidi"/>
          <w:szCs w:val="24"/>
          <w:lang w:val="fr-FR"/>
        </w:rPr>
      </w:pPr>
      <w:r w:rsidRPr="00257DED">
        <w:rPr>
          <w:lang w:val="fr-FR"/>
        </w:rPr>
        <w:t>Il est nécessaire d</w:t>
      </w:r>
      <w:r w:rsidR="00257DED">
        <w:rPr>
          <w:lang w:val="fr-FR"/>
        </w:rPr>
        <w:t>'</w:t>
      </w:r>
      <w:r w:rsidRPr="00257DED">
        <w:rPr>
          <w:lang w:val="fr-FR"/>
        </w:rPr>
        <w:t>envisager de mettre à jour les points de repère à l</w:t>
      </w:r>
      <w:r w:rsidR="00257DED">
        <w:rPr>
          <w:lang w:val="fr-FR"/>
        </w:rPr>
        <w:t>'</w:t>
      </w:r>
      <w:r w:rsidRPr="00257DED">
        <w:rPr>
          <w:lang w:val="fr-FR"/>
        </w:rPr>
        <w:t>intention des commissions d</w:t>
      </w:r>
      <w:r w:rsidR="00257DED">
        <w:rPr>
          <w:lang w:val="fr-FR"/>
        </w:rPr>
        <w:t>'</w:t>
      </w:r>
      <w:r w:rsidRPr="00257DED">
        <w:rPr>
          <w:lang w:val="fr-FR"/>
        </w:rPr>
        <w:t>études pour la mise au point du programme de travail postérieur à 2024 figurant dans l</w:t>
      </w:r>
      <w:r w:rsidR="00257DED">
        <w:rPr>
          <w:lang w:val="fr-FR"/>
        </w:rPr>
        <w:t>'</w:t>
      </w:r>
      <w:r w:rsidRPr="00257DED">
        <w:rPr>
          <w:lang w:val="fr-FR"/>
        </w:rPr>
        <w:t>Annexe</w:t>
      </w:r>
      <w:r w:rsidR="00BB7EE4" w:rsidRPr="00257DED">
        <w:rPr>
          <w:lang w:val="fr-FR"/>
        </w:rPr>
        <w:t> </w:t>
      </w:r>
      <w:r w:rsidRPr="00257DED">
        <w:rPr>
          <w:lang w:val="fr-FR"/>
        </w:rPr>
        <w:t>B de la Résolution 2 (Rév. Genève, 2022) de l</w:t>
      </w:r>
      <w:r w:rsidR="00257DED">
        <w:rPr>
          <w:lang w:val="fr-FR"/>
        </w:rPr>
        <w:t>'</w:t>
      </w:r>
      <w:r w:rsidRPr="00257DED">
        <w:rPr>
          <w:lang w:val="fr-FR"/>
        </w:rPr>
        <w:t>AMNT, afin de s</w:t>
      </w:r>
      <w:r w:rsidR="00257DED">
        <w:rPr>
          <w:lang w:val="fr-FR"/>
        </w:rPr>
        <w:t>'</w:t>
      </w:r>
      <w:r w:rsidRPr="00257DED">
        <w:rPr>
          <w:lang w:val="fr-FR"/>
        </w:rPr>
        <w:t>assurer qu</w:t>
      </w:r>
      <w:r w:rsidR="00257DED">
        <w:rPr>
          <w:lang w:val="fr-FR"/>
        </w:rPr>
        <w:t>'</w:t>
      </w:r>
      <w:r w:rsidRPr="00257DED">
        <w:rPr>
          <w:lang w:val="fr-FR"/>
        </w:rPr>
        <w:t>il n</w:t>
      </w:r>
      <w:r w:rsidR="00257DED">
        <w:rPr>
          <w:lang w:val="fr-FR"/>
        </w:rPr>
        <w:t>'</w:t>
      </w:r>
      <w:r w:rsidRPr="00257DED">
        <w:rPr>
          <w:lang w:val="fr-FR"/>
        </w:rPr>
        <w:t>y a pas de chevauchement entre les travaux décrits dans les points de référence et le mandat des autres commissions d</w:t>
      </w:r>
      <w:r w:rsidR="00257DED">
        <w:rPr>
          <w:lang w:val="fr-FR"/>
        </w:rPr>
        <w:t>'</w:t>
      </w:r>
      <w:r w:rsidRPr="00257DED">
        <w:rPr>
          <w:lang w:val="fr-FR"/>
        </w:rPr>
        <w:t>études.</w:t>
      </w:r>
    </w:p>
    <w:p w14:paraId="43C84B66" w14:textId="6A85F099" w:rsidR="000E1C14" w:rsidRPr="00257DED" w:rsidRDefault="000E1C14" w:rsidP="000E1C14">
      <w:pPr>
        <w:pStyle w:val="Heading1"/>
        <w:rPr>
          <w:lang w:val="fr-FR"/>
        </w:rPr>
      </w:pPr>
      <w:r w:rsidRPr="00257DED">
        <w:rPr>
          <w:lang w:val="fr-FR"/>
        </w:rPr>
        <w:t>4</w:t>
      </w:r>
      <w:r w:rsidRPr="00257DED">
        <w:rPr>
          <w:lang w:val="fr-FR"/>
        </w:rPr>
        <w:tab/>
        <w:t>Regrouper les travaux relatifs aux applications multimédias, actuellement menés par la CE 9 et la CE 16 de l</w:t>
      </w:r>
      <w:r w:rsidR="00257DED">
        <w:rPr>
          <w:lang w:val="fr-FR"/>
        </w:rPr>
        <w:t>'</w:t>
      </w:r>
      <w:r w:rsidRPr="00257DED">
        <w:rPr>
          <w:lang w:val="fr-FR"/>
        </w:rPr>
        <w:t>UIT-T, au sein d</w:t>
      </w:r>
      <w:r w:rsidR="00257DED">
        <w:rPr>
          <w:lang w:val="fr-FR"/>
        </w:rPr>
        <w:t>'</w:t>
      </w:r>
      <w:r w:rsidRPr="00257DED">
        <w:rPr>
          <w:lang w:val="fr-FR"/>
        </w:rPr>
        <w:t>une seule commission d</w:t>
      </w:r>
      <w:r w:rsidR="00257DED">
        <w:rPr>
          <w:lang w:val="fr-FR"/>
        </w:rPr>
        <w:t>'</w:t>
      </w:r>
      <w:r w:rsidRPr="00257DED">
        <w:rPr>
          <w:lang w:val="fr-FR"/>
        </w:rPr>
        <w:t>études</w:t>
      </w:r>
    </w:p>
    <w:p w14:paraId="76015EE5" w14:textId="0AC5FB97" w:rsidR="000E1C14" w:rsidRPr="00257DED" w:rsidRDefault="000E1C14" w:rsidP="003300E4">
      <w:pPr>
        <w:keepNext/>
        <w:keepLines/>
        <w:rPr>
          <w:rFonts w:asciiTheme="majorBidi" w:hAnsiTheme="majorBidi" w:cstheme="majorBidi"/>
          <w:szCs w:val="24"/>
          <w:lang w:val="fr-FR"/>
        </w:rPr>
      </w:pPr>
      <w:r w:rsidRPr="00257DED">
        <w:rPr>
          <w:lang w:val="fr-FR"/>
        </w:rPr>
        <w:t>La CITEL est d</w:t>
      </w:r>
      <w:r w:rsidR="00257DED">
        <w:rPr>
          <w:lang w:val="fr-FR"/>
        </w:rPr>
        <w:t>'</w:t>
      </w:r>
      <w:r w:rsidRPr="00257DED">
        <w:rPr>
          <w:lang w:val="fr-FR"/>
        </w:rPr>
        <w:t>avis de fusionner la CE 9 et la CE 16 au sein d</w:t>
      </w:r>
      <w:r w:rsidR="00257DED">
        <w:rPr>
          <w:lang w:val="fr-FR"/>
        </w:rPr>
        <w:t>'</w:t>
      </w:r>
      <w:r w:rsidRPr="00257DED">
        <w:rPr>
          <w:lang w:val="fr-FR"/>
        </w:rPr>
        <w:t>une nouvelle Commission d</w:t>
      </w:r>
      <w:r w:rsidR="00257DED">
        <w:rPr>
          <w:lang w:val="fr-FR"/>
        </w:rPr>
        <w:t>'</w:t>
      </w:r>
      <w:r w:rsidRPr="00257DED">
        <w:rPr>
          <w:lang w:val="fr-FR"/>
        </w:rPr>
        <w:t>études</w:t>
      </w:r>
      <w:r w:rsidR="00BB7EE4" w:rsidRPr="00257DED">
        <w:rPr>
          <w:lang w:val="fr-FR"/>
        </w:rPr>
        <w:t> </w:t>
      </w:r>
      <w:r w:rsidRPr="00257DED">
        <w:rPr>
          <w:lang w:val="fr-FR"/>
        </w:rPr>
        <w:t xml:space="preserve">C qui </w:t>
      </w:r>
      <w:r w:rsidR="00E2484E" w:rsidRPr="00257DED">
        <w:rPr>
          <w:lang w:val="fr-FR"/>
        </w:rPr>
        <w:t>serait chargée des</w:t>
      </w:r>
      <w:r w:rsidRPr="00257DED">
        <w:rPr>
          <w:lang w:val="fr-FR"/>
        </w:rPr>
        <w:t xml:space="preserve"> </w:t>
      </w:r>
      <w:r w:rsidR="00E2484E" w:rsidRPr="00257DED">
        <w:rPr>
          <w:lang w:val="fr-FR"/>
        </w:rPr>
        <w:t>t</w:t>
      </w:r>
      <w:r w:rsidRPr="00257DED">
        <w:rPr>
          <w:lang w:val="fr-FR"/>
        </w:rPr>
        <w:t xml:space="preserve">echnologies pour le multimédia, </w:t>
      </w:r>
      <w:r w:rsidR="00E2484E" w:rsidRPr="00257DED">
        <w:rPr>
          <w:lang w:val="fr-FR"/>
        </w:rPr>
        <w:t xml:space="preserve">de </w:t>
      </w:r>
      <w:r w:rsidRPr="00257DED">
        <w:rPr>
          <w:lang w:val="fr-FR"/>
        </w:rPr>
        <w:t xml:space="preserve">la fourniture de contenus et </w:t>
      </w:r>
      <w:r w:rsidR="00E2484E" w:rsidRPr="00257DED">
        <w:rPr>
          <w:lang w:val="fr-FR"/>
        </w:rPr>
        <w:t xml:space="preserve">de </w:t>
      </w:r>
      <w:r w:rsidRPr="00257DED">
        <w:rPr>
          <w:lang w:val="fr-FR"/>
        </w:rPr>
        <w:t>la télévision par câble, comme approuvé par le Groupe consultatif de la normalisation des télécommunications (GCNT).</w:t>
      </w:r>
    </w:p>
    <w:p w14:paraId="2DA2650A" w14:textId="1D38E23F" w:rsidR="000E1C14" w:rsidRPr="00257DED" w:rsidRDefault="000E1C14" w:rsidP="000E1C14">
      <w:pPr>
        <w:pStyle w:val="Heading1"/>
        <w:rPr>
          <w:lang w:val="fr-FR"/>
        </w:rPr>
      </w:pPr>
      <w:r w:rsidRPr="00257DED">
        <w:rPr>
          <w:lang w:val="fr-FR"/>
        </w:rPr>
        <w:t>5</w:t>
      </w:r>
      <w:r w:rsidRPr="00257DED">
        <w:rPr>
          <w:lang w:val="fr-FR"/>
        </w:rPr>
        <w:tab/>
        <w:t>Employer une terminologie claire et cohérente dans le mandat des commissions d</w:t>
      </w:r>
      <w:r w:rsidR="00257DED">
        <w:rPr>
          <w:lang w:val="fr-FR"/>
        </w:rPr>
        <w:t>'</w:t>
      </w:r>
      <w:r w:rsidRPr="00257DED">
        <w:rPr>
          <w:lang w:val="fr-FR"/>
        </w:rPr>
        <w:t>études</w:t>
      </w:r>
    </w:p>
    <w:p w14:paraId="4A0AEF33" w14:textId="323CC124" w:rsidR="000E1C14" w:rsidRPr="00257DED" w:rsidRDefault="000E1C14" w:rsidP="009B2F07">
      <w:pPr>
        <w:rPr>
          <w:rFonts w:asciiTheme="majorBidi" w:hAnsiTheme="majorBidi" w:cstheme="majorBidi"/>
          <w:szCs w:val="24"/>
          <w:lang w:val="fr-FR"/>
        </w:rPr>
      </w:pPr>
      <w:r w:rsidRPr="00257DED">
        <w:rPr>
          <w:lang w:val="fr-FR"/>
        </w:rPr>
        <w:t>L</w:t>
      </w:r>
      <w:r w:rsidR="00257DED">
        <w:rPr>
          <w:lang w:val="fr-FR"/>
        </w:rPr>
        <w:t>'</w:t>
      </w:r>
      <w:r w:rsidRPr="00257DED">
        <w:rPr>
          <w:lang w:val="fr-FR"/>
        </w:rPr>
        <w:t>UIT-T est chargé d</w:t>
      </w:r>
      <w:r w:rsidR="00257DED">
        <w:rPr>
          <w:lang w:val="fr-FR"/>
        </w:rPr>
        <w:t>'</w:t>
      </w:r>
      <w:r w:rsidRPr="00257DED">
        <w:rPr>
          <w:lang w:val="fr-FR"/>
        </w:rPr>
        <w:t>élaborer des normes internationales dans le domaine des télécommunications/TIC. Le mandat de la CE 5, de la CE 16 et de la CE 20 contient l</w:t>
      </w:r>
      <w:r w:rsidR="00257DED">
        <w:rPr>
          <w:lang w:val="fr-FR"/>
        </w:rPr>
        <w:t>'</w:t>
      </w:r>
      <w:r w:rsidRPr="00257DED">
        <w:rPr>
          <w:lang w:val="fr-FR"/>
        </w:rPr>
        <w:t>expression "technologies numériques", qui peut prêter à confusion car bon nombre de technologies numériques n</w:t>
      </w:r>
      <w:r w:rsidR="00257DED">
        <w:rPr>
          <w:lang w:val="fr-FR"/>
        </w:rPr>
        <w:t>'</w:t>
      </w:r>
      <w:r w:rsidRPr="00257DED">
        <w:rPr>
          <w:lang w:val="fr-FR"/>
        </w:rPr>
        <w:t>entrent pas dans le domaine des TIC. Les TIC sont pour l</w:t>
      </w:r>
      <w:r w:rsidR="00257DED">
        <w:rPr>
          <w:lang w:val="fr-FR"/>
        </w:rPr>
        <w:t>'</w:t>
      </w:r>
      <w:r w:rsidRPr="00257DED">
        <w:rPr>
          <w:lang w:val="fr-FR"/>
        </w:rPr>
        <w:t>essentiel des technologies qui facilitent le traitement et l</w:t>
      </w:r>
      <w:r w:rsidR="00257DED">
        <w:rPr>
          <w:lang w:val="fr-FR"/>
        </w:rPr>
        <w:t>'</w:t>
      </w:r>
      <w:r w:rsidRPr="00257DED">
        <w:rPr>
          <w:lang w:val="fr-FR"/>
        </w:rPr>
        <w:t>échange d</w:t>
      </w:r>
      <w:r w:rsidR="00257DED">
        <w:rPr>
          <w:lang w:val="fr-FR"/>
        </w:rPr>
        <w:t>'</w:t>
      </w:r>
      <w:r w:rsidRPr="00257DED">
        <w:rPr>
          <w:lang w:val="fr-FR"/>
        </w:rPr>
        <w:t xml:space="preserve">informations par diverses méthodes de communication. Si de nombreuses technologies analogiques et numériques entrent dans cette catégorie, </w:t>
      </w:r>
      <w:r w:rsidR="002F6BE6" w:rsidRPr="00257DED">
        <w:rPr>
          <w:lang w:val="fr-FR"/>
        </w:rPr>
        <w:t>d</w:t>
      </w:r>
      <w:r w:rsidR="00257DED">
        <w:rPr>
          <w:lang w:val="fr-FR"/>
        </w:rPr>
        <w:t>'</w:t>
      </w:r>
      <w:r w:rsidR="002F6BE6" w:rsidRPr="00257DED">
        <w:rPr>
          <w:lang w:val="fr-FR"/>
        </w:rPr>
        <w:t xml:space="preserve">autres </w:t>
      </w:r>
      <w:r w:rsidR="00E2484E" w:rsidRPr="00257DED">
        <w:rPr>
          <w:lang w:val="fr-FR"/>
        </w:rPr>
        <w:t xml:space="preserve">sont utilisées </w:t>
      </w:r>
      <w:r w:rsidRPr="00257DED">
        <w:rPr>
          <w:lang w:val="fr-FR"/>
        </w:rPr>
        <w:t>à des fins autres que la communication et le traitement de l</w:t>
      </w:r>
      <w:r w:rsidR="00257DED">
        <w:rPr>
          <w:lang w:val="fr-FR"/>
        </w:rPr>
        <w:t>'</w:t>
      </w:r>
      <w:r w:rsidRPr="00257DED">
        <w:rPr>
          <w:lang w:val="fr-FR"/>
        </w:rPr>
        <w:t>information, et ne peuvent donc pas être considérées comme des TIC.</w:t>
      </w:r>
    </w:p>
    <w:p w14:paraId="208744B5" w14:textId="1F927043" w:rsidR="000E1C14" w:rsidRPr="00257DED" w:rsidRDefault="000E1C14" w:rsidP="009B2F07">
      <w:pPr>
        <w:rPr>
          <w:rFonts w:asciiTheme="majorBidi" w:hAnsiTheme="majorBidi" w:cstheme="majorBidi"/>
          <w:szCs w:val="24"/>
          <w:lang w:val="fr-FR"/>
        </w:rPr>
      </w:pPr>
      <w:r w:rsidRPr="00257DED">
        <w:rPr>
          <w:lang w:val="fr-FR"/>
        </w:rPr>
        <w:t>Il conviendrait de ne pas utiliser l</w:t>
      </w:r>
      <w:r w:rsidR="00257DED">
        <w:rPr>
          <w:lang w:val="fr-FR"/>
        </w:rPr>
        <w:t>'</w:t>
      </w:r>
      <w:r w:rsidRPr="00257DED">
        <w:rPr>
          <w:lang w:val="fr-FR"/>
        </w:rPr>
        <w:t>expression "technologies numériques" dans le mandat des commissions d</w:t>
      </w:r>
      <w:r w:rsidR="00257DED">
        <w:rPr>
          <w:lang w:val="fr-FR"/>
        </w:rPr>
        <w:t>'</w:t>
      </w:r>
      <w:r w:rsidRPr="00257DED">
        <w:rPr>
          <w:lang w:val="fr-FR"/>
        </w:rPr>
        <w:t>études et de lui préférer des termes tels que "télécommunications/TIC" ou simplement "TIC".</w:t>
      </w:r>
    </w:p>
    <w:p w14:paraId="00638AAE" w14:textId="4CA4B460" w:rsidR="000E1C14" w:rsidRPr="00257DED" w:rsidRDefault="000E1C14" w:rsidP="000E1C14">
      <w:pPr>
        <w:pStyle w:val="Heading1"/>
        <w:rPr>
          <w:lang w:val="fr-FR"/>
        </w:rPr>
      </w:pPr>
      <w:r w:rsidRPr="00257DED">
        <w:rPr>
          <w:lang w:val="fr-FR"/>
        </w:rPr>
        <w:lastRenderedPageBreak/>
        <w:t>6</w:t>
      </w:r>
      <w:r w:rsidRPr="00257DED">
        <w:rPr>
          <w:lang w:val="fr-FR"/>
        </w:rPr>
        <w:tab/>
        <w:t xml:space="preserve">Préciser la notion de </w:t>
      </w:r>
      <w:r w:rsidR="00E93CBE" w:rsidRPr="00257DED">
        <w:rPr>
          <w:lang w:val="fr-FR"/>
        </w:rPr>
        <w:t>c</w:t>
      </w:r>
      <w:r w:rsidRPr="00257DED">
        <w:rPr>
          <w:lang w:val="fr-FR"/>
        </w:rPr>
        <w:t>ommission d</w:t>
      </w:r>
      <w:r w:rsidR="00257DED">
        <w:rPr>
          <w:lang w:val="fr-FR"/>
        </w:rPr>
        <w:t>'</w:t>
      </w:r>
      <w:r w:rsidRPr="00257DED">
        <w:rPr>
          <w:lang w:val="fr-FR"/>
        </w:rPr>
        <w:t>études directrice</w:t>
      </w:r>
    </w:p>
    <w:p w14:paraId="05CBEE29" w14:textId="7A0D7394" w:rsidR="000E1C14" w:rsidRPr="00257DED" w:rsidRDefault="000E1C14" w:rsidP="009B2F07">
      <w:pPr>
        <w:rPr>
          <w:lang w:val="fr-FR"/>
        </w:rPr>
      </w:pPr>
      <w:r w:rsidRPr="00257DED">
        <w:rPr>
          <w:lang w:val="fr-FR"/>
        </w:rPr>
        <w:t>Si la notion de commission d</w:t>
      </w:r>
      <w:r w:rsidR="00257DED">
        <w:rPr>
          <w:lang w:val="fr-FR"/>
        </w:rPr>
        <w:t>'</w:t>
      </w:r>
      <w:r w:rsidRPr="00257DED">
        <w:rPr>
          <w:lang w:val="fr-FR"/>
        </w:rPr>
        <w:t>études directrice existe de longue date, la pratique a révélé que diriger efficacement l</w:t>
      </w:r>
      <w:r w:rsidR="00257DED">
        <w:rPr>
          <w:lang w:val="fr-FR"/>
        </w:rPr>
        <w:t>'</w:t>
      </w:r>
      <w:r w:rsidRPr="00257DED">
        <w:rPr>
          <w:lang w:val="fr-FR"/>
        </w:rPr>
        <w:t>effort de collaboration n</w:t>
      </w:r>
      <w:r w:rsidR="00257DED">
        <w:rPr>
          <w:lang w:val="fr-FR"/>
        </w:rPr>
        <w:t>'</w:t>
      </w:r>
      <w:r w:rsidRPr="00257DED">
        <w:rPr>
          <w:lang w:val="fr-FR"/>
        </w:rPr>
        <w:t>était pas chose aisée, d</w:t>
      </w:r>
      <w:r w:rsidR="00257DED">
        <w:rPr>
          <w:lang w:val="fr-FR"/>
        </w:rPr>
        <w:t>'</w:t>
      </w:r>
      <w:r w:rsidRPr="00257DED">
        <w:rPr>
          <w:lang w:val="fr-FR"/>
        </w:rPr>
        <w:t>autant plus que les travaux reposent sur des contributions.</w:t>
      </w:r>
    </w:p>
    <w:p w14:paraId="7B7C502B" w14:textId="1B75AF56" w:rsidR="000E1C14" w:rsidRPr="00257DED" w:rsidRDefault="000E1C14" w:rsidP="009B2F07">
      <w:pPr>
        <w:rPr>
          <w:lang w:val="fr-FR"/>
        </w:rPr>
      </w:pPr>
      <w:r w:rsidRPr="00257DED">
        <w:rPr>
          <w:lang w:val="fr-FR"/>
        </w:rPr>
        <w:t>Il est à noter que le fonctionnement de chaque commission d</w:t>
      </w:r>
      <w:r w:rsidR="00257DED">
        <w:rPr>
          <w:lang w:val="fr-FR"/>
        </w:rPr>
        <w:t>'</w:t>
      </w:r>
      <w:r w:rsidRPr="00257DED">
        <w:rPr>
          <w:lang w:val="fr-FR"/>
        </w:rPr>
        <w:t>études semble profondément ancré dans le programme de travail qui lui est propre, ce qui rend la notion de commission d</w:t>
      </w:r>
      <w:r w:rsidR="00257DED">
        <w:rPr>
          <w:lang w:val="fr-FR"/>
        </w:rPr>
        <w:t>'</w:t>
      </w:r>
      <w:r w:rsidRPr="00257DED">
        <w:rPr>
          <w:lang w:val="fr-FR"/>
        </w:rPr>
        <w:t>études directrice moins pertinente. Actuellement, les commissions d</w:t>
      </w:r>
      <w:r w:rsidR="00257DED">
        <w:rPr>
          <w:lang w:val="fr-FR"/>
        </w:rPr>
        <w:t>'</w:t>
      </w:r>
      <w:r w:rsidRPr="00257DED">
        <w:rPr>
          <w:lang w:val="fr-FR"/>
        </w:rPr>
        <w:t xml:space="preserve">études définissent généralement leur rôle de direction en </w:t>
      </w:r>
      <w:r w:rsidR="00E93CBE" w:rsidRPr="00257DED">
        <w:rPr>
          <w:lang w:val="fr-FR"/>
        </w:rPr>
        <w:t>suivant</w:t>
      </w:r>
      <w:r w:rsidRPr="00257DED">
        <w:rPr>
          <w:lang w:val="fr-FR"/>
        </w:rPr>
        <w:t xml:space="preserve"> les grandes lignes de leur programme de travail respectif. Toutefois, cette opération redondante consiste souvent à reprendre le mandat propre à chaque commission</w:t>
      </w:r>
      <w:r w:rsidR="00E93CBE" w:rsidRPr="00257DED">
        <w:rPr>
          <w:lang w:val="fr-FR"/>
        </w:rPr>
        <w:t>:</w:t>
      </w:r>
      <w:r w:rsidRPr="00257DED">
        <w:rPr>
          <w:lang w:val="fr-FR"/>
        </w:rPr>
        <w:t xml:space="preserve"> </w:t>
      </w:r>
      <w:r w:rsidR="00E93CBE" w:rsidRPr="00257DED">
        <w:rPr>
          <w:lang w:val="fr-FR"/>
        </w:rPr>
        <w:t>ce travail de reformulation est donc inutile</w:t>
      </w:r>
      <w:r w:rsidRPr="00257DED">
        <w:rPr>
          <w:lang w:val="fr-FR"/>
        </w:rPr>
        <w:t>. À titre d</w:t>
      </w:r>
      <w:r w:rsidR="00257DED">
        <w:rPr>
          <w:lang w:val="fr-FR"/>
        </w:rPr>
        <w:t>'</w:t>
      </w:r>
      <w:r w:rsidRPr="00257DED">
        <w:rPr>
          <w:lang w:val="fr-FR"/>
        </w:rPr>
        <w:t>exemple, la CE 17 a à la fois un mandat en matière de sécurité et un rôle de commission d</w:t>
      </w:r>
      <w:r w:rsidR="00257DED">
        <w:rPr>
          <w:lang w:val="fr-FR"/>
        </w:rPr>
        <w:t>'</w:t>
      </w:r>
      <w:r w:rsidRPr="00257DED">
        <w:rPr>
          <w:lang w:val="fr-FR"/>
        </w:rPr>
        <w:t xml:space="preserve">études directrice </w:t>
      </w:r>
      <w:r w:rsidR="0020217A" w:rsidRPr="00257DED">
        <w:rPr>
          <w:lang w:val="fr-FR"/>
        </w:rPr>
        <w:t>dans ce même domaine</w:t>
      </w:r>
      <w:r w:rsidRPr="00257DED">
        <w:rPr>
          <w:lang w:val="fr-FR"/>
        </w:rPr>
        <w:t xml:space="preserve">, ce qui semble être une tautologie. </w:t>
      </w:r>
      <w:r w:rsidR="00E93CBE" w:rsidRPr="00257DED">
        <w:rPr>
          <w:lang w:val="fr-FR"/>
        </w:rPr>
        <w:t>Il en va de même</w:t>
      </w:r>
      <w:r w:rsidR="0020217A" w:rsidRPr="00257DED">
        <w:rPr>
          <w:lang w:val="fr-FR"/>
        </w:rPr>
        <w:t>,</w:t>
      </w:r>
      <w:r w:rsidRPr="00257DED">
        <w:rPr>
          <w:lang w:val="fr-FR"/>
        </w:rPr>
        <w:t xml:space="preserve"> notamment</w:t>
      </w:r>
      <w:r w:rsidR="0020217A" w:rsidRPr="00257DED">
        <w:rPr>
          <w:lang w:val="fr-FR"/>
        </w:rPr>
        <w:t>,</w:t>
      </w:r>
      <w:r w:rsidRPr="00257DED">
        <w:rPr>
          <w:lang w:val="fr-FR"/>
        </w:rPr>
        <w:t xml:space="preserve"> pour la CE</w:t>
      </w:r>
      <w:r w:rsidR="009C136F" w:rsidRPr="00257DED">
        <w:rPr>
          <w:lang w:val="fr-FR"/>
        </w:rPr>
        <w:t> </w:t>
      </w:r>
      <w:r w:rsidRPr="00257DED">
        <w:rPr>
          <w:lang w:val="fr-FR"/>
        </w:rPr>
        <w:t>2, la CE</w:t>
      </w:r>
      <w:r w:rsidR="009C136F" w:rsidRPr="00257DED">
        <w:rPr>
          <w:lang w:val="fr-FR"/>
        </w:rPr>
        <w:t> </w:t>
      </w:r>
      <w:r w:rsidRPr="00257DED">
        <w:rPr>
          <w:lang w:val="fr-FR"/>
        </w:rPr>
        <w:t>3</w:t>
      </w:r>
      <w:r w:rsidR="00E93CBE" w:rsidRPr="00257DED">
        <w:rPr>
          <w:lang w:val="fr-FR"/>
        </w:rPr>
        <w:t xml:space="preserve"> et</w:t>
      </w:r>
      <w:r w:rsidRPr="00257DED">
        <w:rPr>
          <w:lang w:val="fr-FR"/>
        </w:rPr>
        <w:t xml:space="preserve"> la CE</w:t>
      </w:r>
      <w:r w:rsidR="009C136F" w:rsidRPr="00257DED">
        <w:rPr>
          <w:lang w:val="fr-FR"/>
        </w:rPr>
        <w:t> </w:t>
      </w:r>
      <w:r w:rsidRPr="00257DED">
        <w:rPr>
          <w:lang w:val="fr-FR"/>
        </w:rPr>
        <w:t>11.</w:t>
      </w:r>
    </w:p>
    <w:p w14:paraId="6B1C6F73" w14:textId="03C282BB" w:rsidR="000E1C14" w:rsidRPr="00257DED" w:rsidRDefault="000E1C14" w:rsidP="009B2F07">
      <w:pPr>
        <w:rPr>
          <w:lang w:val="fr-FR"/>
        </w:rPr>
      </w:pPr>
      <w:r w:rsidRPr="00257DED">
        <w:rPr>
          <w:lang w:val="fr-FR"/>
        </w:rPr>
        <w:t>Par conséquent, la notion de commission d</w:t>
      </w:r>
      <w:r w:rsidR="00257DED">
        <w:rPr>
          <w:lang w:val="fr-FR"/>
        </w:rPr>
        <w:t>'</w:t>
      </w:r>
      <w:r w:rsidRPr="00257DED">
        <w:rPr>
          <w:lang w:val="fr-FR"/>
        </w:rPr>
        <w:t>études directrice doit être réévalué</w:t>
      </w:r>
      <w:r w:rsidR="00E93CBE" w:rsidRPr="00257DED">
        <w:rPr>
          <w:lang w:val="fr-FR"/>
        </w:rPr>
        <w:t>e</w:t>
      </w:r>
      <w:r w:rsidRPr="00257DED">
        <w:rPr>
          <w:lang w:val="fr-FR"/>
        </w:rPr>
        <w:t xml:space="preserve"> afin d</w:t>
      </w:r>
      <w:r w:rsidR="00257DED">
        <w:rPr>
          <w:lang w:val="fr-FR"/>
        </w:rPr>
        <w:t>'</w:t>
      </w:r>
      <w:r w:rsidRPr="00257DED">
        <w:rPr>
          <w:lang w:val="fr-FR"/>
        </w:rPr>
        <w:t>en renforcer l</w:t>
      </w:r>
      <w:r w:rsidR="00257DED">
        <w:rPr>
          <w:lang w:val="fr-FR"/>
        </w:rPr>
        <w:t>'</w:t>
      </w:r>
      <w:r w:rsidRPr="00257DED">
        <w:rPr>
          <w:lang w:val="fr-FR"/>
        </w:rPr>
        <w:t>efficacité. Il faudrait en donner une définition claire et déterminer de quelle façon une commission d</w:t>
      </w:r>
      <w:r w:rsidR="00257DED">
        <w:rPr>
          <w:lang w:val="fr-FR"/>
        </w:rPr>
        <w:t>'</w:t>
      </w:r>
      <w:r w:rsidRPr="00257DED">
        <w:rPr>
          <w:lang w:val="fr-FR"/>
        </w:rPr>
        <w:t xml:space="preserve">études se désigne elle-même comme commission directrice, ainsi que ce </w:t>
      </w:r>
      <w:r w:rsidR="0020217A" w:rsidRPr="00257DED">
        <w:rPr>
          <w:lang w:val="fr-FR"/>
        </w:rPr>
        <w:t>qui en découle</w:t>
      </w:r>
      <w:r w:rsidRPr="00257DED">
        <w:rPr>
          <w:lang w:val="fr-FR"/>
        </w:rPr>
        <w:t xml:space="preserve">. Cet examen pourrait permettre </w:t>
      </w:r>
      <w:r w:rsidR="00E93CBE" w:rsidRPr="00257DED">
        <w:rPr>
          <w:lang w:val="fr-FR"/>
        </w:rPr>
        <w:t xml:space="preserve">de </w:t>
      </w:r>
      <w:r w:rsidRPr="00257DED">
        <w:rPr>
          <w:lang w:val="fr-FR"/>
        </w:rPr>
        <w:t>remédier aux problèmes qui se posent du fait que certaines commissions d</w:t>
      </w:r>
      <w:r w:rsidR="00257DED">
        <w:rPr>
          <w:lang w:val="fr-FR"/>
        </w:rPr>
        <w:t>'</w:t>
      </w:r>
      <w:r w:rsidRPr="00257DED">
        <w:rPr>
          <w:lang w:val="fr-FR"/>
        </w:rPr>
        <w:t xml:space="preserve">études revendiquent un rôle </w:t>
      </w:r>
      <w:r w:rsidR="00E93CBE" w:rsidRPr="00257DED">
        <w:rPr>
          <w:lang w:val="fr-FR"/>
        </w:rPr>
        <w:t>de direction</w:t>
      </w:r>
      <w:r w:rsidRPr="00257DED">
        <w:rPr>
          <w:lang w:val="fr-FR"/>
        </w:rPr>
        <w:t xml:space="preserve"> exclusif.</w:t>
      </w:r>
    </w:p>
    <w:p w14:paraId="609CBD0E" w14:textId="4E159192" w:rsidR="00257DED" w:rsidRPr="00257DED" w:rsidRDefault="000E1C14" w:rsidP="00257DED">
      <w:pPr>
        <w:rPr>
          <w:lang w:val="fr-FR"/>
        </w:rPr>
      </w:pPr>
      <w:r w:rsidRPr="00257DED">
        <w:rPr>
          <w:lang w:val="fr-FR"/>
        </w:rPr>
        <w:t>La notion de commission d</w:t>
      </w:r>
      <w:r w:rsidR="00257DED">
        <w:rPr>
          <w:lang w:val="fr-FR"/>
        </w:rPr>
        <w:t>'</w:t>
      </w:r>
      <w:r w:rsidRPr="00257DED">
        <w:rPr>
          <w:lang w:val="fr-FR"/>
        </w:rPr>
        <w:t xml:space="preserve">études directrice est définie au </w:t>
      </w:r>
      <w:r w:rsidR="00E93CBE" w:rsidRPr="00257DED">
        <w:rPr>
          <w:lang w:val="fr-FR"/>
        </w:rPr>
        <w:t>paragraphe 2.1.5</w:t>
      </w:r>
      <w:r w:rsidRPr="00257DED">
        <w:rPr>
          <w:lang w:val="fr-FR"/>
        </w:rPr>
        <w:t xml:space="preserve"> de la Résolution 1 de l</w:t>
      </w:r>
      <w:r w:rsidR="00257DED">
        <w:rPr>
          <w:lang w:val="fr-FR"/>
        </w:rPr>
        <w:t>'</w:t>
      </w:r>
      <w:r w:rsidRPr="00257DED">
        <w:rPr>
          <w:lang w:val="fr-FR"/>
        </w:rPr>
        <w:t>AMNT. Par définition, une commission d</w:t>
      </w:r>
      <w:r w:rsidR="00257DED">
        <w:rPr>
          <w:lang w:val="fr-FR"/>
        </w:rPr>
        <w:t>'</w:t>
      </w:r>
      <w:r w:rsidRPr="00257DED">
        <w:rPr>
          <w:lang w:val="fr-FR"/>
        </w:rPr>
        <w:t>études directrice s</w:t>
      </w:r>
      <w:r w:rsidR="00257DED">
        <w:rPr>
          <w:lang w:val="fr-FR"/>
        </w:rPr>
        <w:t>'</w:t>
      </w:r>
      <w:r w:rsidRPr="00257DED">
        <w:rPr>
          <w:lang w:val="fr-FR"/>
        </w:rPr>
        <w:t>occupe des études de normalisation faisant intervenir plusieurs commissions d</w:t>
      </w:r>
      <w:r w:rsidR="00257DED">
        <w:rPr>
          <w:lang w:val="fr-FR"/>
        </w:rPr>
        <w:t>'</w:t>
      </w:r>
      <w:r w:rsidRPr="00257DED">
        <w:rPr>
          <w:lang w:val="fr-FR"/>
        </w:rPr>
        <w:t>études. Elle est responsable de l</w:t>
      </w:r>
      <w:r w:rsidR="00257DED">
        <w:rPr>
          <w:lang w:val="fr-FR"/>
        </w:rPr>
        <w:t>'</w:t>
      </w:r>
      <w:r w:rsidRPr="00257DED">
        <w:rPr>
          <w:lang w:val="fr-FR"/>
        </w:rPr>
        <w:t xml:space="preserve">étude des Questions principales et de la coordination du cadre général de travail. Elle coordonne et attribue les études </w:t>
      </w:r>
      <w:r w:rsidR="00257DED" w:rsidRPr="00257DED">
        <w:rPr>
          <w:lang w:val="fr-FR"/>
        </w:rPr>
        <w:br w:type="page"/>
      </w:r>
    </w:p>
    <w:p w14:paraId="3CEC8324" w14:textId="73F2193F" w:rsidR="000E1C14" w:rsidRPr="00257DED" w:rsidRDefault="000E1C14" w:rsidP="00257DED">
      <w:pPr>
        <w:rPr>
          <w:lang w:val="fr-FR"/>
        </w:rPr>
      </w:pPr>
      <w:r w:rsidRPr="00257DED">
        <w:rPr>
          <w:lang w:val="fr-FR"/>
        </w:rPr>
        <w:t>à</w:t>
      </w:r>
      <w:r w:rsidR="009B2F07" w:rsidRPr="00257DED">
        <w:rPr>
          <w:lang w:val="fr-FR"/>
        </w:rPr>
        <w:t> </w:t>
      </w:r>
      <w:r w:rsidRPr="00257DED">
        <w:rPr>
          <w:lang w:val="fr-FR"/>
        </w:rPr>
        <w:t>confier aux commissions d</w:t>
      </w:r>
      <w:r w:rsidR="00257DED">
        <w:rPr>
          <w:lang w:val="fr-FR"/>
        </w:rPr>
        <w:t>'</w:t>
      </w:r>
      <w:r w:rsidRPr="00257DED">
        <w:rPr>
          <w:lang w:val="fr-FR"/>
        </w:rPr>
        <w:t xml:space="preserve">études compétentes après consultation </w:t>
      </w:r>
      <w:r w:rsidR="0020217A" w:rsidRPr="00257DED">
        <w:rPr>
          <w:lang w:val="fr-FR"/>
        </w:rPr>
        <w:t xml:space="preserve">de </w:t>
      </w:r>
      <w:r w:rsidRPr="00257DED">
        <w:rPr>
          <w:lang w:val="fr-FR"/>
        </w:rPr>
        <w:t>ces dernières et selon leurs mandats, et établit les priorités. Elle veille à l</w:t>
      </w:r>
      <w:r w:rsidR="00257DED">
        <w:rPr>
          <w:lang w:val="fr-FR"/>
        </w:rPr>
        <w:t>'</w:t>
      </w:r>
      <w:r w:rsidRPr="00257DED">
        <w:rPr>
          <w:lang w:val="fr-FR"/>
        </w:rPr>
        <w:t>élaboration en temps voulu de Recommandations cohérentes, informe le GCNT de l</w:t>
      </w:r>
      <w:r w:rsidR="00257DED">
        <w:rPr>
          <w:lang w:val="fr-FR"/>
        </w:rPr>
        <w:t>'</w:t>
      </w:r>
      <w:r w:rsidRPr="00257DED">
        <w:rPr>
          <w:lang w:val="fr-FR"/>
        </w:rPr>
        <w:t>avancement des travaux et sollicite l</w:t>
      </w:r>
      <w:r w:rsidR="00257DED">
        <w:rPr>
          <w:lang w:val="fr-FR"/>
        </w:rPr>
        <w:t>'</w:t>
      </w:r>
      <w:r w:rsidRPr="00257DED">
        <w:rPr>
          <w:lang w:val="fr-FR"/>
        </w:rPr>
        <w:t xml:space="preserve">avis </w:t>
      </w:r>
      <w:r w:rsidR="003B6915" w:rsidRPr="00257DED">
        <w:rPr>
          <w:lang w:val="fr-FR"/>
        </w:rPr>
        <w:t>de celui-ci</w:t>
      </w:r>
      <w:r w:rsidRPr="00257DED">
        <w:rPr>
          <w:lang w:val="fr-FR"/>
        </w:rPr>
        <w:t xml:space="preserve"> sur les questions qui demeurent en suspens.</w:t>
      </w:r>
      <w:bookmarkStart w:id="0" w:name="_Toc509631353"/>
      <w:bookmarkStart w:id="1" w:name="_Toc509631366"/>
      <w:bookmarkStart w:id="2" w:name="_Toc77606667"/>
      <w:bookmarkEnd w:id="0"/>
      <w:bookmarkEnd w:id="1"/>
      <w:bookmarkEnd w:id="2"/>
    </w:p>
    <w:p w14:paraId="79499D25" w14:textId="77777777" w:rsidR="00FB2C98" w:rsidRPr="00257DED" w:rsidRDefault="00FB2C98" w:rsidP="00BB7EE4">
      <w:pPr>
        <w:pStyle w:val="Reasons"/>
        <w:spacing w:before="0"/>
        <w:rPr>
          <w:lang w:val="fr-FR"/>
        </w:rPr>
      </w:pPr>
    </w:p>
    <w:p w14:paraId="181E8390" w14:textId="77777777" w:rsidR="00FB2C98" w:rsidRPr="00257DED" w:rsidRDefault="00FB2C98" w:rsidP="00BB7EE4">
      <w:pPr>
        <w:spacing w:before="0"/>
        <w:jc w:val="center"/>
        <w:rPr>
          <w:lang w:val="fr-FR"/>
        </w:rPr>
      </w:pPr>
      <w:r w:rsidRPr="00257DED">
        <w:rPr>
          <w:lang w:val="fr-FR"/>
        </w:rPr>
        <w:t>______________</w:t>
      </w:r>
    </w:p>
    <w:sectPr w:rsidR="00FB2C98" w:rsidRPr="00257DED">
      <w:headerReference w:type="default" r:id="rId15"/>
      <w:footerReference w:type="even" r:id="rId16"/>
      <w:pgSz w:w="11907" w:h="16840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AD4B02" w14:textId="77777777" w:rsidR="00FF131D" w:rsidRDefault="00FF131D">
      <w:r>
        <w:separator/>
      </w:r>
    </w:p>
  </w:endnote>
  <w:endnote w:type="continuationSeparator" w:id="0">
    <w:p w14:paraId="14F16BE9" w14:textId="77777777" w:rsidR="00FF131D" w:rsidRDefault="00FF131D">
      <w:r>
        <w:continuationSeparator/>
      </w:r>
    </w:p>
  </w:endnote>
  <w:endnote w:type="continuationNotice" w:id="1">
    <w:p w14:paraId="10DF0E9B" w14:textId="77777777" w:rsidR="00FF131D" w:rsidRDefault="00FF131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??">
    <w:altName w:val="MS Mincho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485A5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1937E5D6" w14:textId="4420BB22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B2F07">
      <w:rPr>
        <w:noProof/>
      </w:rPr>
      <w:t>23.09.24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F1A7DE" w14:textId="77777777" w:rsidR="00FF131D" w:rsidRDefault="00FF131D">
      <w:r>
        <w:rPr>
          <w:b/>
        </w:rPr>
        <w:t>_______________</w:t>
      </w:r>
    </w:p>
  </w:footnote>
  <w:footnote w:type="continuationSeparator" w:id="0">
    <w:p w14:paraId="3E74EE63" w14:textId="77777777" w:rsidR="00FF131D" w:rsidRDefault="00FF1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C942C" w14:textId="13789DE1" w:rsidR="00A52D1A" w:rsidRPr="00513862" w:rsidRDefault="00513862" w:rsidP="00706168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706168">
      <w:br/>
    </w:r>
    <w:r w:rsidR="00622812">
      <w:t>WTSA</w:t>
    </w:r>
    <w:r w:rsidR="0090488A">
      <w:t>-24/39(Add.20)-F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407461636">
    <w:abstractNumId w:val="8"/>
  </w:num>
  <w:num w:numId="2" w16cid:durableId="1479221067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220900858">
    <w:abstractNumId w:val="9"/>
  </w:num>
  <w:num w:numId="4" w16cid:durableId="2138600255">
    <w:abstractNumId w:val="7"/>
  </w:num>
  <w:num w:numId="5" w16cid:durableId="1368916560">
    <w:abstractNumId w:val="6"/>
  </w:num>
  <w:num w:numId="6" w16cid:durableId="308898555">
    <w:abstractNumId w:val="5"/>
  </w:num>
  <w:num w:numId="7" w16cid:durableId="388261316">
    <w:abstractNumId w:val="4"/>
  </w:num>
  <w:num w:numId="8" w16cid:durableId="51929257">
    <w:abstractNumId w:val="3"/>
  </w:num>
  <w:num w:numId="9" w16cid:durableId="786894381">
    <w:abstractNumId w:val="2"/>
  </w:num>
  <w:num w:numId="10" w16cid:durableId="1512377860">
    <w:abstractNumId w:val="1"/>
  </w:num>
  <w:num w:numId="11" w16cid:durableId="1652784761">
    <w:abstractNumId w:val="0"/>
  </w:num>
  <w:num w:numId="12" w16cid:durableId="1290866825">
    <w:abstractNumId w:val="12"/>
  </w:num>
  <w:num w:numId="13" w16cid:durableId="20921190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3309"/>
    <w:rsid w:val="000041EA"/>
    <w:rsid w:val="0001425B"/>
    <w:rsid w:val="00022A29"/>
    <w:rsid w:val="00024294"/>
    <w:rsid w:val="00034F78"/>
    <w:rsid w:val="000355FD"/>
    <w:rsid w:val="00051E39"/>
    <w:rsid w:val="0005603E"/>
    <w:rsid w:val="000560D0"/>
    <w:rsid w:val="00062F05"/>
    <w:rsid w:val="00063D0B"/>
    <w:rsid w:val="00063EBE"/>
    <w:rsid w:val="0006471F"/>
    <w:rsid w:val="00077239"/>
    <w:rsid w:val="000807E9"/>
    <w:rsid w:val="00081378"/>
    <w:rsid w:val="00086491"/>
    <w:rsid w:val="00091346"/>
    <w:rsid w:val="0009706C"/>
    <w:rsid w:val="000A4F50"/>
    <w:rsid w:val="000D0578"/>
    <w:rsid w:val="000D478F"/>
    <w:rsid w:val="000D708A"/>
    <w:rsid w:val="000E1C14"/>
    <w:rsid w:val="000F57C3"/>
    <w:rsid w:val="000F73FF"/>
    <w:rsid w:val="001043FF"/>
    <w:rsid w:val="001059D5"/>
    <w:rsid w:val="00114CF7"/>
    <w:rsid w:val="00116A7C"/>
    <w:rsid w:val="00123B68"/>
    <w:rsid w:val="001243B8"/>
    <w:rsid w:val="00126F2E"/>
    <w:rsid w:val="001301F4"/>
    <w:rsid w:val="00130789"/>
    <w:rsid w:val="00137CF6"/>
    <w:rsid w:val="00146F6F"/>
    <w:rsid w:val="00161472"/>
    <w:rsid w:val="00163E58"/>
    <w:rsid w:val="0017074E"/>
    <w:rsid w:val="00170A46"/>
    <w:rsid w:val="00182117"/>
    <w:rsid w:val="0018215C"/>
    <w:rsid w:val="00187BD9"/>
    <w:rsid w:val="00190B55"/>
    <w:rsid w:val="001C3B5F"/>
    <w:rsid w:val="001D058F"/>
    <w:rsid w:val="001E6F73"/>
    <w:rsid w:val="002009EA"/>
    <w:rsid w:val="0020217A"/>
    <w:rsid w:val="00202CA0"/>
    <w:rsid w:val="00216B6D"/>
    <w:rsid w:val="00227927"/>
    <w:rsid w:val="00236EBA"/>
    <w:rsid w:val="00245127"/>
    <w:rsid w:val="00246525"/>
    <w:rsid w:val="00250AF4"/>
    <w:rsid w:val="00257DED"/>
    <w:rsid w:val="00260B50"/>
    <w:rsid w:val="00263BE8"/>
    <w:rsid w:val="00267BFB"/>
    <w:rsid w:val="0027050E"/>
    <w:rsid w:val="00271316"/>
    <w:rsid w:val="00273D98"/>
    <w:rsid w:val="00274AF4"/>
    <w:rsid w:val="00290F83"/>
    <w:rsid w:val="002931F4"/>
    <w:rsid w:val="00293F9A"/>
    <w:rsid w:val="002957A7"/>
    <w:rsid w:val="002A1D23"/>
    <w:rsid w:val="002A5392"/>
    <w:rsid w:val="002B100E"/>
    <w:rsid w:val="002C4DC4"/>
    <w:rsid w:val="002C6531"/>
    <w:rsid w:val="002D151C"/>
    <w:rsid w:val="002D58BE"/>
    <w:rsid w:val="002E3AEE"/>
    <w:rsid w:val="002E561F"/>
    <w:rsid w:val="002E7D1F"/>
    <w:rsid w:val="002F2D0C"/>
    <w:rsid w:val="002F442D"/>
    <w:rsid w:val="002F6BE6"/>
    <w:rsid w:val="0031172D"/>
    <w:rsid w:val="00316351"/>
    <w:rsid w:val="00316B80"/>
    <w:rsid w:val="003251EA"/>
    <w:rsid w:val="003300E4"/>
    <w:rsid w:val="00336B4E"/>
    <w:rsid w:val="0034635C"/>
    <w:rsid w:val="00377BD3"/>
    <w:rsid w:val="00384088"/>
    <w:rsid w:val="003879F0"/>
    <w:rsid w:val="0039169B"/>
    <w:rsid w:val="00394470"/>
    <w:rsid w:val="003A7F8C"/>
    <w:rsid w:val="003B09A1"/>
    <w:rsid w:val="003B532E"/>
    <w:rsid w:val="003B6915"/>
    <w:rsid w:val="003C33B7"/>
    <w:rsid w:val="003D0F8B"/>
    <w:rsid w:val="003F020A"/>
    <w:rsid w:val="0041348E"/>
    <w:rsid w:val="004142ED"/>
    <w:rsid w:val="00420EDB"/>
    <w:rsid w:val="0042420B"/>
    <w:rsid w:val="004373CA"/>
    <w:rsid w:val="004420C9"/>
    <w:rsid w:val="00443CCE"/>
    <w:rsid w:val="00462D00"/>
    <w:rsid w:val="00465799"/>
    <w:rsid w:val="00471EF9"/>
    <w:rsid w:val="00485813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68A"/>
    <w:rsid w:val="004E2B16"/>
    <w:rsid w:val="004F630A"/>
    <w:rsid w:val="0050139F"/>
    <w:rsid w:val="00510C3D"/>
    <w:rsid w:val="00513862"/>
    <w:rsid w:val="0055140B"/>
    <w:rsid w:val="00553247"/>
    <w:rsid w:val="00554EFD"/>
    <w:rsid w:val="0056747D"/>
    <w:rsid w:val="00570875"/>
    <w:rsid w:val="00581B01"/>
    <w:rsid w:val="00587F8C"/>
    <w:rsid w:val="00595780"/>
    <w:rsid w:val="005964AB"/>
    <w:rsid w:val="005A1A6A"/>
    <w:rsid w:val="005C099A"/>
    <w:rsid w:val="005C31A5"/>
    <w:rsid w:val="005D431B"/>
    <w:rsid w:val="005D5AF8"/>
    <w:rsid w:val="005E10C9"/>
    <w:rsid w:val="005E61DD"/>
    <w:rsid w:val="006023DF"/>
    <w:rsid w:val="00602F64"/>
    <w:rsid w:val="00622812"/>
    <w:rsid w:val="00622829"/>
    <w:rsid w:val="00623F15"/>
    <w:rsid w:val="006256C0"/>
    <w:rsid w:val="00643684"/>
    <w:rsid w:val="00652944"/>
    <w:rsid w:val="00657CDA"/>
    <w:rsid w:val="00657DE0"/>
    <w:rsid w:val="006714A3"/>
    <w:rsid w:val="0067500B"/>
    <w:rsid w:val="006763BF"/>
    <w:rsid w:val="00685313"/>
    <w:rsid w:val="0069276B"/>
    <w:rsid w:val="00692833"/>
    <w:rsid w:val="006A02EB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6168"/>
    <w:rsid w:val="00707E39"/>
    <w:rsid w:val="007149F9"/>
    <w:rsid w:val="00716D70"/>
    <w:rsid w:val="00725481"/>
    <w:rsid w:val="00733A30"/>
    <w:rsid w:val="00740D09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5E1D"/>
    <w:rsid w:val="0078601C"/>
    <w:rsid w:val="0078609B"/>
    <w:rsid w:val="00790D70"/>
    <w:rsid w:val="00797C4B"/>
    <w:rsid w:val="007C60C2"/>
    <w:rsid w:val="007D1EC0"/>
    <w:rsid w:val="007D5320"/>
    <w:rsid w:val="007E51BA"/>
    <w:rsid w:val="007E66EA"/>
    <w:rsid w:val="007F3C67"/>
    <w:rsid w:val="007F4179"/>
    <w:rsid w:val="007F6D49"/>
    <w:rsid w:val="00800972"/>
    <w:rsid w:val="00804475"/>
    <w:rsid w:val="00811633"/>
    <w:rsid w:val="008220CF"/>
    <w:rsid w:val="00822B56"/>
    <w:rsid w:val="00840F52"/>
    <w:rsid w:val="008508D8"/>
    <w:rsid w:val="00850EEE"/>
    <w:rsid w:val="00854D8D"/>
    <w:rsid w:val="00864CD2"/>
    <w:rsid w:val="00872FC8"/>
    <w:rsid w:val="00874789"/>
    <w:rsid w:val="008777B8"/>
    <w:rsid w:val="008845D0"/>
    <w:rsid w:val="008A186A"/>
    <w:rsid w:val="008B1AEA"/>
    <w:rsid w:val="008B43F2"/>
    <w:rsid w:val="008B6CFF"/>
    <w:rsid w:val="008C09FB"/>
    <w:rsid w:val="008E2A7A"/>
    <w:rsid w:val="008E4BBE"/>
    <w:rsid w:val="008E67E5"/>
    <w:rsid w:val="008F08A1"/>
    <w:rsid w:val="008F7D1E"/>
    <w:rsid w:val="0090488A"/>
    <w:rsid w:val="00905803"/>
    <w:rsid w:val="009163CF"/>
    <w:rsid w:val="00921DD4"/>
    <w:rsid w:val="0092425C"/>
    <w:rsid w:val="00925AC0"/>
    <w:rsid w:val="009274B4"/>
    <w:rsid w:val="00930EBD"/>
    <w:rsid w:val="00931298"/>
    <w:rsid w:val="00931323"/>
    <w:rsid w:val="009333C0"/>
    <w:rsid w:val="00934EA2"/>
    <w:rsid w:val="00940614"/>
    <w:rsid w:val="00944A5C"/>
    <w:rsid w:val="00952A66"/>
    <w:rsid w:val="0095691C"/>
    <w:rsid w:val="009B2216"/>
    <w:rsid w:val="009B2F07"/>
    <w:rsid w:val="009B59BB"/>
    <w:rsid w:val="009B7300"/>
    <w:rsid w:val="009C136F"/>
    <w:rsid w:val="009C56E5"/>
    <w:rsid w:val="009D4900"/>
    <w:rsid w:val="009E1967"/>
    <w:rsid w:val="009E5FC8"/>
    <w:rsid w:val="009E687A"/>
    <w:rsid w:val="009F1890"/>
    <w:rsid w:val="009F29D4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30A6"/>
    <w:rsid w:val="00AC5B55"/>
    <w:rsid w:val="00AE0E1B"/>
    <w:rsid w:val="00B067BF"/>
    <w:rsid w:val="00B305D7"/>
    <w:rsid w:val="00B32676"/>
    <w:rsid w:val="00B515FA"/>
    <w:rsid w:val="00B529AD"/>
    <w:rsid w:val="00B6324B"/>
    <w:rsid w:val="00B639E9"/>
    <w:rsid w:val="00B66385"/>
    <w:rsid w:val="00B66C2B"/>
    <w:rsid w:val="00B817CD"/>
    <w:rsid w:val="00B94AD0"/>
    <w:rsid w:val="00BA5265"/>
    <w:rsid w:val="00BB3A95"/>
    <w:rsid w:val="00BB6222"/>
    <w:rsid w:val="00BB7EE4"/>
    <w:rsid w:val="00BC2FB6"/>
    <w:rsid w:val="00BC7D84"/>
    <w:rsid w:val="00BF3493"/>
    <w:rsid w:val="00BF490E"/>
    <w:rsid w:val="00C0018F"/>
    <w:rsid w:val="00C0539A"/>
    <w:rsid w:val="00C120F4"/>
    <w:rsid w:val="00C16A5A"/>
    <w:rsid w:val="00C20466"/>
    <w:rsid w:val="00C20FF7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C7DAF"/>
    <w:rsid w:val="00CD70EF"/>
    <w:rsid w:val="00CD7CC4"/>
    <w:rsid w:val="00CE388F"/>
    <w:rsid w:val="00CE5E47"/>
    <w:rsid w:val="00CF020F"/>
    <w:rsid w:val="00CF1E9D"/>
    <w:rsid w:val="00CF2B5B"/>
    <w:rsid w:val="00D055D3"/>
    <w:rsid w:val="00D14CE0"/>
    <w:rsid w:val="00D2023F"/>
    <w:rsid w:val="00D278AC"/>
    <w:rsid w:val="00D41719"/>
    <w:rsid w:val="00D449A9"/>
    <w:rsid w:val="00D54009"/>
    <w:rsid w:val="00D5651D"/>
    <w:rsid w:val="00D56DF2"/>
    <w:rsid w:val="00D57A34"/>
    <w:rsid w:val="00D643B3"/>
    <w:rsid w:val="00D74898"/>
    <w:rsid w:val="00D801ED"/>
    <w:rsid w:val="00D936BC"/>
    <w:rsid w:val="00D96530"/>
    <w:rsid w:val="00DA7E2F"/>
    <w:rsid w:val="00DD022F"/>
    <w:rsid w:val="00DD441E"/>
    <w:rsid w:val="00DD44AF"/>
    <w:rsid w:val="00DE2AC3"/>
    <w:rsid w:val="00DE5692"/>
    <w:rsid w:val="00DE70B3"/>
    <w:rsid w:val="00DF1E7B"/>
    <w:rsid w:val="00DF3E19"/>
    <w:rsid w:val="00DF6908"/>
    <w:rsid w:val="00DF700D"/>
    <w:rsid w:val="00E0231F"/>
    <w:rsid w:val="00E03C94"/>
    <w:rsid w:val="00E2134A"/>
    <w:rsid w:val="00E2484E"/>
    <w:rsid w:val="00E26226"/>
    <w:rsid w:val="00E3103C"/>
    <w:rsid w:val="00E45D05"/>
    <w:rsid w:val="00E55816"/>
    <w:rsid w:val="00E55AEF"/>
    <w:rsid w:val="00E6117A"/>
    <w:rsid w:val="00E765C9"/>
    <w:rsid w:val="00E808DD"/>
    <w:rsid w:val="00E82677"/>
    <w:rsid w:val="00E852E5"/>
    <w:rsid w:val="00E870AC"/>
    <w:rsid w:val="00E93CBE"/>
    <w:rsid w:val="00E94DBA"/>
    <w:rsid w:val="00E976C1"/>
    <w:rsid w:val="00EA12E5"/>
    <w:rsid w:val="00EB55C6"/>
    <w:rsid w:val="00EC3192"/>
    <w:rsid w:val="00EC7F04"/>
    <w:rsid w:val="00ED30BC"/>
    <w:rsid w:val="00F00DDC"/>
    <w:rsid w:val="00F01223"/>
    <w:rsid w:val="00F02766"/>
    <w:rsid w:val="00F05BD4"/>
    <w:rsid w:val="00F2404A"/>
    <w:rsid w:val="00F3630D"/>
    <w:rsid w:val="00F44598"/>
    <w:rsid w:val="00F4677D"/>
    <w:rsid w:val="00F528B4"/>
    <w:rsid w:val="00F60D05"/>
    <w:rsid w:val="00F6155B"/>
    <w:rsid w:val="00F65C19"/>
    <w:rsid w:val="00F7356B"/>
    <w:rsid w:val="00F74F2F"/>
    <w:rsid w:val="00F80977"/>
    <w:rsid w:val="00F83F75"/>
    <w:rsid w:val="00F972D2"/>
    <w:rsid w:val="00FB2C98"/>
    <w:rsid w:val="00FC1DB9"/>
    <w:rsid w:val="00FD2546"/>
    <w:rsid w:val="00FD772E"/>
    <w:rsid w:val="00FE0144"/>
    <w:rsid w:val="00FE5494"/>
    <w:rsid w:val="00FE78C7"/>
    <w:rsid w:val="00FF131D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77AD50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uiPriority w:val="99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ui-provider">
    <w:name w:val="ui-provider"/>
    <w:basedOn w:val="DefaultParagraphFont"/>
    <w:rsid w:val="00BF3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fuenmayor@oa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860abffa-8c40-4647-9d33-1a666436ca78" targetNamespace="http://schemas.microsoft.com/office/2006/metadata/properties" ma:root="true" ma:fieldsID="d41af5c836d734370eb92e7ee5f83852" ns2:_="" ns3:_="">
    <xsd:import namespace="996b2e75-67fd-4955-a3b0-5ab9934cb50b"/>
    <xsd:import namespace="860abffa-8c40-4647-9d33-1a666436ca78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abffa-8c40-4647-9d33-1a666436ca78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860abffa-8c40-4647-9d33-1a666436ca78">DPM</DPM_x0020_Author>
    <DPM_x0020_File_x0020_name xmlns="860abffa-8c40-4647-9d33-1a666436ca78">T22-WTSA.24-C-0039!A20!MSW-F</DPM_x0020_File_x0020_name>
    <DPM_x0020_Version xmlns="860abffa-8c40-4647-9d33-1a666436ca78">DPM_2022.05.12.01</DPM_x0020_Version>
  </documentManagement>
</p:properties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860abffa-8c40-4647-9d33-1a666436ca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C3F443-FB8E-4D81-A837-FAFD193F0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F3D58E2-EC10-4DC5-9074-AF807B63C28A}">
  <ds:schemaRefs>
    <ds:schemaRef ds:uri="http://purl.org/dc/terms/"/>
    <ds:schemaRef ds:uri="http://schemas.microsoft.com/office/2006/documentManagement/types"/>
    <ds:schemaRef ds:uri="996b2e75-67fd-4955-a3b0-5ab9934cb50b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860abffa-8c40-4647-9d33-1a666436ca78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1561</Words>
  <Characters>8997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T22-WTSA.24-C-0039!A20!MSW-F</vt:lpstr>
    </vt:vector>
  </TitlesOfParts>
  <Manager>General Secretariat - Pool</Manager>
  <Company>International Telecommunication Union (ITU)</Company>
  <LinksUpToDate>false</LinksUpToDate>
  <CharactersWithSpaces>10537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T22-WTSA.24-C-0039!A20!MSW-F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French</cp:lastModifiedBy>
  <cp:revision>3</cp:revision>
  <cp:lastPrinted>2016-06-06T07:49:00Z</cp:lastPrinted>
  <dcterms:created xsi:type="dcterms:W3CDTF">2024-09-23T07:33:00Z</dcterms:created>
  <dcterms:modified xsi:type="dcterms:W3CDTF">2024-09-23T13:01:00Z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