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761AC4" w14:paraId="65409DA8" w14:textId="77777777" w:rsidTr="008077A5">
        <w:trPr>
          <w:cantSplit/>
          <w:trHeight w:val="20"/>
        </w:trPr>
        <w:tc>
          <w:tcPr>
            <w:tcW w:w="1310" w:type="dxa"/>
          </w:tcPr>
          <w:p w14:paraId="3DD22E81" w14:textId="77777777" w:rsidR="00314F41" w:rsidRPr="00761AC4" w:rsidRDefault="00863FEE" w:rsidP="009D0810">
            <w:pPr>
              <w:rPr>
                <w:sz w:val="24"/>
                <w:szCs w:val="24"/>
                <w:rtl/>
              </w:rPr>
            </w:pPr>
            <w:r w:rsidRPr="00761AC4">
              <w:rPr>
                <w:noProof/>
              </w:rPr>
              <w:drawing>
                <wp:inline distT="0" distB="0" distL="0" distR="0" wp14:anchorId="05AB53C7" wp14:editId="18B9BD41">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434EE899" w14:textId="77777777" w:rsidR="00314F41" w:rsidRPr="00761AC4" w:rsidRDefault="00314F41" w:rsidP="003309DA">
            <w:pPr>
              <w:pStyle w:val="TopHeader"/>
              <w:bidi/>
              <w:spacing w:before="240"/>
              <w:rPr>
                <w:rFonts w:ascii="Dubai" w:hAnsi="Dubai" w:cs="Dubai"/>
                <w:sz w:val="30"/>
                <w:szCs w:val="30"/>
                <w:lang w:val="en-US"/>
              </w:rPr>
            </w:pPr>
            <w:r w:rsidRPr="00761AC4">
              <w:rPr>
                <w:rFonts w:ascii="Dubai" w:hAnsi="Dubai" w:cs="Dubai"/>
                <w:sz w:val="30"/>
                <w:szCs w:val="30"/>
                <w:rtl/>
                <w:lang w:val="en-US"/>
              </w:rPr>
              <w:t xml:space="preserve">الجمعية العالمية لتقييس الاتصالات </w:t>
            </w:r>
            <w:r w:rsidRPr="00761AC4">
              <w:rPr>
                <w:rFonts w:ascii="Dubai" w:hAnsi="Dubai" w:cs="Dubai"/>
                <w:sz w:val="30"/>
                <w:szCs w:val="30"/>
                <w:lang w:val="en-US"/>
              </w:rPr>
              <w:t>(WTSA-24)</w:t>
            </w:r>
          </w:p>
          <w:p w14:paraId="453E1856" w14:textId="77777777" w:rsidR="00314F41" w:rsidRPr="00761AC4" w:rsidRDefault="00314F41" w:rsidP="003309DA">
            <w:pPr>
              <w:pStyle w:val="TopHeader"/>
              <w:bidi/>
              <w:spacing w:before="0"/>
              <w:rPr>
                <w:rFonts w:ascii="Dubai" w:hAnsi="Dubai" w:cs="Dubai"/>
                <w:b w:val="0"/>
                <w:bCs w:val="0"/>
                <w:rtl/>
                <w:lang w:bidi="ar-EG"/>
              </w:rPr>
            </w:pPr>
            <w:r w:rsidRPr="00761AC4">
              <w:rPr>
                <w:rFonts w:ascii="Dubai" w:hAnsi="Dubai" w:cs="Dubai"/>
                <w:sz w:val="26"/>
                <w:szCs w:val="26"/>
                <w:rtl/>
                <w:lang w:val="en-US"/>
              </w:rPr>
              <w:t xml:space="preserve">نيودلهي، </w:t>
            </w:r>
            <w:r w:rsidRPr="00761AC4">
              <w:rPr>
                <w:rFonts w:ascii="Dubai" w:hAnsi="Dubai" w:cs="Dubai"/>
                <w:sz w:val="26"/>
                <w:szCs w:val="26"/>
                <w:lang w:val="en-US"/>
              </w:rPr>
              <w:t>24-15</w:t>
            </w:r>
            <w:r w:rsidRPr="00761AC4">
              <w:rPr>
                <w:rFonts w:ascii="Dubai" w:hAnsi="Dubai" w:cs="Dubai"/>
                <w:sz w:val="26"/>
                <w:szCs w:val="26"/>
                <w:rtl/>
                <w:lang w:val="en-US"/>
              </w:rPr>
              <w:t xml:space="preserve"> أكتوبر </w:t>
            </w:r>
            <w:r w:rsidRPr="00761AC4">
              <w:rPr>
                <w:rFonts w:ascii="Dubai" w:hAnsi="Dubai" w:cs="Dubai"/>
                <w:sz w:val="26"/>
                <w:szCs w:val="26"/>
                <w:lang w:val="en-US"/>
              </w:rPr>
              <w:t>2024</w:t>
            </w:r>
          </w:p>
        </w:tc>
        <w:tc>
          <w:tcPr>
            <w:tcW w:w="1254" w:type="dxa"/>
            <w:tcBorders>
              <w:left w:val="nil"/>
            </w:tcBorders>
          </w:tcPr>
          <w:p w14:paraId="7A388483" w14:textId="77777777" w:rsidR="00314F41" w:rsidRPr="00761AC4" w:rsidRDefault="00314F41" w:rsidP="009D0810">
            <w:pPr>
              <w:rPr>
                <w:rtl/>
                <w:lang w:bidi="ar-EG"/>
              </w:rPr>
            </w:pPr>
            <w:r w:rsidRPr="00761AC4">
              <w:rPr>
                <w:noProof/>
                <w:lang w:eastAsia="zh-CN"/>
              </w:rPr>
              <w:drawing>
                <wp:inline distT="0" distB="0" distL="0" distR="0" wp14:anchorId="289E36CA" wp14:editId="58A8A47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761AC4" w14:paraId="1A14A602" w14:textId="77777777" w:rsidTr="008077A5">
        <w:trPr>
          <w:cantSplit/>
          <w:trHeight w:val="20"/>
        </w:trPr>
        <w:tc>
          <w:tcPr>
            <w:tcW w:w="6456" w:type="dxa"/>
            <w:gridSpan w:val="2"/>
            <w:tcBorders>
              <w:bottom w:val="single" w:sz="12" w:space="0" w:color="auto"/>
            </w:tcBorders>
          </w:tcPr>
          <w:p w14:paraId="7AED30D6" w14:textId="77777777" w:rsidR="00280E04" w:rsidRPr="00761AC4" w:rsidRDefault="00280E04" w:rsidP="003309DA">
            <w:pPr>
              <w:spacing w:before="0" w:line="120" w:lineRule="auto"/>
              <w:rPr>
                <w:rtl/>
                <w:lang w:bidi="ar-EG"/>
              </w:rPr>
            </w:pPr>
          </w:p>
        </w:tc>
        <w:tc>
          <w:tcPr>
            <w:tcW w:w="3123" w:type="dxa"/>
            <w:gridSpan w:val="2"/>
            <w:tcBorders>
              <w:bottom w:val="single" w:sz="12" w:space="0" w:color="auto"/>
            </w:tcBorders>
          </w:tcPr>
          <w:p w14:paraId="787776C7" w14:textId="77777777" w:rsidR="00280E04" w:rsidRPr="00761AC4" w:rsidRDefault="00280E04" w:rsidP="003309DA">
            <w:pPr>
              <w:spacing w:before="0" w:line="120" w:lineRule="auto"/>
              <w:rPr>
                <w:lang w:bidi="ar-EG"/>
              </w:rPr>
            </w:pPr>
          </w:p>
        </w:tc>
      </w:tr>
      <w:tr w:rsidR="00280E04" w:rsidRPr="00761AC4" w14:paraId="0FAF7396" w14:textId="77777777" w:rsidTr="000B0891">
        <w:trPr>
          <w:cantSplit/>
          <w:trHeight w:val="240"/>
        </w:trPr>
        <w:tc>
          <w:tcPr>
            <w:tcW w:w="6456" w:type="dxa"/>
            <w:gridSpan w:val="2"/>
            <w:tcBorders>
              <w:top w:val="single" w:sz="12" w:space="0" w:color="auto"/>
            </w:tcBorders>
          </w:tcPr>
          <w:p w14:paraId="25315BFE" w14:textId="77777777" w:rsidR="00280E04" w:rsidRPr="00761AC4" w:rsidRDefault="00280E04" w:rsidP="000B0891">
            <w:pPr>
              <w:spacing w:before="0" w:line="240" w:lineRule="exact"/>
              <w:rPr>
                <w:rFonts w:eastAsia="SimSun"/>
                <w:b/>
                <w:bCs/>
                <w:rtl/>
              </w:rPr>
            </w:pPr>
          </w:p>
        </w:tc>
        <w:tc>
          <w:tcPr>
            <w:tcW w:w="3123" w:type="dxa"/>
            <w:gridSpan w:val="2"/>
            <w:tcBorders>
              <w:top w:val="single" w:sz="12" w:space="0" w:color="auto"/>
            </w:tcBorders>
          </w:tcPr>
          <w:p w14:paraId="71A2DAC4" w14:textId="77777777" w:rsidR="00280E04" w:rsidRPr="00761AC4" w:rsidRDefault="00280E04" w:rsidP="000B0891">
            <w:pPr>
              <w:spacing w:before="0" w:line="240" w:lineRule="exact"/>
              <w:rPr>
                <w:rFonts w:eastAsia="SimSun"/>
                <w:b/>
                <w:bCs/>
              </w:rPr>
            </w:pPr>
          </w:p>
        </w:tc>
      </w:tr>
      <w:tr w:rsidR="00AD538E" w:rsidRPr="00761AC4" w14:paraId="548E0BD2" w14:textId="77777777" w:rsidTr="008077A5">
        <w:trPr>
          <w:cantSplit/>
        </w:trPr>
        <w:tc>
          <w:tcPr>
            <w:tcW w:w="6456" w:type="dxa"/>
            <w:gridSpan w:val="2"/>
          </w:tcPr>
          <w:p w14:paraId="58F20800" w14:textId="77777777" w:rsidR="00AD538E" w:rsidRPr="00761AC4" w:rsidRDefault="00D21D8E" w:rsidP="003309DA">
            <w:pPr>
              <w:pStyle w:val="Committee"/>
              <w:framePr w:hSpace="0" w:wrap="auto" w:hAnchor="text" w:yAlign="inline"/>
              <w:bidi/>
              <w:rPr>
                <w:rtl/>
              </w:rPr>
            </w:pPr>
            <w:r w:rsidRPr="00761AC4">
              <w:rPr>
                <w:rtl/>
              </w:rPr>
              <w:t>الجلسة العامة</w:t>
            </w:r>
          </w:p>
        </w:tc>
        <w:tc>
          <w:tcPr>
            <w:tcW w:w="3123" w:type="dxa"/>
            <w:gridSpan w:val="2"/>
          </w:tcPr>
          <w:p w14:paraId="5829BEEA" w14:textId="79C4A432" w:rsidR="00AD538E" w:rsidRPr="00761AC4" w:rsidRDefault="00E25610" w:rsidP="003309DA">
            <w:pPr>
              <w:pStyle w:val="Docnumber"/>
              <w:bidi/>
            </w:pPr>
            <w:r w:rsidRPr="00761AC4">
              <w:rPr>
                <w:rtl/>
              </w:rPr>
              <w:t>الإضافة</w:t>
            </w:r>
            <w:r w:rsidR="00A4089D" w:rsidRPr="00761AC4">
              <w:rPr>
                <w:rtl/>
                <w:lang w:bidi="ar-EG"/>
              </w:rPr>
              <w:t xml:space="preserve"> </w:t>
            </w:r>
            <w:r w:rsidR="00D21D8E" w:rsidRPr="00761AC4">
              <w:t>20</w:t>
            </w:r>
            <w:r w:rsidR="00D21D8E" w:rsidRPr="00761AC4">
              <w:br/>
            </w:r>
            <w:r w:rsidRPr="00761AC4">
              <w:rPr>
                <w:rtl/>
              </w:rPr>
              <w:t>للوثيقة</w:t>
            </w:r>
            <w:r w:rsidR="00A4089D" w:rsidRPr="00761AC4">
              <w:rPr>
                <w:rtl/>
              </w:rPr>
              <w:t xml:space="preserve"> </w:t>
            </w:r>
            <w:r w:rsidR="00D21D8E" w:rsidRPr="00761AC4">
              <w:rPr>
                <w:rFonts w:eastAsia="SimSun"/>
              </w:rPr>
              <w:t>39-A</w:t>
            </w:r>
          </w:p>
        </w:tc>
      </w:tr>
      <w:tr w:rsidR="006175E7" w:rsidRPr="00761AC4" w14:paraId="334840D6" w14:textId="77777777" w:rsidTr="008077A5">
        <w:trPr>
          <w:cantSplit/>
        </w:trPr>
        <w:tc>
          <w:tcPr>
            <w:tcW w:w="6456" w:type="dxa"/>
            <w:gridSpan w:val="2"/>
          </w:tcPr>
          <w:p w14:paraId="686857F2" w14:textId="77777777" w:rsidR="006175E7" w:rsidRPr="00761AC4" w:rsidRDefault="006175E7" w:rsidP="009D0810">
            <w:pPr>
              <w:spacing w:before="0" w:line="240" w:lineRule="auto"/>
              <w:rPr>
                <w:b/>
                <w:bCs/>
                <w:rtl/>
              </w:rPr>
            </w:pPr>
          </w:p>
        </w:tc>
        <w:tc>
          <w:tcPr>
            <w:tcW w:w="3123" w:type="dxa"/>
            <w:gridSpan w:val="2"/>
          </w:tcPr>
          <w:p w14:paraId="0602C4E5" w14:textId="77777777" w:rsidR="006175E7" w:rsidRPr="00761AC4" w:rsidRDefault="00EC0AD3" w:rsidP="009D0810">
            <w:pPr>
              <w:pStyle w:val="TopHeader"/>
              <w:bidi/>
              <w:spacing w:before="0"/>
              <w:rPr>
                <w:rFonts w:ascii="Dubai" w:hAnsi="Dubai" w:cs="Dubai"/>
                <w:sz w:val="22"/>
                <w:szCs w:val="22"/>
                <w:rtl/>
              </w:rPr>
            </w:pPr>
            <w:r w:rsidRPr="00761AC4">
              <w:rPr>
                <w:rFonts w:ascii="Dubai" w:eastAsia="SimSun" w:hAnsi="Dubai" w:cs="Dubai"/>
                <w:sz w:val="22"/>
                <w:szCs w:val="22"/>
              </w:rPr>
              <w:t>13</w:t>
            </w:r>
            <w:r w:rsidRPr="00761AC4">
              <w:rPr>
                <w:rFonts w:ascii="Dubai" w:eastAsia="SimSun" w:hAnsi="Dubai" w:cs="Dubai"/>
                <w:sz w:val="22"/>
                <w:szCs w:val="22"/>
                <w:rtl/>
              </w:rPr>
              <w:t xml:space="preserve"> سبتمبر </w:t>
            </w:r>
            <w:r w:rsidRPr="00761AC4">
              <w:rPr>
                <w:rFonts w:ascii="Dubai" w:eastAsia="SimSun" w:hAnsi="Dubai" w:cs="Dubai"/>
                <w:sz w:val="22"/>
                <w:szCs w:val="22"/>
              </w:rPr>
              <w:t>2024</w:t>
            </w:r>
          </w:p>
        </w:tc>
      </w:tr>
      <w:tr w:rsidR="006175E7" w:rsidRPr="00761AC4" w14:paraId="634B1531" w14:textId="77777777" w:rsidTr="008077A5">
        <w:trPr>
          <w:cantSplit/>
        </w:trPr>
        <w:tc>
          <w:tcPr>
            <w:tcW w:w="6456" w:type="dxa"/>
            <w:gridSpan w:val="2"/>
          </w:tcPr>
          <w:p w14:paraId="75EC1BB2" w14:textId="77777777" w:rsidR="006175E7" w:rsidRPr="00761AC4" w:rsidRDefault="006175E7" w:rsidP="009D0810">
            <w:pPr>
              <w:spacing w:before="0" w:line="240" w:lineRule="auto"/>
              <w:rPr>
                <w:b/>
                <w:bCs/>
                <w:rtl/>
              </w:rPr>
            </w:pPr>
          </w:p>
        </w:tc>
        <w:tc>
          <w:tcPr>
            <w:tcW w:w="3123" w:type="dxa"/>
            <w:gridSpan w:val="2"/>
          </w:tcPr>
          <w:p w14:paraId="7DEF6037" w14:textId="77777777" w:rsidR="006175E7" w:rsidRPr="00761AC4" w:rsidRDefault="00EC0AD3" w:rsidP="009D0810">
            <w:pPr>
              <w:pStyle w:val="TopHeader"/>
              <w:bidi/>
              <w:spacing w:before="0"/>
              <w:rPr>
                <w:rFonts w:ascii="Dubai" w:eastAsia="SimSun" w:hAnsi="Dubai" w:cs="Dubai"/>
                <w:sz w:val="22"/>
                <w:szCs w:val="22"/>
              </w:rPr>
            </w:pPr>
            <w:r w:rsidRPr="00761AC4">
              <w:rPr>
                <w:rFonts w:ascii="Dubai" w:hAnsi="Dubai" w:cs="Dubai"/>
                <w:sz w:val="22"/>
                <w:szCs w:val="22"/>
                <w:rtl/>
              </w:rPr>
              <w:t>الأصل: بالإنكليزية</w:t>
            </w:r>
          </w:p>
        </w:tc>
      </w:tr>
      <w:tr w:rsidR="006175E7" w:rsidRPr="00761AC4" w14:paraId="002A2FC6" w14:textId="77777777" w:rsidTr="008077A5">
        <w:trPr>
          <w:cantSplit/>
        </w:trPr>
        <w:tc>
          <w:tcPr>
            <w:tcW w:w="9579" w:type="dxa"/>
            <w:gridSpan w:val="4"/>
          </w:tcPr>
          <w:p w14:paraId="5278D257" w14:textId="77777777" w:rsidR="006175E7" w:rsidRPr="00761AC4" w:rsidRDefault="006175E7" w:rsidP="000B0891">
            <w:pPr>
              <w:spacing w:before="0" w:line="240" w:lineRule="exact"/>
              <w:rPr>
                <w:rFonts w:eastAsia="SimSun"/>
                <w:b/>
                <w:bCs/>
              </w:rPr>
            </w:pPr>
          </w:p>
        </w:tc>
      </w:tr>
      <w:tr w:rsidR="006175E7" w:rsidRPr="00761AC4" w14:paraId="171437FF" w14:textId="77777777" w:rsidTr="008077A5">
        <w:trPr>
          <w:cantSplit/>
        </w:trPr>
        <w:tc>
          <w:tcPr>
            <w:tcW w:w="9579" w:type="dxa"/>
            <w:gridSpan w:val="4"/>
          </w:tcPr>
          <w:p w14:paraId="6D775C13" w14:textId="77777777" w:rsidR="006175E7" w:rsidRPr="00761AC4" w:rsidRDefault="00D21D8E" w:rsidP="006175E7">
            <w:pPr>
              <w:pStyle w:val="Source"/>
              <w:rPr>
                <w:rtl/>
              </w:rPr>
            </w:pPr>
            <w:bookmarkStart w:id="0" w:name="_Hlk177589025"/>
            <w:r w:rsidRPr="00761AC4">
              <w:rPr>
                <w:rtl/>
              </w:rPr>
              <w:t>الدول الأعضاء في لجنة البلدان الأمريكية للاتصالات (CITEL)</w:t>
            </w:r>
            <w:bookmarkEnd w:id="0"/>
          </w:p>
        </w:tc>
      </w:tr>
      <w:tr w:rsidR="006175E7" w:rsidRPr="00761AC4" w14:paraId="21EE4261" w14:textId="77777777" w:rsidTr="008077A5">
        <w:trPr>
          <w:cantSplit/>
        </w:trPr>
        <w:tc>
          <w:tcPr>
            <w:tcW w:w="9579" w:type="dxa"/>
            <w:gridSpan w:val="4"/>
          </w:tcPr>
          <w:p w14:paraId="7DB4F37F" w14:textId="6A0E7F38" w:rsidR="006175E7" w:rsidRPr="00761AC4" w:rsidRDefault="00ED00C8" w:rsidP="006175E7">
            <w:pPr>
              <w:pStyle w:val="Title1"/>
              <w:spacing w:before="240"/>
              <w:rPr>
                <w:rtl/>
              </w:rPr>
            </w:pPr>
            <w:r w:rsidRPr="00761AC4">
              <w:rPr>
                <w:rtl/>
              </w:rPr>
              <w:t xml:space="preserve">تعديلات يُقترح إدخالها على القـرار </w:t>
            </w:r>
            <w:r w:rsidRPr="00761AC4">
              <w:t>2</w:t>
            </w:r>
          </w:p>
        </w:tc>
      </w:tr>
      <w:tr w:rsidR="006175E7" w:rsidRPr="00761AC4" w14:paraId="49DD43D7" w14:textId="77777777" w:rsidTr="008077A5">
        <w:trPr>
          <w:cantSplit/>
          <w:trHeight w:hRule="exact" w:val="240"/>
        </w:trPr>
        <w:tc>
          <w:tcPr>
            <w:tcW w:w="9579" w:type="dxa"/>
            <w:gridSpan w:val="4"/>
          </w:tcPr>
          <w:p w14:paraId="4C7544CD" w14:textId="77777777" w:rsidR="006175E7" w:rsidRPr="00761AC4" w:rsidRDefault="006175E7" w:rsidP="006175E7">
            <w:pPr>
              <w:pStyle w:val="Title2"/>
              <w:spacing w:before="240"/>
            </w:pPr>
          </w:p>
        </w:tc>
      </w:tr>
      <w:tr w:rsidR="006175E7" w:rsidRPr="00761AC4" w14:paraId="00162B4C" w14:textId="77777777" w:rsidTr="008077A5">
        <w:trPr>
          <w:cantSplit/>
          <w:trHeight w:hRule="exact" w:val="240"/>
        </w:trPr>
        <w:tc>
          <w:tcPr>
            <w:tcW w:w="9579" w:type="dxa"/>
            <w:gridSpan w:val="4"/>
          </w:tcPr>
          <w:p w14:paraId="48806100" w14:textId="77777777" w:rsidR="006175E7" w:rsidRPr="00761AC4" w:rsidRDefault="006175E7" w:rsidP="006175E7">
            <w:pPr>
              <w:pStyle w:val="Agendaitem"/>
              <w:spacing w:before="0" w:after="0"/>
              <w:rPr>
                <w:rtl/>
              </w:rPr>
            </w:pPr>
          </w:p>
        </w:tc>
      </w:tr>
    </w:tbl>
    <w:p w14:paraId="6D87C478" w14:textId="77777777" w:rsidR="00FC7FD8" w:rsidRPr="00761AC4"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761AC4" w14:paraId="1784092B" w14:textId="77777777" w:rsidTr="008077A5">
        <w:tc>
          <w:tcPr>
            <w:tcW w:w="1355" w:type="dxa"/>
            <w:shd w:val="clear" w:color="auto" w:fill="FFFFFF"/>
          </w:tcPr>
          <w:p w14:paraId="0C8922D7" w14:textId="77777777" w:rsidR="00314F41" w:rsidRPr="00761AC4" w:rsidRDefault="00314F41" w:rsidP="00A74524">
            <w:pPr>
              <w:rPr>
                <w:rFonts w:eastAsia="SimSun"/>
                <w:b/>
                <w:bCs/>
                <w:position w:val="2"/>
                <w:rtl/>
                <w:lang w:val="fr-FR" w:eastAsia="zh-CN" w:bidi="ar-EG"/>
              </w:rPr>
            </w:pPr>
            <w:r w:rsidRPr="00761AC4">
              <w:rPr>
                <w:b/>
                <w:bCs/>
                <w:rtl/>
              </w:rPr>
              <w:t>ملخص:</w:t>
            </w:r>
          </w:p>
        </w:tc>
        <w:tc>
          <w:tcPr>
            <w:tcW w:w="8284" w:type="dxa"/>
            <w:gridSpan w:val="2"/>
            <w:shd w:val="clear" w:color="auto" w:fill="FFFFFF"/>
          </w:tcPr>
          <w:p w14:paraId="040A3AF2" w14:textId="1921FFFC" w:rsidR="00E25610" w:rsidRPr="00761AC4" w:rsidRDefault="00775B5F" w:rsidP="00A74524">
            <w:pPr>
              <w:pStyle w:val="Abstract"/>
              <w:bidi/>
              <w:rPr>
                <w:rFonts w:eastAsia="SimSun"/>
                <w:position w:val="2"/>
                <w:rtl/>
                <w:lang w:val="fr-FR" w:eastAsia="zh-CN" w:bidi="ar-EG"/>
              </w:rPr>
            </w:pPr>
            <w:r w:rsidRPr="00761AC4">
              <w:rPr>
                <w:rtl/>
                <w:lang w:val="en-GB"/>
              </w:rPr>
              <w:t>تؤكد الدول الأعضاء في لجنة البلدان الأمريكية للاتصالات (</w:t>
            </w:r>
            <w:r w:rsidRPr="00761AC4">
              <w:rPr>
                <w:lang w:val="en-GB"/>
              </w:rPr>
              <w:t>CITEL</w:t>
            </w:r>
            <w:r w:rsidRPr="00761AC4">
              <w:rPr>
                <w:rtl/>
                <w:lang w:val="en-GB"/>
              </w:rPr>
              <w:t xml:space="preserve">) على </w:t>
            </w:r>
            <w:r w:rsidRPr="00761AC4">
              <w:rPr>
                <w:rtl/>
                <w:lang w:bidi="ar-AE"/>
              </w:rPr>
              <w:t>ضرورة</w:t>
            </w:r>
            <w:r w:rsidRPr="00761AC4">
              <w:rPr>
                <w:rtl/>
                <w:lang w:val="en-GB"/>
              </w:rPr>
              <w:t xml:space="preserve"> إعادة هيكلة لجان دراسات قطاع تقييس الاتصالات لمعالجة تجزئة العمل بين لجان الدراسات المتعددة. ويتضمن ال</w:t>
            </w:r>
            <w:r w:rsidR="00856528" w:rsidRPr="00761AC4">
              <w:rPr>
                <w:rtl/>
                <w:lang w:val="en-GB"/>
              </w:rPr>
              <w:t>م</w:t>
            </w:r>
            <w:r w:rsidRPr="00761AC4">
              <w:rPr>
                <w:rtl/>
                <w:lang w:val="en-GB"/>
              </w:rPr>
              <w:t>قترح تخفيض عدد لجان الدراسات ل</w:t>
            </w:r>
            <w:r w:rsidR="009F0D64" w:rsidRPr="00761AC4">
              <w:rPr>
                <w:rtl/>
                <w:lang w:val="en-GB"/>
              </w:rPr>
              <w:t>ت</w:t>
            </w:r>
            <w:r w:rsidR="00E05A0D" w:rsidRPr="00761AC4">
              <w:rPr>
                <w:rtl/>
                <w:lang w:val="en-GB"/>
              </w:rPr>
              <w:t>عزيز</w:t>
            </w:r>
            <w:r w:rsidRPr="00761AC4">
              <w:rPr>
                <w:rtl/>
                <w:lang w:val="en-GB"/>
              </w:rPr>
              <w:t xml:space="preserve"> المشاركة الكبيرة. وتهدف إعادة الهيكلة إلى </w:t>
            </w:r>
            <w:r w:rsidR="009F0D64" w:rsidRPr="00761AC4">
              <w:rPr>
                <w:rtl/>
                <w:lang w:val="en-GB"/>
              </w:rPr>
              <w:t>دمج</w:t>
            </w:r>
            <w:r w:rsidRPr="00761AC4">
              <w:rPr>
                <w:rtl/>
                <w:lang w:val="en-GB"/>
              </w:rPr>
              <w:t xml:space="preserve"> الأعمال ذات المواضيع/الطبيعة المماثلة من لجان الدراسات المختلفة في </w:t>
            </w:r>
            <w:r w:rsidR="009F0D64" w:rsidRPr="00761AC4">
              <w:rPr>
                <w:rtl/>
                <w:lang w:val="en-GB"/>
              </w:rPr>
              <w:t>لجان</w:t>
            </w:r>
            <w:r w:rsidRPr="00761AC4">
              <w:rPr>
                <w:rtl/>
                <w:lang w:val="en-GB"/>
              </w:rPr>
              <w:t xml:space="preserve"> تتمتع بالخبرة اللازمة والخلفية ذات الصلة، وبالتالي التقليل إلى أدنى حد ازدواجية أعمال التقييس بين لجان دراسات قطاع تقييس الاتصالات وضمان الاتساق في المصطلحات </w:t>
            </w:r>
            <w:r w:rsidR="009F0D64" w:rsidRPr="00761AC4">
              <w:rPr>
                <w:rtl/>
                <w:lang w:val="en-GB"/>
              </w:rPr>
              <w:t>في</w:t>
            </w:r>
            <w:r w:rsidRPr="00761AC4">
              <w:rPr>
                <w:rtl/>
                <w:lang w:val="en-GB"/>
              </w:rPr>
              <w:t xml:space="preserve"> </w:t>
            </w:r>
            <w:r w:rsidR="009F0D64" w:rsidRPr="00761AC4">
              <w:rPr>
                <w:rtl/>
                <w:lang w:val="en-GB"/>
              </w:rPr>
              <w:t>ال</w:t>
            </w:r>
            <w:r w:rsidRPr="00761AC4">
              <w:rPr>
                <w:rtl/>
                <w:lang w:val="en-GB"/>
              </w:rPr>
              <w:t>ولايات</w:t>
            </w:r>
            <w:r w:rsidR="009F0D64" w:rsidRPr="00761AC4">
              <w:rPr>
                <w:rtl/>
                <w:lang w:val="en-GB"/>
              </w:rPr>
              <w:t xml:space="preserve"> المُناطة</w:t>
            </w:r>
            <w:r w:rsidRPr="00761AC4">
              <w:rPr>
                <w:rtl/>
                <w:lang w:val="en-GB"/>
              </w:rPr>
              <w:t xml:space="preserve"> </w:t>
            </w:r>
            <w:r w:rsidR="009F0D64" w:rsidRPr="00761AC4">
              <w:rPr>
                <w:rtl/>
                <w:lang w:val="en-GB"/>
              </w:rPr>
              <w:t>ب</w:t>
            </w:r>
            <w:r w:rsidRPr="00761AC4">
              <w:rPr>
                <w:rtl/>
                <w:lang w:val="en-GB"/>
              </w:rPr>
              <w:t xml:space="preserve">لجان الدراسات. </w:t>
            </w:r>
            <w:r w:rsidR="009F0D64" w:rsidRPr="00761AC4">
              <w:rPr>
                <w:rtl/>
                <w:lang w:val="en-GB"/>
              </w:rPr>
              <w:t>و</w:t>
            </w:r>
            <w:r w:rsidRPr="00761AC4">
              <w:rPr>
                <w:rtl/>
                <w:lang w:val="en-GB"/>
              </w:rPr>
              <w:t xml:space="preserve">بالإضافة إلى ذلك، يوفر هذا الدمج الاستراتيجي حلاً فعالاً من حيث التكلفة يزيد تخصيص الموارد </w:t>
            </w:r>
            <w:r w:rsidR="00E05A0D" w:rsidRPr="00761AC4">
              <w:rPr>
                <w:rtl/>
                <w:lang w:val="en-GB"/>
              </w:rPr>
              <w:t>ويرسخ</w:t>
            </w:r>
            <w:r w:rsidRPr="00761AC4">
              <w:rPr>
                <w:rtl/>
                <w:lang w:val="en-GB"/>
              </w:rPr>
              <w:t xml:space="preserve"> الكفاءة العامة.</w:t>
            </w:r>
          </w:p>
        </w:tc>
      </w:tr>
      <w:tr w:rsidR="00314F41" w:rsidRPr="00761AC4" w14:paraId="1D84AF4F" w14:textId="77777777" w:rsidTr="008077A5">
        <w:tc>
          <w:tcPr>
            <w:tcW w:w="1355" w:type="dxa"/>
            <w:shd w:val="clear" w:color="auto" w:fill="FFFFFF"/>
            <w:hideMark/>
          </w:tcPr>
          <w:p w14:paraId="3F607363" w14:textId="77777777" w:rsidR="00314F41" w:rsidRPr="00761AC4" w:rsidRDefault="00314F41" w:rsidP="00A74524">
            <w:pPr>
              <w:rPr>
                <w:rFonts w:eastAsia="SimSun"/>
                <w:b/>
                <w:bCs/>
                <w:position w:val="2"/>
                <w:lang w:val="en-GB" w:eastAsia="zh-CN"/>
              </w:rPr>
            </w:pPr>
            <w:r w:rsidRPr="00761AC4">
              <w:rPr>
                <w:rFonts w:eastAsia="SimSun"/>
                <w:b/>
                <w:bCs/>
                <w:position w:val="2"/>
                <w:rtl/>
                <w:lang w:val="fr-FR" w:eastAsia="zh-CN" w:bidi="ar-EG"/>
              </w:rPr>
              <w:t>للاتصال:</w:t>
            </w:r>
          </w:p>
        </w:tc>
        <w:tc>
          <w:tcPr>
            <w:tcW w:w="4034" w:type="dxa"/>
            <w:shd w:val="clear" w:color="auto" w:fill="FFFFFF"/>
          </w:tcPr>
          <w:p w14:paraId="723782B7" w14:textId="7BA22CA2" w:rsidR="00314F41" w:rsidRPr="00761AC4" w:rsidRDefault="009F0D64" w:rsidP="00A74524">
            <w:pPr>
              <w:jc w:val="left"/>
              <w:rPr>
                <w:rFonts w:eastAsia="SimSun"/>
                <w:position w:val="2"/>
                <w:lang w:val="en-GB" w:eastAsia="zh-CN"/>
              </w:rPr>
            </w:pPr>
            <w:r w:rsidRPr="00761AC4">
              <w:t>Maria Celeste Fuenmayor</w:t>
            </w:r>
            <w:r w:rsidR="00314F41" w:rsidRPr="00761AC4">
              <w:br/>
            </w:r>
            <w:r w:rsidRPr="00761AC4">
              <w:rPr>
                <w:rtl/>
              </w:rPr>
              <w:t>الدول الأعضاء في لجنة البلدان الأمريكية للاتصالات</w:t>
            </w:r>
          </w:p>
        </w:tc>
        <w:tc>
          <w:tcPr>
            <w:tcW w:w="4250" w:type="dxa"/>
            <w:shd w:val="clear" w:color="auto" w:fill="FFFFFF"/>
          </w:tcPr>
          <w:p w14:paraId="569E99F2" w14:textId="545A1AC8" w:rsidR="00314F41" w:rsidRPr="00761AC4" w:rsidRDefault="00314F41" w:rsidP="00A74524">
            <w:pPr>
              <w:rPr>
                <w:rFonts w:eastAsia="SimSun"/>
                <w:position w:val="2"/>
                <w:lang w:eastAsia="zh-CN"/>
              </w:rPr>
            </w:pPr>
            <w:r w:rsidRPr="00761AC4">
              <w:rPr>
                <w:rFonts w:eastAsia="SimSun"/>
                <w:position w:val="2"/>
                <w:rtl/>
                <w:lang w:val="fr-FR" w:eastAsia="zh-CN" w:bidi="ar-EG"/>
              </w:rPr>
              <w:t xml:space="preserve">البريد الإلكتروني: </w:t>
            </w:r>
            <w:hyperlink r:id="rId14" w:tgtFrame="_blank" w:history="1">
              <w:r w:rsidR="006605D4" w:rsidRPr="00761AC4">
                <w:rPr>
                  <w:rStyle w:val="Hyperlink"/>
                  <w:lang w:val="fr-CH"/>
                </w:rPr>
                <w:t>mfuenmayor@oas.org</w:t>
              </w:r>
            </w:hyperlink>
          </w:p>
        </w:tc>
      </w:tr>
    </w:tbl>
    <w:p w14:paraId="06462DBD" w14:textId="7AF1FCE0" w:rsidR="00314F41" w:rsidRPr="00761AC4" w:rsidRDefault="009F0D64" w:rsidP="006605D4">
      <w:pPr>
        <w:pStyle w:val="Headingb"/>
      </w:pPr>
      <w:r w:rsidRPr="00761AC4">
        <w:rPr>
          <w:rtl/>
        </w:rPr>
        <w:t>مقدمة</w:t>
      </w:r>
    </w:p>
    <w:p w14:paraId="0516FE15" w14:textId="2AC4C565" w:rsidR="00223973" w:rsidRPr="00761AC4" w:rsidRDefault="00223973" w:rsidP="00AA1A24">
      <w:pPr>
        <w:rPr>
          <w:rtl/>
          <w:lang w:bidi="ar-EG"/>
        </w:rPr>
      </w:pPr>
      <w:r w:rsidRPr="00761AC4">
        <w:rPr>
          <w:rtl/>
          <w:lang w:bidi="ar-EG"/>
        </w:rPr>
        <w:t>من خلال تحليل الهيكل الحالي لقطاع تقييس الاتصالات، ومسائل الدراسات</w:t>
      </w:r>
      <w:r w:rsidR="000B41BC" w:rsidRPr="00761AC4">
        <w:rPr>
          <w:rtl/>
          <w:lang w:bidi="ar-EG"/>
        </w:rPr>
        <w:t>،</w:t>
      </w:r>
      <w:r w:rsidRPr="00761AC4">
        <w:rPr>
          <w:rtl/>
          <w:lang w:bidi="ar-EG"/>
        </w:rPr>
        <w:t xml:space="preserve"> وعدد المشاركين والإحصاءات </w:t>
      </w:r>
      <w:r w:rsidR="000B41BC" w:rsidRPr="00761AC4">
        <w:rPr>
          <w:rtl/>
          <w:lang w:bidi="ar-EG"/>
        </w:rPr>
        <w:t>ذات الصلة</w:t>
      </w:r>
      <w:r w:rsidRPr="00761AC4">
        <w:rPr>
          <w:rtl/>
          <w:lang w:bidi="ar-EG"/>
        </w:rPr>
        <w:t>، من الواضح وجود تداخلات</w:t>
      </w:r>
      <w:r w:rsidR="000B41BC" w:rsidRPr="00761AC4">
        <w:rPr>
          <w:rtl/>
          <w:lang w:bidi="ar-EG"/>
        </w:rPr>
        <w:t xml:space="preserve"> كثيرة</w:t>
      </w:r>
      <w:r w:rsidRPr="00761AC4">
        <w:rPr>
          <w:rtl/>
          <w:lang w:bidi="ar-EG"/>
        </w:rPr>
        <w:t xml:space="preserve"> في مجالات العمل بين لجان الدراسات المختلفة. وتعاني هذه التداخلات من المشكلات التالية:</w:t>
      </w:r>
    </w:p>
    <w:p w14:paraId="5E1E1151" w14:textId="3FCFAA64" w:rsidR="00223973" w:rsidRPr="00761AC4" w:rsidRDefault="00223973" w:rsidP="00223973">
      <w:pPr>
        <w:rPr>
          <w:rtl/>
          <w:lang w:bidi="ar-EG"/>
        </w:rPr>
      </w:pPr>
      <w:r w:rsidRPr="00761AC4">
        <w:rPr>
          <w:rtl/>
          <w:lang w:bidi="ar-EG"/>
        </w:rPr>
        <w:t xml:space="preserve">غالبًا ما يُطلب من خبراء الموضوع في مجال معين مثل الأمن أو الوسائط المتعددة حضور </w:t>
      </w:r>
      <w:r w:rsidR="00BB3EA3" w:rsidRPr="00761AC4">
        <w:rPr>
          <w:rtl/>
          <w:lang w:bidi="ar-EG"/>
        </w:rPr>
        <w:t>لجان</w:t>
      </w:r>
      <w:r w:rsidRPr="00761AC4">
        <w:rPr>
          <w:rtl/>
          <w:lang w:bidi="ar-EG"/>
        </w:rPr>
        <w:t xml:space="preserve"> </w:t>
      </w:r>
      <w:r w:rsidR="00BB3EA3" w:rsidRPr="00761AC4">
        <w:rPr>
          <w:rtl/>
          <w:lang w:bidi="ar-EG"/>
        </w:rPr>
        <w:t xml:space="preserve">دراسات </w:t>
      </w:r>
      <w:r w:rsidRPr="00761AC4">
        <w:rPr>
          <w:rtl/>
          <w:lang w:bidi="ar-EG"/>
        </w:rPr>
        <w:t>مختلفة، مما يؤدي إلى عدم الكفاءة وإهدار الوقت لهؤلاء الأفراد.</w:t>
      </w:r>
    </w:p>
    <w:p w14:paraId="428B3847" w14:textId="7FF73070" w:rsidR="00223973" w:rsidRPr="00761AC4" w:rsidRDefault="00223973" w:rsidP="00223973">
      <w:pPr>
        <w:rPr>
          <w:rtl/>
          <w:lang w:bidi="ar-EG"/>
        </w:rPr>
      </w:pPr>
      <w:r w:rsidRPr="00761AC4">
        <w:rPr>
          <w:rtl/>
          <w:lang w:bidi="ar-EG"/>
        </w:rPr>
        <w:t>سيؤدي عدد الاتصالات بين لجان الدراسات حول موضوعات مماثلة إلى تأخير غير ضروري في تقدم العمل</w:t>
      </w:r>
      <w:r w:rsidR="000B41BC" w:rsidRPr="00761AC4">
        <w:rPr>
          <w:rtl/>
          <w:lang w:bidi="ar-EG"/>
        </w:rPr>
        <w:t xml:space="preserve"> المحرَز</w:t>
      </w:r>
      <w:r w:rsidRPr="00761AC4">
        <w:rPr>
          <w:rtl/>
          <w:lang w:bidi="ar-EG"/>
        </w:rPr>
        <w:t>.</w:t>
      </w:r>
    </w:p>
    <w:p w14:paraId="73BB931E" w14:textId="7598AD36" w:rsidR="006605D4" w:rsidRPr="00761AC4" w:rsidRDefault="00223973" w:rsidP="00223973">
      <w:pPr>
        <w:rPr>
          <w:rtl/>
          <w:lang w:bidi="ar-EG"/>
        </w:rPr>
      </w:pPr>
      <w:r w:rsidRPr="00761AC4">
        <w:rPr>
          <w:rtl/>
          <w:lang w:bidi="ar-EG"/>
        </w:rPr>
        <w:t xml:space="preserve">النفقات الإدارية المرتبطة بعقد اجتماعات مع عدد قليل من </w:t>
      </w:r>
      <w:r w:rsidR="00BB3EA3" w:rsidRPr="00761AC4">
        <w:rPr>
          <w:rtl/>
          <w:lang w:bidi="ar-EG"/>
        </w:rPr>
        <w:t>بنود</w:t>
      </w:r>
      <w:r w:rsidRPr="00761AC4">
        <w:rPr>
          <w:rtl/>
          <w:lang w:bidi="ar-EG"/>
        </w:rPr>
        <w:t xml:space="preserve"> العمل والمشاركين.</w:t>
      </w:r>
    </w:p>
    <w:p w14:paraId="102D23F5" w14:textId="435CF02E" w:rsidR="006605D4" w:rsidRPr="00761AC4" w:rsidRDefault="00BB3EA3" w:rsidP="00BC1C9A">
      <w:pPr>
        <w:rPr>
          <w:lang w:bidi="ar-EG"/>
        </w:rPr>
      </w:pPr>
      <w:r w:rsidRPr="00761AC4">
        <w:rPr>
          <w:rtl/>
          <w:lang w:bidi="ar-EG"/>
        </w:rPr>
        <w:t xml:space="preserve">وبالإضافة إلى ذلك، يجب أن تملك لجان الدراسات </w:t>
      </w:r>
      <w:r w:rsidR="000B41BC" w:rsidRPr="00761AC4">
        <w:rPr>
          <w:rtl/>
          <w:lang w:bidi="ar-EG"/>
        </w:rPr>
        <w:t>اختصاصات</w:t>
      </w:r>
      <w:r w:rsidRPr="00761AC4">
        <w:rPr>
          <w:rtl/>
          <w:lang w:bidi="ar-EG"/>
        </w:rPr>
        <w:t xml:space="preserve"> محددة وغرضاً محدداً بدقة. ويصبح هذا أمرا</w:t>
      </w:r>
      <w:r w:rsidR="00AA1A24">
        <w:rPr>
          <w:rFonts w:hint="cs"/>
          <w:rtl/>
          <w:lang w:bidi="ar-EG"/>
        </w:rPr>
        <w:t>ً</w:t>
      </w:r>
      <w:r w:rsidRPr="00761AC4">
        <w:rPr>
          <w:rtl/>
          <w:lang w:bidi="ar-EG"/>
        </w:rPr>
        <w:t xml:space="preserve"> بالغ الأهمية، ولا سيما أن قطاع تقييس الاتصالات يسعى جاهداً إلى معالجة مشهد التقييس العالمي السريع التطور. وفي هذه البيئة الدينامية التي تتميز بالطلبات الملحة لشبكات المستقبل، والذكاء الاصطناعي، وال</w:t>
      </w:r>
      <w:r w:rsidR="00BC1C9A" w:rsidRPr="00761AC4">
        <w:rPr>
          <w:rtl/>
          <w:lang w:bidi="ar-EG"/>
        </w:rPr>
        <w:t>ميتافيرس</w:t>
      </w:r>
      <w:r w:rsidRPr="00761AC4">
        <w:rPr>
          <w:rtl/>
          <w:lang w:bidi="ar-EG"/>
        </w:rPr>
        <w:t>، والأمن، وجود حدود محددة جيدا</w:t>
      </w:r>
      <w:r w:rsidR="00AA1A24">
        <w:rPr>
          <w:rFonts w:hint="cs"/>
          <w:rtl/>
          <w:lang w:bidi="ar-EG"/>
        </w:rPr>
        <w:t>ً</w:t>
      </w:r>
      <w:r w:rsidRPr="00761AC4">
        <w:rPr>
          <w:rtl/>
          <w:lang w:bidi="ar-EG"/>
        </w:rPr>
        <w:t xml:space="preserve"> لكل </w:t>
      </w:r>
      <w:r w:rsidR="00BC1C9A" w:rsidRPr="00761AC4">
        <w:rPr>
          <w:rtl/>
          <w:lang w:bidi="ar-EG"/>
        </w:rPr>
        <w:t>لجنة</w:t>
      </w:r>
      <w:r w:rsidRPr="00761AC4">
        <w:rPr>
          <w:rtl/>
          <w:lang w:bidi="ar-EG"/>
        </w:rPr>
        <w:t xml:space="preserve"> دراس</w:t>
      </w:r>
      <w:r w:rsidR="00BC1C9A" w:rsidRPr="00761AC4">
        <w:rPr>
          <w:rtl/>
          <w:lang w:bidi="ar-EG"/>
        </w:rPr>
        <w:t>ات هو</w:t>
      </w:r>
      <w:r w:rsidRPr="00761AC4">
        <w:rPr>
          <w:rtl/>
          <w:lang w:bidi="ar-EG"/>
        </w:rPr>
        <w:t xml:space="preserve"> أمر ضروري لتسريع </w:t>
      </w:r>
      <w:r w:rsidR="00BC1C9A" w:rsidRPr="00761AC4">
        <w:rPr>
          <w:rtl/>
          <w:lang w:bidi="ar-EG"/>
        </w:rPr>
        <w:t xml:space="preserve">إحراز </w:t>
      </w:r>
      <w:r w:rsidRPr="00761AC4">
        <w:rPr>
          <w:rtl/>
          <w:lang w:bidi="ar-EG"/>
        </w:rPr>
        <w:t>التقدم وتلبية المتطلبات العاجلة لهذه المجالات الحيوية</w:t>
      </w:r>
      <w:r w:rsidR="00BC1C9A" w:rsidRPr="00761AC4">
        <w:rPr>
          <w:rtl/>
          <w:lang w:bidi="ar-EG"/>
        </w:rPr>
        <w:t>.</w:t>
      </w:r>
    </w:p>
    <w:p w14:paraId="7538BBCD" w14:textId="609D28A1" w:rsidR="006605D4" w:rsidRPr="00761AC4" w:rsidRDefault="00BC1C9A" w:rsidP="00523D37">
      <w:pPr>
        <w:rPr>
          <w:lang w:bidi="ar-EG"/>
        </w:rPr>
      </w:pPr>
      <w:r w:rsidRPr="00761AC4">
        <w:rPr>
          <w:rtl/>
          <w:lang w:bidi="ar-EG"/>
        </w:rPr>
        <w:t>ولمعالجة هذه القضايا، تُستخدم المبادئ الاستراتيجية الرئيسية التالية لإرشاد عملية إعادة هيكلة لجنة الدراسات</w:t>
      </w:r>
      <w:r w:rsidR="006605D4" w:rsidRPr="00761AC4">
        <w:rPr>
          <w:rtl/>
          <w:lang w:bidi="ar-EG"/>
        </w:rPr>
        <w:t>:</w:t>
      </w:r>
    </w:p>
    <w:p w14:paraId="6637BD82" w14:textId="1599E868" w:rsidR="006605D4" w:rsidRPr="00761AC4" w:rsidRDefault="00933FE7" w:rsidP="00933FE7">
      <w:pPr>
        <w:pStyle w:val="enumlev1"/>
        <w:rPr>
          <w:rtl/>
          <w:lang w:bidi="ar-EG"/>
        </w:rPr>
      </w:pPr>
      <w:r w:rsidRPr="00761AC4">
        <w:rPr>
          <w:lang w:bidi="ar-EG"/>
        </w:rPr>
        <w:t>1</w:t>
      </w:r>
      <w:r w:rsidRPr="00761AC4">
        <w:rPr>
          <w:lang w:bidi="ar-EG"/>
        </w:rPr>
        <w:tab/>
      </w:r>
      <w:r w:rsidR="00BC1C9A" w:rsidRPr="00761AC4">
        <w:rPr>
          <w:rtl/>
          <w:lang w:bidi="ar-EG"/>
        </w:rPr>
        <w:t>تحسين هيكل لجنة الدراسات</w:t>
      </w:r>
    </w:p>
    <w:p w14:paraId="5D1B61BA" w14:textId="1960F564" w:rsidR="00933FE7" w:rsidRPr="00761AC4" w:rsidRDefault="00933FE7" w:rsidP="00933FE7">
      <w:pPr>
        <w:pStyle w:val="enumlev2"/>
        <w:rPr>
          <w:rtl/>
          <w:lang w:bidi="ar-EG"/>
        </w:rPr>
      </w:pPr>
      <w:r w:rsidRPr="00761AC4">
        <w:rPr>
          <w:rtl/>
          <w:lang w:bidi="ar-EG"/>
        </w:rPr>
        <w:lastRenderedPageBreak/>
        <w:t xml:space="preserve"> أ )</w:t>
      </w:r>
      <w:r w:rsidRPr="00761AC4">
        <w:rPr>
          <w:rtl/>
          <w:lang w:bidi="ar-EG"/>
        </w:rPr>
        <w:tab/>
      </w:r>
      <w:r w:rsidR="00BC1C9A" w:rsidRPr="00761AC4">
        <w:rPr>
          <w:rtl/>
          <w:lang w:bidi="ar-EG"/>
        </w:rPr>
        <w:t>تقليل عدد لجان الدراسات غير الضرورية</w:t>
      </w:r>
    </w:p>
    <w:p w14:paraId="35AC19E8" w14:textId="1C0ECA5C" w:rsidR="00933FE7" w:rsidRPr="00761AC4" w:rsidRDefault="00933FE7" w:rsidP="00933FE7">
      <w:pPr>
        <w:pStyle w:val="enumlev2"/>
        <w:rPr>
          <w:rtl/>
          <w:lang w:bidi="ar-EG"/>
        </w:rPr>
      </w:pPr>
      <w:r w:rsidRPr="00761AC4">
        <w:rPr>
          <w:rtl/>
          <w:lang w:bidi="ar-EG"/>
        </w:rPr>
        <w:t>ب)</w:t>
      </w:r>
      <w:r w:rsidRPr="00761AC4">
        <w:rPr>
          <w:rtl/>
          <w:lang w:bidi="ar-EG"/>
        </w:rPr>
        <w:tab/>
      </w:r>
      <w:r w:rsidR="00BC1C9A" w:rsidRPr="00761AC4">
        <w:rPr>
          <w:rtl/>
          <w:lang w:bidi="ar-EG"/>
        </w:rPr>
        <w:t>تقليص النفقات الإدارية المرتبطة بعقد الاجتماعات.</w:t>
      </w:r>
    </w:p>
    <w:p w14:paraId="615049B1" w14:textId="20082C27" w:rsidR="00933FE7" w:rsidRPr="00761AC4" w:rsidRDefault="00933FE7" w:rsidP="00933FE7">
      <w:pPr>
        <w:pStyle w:val="enumlev1"/>
        <w:rPr>
          <w:rtl/>
          <w:lang w:bidi="ar-EG"/>
        </w:rPr>
      </w:pPr>
      <w:r w:rsidRPr="00761AC4">
        <w:rPr>
          <w:lang w:bidi="ar-EG"/>
        </w:rPr>
        <w:t>2</w:t>
      </w:r>
      <w:r w:rsidRPr="00761AC4">
        <w:rPr>
          <w:lang w:bidi="ar-EG"/>
        </w:rPr>
        <w:tab/>
      </w:r>
      <w:r w:rsidR="000B41BC" w:rsidRPr="00761AC4">
        <w:rPr>
          <w:rtl/>
          <w:lang w:bidi="ar-EG"/>
        </w:rPr>
        <w:t>الاختصاصات</w:t>
      </w:r>
      <w:r w:rsidR="00BC1C9A" w:rsidRPr="00761AC4">
        <w:rPr>
          <w:rtl/>
          <w:lang w:bidi="ar-EG"/>
        </w:rPr>
        <w:t xml:space="preserve"> الواضحة وغير المتداخلة </w:t>
      </w:r>
      <w:r w:rsidR="000B41BC" w:rsidRPr="00761AC4">
        <w:rPr>
          <w:rtl/>
          <w:lang w:bidi="ar-EG"/>
        </w:rPr>
        <w:t>ل</w:t>
      </w:r>
      <w:r w:rsidR="00BC1C9A" w:rsidRPr="00761AC4">
        <w:rPr>
          <w:rtl/>
          <w:lang w:bidi="ar-EG"/>
        </w:rPr>
        <w:t>لجان الدراسات (وضوح برامج العمل)</w:t>
      </w:r>
    </w:p>
    <w:p w14:paraId="31CDA019" w14:textId="6C0376D8" w:rsidR="00933FE7" w:rsidRPr="00761AC4" w:rsidRDefault="00DB10BF" w:rsidP="00933FE7">
      <w:pPr>
        <w:pStyle w:val="enumlev2"/>
        <w:rPr>
          <w:rtl/>
          <w:lang w:bidi="ar-EG"/>
        </w:rPr>
      </w:pPr>
      <w:r w:rsidRPr="00761AC4">
        <w:rPr>
          <w:rtl/>
          <w:lang w:bidi="ar-EG"/>
        </w:rPr>
        <w:t xml:space="preserve"> </w:t>
      </w:r>
      <w:r w:rsidR="00933FE7" w:rsidRPr="00761AC4">
        <w:rPr>
          <w:rtl/>
          <w:lang w:bidi="ar-EG"/>
        </w:rPr>
        <w:t>أ )</w:t>
      </w:r>
      <w:r w:rsidR="00933FE7" w:rsidRPr="00761AC4">
        <w:rPr>
          <w:rtl/>
          <w:lang w:bidi="ar-EG"/>
        </w:rPr>
        <w:tab/>
      </w:r>
      <w:r w:rsidR="000B41BC" w:rsidRPr="00761AC4">
        <w:rPr>
          <w:rtl/>
          <w:lang w:bidi="ar-EG"/>
        </w:rPr>
        <w:t>الاختصاصات</w:t>
      </w:r>
      <w:r w:rsidR="00BC1C9A" w:rsidRPr="00761AC4">
        <w:rPr>
          <w:rtl/>
          <w:lang w:bidi="ar-EG"/>
        </w:rPr>
        <w:t xml:space="preserve"> ينبغي لها أن تتجنب المصطلحات المحيِّرة</w:t>
      </w:r>
    </w:p>
    <w:p w14:paraId="3883B074" w14:textId="2F4AD978" w:rsidR="00933FE7" w:rsidRPr="00761AC4" w:rsidRDefault="00933FE7" w:rsidP="00933FE7">
      <w:pPr>
        <w:pStyle w:val="enumlev2"/>
        <w:rPr>
          <w:rtl/>
          <w:lang w:bidi="ar-EG"/>
        </w:rPr>
      </w:pPr>
      <w:r w:rsidRPr="00761AC4">
        <w:rPr>
          <w:rtl/>
          <w:lang w:bidi="ar-EG"/>
        </w:rPr>
        <w:t>ب)</w:t>
      </w:r>
      <w:r w:rsidRPr="00761AC4">
        <w:rPr>
          <w:rtl/>
          <w:lang w:bidi="ar-EG"/>
        </w:rPr>
        <w:tab/>
      </w:r>
      <w:r w:rsidR="00BC1C9A" w:rsidRPr="00761AC4">
        <w:rPr>
          <w:rtl/>
          <w:lang w:bidi="ar-EG"/>
        </w:rPr>
        <w:t xml:space="preserve">تجنب تقديم مقترحات العمل إلى لجان دراسات مختلفة مما يتسبب في </w:t>
      </w:r>
      <w:r w:rsidR="000B41BC" w:rsidRPr="00761AC4">
        <w:rPr>
          <w:rtl/>
          <w:lang w:bidi="ar-EG"/>
        </w:rPr>
        <w:t>إمكانية</w:t>
      </w:r>
      <w:r w:rsidR="00BC1C9A" w:rsidRPr="00761AC4">
        <w:rPr>
          <w:rtl/>
          <w:lang w:bidi="ar-EG"/>
        </w:rPr>
        <w:t xml:space="preserve"> تداخل العمل</w:t>
      </w:r>
    </w:p>
    <w:p w14:paraId="4397D6E5" w14:textId="65005196" w:rsidR="00933FE7" w:rsidRPr="00761AC4" w:rsidRDefault="00933FE7" w:rsidP="00933FE7">
      <w:pPr>
        <w:pStyle w:val="enumlev1"/>
        <w:rPr>
          <w:rtl/>
          <w:lang w:bidi="ar-EG"/>
        </w:rPr>
      </w:pPr>
      <w:r w:rsidRPr="00761AC4">
        <w:rPr>
          <w:lang w:bidi="ar-EG"/>
        </w:rPr>
        <w:t>3</w:t>
      </w:r>
      <w:r w:rsidRPr="00761AC4">
        <w:rPr>
          <w:lang w:bidi="ar-EG"/>
        </w:rPr>
        <w:tab/>
      </w:r>
      <w:r w:rsidR="005C3B3A" w:rsidRPr="00761AC4">
        <w:rPr>
          <w:rtl/>
          <w:lang w:bidi="ar-EG"/>
        </w:rPr>
        <w:t>فعالية التكاليف والملاءمة لأصحاب المصلحة</w:t>
      </w:r>
    </w:p>
    <w:p w14:paraId="2F153605" w14:textId="0958E6F5" w:rsidR="00933FE7" w:rsidRPr="00761AC4" w:rsidRDefault="00DB10BF" w:rsidP="00933FE7">
      <w:pPr>
        <w:pStyle w:val="enumlev2"/>
        <w:rPr>
          <w:rtl/>
          <w:lang w:bidi="ar-EG"/>
        </w:rPr>
      </w:pPr>
      <w:r w:rsidRPr="00761AC4">
        <w:rPr>
          <w:rtl/>
          <w:lang w:bidi="ar-EG"/>
        </w:rPr>
        <w:t xml:space="preserve"> </w:t>
      </w:r>
      <w:r w:rsidR="00933FE7" w:rsidRPr="00761AC4">
        <w:rPr>
          <w:rtl/>
          <w:lang w:bidi="ar-EG"/>
        </w:rPr>
        <w:t>أ )</w:t>
      </w:r>
      <w:r w:rsidR="00933FE7" w:rsidRPr="00761AC4">
        <w:rPr>
          <w:rtl/>
          <w:lang w:bidi="ar-EG"/>
        </w:rPr>
        <w:tab/>
      </w:r>
      <w:r w:rsidR="005C3B3A" w:rsidRPr="00761AC4">
        <w:rPr>
          <w:rtl/>
          <w:lang w:bidi="ar-EG"/>
        </w:rPr>
        <w:t>دمج وتوحيد مسائل الدراسات وتخصيصها للجان الدراسات سيسمح</w:t>
      </w:r>
      <w:r w:rsidR="000B41BC" w:rsidRPr="00761AC4">
        <w:rPr>
          <w:rtl/>
          <w:lang w:bidi="ar-EG"/>
        </w:rPr>
        <w:t>ان</w:t>
      </w:r>
      <w:r w:rsidR="005C3B3A" w:rsidRPr="00761AC4">
        <w:rPr>
          <w:rtl/>
          <w:lang w:bidi="ar-EG"/>
        </w:rPr>
        <w:t xml:space="preserve"> للخبراء بالحضور والمساهمة بفعالية من حيث التكلفة.</w:t>
      </w:r>
    </w:p>
    <w:p w14:paraId="5EC8180A" w14:textId="77777777" w:rsidR="0012545F" w:rsidRPr="00761AC4" w:rsidRDefault="0012545F" w:rsidP="00AA1A24">
      <w:pPr>
        <w:rPr>
          <w:rtl/>
        </w:rPr>
      </w:pPr>
      <w:r w:rsidRPr="00761AC4">
        <w:rPr>
          <w:rtl/>
        </w:rPr>
        <w:br w:type="page"/>
      </w:r>
    </w:p>
    <w:p w14:paraId="3D4F324A" w14:textId="77777777" w:rsidR="00D90463" w:rsidRPr="00761AC4" w:rsidRDefault="00B461EF">
      <w:pPr>
        <w:pStyle w:val="Proposal"/>
      </w:pPr>
      <w:r w:rsidRPr="00761AC4">
        <w:lastRenderedPageBreak/>
        <w:tab/>
        <w:t>IAP/39A20/1</w:t>
      </w:r>
    </w:p>
    <w:p w14:paraId="224927FC" w14:textId="6A478F8F" w:rsidR="00761AC4" w:rsidRPr="00761AC4" w:rsidRDefault="00B461EF" w:rsidP="00341DD0">
      <w:pPr>
        <w:pStyle w:val="Volumetitle"/>
        <w:rPr>
          <w:rtl/>
        </w:rPr>
      </w:pPr>
      <w:r w:rsidRPr="00761AC4">
        <w:rPr>
          <w:rtl/>
        </w:rPr>
        <w:t>مسائل عامة</w:t>
      </w:r>
    </w:p>
    <w:p w14:paraId="60697A15" w14:textId="4107FBAA" w:rsidR="00DB10BF" w:rsidRPr="00761AC4" w:rsidRDefault="00704A13" w:rsidP="00704A13">
      <w:pPr>
        <w:pStyle w:val="Headingb"/>
        <w:rPr>
          <w:lang w:bidi="ar-AE"/>
        </w:rPr>
      </w:pPr>
      <w:r w:rsidRPr="00761AC4">
        <w:rPr>
          <w:rtl/>
          <w:lang w:bidi="ar-AE"/>
        </w:rPr>
        <w:t>المقترح</w:t>
      </w:r>
    </w:p>
    <w:p w14:paraId="721CD3F9" w14:textId="3DA0BB23" w:rsidR="00824E67" w:rsidRPr="00761AC4" w:rsidRDefault="00704A13" w:rsidP="00DB10BF">
      <w:pPr>
        <w:rPr>
          <w:rtl/>
          <w:lang w:bidi="ar-AE"/>
        </w:rPr>
      </w:pPr>
      <w:r w:rsidRPr="00761AC4">
        <w:rPr>
          <w:rtl/>
          <w:lang w:bidi="ar-EG"/>
        </w:rPr>
        <w:t>تركز إعادة الهيكلة المُقترحة بشأن لجنة الدراسات على إعادة تجميع الأعمال ذات الموضوع/الطبيعة المماثلة من لجان دراسات مختلفة في نفس لجنة الدراسات التي تتمتع بالخبرة والخلفية اللازمتين، بموازاة التقليل إلى أدنى حد ازدواجية أعمال التقييس بين لجان دراسات قطاع تقييس الاتصالات و</w:t>
      </w:r>
      <w:r w:rsidRPr="00761AC4">
        <w:rPr>
          <w:rtl/>
          <w:lang w:val="en-GB" w:bidi="ar-EG"/>
        </w:rPr>
        <w:t xml:space="preserve">صون </w:t>
      </w:r>
      <w:r w:rsidR="004D2BA9" w:rsidRPr="00761AC4">
        <w:rPr>
          <w:rtl/>
          <w:lang w:val="en-GB"/>
        </w:rPr>
        <w:t>الاختصاصات</w:t>
      </w:r>
      <w:r w:rsidRPr="00761AC4">
        <w:rPr>
          <w:rtl/>
          <w:lang w:val="en-GB"/>
        </w:rPr>
        <w:t xml:space="preserve"> الواضحة </w:t>
      </w:r>
      <w:r w:rsidR="004D2BA9" w:rsidRPr="00761AC4">
        <w:rPr>
          <w:rtl/>
          <w:lang w:val="en-GB"/>
        </w:rPr>
        <w:t>ل</w:t>
      </w:r>
      <w:r w:rsidRPr="00761AC4">
        <w:rPr>
          <w:rtl/>
          <w:lang w:val="en-GB"/>
        </w:rPr>
        <w:t>لجان الدراسات</w:t>
      </w:r>
      <w:r w:rsidR="00011005" w:rsidRPr="00761AC4">
        <w:rPr>
          <w:rtl/>
          <w:lang w:bidi="ar-AE"/>
        </w:rPr>
        <w:t>.</w:t>
      </w:r>
    </w:p>
    <w:p w14:paraId="59310D7B" w14:textId="4B238309" w:rsidR="00011005" w:rsidRPr="00761AC4" w:rsidRDefault="00011005" w:rsidP="00DB10BF">
      <w:pPr>
        <w:rPr>
          <w:rtl/>
          <w:lang w:bidi="ar-EG"/>
        </w:rPr>
      </w:pPr>
      <w:r w:rsidRPr="00761AC4">
        <w:rPr>
          <w:rtl/>
          <w:lang w:bidi="ar-AE"/>
        </w:rPr>
        <w:t>وبصفة خاصة، تُقترح إعادة هيكلة لجان الدراسات التالية:</w:t>
      </w:r>
    </w:p>
    <w:p w14:paraId="5FFEEAEC" w14:textId="58F4B28A" w:rsidR="004E302F" w:rsidRPr="00761AC4" w:rsidRDefault="004E302F" w:rsidP="00011005">
      <w:pPr>
        <w:pStyle w:val="Heading1"/>
        <w:rPr>
          <w:rtl/>
        </w:rPr>
      </w:pPr>
      <w:r w:rsidRPr="00761AC4">
        <w:t>1</w:t>
      </w:r>
      <w:r w:rsidRPr="00761AC4">
        <w:tab/>
      </w:r>
      <w:r w:rsidR="00011005" w:rsidRPr="00761AC4">
        <w:rPr>
          <w:rtl/>
        </w:rPr>
        <w:t>دمج جميع الأعمال المتعلقة بالأمن في لجنة الدراسات 17:</w:t>
      </w:r>
    </w:p>
    <w:p w14:paraId="782C3493" w14:textId="74A94375" w:rsidR="00824E67" w:rsidRPr="00761AC4" w:rsidRDefault="00011005" w:rsidP="004E302F">
      <w:pPr>
        <w:rPr>
          <w:rtl/>
          <w:lang w:bidi="ar-EG"/>
        </w:rPr>
      </w:pPr>
      <w:r w:rsidRPr="00761AC4">
        <w:rPr>
          <w:rtl/>
          <w:lang w:bidi="ar-EG"/>
        </w:rPr>
        <w:t xml:space="preserve">لجنة الدراسات 17 هي </w:t>
      </w:r>
      <w:r w:rsidR="00360E9A" w:rsidRPr="00761AC4">
        <w:rPr>
          <w:rtl/>
          <w:lang w:bidi="ar-EG"/>
        </w:rPr>
        <w:t xml:space="preserve">لجنة الدراسات الرئيسية </w:t>
      </w:r>
      <w:r w:rsidRPr="00761AC4">
        <w:rPr>
          <w:rtl/>
          <w:lang w:bidi="ar-EG"/>
        </w:rPr>
        <w:t>في مجال الأمن. ومن الضروري دمج الأعمال المتعلقة بالأمن في لجنة الدراسات</w:t>
      </w:r>
      <w:r w:rsidR="009D4255">
        <w:rPr>
          <w:rFonts w:hint="cs"/>
          <w:rtl/>
          <w:lang w:bidi="ar-EG"/>
        </w:rPr>
        <w:t> </w:t>
      </w:r>
      <w:r w:rsidRPr="00761AC4">
        <w:rPr>
          <w:rtl/>
          <w:lang w:bidi="ar-EG"/>
        </w:rPr>
        <w:t xml:space="preserve">17 التي تضم خبراء أمن. وعلى سبيل المثال، يمكن دمج جزء المسألة </w:t>
      </w:r>
      <w:r w:rsidR="00C63685">
        <w:rPr>
          <w:lang w:bidi="ar-EG"/>
        </w:rPr>
        <w:t>6/20</w:t>
      </w:r>
      <w:r w:rsidRPr="00761AC4">
        <w:rPr>
          <w:rtl/>
          <w:lang w:bidi="ar-EG"/>
        </w:rPr>
        <w:t xml:space="preserve"> </w:t>
      </w:r>
      <w:r w:rsidR="00360E9A" w:rsidRPr="00761AC4">
        <w:rPr>
          <w:rtl/>
          <w:lang w:bidi="ar-EG"/>
        </w:rPr>
        <w:t xml:space="preserve">بشأن </w:t>
      </w:r>
      <w:r w:rsidRPr="00761AC4">
        <w:rPr>
          <w:rtl/>
          <w:lang w:bidi="ar-EG"/>
        </w:rPr>
        <w:t xml:space="preserve">"الأمن والخصوصية والثقة </w:t>
      </w:r>
      <w:r w:rsidR="00360E9A" w:rsidRPr="00761AC4">
        <w:rPr>
          <w:rtl/>
          <w:lang w:bidi="ar-EG"/>
        </w:rPr>
        <w:t>ل</w:t>
      </w:r>
      <w:r w:rsidRPr="00761AC4">
        <w:rPr>
          <w:rtl/>
          <w:lang w:bidi="ar-EG"/>
        </w:rPr>
        <w:t xml:space="preserve">إنترنت الأشياء والمدن والمجتمعات الذكية" مع المسألة </w:t>
      </w:r>
      <w:r w:rsidR="00C63685">
        <w:rPr>
          <w:lang w:bidi="ar-EG"/>
        </w:rPr>
        <w:t>6/17</w:t>
      </w:r>
      <w:r w:rsidRPr="00761AC4">
        <w:rPr>
          <w:rtl/>
          <w:lang w:bidi="ar-EG"/>
        </w:rPr>
        <w:t xml:space="preserve"> التي تتناول الأمن لخدمات الاتصالات وإنترنت الأشياء</w:t>
      </w:r>
      <w:r w:rsidR="00761AC4">
        <w:rPr>
          <w:rtl/>
          <w:lang w:bidi="ar-EG"/>
        </w:rPr>
        <w:t xml:space="preserve"> </w:t>
      </w:r>
      <w:r w:rsidR="00761AC4">
        <w:rPr>
          <w:lang w:bidi="ar-EG"/>
        </w:rPr>
        <w:t>(IoT)</w:t>
      </w:r>
      <w:r w:rsidRPr="00761AC4">
        <w:rPr>
          <w:rtl/>
          <w:lang w:bidi="ar-EG"/>
        </w:rPr>
        <w:t>.</w:t>
      </w:r>
    </w:p>
    <w:p w14:paraId="5E8D8D13" w14:textId="0D9B8CA9" w:rsidR="004E302F" w:rsidRPr="00761AC4" w:rsidRDefault="004E302F" w:rsidP="00761AC4">
      <w:pPr>
        <w:pStyle w:val="Heading1"/>
        <w:rPr>
          <w:lang w:val="de-DE"/>
        </w:rPr>
      </w:pPr>
      <w:r w:rsidRPr="00761AC4">
        <w:t>2</w:t>
      </w:r>
      <w:r w:rsidRPr="00761AC4">
        <w:tab/>
      </w:r>
      <w:r w:rsidR="00011005" w:rsidRPr="00761AC4">
        <w:rPr>
          <w:rtl/>
        </w:rPr>
        <w:t xml:space="preserve">دمج </w:t>
      </w:r>
      <w:r w:rsidR="00AB6408" w:rsidRPr="00761AC4">
        <w:rPr>
          <w:rtl/>
        </w:rPr>
        <w:t xml:space="preserve">جميع </w:t>
      </w:r>
      <w:r w:rsidR="00011005" w:rsidRPr="00761AC4">
        <w:rPr>
          <w:rtl/>
        </w:rPr>
        <w:t xml:space="preserve">الأعمال المتعلقة </w:t>
      </w:r>
      <w:bookmarkStart w:id="1" w:name="_Hlk177569340"/>
      <w:r w:rsidR="00011005" w:rsidRPr="00761AC4">
        <w:rPr>
          <w:rtl/>
        </w:rPr>
        <w:t>ب</w:t>
      </w:r>
      <w:bookmarkStart w:id="2" w:name="_Hlk177568574"/>
      <w:r w:rsidR="00011005" w:rsidRPr="00761AC4">
        <w:rPr>
          <w:rtl/>
        </w:rPr>
        <w:t xml:space="preserve">التسمية </w:t>
      </w:r>
      <w:r w:rsidR="002D5C30" w:rsidRPr="00761AC4">
        <w:rPr>
          <w:rtl/>
        </w:rPr>
        <w:t xml:space="preserve">والترقيم </w:t>
      </w:r>
      <w:r w:rsidR="00011005" w:rsidRPr="00761AC4">
        <w:rPr>
          <w:rtl/>
        </w:rPr>
        <w:t>والعنونة وتعرف الهوية</w:t>
      </w:r>
      <w:bookmarkEnd w:id="1"/>
      <w:bookmarkEnd w:id="2"/>
      <w:r w:rsidR="00011005" w:rsidRPr="00761AC4">
        <w:rPr>
          <w:rtl/>
        </w:rPr>
        <w:t xml:space="preserve"> </w:t>
      </w:r>
      <w:r w:rsidR="00761AC4" w:rsidRPr="00761AC4">
        <w:rPr>
          <w:lang w:val="en-GB"/>
        </w:rPr>
        <w:t>(NNAI)</w:t>
      </w:r>
      <w:r w:rsidR="00761AC4">
        <w:rPr>
          <w:rFonts w:hint="cs"/>
          <w:rtl/>
          <w:lang w:val="en-GB"/>
        </w:rPr>
        <w:t xml:space="preserve"> </w:t>
      </w:r>
      <w:r w:rsidR="00011005" w:rsidRPr="00761AC4">
        <w:rPr>
          <w:rtl/>
        </w:rPr>
        <w:t>في لجنة الدراسات 2:</w:t>
      </w:r>
    </w:p>
    <w:p w14:paraId="4287607E" w14:textId="4DB3941D" w:rsidR="004E302F" w:rsidRPr="00761AC4" w:rsidRDefault="00B14A2B" w:rsidP="004E302F">
      <w:pPr>
        <w:rPr>
          <w:rtl/>
          <w:lang w:val="de-DE" w:bidi="ar-EG"/>
        </w:rPr>
      </w:pPr>
      <w:r w:rsidRPr="00761AC4">
        <w:rPr>
          <w:rtl/>
          <w:lang w:val="de-DE" w:bidi="ar-EG"/>
        </w:rPr>
        <w:t xml:space="preserve">من </w:t>
      </w:r>
      <w:r w:rsidR="002D5C30" w:rsidRPr="00761AC4">
        <w:rPr>
          <w:rtl/>
          <w:lang w:val="de-DE" w:bidi="ar-EG"/>
        </w:rPr>
        <w:t>الأساسي</w:t>
      </w:r>
      <w:r w:rsidRPr="00761AC4">
        <w:rPr>
          <w:rtl/>
          <w:lang w:val="de-DE" w:bidi="ar-EG"/>
        </w:rPr>
        <w:t xml:space="preserve"> دمج ال</w:t>
      </w:r>
      <w:r w:rsidR="00D14DEA" w:rsidRPr="00761AC4">
        <w:rPr>
          <w:rtl/>
          <w:lang w:val="de-DE" w:bidi="ar-EG"/>
        </w:rPr>
        <w:t>أ</w:t>
      </w:r>
      <w:r w:rsidRPr="00761AC4">
        <w:rPr>
          <w:rtl/>
          <w:lang w:val="de-DE" w:bidi="ar-EG"/>
        </w:rPr>
        <w:t>عم</w:t>
      </w:r>
      <w:r w:rsidR="00D14DEA" w:rsidRPr="00761AC4">
        <w:rPr>
          <w:rtl/>
          <w:lang w:val="de-DE" w:bidi="ar-EG"/>
        </w:rPr>
        <w:t>ا</w:t>
      </w:r>
      <w:r w:rsidRPr="00761AC4">
        <w:rPr>
          <w:rtl/>
          <w:lang w:val="de-DE" w:bidi="ar-EG"/>
        </w:rPr>
        <w:t>ل ال</w:t>
      </w:r>
      <w:r w:rsidR="002D5C30" w:rsidRPr="00761AC4">
        <w:rPr>
          <w:rtl/>
          <w:lang w:val="de-DE" w:bidi="ar-EG"/>
        </w:rPr>
        <w:t>ت</w:t>
      </w:r>
      <w:r w:rsidRPr="00761AC4">
        <w:rPr>
          <w:rtl/>
          <w:lang w:val="de-DE" w:bidi="ar-EG"/>
        </w:rPr>
        <w:t xml:space="preserve">ي </w:t>
      </w:r>
      <w:r w:rsidR="00D14DEA" w:rsidRPr="00761AC4">
        <w:rPr>
          <w:rtl/>
          <w:lang w:val="de-DE" w:bidi="ar-EG"/>
        </w:rPr>
        <w:t>ت</w:t>
      </w:r>
      <w:r w:rsidRPr="00761AC4">
        <w:rPr>
          <w:rtl/>
          <w:lang w:val="de-DE" w:bidi="ar-EG"/>
        </w:rPr>
        <w:t xml:space="preserve">تناول جوانب التسمية </w:t>
      </w:r>
      <w:r w:rsidR="002D5C30" w:rsidRPr="00761AC4">
        <w:rPr>
          <w:rtl/>
          <w:lang w:val="de-DE" w:bidi="ar-EG"/>
        </w:rPr>
        <w:t xml:space="preserve">والترقيم </w:t>
      </w:r>
      <w:r w:rsidRPr="00761AC4">
        <w:rPr>
          <w:rtl/>
          <w:lang w:val="de-DE" w:bidi="ar-EG"/>
        </w:rPr>
        <w:t xml:space="preserve">والعنونة وتعرف الهوية من لجان الدراسات الأخرى </w:t>
      </w:r>
      <w:r w:rsidR="00D14DEA" w:rsidRPr="00761AC4">
        <w:rPr>
          <w:rtl/>
          <w:lang w:val="de-DE" w:bidi="ar-EG"/>
        </w:rPr>
        <w:t>في</w:t>
      </w:r>
      <w:r w:rsidRPr="00761AC4">
        <w:rPr>
          <w:rtl/>
          <w:lang w:val="de-DE" w:bidi="ar-EG"/>
        </w:rPr>
        <w:t xml:space="preserve"> لجنة الدراسات 2</w:t>
      </w:r>
      <w:r w:rsidR="00D14DEA" w:rsidRPr="00761AC4">
        <w:rPr>
          <w:rtl/>
          <w:lang w:val="de-DE" w:bidi="ar-EG"/>
        </w:rPr>
        <w:t xml:space="preserve"> التي تضم </w:t>
      </w:r>
      <w:r w:rsidRPr="00761AC4">
        <w:rPr>
          <w:rtl/>
          <w:lang w:val="de-DE" w:bidi="ar-EG"/>
        </w:rPr>
        <w:t xml:space="preserve">الخبراء في هذا الموضوع. </w:t>
      </w:r>
      <w:r w:rsidR="00D14DEA" w:rsidRPr="00761AC4">
        <w:rPr>
          <w:rtl/>
          <w:lang w:val="de-DE" w:bidi="ar-EG"/>
        </w:rPr>
        <w:t>و</w:t>
      </w:r>
      <w:r w:rsidRPr="00761AC4">
        <w:rPr>
          <w:rtl/>
          <w:lang w:val="de-DE" w:bidi="ar-EG"/>
        </w:rPr>
        <w:t>على سبيل المثال، يمكن نقل ال</w:t>
      </w:r>
      <w:r w:rsidR="00D14DEA" w:rsidRPr="00761AC4">
        <w:rPr>
          <w:rtl/>
          <w:lang w:val="de-DE" w:bidi="ar-EG"/>
        </w:rPr>
        <w:t>أ</w:t>
      </w:r>
      <w:r w:rsidRPr="00761AC4">
        <w:rPr>
          <w:rtl/>
          <w:lang w:val="de-DE" w:bidi="ar-EG"/>
        </w:rPr>
        <w:t>عم</w:t>
      </w:r>
      <w:r w:rsidR="00D14DEA" w:rsidRPr="00761AC4">
        <w:rPr>
          <w:rtl/>
          <w:lang w:val="de-DE" w:bidi="ar-EG"/>
        </w:rPr>
        <w:t>ا</w:t>
      </w:r>
      <w:r w:rsidRPr="00761AC4">
        <w:rPr>
          <w:rtl/>
          <w:lang w:val="de-DE" w:bidi="ar-EG"/>
        </w:rPr>
        <w:t>ل المتعلق</w:t>
      </w:r>
      <w:r w:rsidR="00D14DEA" w:rsidRPr="00761AC4">
        <w:rPr>
          <w:rtl/>
          <w:lang w:val="de-DE" w:bidi="ar-EG"/>
        </w:rPr>
        <w:t>ة</w:t>
      </w:r>
      <w:r w:rsidRPr="00761AC4">
        <w:rPr>
          <w:rtl/>
          <w:lang w:val="de-DE" w:bidi="ar-EG"/>
        </w:rPr>
        <w:t xml:space="preserve"> ب</w:t>
      </w:r>
      <w:r w:rsidR="008B389D" w:rsidRPr="00761AC4">
        <w:rPr>
          <w:rtl/>
          <w:lang w:val="de-DE" w:bidi="ar-EG"/>
        </w:rPr>
        <w:t>ت</w:t>
      </w:r>
      <w:r w:rsidR="00D14DEA" w:rsidRPr="00761AC4">
        <w:rPr>
          <w:rtl/>
          <w:lang w:val="de-DE" w:bidi="ar-EG"/>
        </w:rPr>
        <w:t xml:space="preserve">عرف الهوية </w:t>
      </w:r>
      <w:r w:rsidR="008B389D" w:rsidRPr="00761AC4">
        <w:rPr>
          <w:rtl/>
          <w:lang w:val="de-DE" w:bidi="ar-EG"/>
        </w:rPr>
        <w:t>ل</w:t>
      </w:r>
      <w:r w:rsidRPr="00761AC4">
        <w:rPr>
          <w:rtl/>
          <w:lang w:val="de-DE" w:bidi="ar-EG"/>
        </w:rPr>
        <w:t>إنترنت الأشياء والمدن والمجتمعات ال</w:t>
      </w:r>
      <w:r w:rsidR="00D14DEA" w:rsidRPr="00761AC4">
        <w:rPr>
          <w:rtl/>
          <w:lang w:val="de-DE" w:bidi="ar-EG"/>
        </w:rPr>
        <w:t>ذكية في المسألة</w:t>
      </w:r>
      <w:r w:rsidRPr="00761AC4">
        <w:rPr>
          <w:rtl/>
          <w:lang w:val="de-DE" w:bidi="ar-EG"/>
        </w:rPr>
        <w:t xml:space="preserve"> </w:t>
      </w:r>
      <w:r w:rsidR="00C3004A">
        <w:rPr>
          <w:lang w:val="de-DE" w:bidi="ar-EG"/>
        </w:rPr>
        <w:t>6/20</w:t>
      </w:r>
      <w:r w:rsidR="00C3004A">
        <w:rPr>
          <w:rFonts w:hint="cs"/>
          <w:rtl/>
          <w:lang w:val="de-DE" w:bidi="ar-EG"/>
        </w:rPr>
        <w:t xml:space="preserve"> </w:t>
      </w:r>
      <w:r w:rsidRPr="00761AC4">
        <w:rPr>
          <w:rtl/>
          <w:lang w:val="de-DE" w:bidi="ar-EG"/>
        </w:rPr>
        <w:t xml:space="preserve">إلى لجنة الدراسات 2. </w:t>
      </w:r>
      <w:r w:rsidR="008B389D" w:rsidRPr="00761AC4">
        <w:rPr>
          <w:rtl/>
          <w:lang w:val="de-DE" w:bidi="ar-EG"/>
        </w:rPr>
        <w:t>وتتعلق</w:t>
      </w:r>
      <w:r w:rsidRPr="00761AC4">
        <w:rPr>
          <w:rtl/>
          <w:lang w:val="de-DE" w:bidi="ar-EG"/>
        </w:rPr>
        <w:t xml:space="preserve"> عملية إعادة ال</w:t>
      </w:r>
      <w:r w:rsidR="008B389D" w:rsidRPr="00761AC4">
        <w:rPr>
          <w:rtl/>
          <w:lang w:val="de-DE" w:bidi="ar-EG"/>
        </w:rPr>
        <w:t>ضبط</w:t>
      </w:r>
      <w:r w:rsidRPr="00761AC4">
        <w:rPr>
          <w:rtl/>
          <w:lang w:val="de-DE" w:bidi="ar-EG"/>
        </w:rPr>
        <w:t xml:space="preserve"> هذه </w:t>
      </w:r>
      <w:r w:rsidR="008B389D" w:rsidRPr="00761AC4">
        <w:rPr>
          <w:rtl/>
          <w:lang w:val="de-DE" w:bidi="ar-EG"/>
        </w:rPr>
        <w:t>ب</w:t>
      </w:r>
      <w:r w:rsidR="002D5C30" w:rsidRPr="00761AC4">
        <w:rPr>
          <w:rtl/>
          <w:lang w:val="de-DE" w:bidi="ar-EG"/>
        </w:rPr>
        <w:t>اختصاص</w:t>
      </w:r>
      <w:r w:rsidR="008B389D" w:rsidRPr="00761AC4">
        <w:rPr>
          <w:rtl/>
          <w:lang w:val="de-DE" w:bidi="ar-EG"/>
        </w:rPr>
        <w:t xml:space="preserve"> المسألة</w:t>
      </w:r>
      <w:r w:rsidR="002D5C30" w:rsidRPr="00761AC4">
        <w:rPr>
          <w:rtl/>
          <w:lang w:val="de-DE" w:bidi="ar-EG"/>
        </w:rPr>
        <w:t xml:space="preserve"> </w:t>
      </w:r>
      <w:r w:rsidR="00C3004A">
        <w:rPr>
          <w:lang w:val="de-DE" w:bidi="ar-EG"/>
        </w:rPr>
        <w:t>1/2</w:t>
      </w:r>
      <w:r w:rsidR="002D5C30" w:rsidRPr="00761AC4">
        <w:rPr>
          <w:rtl/>
          <w:lang w:val="de-DE" w:bidi="ar-EG"/>
        </w:rPr>
        <w:t xml:space="preserve"> </w:t>
      </w:r>
      <w:r w:rsidR="008B389D" w:rsidRPr="00761AC4">
        <w:rPr>
          <w:rtl/>
          <w:lang w:val="de-DE" w:bidi="ar-EG"/>
        </w:rPr>
        <w:t>المعنية بال</w:t>
      </w:r>
      <w:r w:rsidR="002D5C30" w:rsidRPr="00761AC4">
        <w:rPr>
          <w:rtl/>
          <w:lang w:val="de-DE" w:bidi="ar-EG"/>
        </w:rPr>
        <w:t>تسمية وال</w:t>
      </w:r>
      <w:r w:rsidR="008B389D" w:rsidRPr="00761AC4">
        <w:rPr>
          <w:rtl/>
          <w:lang w:val="de-DE" w:bidi="ar-EG"/>
        </w:rPr>
        <w:t xml:space="preserve">ترقيم والعنونة وتعرف الهوية </w:t>
      </w:r>
      <w:r w:rsidRPr="00761AC4">
        <w:rPr>
          <w:rtl/>
          <w:lang w:val="de-DE" w:bidi="ar-EG"/>
        </w:rPr>
        <w:t>لخدمات الاتصالات الثابتة والمتنقلة. ويضمن هذا النقل الاستراتيجي نهج</w:t>
      </w:r>
      <w:r w:rsidR="008B389D" w:rsidRPr="00761AC4">
        <w:rPr>
          <w:rtl/>
          <w:lang w:val="de-DE" w:bidi="ar-EG"/>
        </w:rPr>
        <w:t>اً</w:t>
      </w:r>
      <w:r w:rsidRPr="00761AC4">
        <w:rPr>
          <w:rtl/>
          <w:lang w:val="de-DE" w:bidi="ar-EG"/>
        </w:rPr>
        <w:t xml:space="preserve"> أكثر تماسكاً </w:t>
      </w:r>
      <w:r w:rsidR="009D0B88" w:rsidRPr="00761AC4">
        <w:rPr>
          <w:rtl/>
          <w:lang w:val="de-DE" w:bidi="ar-EG"/>
        </w:rPr>
        <w:t>وتبسيطاً</w:t>
      </w:r>
      <w:r w:rsidRPr="00761AC4">
        <w:rPr>
          <w:rtl/>
          <w:lang w:val="de-DE" w:bidi="ar-EG"/>
        </w:rPr>
        <w:t xml:space="preserve"> تجاه الجوانب المتنوعة لت</w:t>
      </w:r>
      <w:r w:rsidR="00AB6408" w:rsidRPr="00761AC4">
        <w:rPr>
          <w:rtl/>
          <w:lang w:val="de-DE" w:bidi="ar-EG"/>
        </w:rPr>
        <w:t>عرف</w:t>
      </w:r>
      <w:r w:rsidRPr="00761AC4">
        <w:rPr>
          <w:rtl/>
          <w:lang w:val="de-DE" w:bidi="ar-EG"/>
        </w:rPr>
        <w:t xml:space="preserve"> الهوية في مجال الاتصالات/تكنولوجيا المعلومات والاتصالات.</w:t>
      </w:r>
    </w:p>
    <w:p w14:paraId="6F162667" w14:textId="498087A1" w:rsidR="004E302F" w:rsidRPr="00761AC4" w:rsidRDefault="004E302F" w:rsidP="004E302F">
      <w:pPr>
        <w:pStyle w:val="Heading1"/>
      </w:pPr>
      <w:r w:rsidRPr="00761AC4">
        <w:t>3</w:t>
      </w:r>
      <w:r w:rsidRPr="00761AC4">
        <w:tab/>
      </w:r>
      <w:r w:rsidR="00AB6408" w:rsidRPr="00761AC4">
        <w:rPr>
          <w:rtl/>
        </w:rPr>
        <w:t>دمج الأعمال المتعلقة بالأداء وجودة الخدمة وجودة التجربة في لجنة الدراسات 12</w:t>
      </w:r>
    </w:p>
    <w:p w14:paraId="0A8B2F3A" w14:textId="2D87B4EA" w:rsidR="00832A62" w:rsidRPr="00761AC4" w:rsidRDefault="00832A62" w:rsidP="00832A62">
      <w:pPr>
        <w:rPr>
          <w:rtl/>
          <w:lang w:bidi="ar-EG"/>
        </w:rPr>
      </w:pPr>
      <w:r w:rsidRPr="00761AC4">
        <w:rPr>
          <w:rtl/>
          <w:lang w:bidi="ar-EG"/>
        </w:rPr>
        <w:t xml:space="preserve">لجنة الدراسات 12 هي لجنة الدراسات </w:t>
      </w:r>
      <w:r w:rsidR="00CE3D07" w:rsidRPr="00761AC4">
        <w:rPr>
          <w:rtl/>
          <w:lang w:bidi="ar-EG"/>
        </w:rPr>
        <w:t>الرئيسية</w:t>
      </w:r>
      <w:r w:rsidRPr="00761AC4">
        <w:rPr>
          <w:rtl/>
          <w:lang w:bidi="ar-EG"/>
        </w:rPr>
        <w:t xml:space="preserve"> المعنية بالأداء وجودة الخدمة وجودة التجربة بالنسبة للمجموعة الكاملة من المطاريف والشبكات والخدمات والتطبيقات، بما في ذلك الجوانب التشغيلية لجودة الخدمة وجودة التجربة.</w:t>
      </w:r>
    </w:p>
    <w:p w14:paraId="38AD655B" w14:textId="5D654F80" w:rsidR="004E302F" w:rsidRPr="00761AC4" w:rsidRDefault="00832A62" w:rsidP="00832A62">
      <w:pPr>
        <w:rPr>
          <w:rtl/>
          <w:lang w:bidi="ar-EG"/>
        </w:rPr>
      </w:pPr>
      <w:r w:rsidRPr="00761AC4">
        <w:rPr>
          <w:rtl/>
          <w:lang w:bidi="ar-EG"/>
        </w:rPr>
        <w:t>ومن الضروري مراعاة تحديث النقاط الإرشادية لبرنامج عمل ما بعد</w:t>
      </w:r>
      <w:r w:rsidR="00FF661C" w:rsidRPr="00761AC4">
        <w:rPr>
          <w:rtl/>
          <w:lang w:bidi="ar-EG"/>
        </w:rPr>
        <w:t xml:space="preserve"> عام</w:t>
      </w:r>
      <w:r w:rsidRPr="00761AC4">
        <w:rPr>
          <w:rtl/>
          <w:lang w:bidi="ar-EG"/>
        </w:rPr>
        <w:t xml:space="preserve"> 2024 ضمن الملحق </w:t>
      </w:r>
      <w:r w:rsidRPr="00761AC4">
        <w:rPr>
          <w:lang w:bidi="ar-EG"/>
        </w:rPr>
        <w:t>B</w:t>
      </w:r>
      <w:r w:rsidRPr="00761AC4">
        <w:rPr>
          <w:rtl/>
          <w:lang w:bidi="ar-EG"/>
        </w:rPr>
        <w:t xml:space="preserve"> من القرار 2 (المراجَع</w:t>
      </w:r>
      <w:r w:rsidR="00026814">
        <w:rPr>
          <w:lang w:bidi="ar-EG"/>
        </w:rPr>
        <w:t> </w:t>
      </w:r>
      <w:r w:rsidRPr="00761AC4">
        <w:rPr>
          <w:rtl/>
          <w:lang w:bidi="ar-EG"/>
        </w:rPr>
        <w:t>في</w:t>
      </w:r>
      <w:r w:rsidR="00026814">
        <w:rPr>
          <w:lang w:bidi="ar-EG"/>
        </w:rPr>
        <w:t> </w:t>
      </w:r>
      <w:r w:rsidRPr="00761AC4">
        <w:rPr>
          <w:rtl/>
          <w:lang w:bidi="ar-EG"/>
        </w:rPr>
        <w:t>جنيف،</w:t>
      </w:r>
      <w:r w:rsidR="00026814">
        <w:rPr>
          <w:lang w:bidi="ar-EG"/>
        </w:rPr>
        <w:t> </w:t>
      </w:r>
      <w:r w:rsidRPr="00761AC4">
        <w:rPr>
          <w:rtl/>
          <w:lang w:bidi="ar-EG"/>
        </w:rPr>
        <w:t xml:space="preserve">2022)، </w:t>
      </w:r>
      <w:r w:rsidR="00FF661C" w:rsidRPr="00761AC4">
        <w:rPr>
          <w:rtl/>
          <w:lang w:bidi="ar-EG"/>
        </w:rPr>
        <w:t>بغية ا</w:t>
      </w:r>
      <w:r w:rsidRPr="00761AC4">
        <w:rPr>
          <w:rtl/>
          <w:lang w:bidi="ar-EG"/>
        </w:rPr>
        <w:t xml:space="preserve">لتأكد من عدم وجود تداخل بين العمل الموصوف في النقاط الإرشادية </w:t>
      </w:r>
      <w:r w:rsidR="00FB5B70" w:rsidRPr="00761AC4">
        <w:rPr>
          <w:rtl/>
          <w:lang w:bidi="ar-EG"/>
        </w:rPr>
        <w:t>واختصاص</w:t>
      </w:r>
      <w:r w:rsidRPr="00761AC4">
        <w:rPr>
          <w:rtl/>
          <w:lang w:bidi="ar-EG"/>
        </w:rPr>
        <w:t xml:space="preserve"> لجنة الدراسات الأخرى.</w:t>
      </w:r>
    </w:p>
    <w:p w14:paraId="28403C8F" w14:textId="2452038F" w:rsidR="004E302F" w:rsidRPr="00761AC4" w:rsidRDefault="004E302F" w:rsidP="004E302F">
      <w:pPr>
        <w:pStyle w:val="Heading1"/>
      </w:pPr>
      <w:r w:rsidRPr="00761AC4">
        <w:t>4</w:t>
      </w:r>
      <w:r w:rsidRPr="00761AC4">
        <w:tab/>
      </w:r>
      <w:r w:rsidR="00832A62" w:rsidRPr="00761AC4">
        <w:rPr>
          <w:rtl/>
        </w:rPr>
        <w:t xml:space="preserve">دمج الأعمال المتعلقة بالتطبيقات المتعددة الوسائط، السائدة حالياً في لجنة الدراسات 9 </w:t>
      </w:r>
      <w:r w:rsidR="0017779F" w:rsidRPr="00761AC4">
        <w:rPr>
          <w:rtl/>
        </w:rPr>
        <w:t xml:space="preserve">ولجنة الدراسات 16 </w:t>
      </w:r>
      <w:r w:rsidR="00832A62" w:rsidRPr="00761AC4">
        <w:rPr>
          <w:rtl/>
        </w:rPr>
        <w:t>لقطاع تقييس الاتصالات</w:t>
      </w:r>
      <w:r w:rsidR="0017779F" w:rsidRPr="00761AC4">
        <w:rPr>
          <w:rtl/>
        </w:rPr>
        <w:t>، في لجنة دراسات واحدة:</w:t>
      </w:r>
    </w:p>
    <w:p w14:paraId="173A078C" w14:textId="5AFB64D6" w:rsidR="004E302F" w:rsidRPr="00761AC4" w:rsidRDefault="0017779F" w:rsidP="004E302F">
      <w:pPr>
        <w:rPr>
          <w:rtl/>
          <w:lang w:bidi="ar-EG"/>
        </w:rPr>
      </w:pPr>
      <w:r w:rsidRPr="00761AC4">
        <w:rPr>
          <w:rtl/>
          <w:lang w:bidi="ar-EG"/>
        </w:rPr>
        <w:t xml:space="preserve">تدعم الدول الأعضاء في لجنة البلدان الأمريكية للاتصالات دمج لجنة الدراسات 9 ولجنة الدراسات 16 في لجنة الدراسات </w:t>
      </w:r>
      <w:r w:rsidRPr="00761AC4">
        <w:rPr>
          <w:lang w:bidi="ar-EG"/>
        </w:rPr>
        <w:t>C</w:t>
      </w:r>
      <w:r w:rsidRPr="00761AC4">
        <w:rPr>
          <w:rtl/>
          <w:lang w:bidi="ar-EG"/>
        </w:rPr>
        <w:t xml:space="preserve"> الجديدة، "تكنولوجيات الوسائط المتعددة وتقديم المحتوى والتلفزيون الكبلي"، التي وافق عليها الفريق الاستشاري لتقييس</w:t>
      </w:r>
      <w:r w:rsidR="00026814">
        <w:rPr>
          <w:lang w:bidi="ar-EG"/>
        </w:rPr>
        <w:t> </w:t>
      </w:r>
      <w:r w:rsidRPr="00761AC4">
        <w:rPr>
          <w:rtl/>
          <w:lang w:bidi="ar-EG"/>
        </w:rPr>
        <w:t>الاتصالات.</w:t>
      </w:r>
    </w:p>
    <w:p w14:paraId="23ED0300" w14:textId="5D7B651F" w:rsidR="004E302F" w:rsidRPr="00761AC4" w:rsidRDefault="004E302F" w:rsidP="004E302F">
      <w:pPr>
        <w:pStyle w:val="Heading1"/>
      </w:pPr>
      <w:r w:rsidRPr="00761AC4">
        <w:t>5</w:t>
      </w:r>
      <w:r w:rsidRPr="00761AC4">
        <w:tab/>
      </w:r>
      <w:r w:rsidR="0017779F" w:rsidRPr="00761AC4">
        <w:rPr>
          <w:rtl/>
        </w:rPr>
        <w:t xml:space="preserve">المصطلحات الواضحة والمتسقة في </w:t>
      </w:r>
      <w:r w:rsidR="00FB5B70" w:rsidRPr="00761AC4">
        <w:rPr>
          <w:rtl/>
        </w:rPr>
        <w:t xml:space="preserve">اختصاصات </w:t>
      </w:r>
      <w:r w:rsidR="0017779F" w:rsidRPr="00761AC4">
        <w:rPr>
          <w:rtl/>
        </w:rPr>
        <w:t>لجان الدراسات</w:t>
      </w:r>
    </w:p>
    <w:p w14:paraId="5593D8B2" w14:textId="2FE088C2" w:rsidR="004E302F" w:rsidRPr="00761AC4" w:rsidRDefault="0017779F" w:rsidP="004E302F">
      <w:pPr>
        <w:rPr>
          <w:rtl/>
          <w:lang w:bidi="ar-EG"/>
        </w:rPr>
      </w:pPr>
      <w:r w:rsidRPr="00761AC4">
        <w:rPr>
          <w:rtl/>
          <w:lang w:bidi="ar-EG"/>
        </w:rPr>
        <w:t xml:space="preserve">يتولى قطاع تقييس الاتصالات مسؤولية وضع المعايير الدولية للاتصالات/تكنولوجيا المعلومات والاتصالات. </w:t>
      </w:r>
      <w:r w:rsidR="00B0234E" w:rsidRPr="00761AC4">
        <w:rPr>
          <w:rtl/>
          <w:lang w:bidi="ar-EG"/>
        </w:rPr>
        <w:t>و</w:t>
      </w:r>
      <w:r w:rsidRPr="00761AC4">
        <w:rPr>
          <w:rtl/>
          <w:lang w:bidi="ar-EG"/>
        </w:rPr>
        <w:t xml:space="preserve">تتضمن </w:t>
      </w:r>
      <w:r w:rsidR="00FB5B70" w:rsidRPr="00761AC4">
        <w:rPr>
          <w:rtl/>
          <w:lang w:bidi="ar-EG"/>
        </w:rPr>
        <w:t>اختصاصات</w:t>
      </w:r>
      <w:r w:rsidRPr="00761AC4">
        <w:rPr>
          <w:rtl/>
          <w:lang w:bidi="ar-EG"/>
        </w:rPr>
        <w:t xml:space="preserve"> لجنة الدراسات 5 ولجنة الدراسات 16 ولجنة الدراسات 20 مصطلح "التكنولوجيات الرقمية" الذي يمكن أن يؤدي إلى </w:t>
      </w:r>
      <w:r w:rsidR="00B0234E" w:rsidRPr="00761AC4">
        <w:rPr>
          <w:rtl/>
          <w:lang w:bidi="ar-EG"/>
        </w:rPr>
        <w:t>الحيرة</w:t>
      </w:r>
      <w:r w:rsidRPr="00761AC4">
        <w:rPr>
          <w:rtl/>
          <w:lang w:bidi="ar-EG"/>
        </w:rPr>
        <w:t xml:space="preserve"> لأن العديد من التكنولوجيات الرقمية موجودة خارج نطاق تكنولوجيا المعلومات والاتصالات. </w:t>
      </w:r>
      <w:r w:rsidR="00CE3D07" w:rsidRPr="00761AC4">
        <w:rPr>
          <w:rtl/>
          <w:lang w:bidi="ar-EG"/>
        </w:rPr>
        <w:t>و</w:t>
      </w:r>
      <w:r w:rsidRPr="00761AC4">
        <w:rPr>
          <w:rtl/>
          <w:lang w:bidi="ar-EG"/>
        </w:rPr>
        <w:t>تشير تكنولوجيا المعلومات والاتصالات في جوهرها إلى ت</w:t>
      </w:r>
      <w:r w:rsidR="00CE3D07" w:rsidRPr="00761AC4">
        <w:rPr>
          <w:rtl/>
          <w:lang w:bidi="ar-EG"/>
        </w:rPr>
        <w:t>كنولوجيات</w:t>
      </w:r>
      <w:r w:rsidRPr="00761AC4">
        <w:rPr>
          <w:rtl/>
          <w:lang w:bidi="ar-EG"/>
        </w:rPr>
        <w:t xml:space="preserve"> تسهل </w:t>
      </w:r>
      <w:r w:rsidR="00CE3D07" w:rsidRPr="00761AC4">
        <w:rPr>
          <w:rtl/>
          <w:lang w:bidi="ar-EG"/>
        </w:rPr>
        <w:t>مناولة</w:t>
      </w:r>
      <w:r w:rsidRPr="00761AC4">
        <w:rPr>
          <w:rtl/>
          <w:lang w:bidi="ar-EG"/>
        </w:rPr>
        <w:t xml:space="preserve"> المعلومات وتبادلها من خلال </w:t>
      </w:r>
      <w:r w:rsidR="00CE3D07" w:rsidRPr="00761AC4">
        <w:rPr>
          <w:rtl/>
          <w:lang w:bidi="ar-EG"/>
        </w:rPr>
        <w:t>أساليب</w:t>
      </w:r>
      <w:r w:rsidRPr="00761AC4">
        <w:rPr>
          <w:rtl/>
          <w:lang w:bidi="ar-EG"/>
        </w:rPr>
        <w:t xml:space="preserve"> اتصال متنوعة. وفي</w:t>
      </w:r>
      <w:r w:rsidR="00CE3D07" w:rsidRPr="00761AC4">
        <w:rPr>
          <w:rtl/>
          <w:lang w:bidi="ar-EG"/>
        </w:rPr>
        <w:t xml:space="preserve">ما </w:t>
      </w:r>
      <w:r w:rsidR="00CE3D07" w:rsidRPr="00761AC4">
        <w:rPr>
          <w:rtl/>
          <w:lang w:bidi="ar-EG"/>
        </w:rPr>
        <w:lastRenderedPageBreak/>
        <w:t>تندرج</w:t>
      </w:r>
      <w:r w:rsidRPr="00761AC4">
        <w:rPr>
          <w:rtl/>
          <w:lang w:bidi="ar-EG"/>
        </w:rPr>
        <w:t xml:space="preserve"> </w:t>
      </w:r>
      <w:r w:rsidR="00CE3D07" w:rsidRPr="00761AC4">
        <w:rPr>
          <w:rtl/>
          <w:lang w:bidi="ar-EG"/>
        </w:rPr>
        <w:t>تكنولوجيات</w:t>
      </w:r>
      <w:r w:rsidRPr="00761AC4">
        <w:rPr>
          <w:rtl/>
          <w:lang w:bidi="ar-EG"/>
        </w:rPr>
        <w:t xml:space="preserve"> </w:t>
      </w:r>
      <w:r w:rsidR="00CE3D07" w:rsidRPr="00761AC4">
        <w:rPr>
          <w:rtl/>
          <w:lang w:bidi="ar-EG"/>
        </w:rPr>
        <w:t>تماثلية</w:t>
      </w:r>
      <w:r w:rsidRPr="00761AC4">
        <w:rPr>
          <w:rtl/>
          <w:lang w:bidi="ar-EG"/>
        </w:rPr>
        <w:t xml:space="preserve"> ورقمية ضمن هذه الفئة، هناك </w:t>
      </w:r>
      <w:r w:rsidR="00CE3D07" w:rsidRPr="00761AC4">
        <w:rPr>
          <w:rtl/>
          <w:lang w:bidi="ar-EG"/>
        </w:rPr>
        <w:t>تكنولوجيات</w:t>
      </w:r>
      <w:r w:rsidRPr="00761AC4">
        <w:rPr>
          <w:rtl/>
          <w:lang w:bidi="ar-EG"/>
        </w:rPr>
        <w:t xml:space="preserve"> </w:t>
      </w:r>
      <w:r w:rsidR="00CE3D07" w:rsidRPr="00761AC4">
        <w:rPr>
          <w:rtl/>
          <w:lang w:bidi="ar-EG"/>
        </w:rPr>
        <w:t>تماثلية</w:t>
      </w:r>
      <w:r w:rsidRPr="00761AC4">
        <w:rPr>
          <w:rtl/>
          <w:lang w:bidi="ar-EG"/>
        </w:rPr>
        <w:t xml:space="preserve"> ورقمية تخدم أغرا</w:t>
      </w:r>
      <w:r w:rsidR="00CE3D07" w:rsidRPr="00761AC4">
        <w:rPr>
          <w:rtl/>
          <w:lang w:bidi="ar-EG"/>
        </w:rPr>
        <w:t>ض</w:t>
      </w:r>
      <w:r w:rsidRPr="00761AC4">
        <w:rPr>
          <w:rtl/>
          <w:lang w:bidi="ar-EG"/>
        </w:rPr>
        <w:t>ا</w:t>
      </w:r>
      <w:r w:rsidR="00CE3D07" w:rsidRPr="00761AC4">
        <w:rPr>
          <w:rtl/>
          <w:lang w:bidi="ar-EG"/>
        </w:rPr>
        <w:t>ً</w:t>
      </w:r>
      <w:r w:rsidRPr="00761AC4">
        <w:rPr>
          <w:rtl/>
          <w:lang w:bidi="ar-EG"/>
        </w:rPr>
        <w:t xml:space="preserve"> خارج نطاق الاتصالات ومعالجة المعلومات، و</w:t>
      </w:r>
      <w:r w:rsidR="00CE3D07" w:rsidRPr="00761AC4">
        <w:rPr>
          <w:rtl/>
          <w:lang w:bidi="ar-EG"/>
        </w:rPr>
        <w:t>عليه</w:t>
      </w:r>
      <w:r w:rsidRPr="00761AC4">
        <w:rPr>
          <w:rtl/>
          <w:lang w:bidi="ar-EG"/>
        </w:rPr>
        <w:t xml:space="preserve"> لا ت</w:t>
      </w:r>
      <w:r w:rsidR="00CE3D07" w:rsidRPr="00761AC4">
        <w:rPr>
          <w:rtl/>
          <w:lang w:bidi="ar-EG"/>
        </w:rPr>
        <w:t>ُ</w:t>
      </w:r>
      <w:r w:rsidRPr="00761AC4">
        <w:rPr>
          <w:rtl/>
          <w:lang w:bidi="ar-EG"/>
        </w:rPr>
        <w:t xml:space="preserve">عتبر </w:t>
      </w:r>
      <w:r w:rsidR="00CE3D07" w:rsidRPr="00761AC4">
        <w:rPr>
          <w:rtl/>
          <w:lang w:bidi="ar-EG"/>
        </w:rPr>
        <w:t xml:space="preserve">من </w:t>
      </w:r>
      <w:r w:rsidRPr="00761AC4">
        <w:rPr>
          <w:rtl/>
          <w:lang w:bidi="ar-EG"/>
        </w:rPr>
        <w:t>تكنولوجيات المعلومات والاتصالات.</w:t>
      </w:r>
    </w:p>
    <w:p w14:paraId="69D43FFE" w14:textId="6ECC439C" w:rsidR="00824E67" w:rsidRPr="00761AC4" w:rsidRDefault="00CE3D07" w:rsidP="004E302F">
      <w:pPr>
        <w:rPr>
          <w:rtl/>
          <w:lang w:bidi="ar-EG"/>
        </w:rPr>
      </w:pPr>
      <w:r w:rsidRPr="00761AC4">
        <w:rPr>
          <w:rtl/>
          <w:lang w:bidi="ar-EG"/>
        </w:rPr>
        <w:t xml:space="preserve">ويُنصح بالامتناع عن استخدام مصطلح "التكنولوجيات الرقمية" في </w:t>
      </w:r>
      <w:r w:rsidR="00FB5B70" w:rsidRPr="00761AC4">
        <w:rPr>
          <w:rtl/>
          <w:lang w:bidi="ar-EG"/>
        </w:rPr>
        <w:t xml:space="preserve">اختصاصات </w:t>
      </w:r>
      <w:r w:rsidRPr="00761AC4">
        <w:rPr>
          <w:rtl/>
          <w:lang w:bidi="ar-EG"/>
        </w:rPr>
        <w:t>لجان الدراسات، واختيار مصطلحات مثل "الاتصالات/تكنولوجيا المعلومات والاتصالات" أو ببساطة تكنولوجيا المعلومات والاتصالات.</w:t>
      </w:r>
    </w:p>
    <w:p w14:paraId="46D8C849" w14:textId="562E9A82" w:rsidR="004E302F" w:rsidRPr="00761AC4" w:rsidRDefault="004E302F" w:rsidP="004E302F">
      <w:pPr>
        <w:pStyle w:val="Heading1"/>
      </w:pPr>
      <w:r w:rsidRPr="00761AC4">
        <w:t>6</w:t>
      </w:r>
      <w:r w:rsidRPr="00761AC4">
        <w:tab/>
      </w:r>
      <w:r w:rsidR="00CE3D07" w:rsidRPr="00761AC4">
        <w:rPr>
          <w:rtl/>
        </w:rPr>
        <w:t>توضيح مفهوم "لجنة دراسات رئيسية"</w:t>
      </w:r>
    </w:p>
    <w:p w14:paraId="428D6E99" w14:textId="7D7A670F" w:rsidR="004E302F" w:rsidRPr="00761AC4" w:rsidRDefault="00CE3D07" w:rsidP="004E302F">
      <w:pPr>
        <w:rPr>
          <w:rtl/>
          <w:lang w:bidi="ar-EG"/>
        </w:rPr>
      </w:pPr>
      <w:r w:rsidRPr="00761AC4">
        <w:rPr>
          <w:rtl/>
          <w:lang w:bidi="ar-EG"/>
        </w:rPr>
        <w:t xml:space="preserve">فيما مفهوم لجان الدراسات الرئيسية هو ممارسة قديمة العهد، كشفت تجارب عَملية عن تحديات في قيادة الجهود التعاونية </w:t>
      </w:r>
      <w:r w:rsidR="00100155" w:rsidRPr="00761AC4">
        <w:rPr>
          <w:rtl/>
          <w:lang w:bidi="ar-EG"/>
        </w:rPr>
        <w:t xml:space="preserve">قيادة </w:t>
      </w:r>
      <w:r w:rsidRPr="00761AC4">
        <w:rPr>
          <w:rtl/>
          <w:lang w:bidi="ar-EG"/>
        </w:rPr>
        <w:t>فعالة، ولا سيما أن العمل يعتمد على المساهمات.</w:t>
      </w:r>
    </w:p>
    <w:p w14:paraId="4543E859" w14:textId="7BEC7189" w:rsidR="00CE3D07" w:rsidRPr="00761AC4" w:rsidRDefault="00CE3D07" w:rsidP="004E302F">
      <w:pPr>
        <w:rPr>
          <w:rtl/>
          <w:lang w:bidi="ar-EG"/>
        </w:rPr>
      </w:pPr>
      <w:r w:rsidRPr="00761AC4">
        <w:rPr>
          <w:rtl/>
          <w:lang w:bidi="ar-EG"/>
        </w:rPr>
        <w:t xml:space="preserve">وتجدر الإشارة إلى أن </w:t>
      </w:r>
      <w:r w:rsidR="00583C2B" w:rsidRPr="00761AC4">
        <w:rPr>
          <w:rtl/>
          <w:lang w:bidi="ar-EG"/>
        </w:rPr>
        <w:t>الديناميات</w:t>
      </w:r>
      <w:r w:rsidRPr="00761AC4">
        <w:rPr>
          <w:rtl/>
          <w:lang w:bidi="ar-EG"/>
        </w:rPr>
        <w:t xml:space="preserve"> التشغيلية لكل لجنة دراسات تبدو متجذرة بعمق في برامج عملها المتميزة، مما يقلل من أهمية مفهوم لجنة الدراسات الرئيسية. وفي الوقت الحالي، تحدد لجان الدراسات عادةً أدوارها القيادية من خلال تحديد برامج العمل الخاصة بكل منها. ومع ذلك، </w:t>
      </w:r>
      <w:r w:rsidR="00583C2B" w:rsidRPr="00761AC4">
        <w:rPr>
          <w:rtl/>
          <w:lang w:bidi="ar-EG"/>
        </w:rPr>
        <w:t>غالباً ما يعكس</w:t>
      </w:r>
      <w:r w:rsidRPr="00761AC4">
        <w:rPr>
          <w:rtl/>
          <w:lang w:bidi="ar-EG"/>
        </w:rPr>
        <w:t xml:space="preserve"> هذا التكرار </w:t>
      </w:r>
      <w:r w:rsidR="00FB5B70" w:rsidRPr="00761AC4">
        <w:rPr>
          <w:rtl/>
          <w:lang w:bidi="ar-EG"/>
        </w:rPr>
        <w:t xml:space="preserve">الاختصاصات </w:t>
      </w:r>
      <w:r w:rsidRPr="00761AC4">
        <w:rPr>
          <w:rtl/>
          <w:lang w:bidi="ar-EG"/>
        </w:rPr>
        <w:t xml:space="preserve">المتأصلة في لجان الدراسات، مما يجعل التكرار الصريح غير ضروري. </w:t>
      </w:r>
      <w:r w:rsidR="00FB5B70" w:rsidRPr="00761AC4">
        <w:rPr>
          <w:rtl/>
          <w:lang w:bidi="ar-EG"/>
        </w:rPr>
        <w:t>و</w:t>
      </w:r>
      <w:r w:rsidRPr="00761AC4">
        <w:rPr>
          <w:rtl/>
          <w:lang w:bidi="ar-EG"/>
        </w:rPr>
        <w:t xml:space="preserve">على سبيل المثال، </w:t>
      </w:r>
      <w:r w:rsidR="00FB5B70" w:rsidRPr="00761AC4">
        <w:rPr>
          <w:rtl/>
          <w:lang w:bidi="ar-EG"/>
        </w:rPr>
        <w:t>اختصاص</w:t>
      </w:r>
      <w:r w:rsidRPr="00761AC4">
        <w:rPr>
          <w:rtl/>
          <w:lang w:bidi="ar-EG"/>
        </w:rPr>
        <w:t xml:space="preserve"> لجنة الدراسات 17 ه</w:t>
      </w:r>
      <w:r w:rsidR="00FB5B70" w:rsidRPr="00761AC4">
        <w:rPr>
          <w:rtl/>
          <w:lang w:bidi="ar-EG"/>
        </w:rPr>
        <w:t>و</w:t>
      </w:r>
      <w:r w:rsidRPr="00761AC4">
        <w:rPr>
          <w:rtl/>
          <w:lang w:bidi="ar-EG"/>
        </w:rPr>
        <w:t xml:space="preserve"> الأمن، ولجنة الدراسات 17 هي أيضا</w:t>
      </w:r>
      <w:r w:rsidR="00FB5B70" w:rsidRPr="00761AC4">
        <w:rPr>
          <w:rtl/>
          <w:lang w:bidi="ar-EG"/>
        </w:rPr>
        <w:t>ً</w:t>
      </w:r>
      <w:r w:rsidRPr="00761AC4">
        <w:rPr>
          <w:rtl/>
          <w:lang w:bidi="ar-EG"/>
        </w:rPr>
        <w:t xml:space="preserve"> لجنة الدراسات الرئيسية في مجال الأمن، </w:t>
      </w:r>
      <w:r w:rsidR="00FB5B70" w:rsidRPr="00761AC4">
        <w:rPr>
          <w:rtl/>
          <w:lang w:bidi="ar-EG"/>
        </w:rPr>
        <w:t>الأمر الذي</w:t>
      </w:r>
      <w:r w:rsidRPr="00761AC4">
        <w:rPr>
          <w:rtl/>
          <w:lang w:bidi="ar-EG"/>
        </w:rPr>
        <w:t xml:space="preserve"> يبدو </w:t>
      </w:r>
      <w:r w:rsidR="00100155" w:rsidRPr="00761AC4">
        <w:rPr>
          <w:rtl/>
          <w:lang w:bidi="ar-EG"/>
        </w:rPr>
        <w:t>تكراراً</w:t>
      </w:r>
      <w:r w:rsidRPr="00761AC4">
        <w:rPr>
          <w:rtl/>
          <w:lang w:bidi="ar-EG"/>
        </w:rPr>
        <w:t>. والوضع مماثل بالنسبة للجنة الدراسات 2 ولجنة الدراسات 3 ولجنة الدراسات 11 وغيرها</w:t>
      </w:r>
      <w:r w:rsidR="00FB5B70" w:rsidRPr="00761AC4">
        <w:rPr>
          <w:rtl/>
          <w:lang w:bidi="ar-EG"/>
        </w:rPr>
        <w:t xml:space="preserve"> من اللجان</w:t>
      </w:r>
      <w:r w:rsidRPr="00761AC4">
        <w:rPr>
          <w:rtl/>
          <w:lang w:bidi="ar-EG"/>
        </w:rPr>
        <w:t>.</w:t>
      </w:r>
    </w:p>
    <w:p w14:paraId="5C8D7CFB" w14:textId="7F1AA93A" w:rsidR="00824E67" w:rsidRPr="00761AC4" w:rsidRDefault="00FB5B70" w:rsidP="004E302F">
      <w:pPr>
        <w:rPr>
          <w:lang w:bidi="ar-EG"/>
        </w:rPr>
      </w:pPr>
      <w:r w:rsidRPr="00761AC4">
        <w:rPr>
          <w:rtl/>
          <w:lang w:bidi="ar-EG"/>
        </w:rPr>
        <w:t>وبناء</w:t>
      </w:r>
      <w:r w:rsidR="00026814">
        <w:rPr>
          <w:rFonts w:hint="cs"/>
          <w:rtl/>
          <w:lang w:bidi="ar-EG"/>
        </w:rPr>
        <w:t>ً</w:t>
      </w:r>
      <w:r w:rsidRPr="00761AC4">
        <w:rPr>
          <w:rtl/>
          <w:lang w:bidi="ar-EG"/>
        </w:rPr>
        <w:t xml:space="preserve"> على ذلك، يحتاج مفهوم "لجان الدراسات الرئيسية" إلى إعادة تقييم بغية تعزيز فعاليته. وينبغي أن يكون الهدف هو وضع تعريف واضح ومعالجة الكيفية التي تعيّن فيها لجنة الدراسات نفسها بصف</w:t>
      </w:r>
      <w:r w:rsidR="00100155" w:rsidRPr="00761AC4">
        <w:rPr>
          <w:rtl/>
          <w:lang w:bidi="ar-EG"/>
        </w:rPr>
        <w:t>ت</w:t>
      </w:r>
      <w:r w:rsidRPr="00761AC4">
        <w:rPr>
          <w:rtl/>
          <w:lang w:bidi="ar-EG"/>
        </w:rPr>
        <w:t>ها لجنة الدراسات الرئيسية، فضلاً عن الآثار المترتبة على هذا التعيين. ويمكن أن تساعد هذه الدراسة في تخفيف المشكلات الناشئة عن تأكيد بعض لجان الدراسات على القيادة</w:t>
      </w:r>
      <w:r w:rsidR="005976CB">
        <w:rPr>
          <w:rFonts w:hint="cs"/>
          <w:rtl/>
          <w:lang w:bidi="ar-EG"/>
        </w:rPr>
        <w:t> </w:t>
      </w:r>
      <w:r w:rsidRPr="00761AC4">
        <w:rPr>
          <w:rtl/>
          <w:lang w:bidi="ar-EG"/>
        </w:rPr>
        <w:t>الحصرية.</w:t>
      </w:r>
    </w:p>
    <w:p w14:paraId="31A793DF" w14:textId="5D1A6A52" w:rsidR="00FB5B70" w:rsidRPr="00761AC4" w:rsidRDefault="00100155" w:rsidP="004E302F">
      <w:pPr>
        <w:rPr>
          <w:rtl/>
          <w:lang w:bidi="ar-EG"/>
        </w:rPr>
      </w:pPr>
      <w:r w:rsidRPr="00761AC4">
        <w:rPr>
          <w:rtl/>
          <w:lang w:bidi="ar-AE"/>
        </w:rPr>
        <w:t>ويعرِّف</w:t>
      </w:r>
      <w:r w:rsidR="00FB5B70" w:rsidRPr="00761AC4">
        <w:rPr>
          <w:rtl/>
          <w:lang w:bidi="ar-EG"/>
        </w:rPr>
        <w:t xml:space="preserve"> القرار 1 للجمعية العالمية لتقييس الاتصالات مفهوم لجنة الدراسات الرئيسية في الفقرة </w:t>
      </w:r>
      <w:r w:rsidR="00761AC4" w:rsidRPr="00761AC4">
        <w:rPr>
          <w:lang w:bidi="ar-EG"/>
        </w:rPr>
        <w:t>5.1.2</w:t>
      </w:r>
      <w:r w:rsidR="00FB5B70" w:rsidRPr="00761AC4">
        <w:rPr>
          <w:rtl/>
          <w:lang w:bidi="ar-EG"/>
        </w:rPr>
        <w:t>. وفي الأساس، تعالج لجنة الدراسات الرئيسية دراسات التقييس التي تشمل العديد من لجان الدراسات. وتتولى لجنة الدراسات الرئيسية مسؤولية دراسة المسائل الأساسية وتنسيق الإطار العام. وهي تنسق وت</w:t>
      </w:r>
      <w:r w:rsidRPr="00761AC4">
        <w:rPr>
          <w:rtl/>
          <w:lang w:bidi="ar-EG"/>
        </w:rPr>
        <w:t>وكل</w:t>
      </w:r>
      <w:r w:rsidR="00FB5B70" w:rsidRPr="00761AC4">
        <w:rPr>
          <w:rtl/>
          <w:lang w:bidi="ar-EG"/>
        </w:rPr>
        <w:t xml:space="preserve"> (بالتشاور مع لجان الدراسات </w:t>
      </w:r>
      <w:r w:rsidRPr="00761AC4">
        <w:rPr>
          <w:rtl/>
          <w:lang w:bidi="ar-EG"/>
        </w:rPr>
        <w:t>المعنية</w:t>
      </w:r>
      <w:r w:rsidR="00FB5B70" w:rsidRPr="00761AC4">
        <w:rPr>
          <w:rtl/>
          <w:lang w:bidi="ar-EG"/>
        </w:rPr>
        <w:t xml:space="preserve"> و</w:t>
      </w:r>
      <w:r w:rsidRPr="00761AC4">
        <w:rPr>
          <w:rtl/>
          <w:lang w:bidi="ar-EG"/>
        </w:rPr>
        <w:t>ب</w:t>
      </w:r>
      <w:r w:rsidR="00FB5B70" w:rsidRPr="00761AC4">
        <w:rPr>
          <w:rtl/>
          <w:lang w:bidi="ar-EG"/>
        </w:rPr>
        <w:t xml:space="preserve">الاعتراف </w:t>
      </w:r>
      <w:r w:rsidRPr="00761AC4">
        <w:rPr>
          <w:rtl/>
          <w:lang w:bidi="ar-EG"/>
        </w:rPr>
        <w:t>باختصاصاتها</w:t>
      </w:r>
      <w:r w:rsidR="00FB5B70" w:rsidRPr="00761AC4">
        <w:rPr>
          <w:rtl/>
          <w:lang w:bidi="ar-EG"/>
        </w:rPr>
        <w:t xml:space="preserve">)، وتحدد أولويات الدراسات التي </w:t>
      </w:r>
      <w:r w:rsidRPr="00761AC4">
        <w:rPr>
          <w:rtl/>
          <w:lang w:bidi="ar-EG"/>
        </w:rPr>
        <w:t>تضطلع بها</w:t>
      </w:r>
      <w:r w:rsidR="00FB5B70" w:rsidRPr="00761AC4">
        <w:rPr>
          <w:rtl/>
          <w:lang w:bidi="ar-EG"/>
        </w:rPr>
        <w:t xml:space="preserve"> لجان الدراسات </w:t>
      </w:r>
      <w:r w:rsidRPr="00761AC4">
        <w:rPr>
          <w:rtl/>
          <w:lang w:bidi="ar-EG"/>
        </w:rPr>
        <w:t>المعنية</w:t>
      </w:r>
      <w:r w:rsidR="00FB5B70" w:rsidRPr="00761AC4">
        <w:rPr>
          <w:rtl/>
          <w:lang w:bidi="ar-EG"/>
        </w:rPr>
        <w:t>. و</w:t>
      </w:r>
      <w:r w:rsidRPr="00761AC4">
        <w:rPr>
          <w:rtl/>
          <w:lang w:bidi="ar-EG"/>
        </w:rPr>
        <w:t>تكفل</w:t>
      </w:r>
      <w:r w:rsidR="00FB5B70" w:rsidRPr="00761AC4">
        <w:rPr>
          <w:rtl/>
          <w:lang w:bidi="ar-EG"/>
        </w:rPr>
        <w:t xml:space="preserve"> إعداد توصيات متسقة وفي الوقت المناسب، و</w:t>
      </w:r>
      <w:r w:rsidRPr="00761AC4">
        <w:rPr>
          <w:rtl/>
          <w:lang w:bidi="ar-EG"/>
        </w:rPr>
        <w:t>تُ</w:t>
      </w:r>
      <w:r w:rsidR="00FB5B70" w:rsidRPr="00761AC4">
        <w:rPr>
          <w:rtl/>
          <w:lang w:bidi="ar-EG"/>
        </w:rPr>
        <w:t>طلع الفريق الاستشاري لتقييس الاتصالات على</w:t>
      </w:r>
      <w:r w:rsidRPr="00761AC4">
        <w:rPr>
          <w:rtl/>
          <w:lang w:bidi="ar-EG"/>
        </w:rPr>
        <w:t xml:space="preserve"> مستجدات</w:t>
      </w:r>
      <w:r w:rsidR="00FB5B70" w:rsidRPr="00761AC4">
        <w:rPr>
          <w:rtl/>
          <w:lang w:bidi="ar-EG"/>
        </w:rPr>
        <w:t xml:space="preserve"> التقدم المحرز</w:t>
      </w:r>
      <w:r w:rsidRPr="00761AC4">
        <w:rPr>
          <w:rtl/>
          <w:lang w:bidi="ar-EG"/>
        </w:rPr>
        <w:t>،</w:t>
      </w:r>
      <w:r w:rsidR="00FB5B70" w:rsidRPr="00761AC4">
        <w:rPr>
          <w:rtl/>
          <w:lang w:bidi="ar-EG"/>
        </w:rPr>
        <w:t xml:space="preserve"> و</w:t>
      </w:r>
      <w:r w:rsidRPr="00761AC4">
        <w:rPr>
          <w:rtl/>
          <w:lang w:bidi="ar-EG"/>
        </w:rPr>
        <w:t>ت</w:t>
      </w:r>
      <w:r w:rsidR="00FB5B70" w:rsidRPr="00761AC4">
        <w:rPr>
          <w:rtl/>
          <w:lang w:bidi="ar-EG"/>
        </w:rPr>
        <w:t>لتمس مشورة الفريق الاستشاري</w:t>
      </w:r>
      <w:r w:rsidRPr="00761AC4">
        <w:rPr>
          <w:rtl/>
          <w:lang w:bidi="ar-EG"/>
        </w:rPr>
        <w:t xml:space="preserve"> لتقييس الاتصالات</w:t>
      </w:r>
      <w:r w:rsidR="00FB5B70" w:rsidRPr="00761AC4">
        <w:rPr>
          <w:rtl/>
          <w:lang w:bidi="ar-EG"/>
        </w:rPr>
        <w:t xml:space="preserve"> بشأن القضايا </w:t>
      </w:r>
      <w:r w:rsidRPr="00761AC4">
        <w:rPr>
          <w:rtl/>
          <w:lang w:bidi="ar-EG"/>
        </w:rPr>
        <w:t>غير المحلولة</w:t>
      </w:r>
      <w:r w:rsidR="00FB5B70" w:rsidRPr="00761AC4">
        <w:rPr>
          <w:rtl/>
          <w:lang w:bidi="ar-EG"/>
        </w:rPr>
        <w:t>.</w:t>
      </w:r>
    </w:p>
    <w:p w14:paraId="6B8FC5FC" w14:textId="4C288FFC" w:rsidR="00D90463" w:rsidRPr="00761AC4" w:rsidRDefault="00D90463">
      <w:pPr>
        <w:pStyle w:val="Reasons"/>
        <w:rPr>
          <w:rtl/>
          <w:lang w:bidi="ar-EG"/>
        </w:rPr>
      </w:pPr>
    </w:p>
    <w:sectPr w:rsidR="00D90463" w:rsidRPr="00761AC4">
      <w:headerReference w:type="even" r:id="rId15"/>
      <w:headerReference w:type="default" r:id="rId1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5B5B1" w14:textId="77777777" w:rsidR="00226E4F" w:rsidRDefault="00226E4F" w:rsidP="002919E1">
      <w:r>
        <w:separator/>
      </w:r>
    </w:p>
    <w:p w14:paraId="5DB82FC0" w14:textId="77777777" w:rsidR="00226E4F" w:rsidRDefault="00226E4F" w:rsidP="002919E1"/>
    <w:p w14:paraId="7E0CBA87" w14:textId="77777777" w:rsidR="00226E4F" w:rsidRDefault="00226E4F" w:rsidP="002919E1"/>
    <w:p w14:paraId="495CCED2" w14:textId="77777777" w:rsidR="00226E4F" w:rsidRDefault="00226E4F"/>
  </w:endnote>
  <w:endnote w:type="continuationSeparator" w:id="0">
    <w:p w14:paraId="5C00E60B" w14:textId="77777777" w:rsidR="00226E4F" w:rsidRDefault="00226E4F" w:rsidP="002919E1">
      <w:r>
        <w:continuationSeparator/>
      </w:r>
    </w:p>
    <w:p w14:paraId="29860A17" w14:textId="77777777" w:rsidR="00226E4F" w:rsidRDefault="00226E4F" w:rsidP="002919E1"/>
    <w:p w14:paraId="163DE2E2" w14:textId="77777777" w:rsidR="00226E4F" w:rsidRDefault="00226E4F" w:rsidP="002919E1"/>
    <w:p w14:paraId="5F35B95D" w14:textId="77777777" w:rsidR="00226E4F" w:rsidRDefault="00226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BFAA3" w14:textId="77777777" w:rsidR="00226E4F" w:rsidRDefault="00226E4F" w:rsidP="002919E1">
      <w:r>
        <w:t>___________________</w:t>
      </w:r>
    </w:p>
  </w:footnote>
  <w:footnote w:type="continuationSeparator" w:id="0">
    <w:p w14:paraId="2A6B1ECC" w14:textId="77777777" w:rsidR="00226E4F" w:rsidRDefault="00226E4F" w:rsidP="002919E1">
      <w:r>
        <w:continuationSeparator/>
      </w:r>
    </w:p>
    <w:p w14:paraId="6A89491B" w14:textId="77777777" w:rsidR="00226E4F" w:rsidRDefault="00226E4F" w:rsidP="002919E1"/>
    <w:p w14:paraId="2FC67836" w14:textId="77777777" w:rsidR="00226E4F" w:rsidRDefault="00226E4F" w:rsidP="002919E1"/>
    <w:p w14:paraId="6BFE7C91" w14:textId="77777777" w:rsidR="00226E4F" w:rsidRDefault="00226E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6E53" w14:textId="77777777" w:rsidR="00281F5F" w:rsidRDefault="00281F5F" w:rsidP="002919E1"/>
  <w:p w14:paraId="6DAE375F" w14:textId="77777777" w:rsidR="00281F5F" w:rsidRDefault="00281F5F" w:rsidP="002919E1"/>
  <w:p w14:paraId="4F8F33D1"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C41D" w14:textId="77777777" w:rsidR="00654230" w:rsidRPr="00463C73" w:rsidRDefault="006175E7" w:rsidP="00463C73">
    <w:pPr>
      <w:pStyle w:val="Header"/>
      <w:spacing w:after="120"/>
      <w:rPr>
        <w:sz w:val="18"/>
        <w:szCs w:val="18"/>
      </w:rPr>
    </w:pPr>
    <w:r w:rsidRPr="00463C73">
      <w:rPr>
        <w:sz w:val="18"/>
        <w:szCs w:val="18"/>
      </w:rPr>
      <w:fldChar w:fldCharType="begin"/>
    </w:r>
    <w:r w:rsidRPr="00463C73">
      <w:rPr>
        <w:sz w:val="18"/>
        <w:szCs w:val="18"/>
      </w:rPr>
      <w:instrText xml:space="preserve"> PAGE  \* MERGEFORMAT </w:instrText>
    </w:r>
    <w:r w:rsidRPr="00463C73">
      <w:rPr>
        <w:sz w:val="18"/>
        <w:szCs w:val="18"/>
      </w:rPr>
      <w:fldChar w:fldCharType="separate"/>
    </w:r>
    <w:r w:rsidRPr="00463C73">
      <w:rPr>
        <w:sz w:val="18"/>
        <w:szCs w:val="18"/>
      </w:rPr>
      <w:t>2</w:t>
    </w:r>
    <w:r w:rsidRPr="00463C73">
      <w:rPr>
        <w:sz w:val="18"/>
        <w:szCs w:val="18"/>
      </w:rPr>
      <w:fldChar w:fldCharType="end"/>
    </w:r>
    <w:r w:rsidR="00EB52D8" w:rsidRPr="00463C73">
      <w:rPr>
        <w:sz w:val="18"/>
        <w:szCs w:val="18"/>
      </w:rPr>
      <w:br/>
    </w:r>
    <w:r w:rsidR="00966FA2" w:rsidRPr="00463C73">
      <w:rPr>
        <w:sz w:val="18"/>
        <w:szCs w:val="18"/>
      </w:rPr>
      <w:t>WTSA-24/39(Add.20)-A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F47C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2AD7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982E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67F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A6AD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516769706">
    <w:abstractNumId w:val="9"/>
  </w:num>
  <w:num w:numId="2" w16cid:durableId="345208806">
    <w:abstractNumId w:val="13"/>
  </w:num>
  <w:num w:numId="3" w16cid:durableId="33234481">
    <w:abstractNumId w:val="10"/>
  </w:num>
  <w:num w:numId="4" w16cid:durableId="659426932">
    <w:abstractNumId w:val="14"/>
  </w:num>
  <w:num w:numId="5" w16cid:durableId="1053963342">
    <w:abstractNumId w:val="7"/>
  </w:num>
  <w:num w:numId="6" w16cid:durableId="773862440">
    <w:abstractNumId w:val="6"/>
  </w:num>
  <w:num w:numId="7" w16cid:durableId="1996687122">
    <w:abstractNumId w:val="5"/>
  </w:num>
  <w:num w:numId="8" w16cid:durableId="247884941">
    <w:abstractNumId w:val="4"/>
  </w:num>
  <w:num w:numId="9" w16cid:durableId="1011106161">
    <w:abstractNumId w:val="8"/>
  </w:num>
  <w:num w:numId="10" w16cid:durableId="380860917">
    <w:abstractNumId w:val="3"/>
  </w:num>
  <w:num w:numId="11" w16cid:durableId="1552375406">
    <w:abstractNumId w:val="2"/>
  </w:num>
  <w:num w:numId="12" w16cid:durableId="930045659">
    <w:abstractNumId w:val="1"/>
  </w:num>
  <w:num w:numId="13" w16cid:durableId="1880504830">
    <w:abstractNumId w:val="0"/>
  </w:num>
  <w:num w:numId="14" w16cid:durableId="988941807">
    <w:abstractNumId w:val="11"/>
  </w:num>
  <w:num w:numId="15" w16cid:durableId="5825737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05"/>
    <w:rsid w:val="00011021"/>
    <w:rsid w:val="000114EC"/>
    <w:rsid w:val="00011F8C"/>
    <w:rsid w:val="00022B74"/>
    <w:rsid w:val="0002327C"/>
    <w:rsid w:val="00026814"/>
    <w:rsid w:val="00032741"/>
    <w:rsid w:val="00034B65"/>
    <w:rsid w:val="00040C94"/>
    <w:rsid w:val="000425FC"/>
    <w:rsid w:val="00044D43"/>
    <w:rsid w:val="00051907"/>
    <w:rsid w:val="00075A3F"/>
    <w:rsid w:val="000A1B16"/>
    <w:rsid w:val="000A3F81"/>
    <w:rsid w:val="000B0891"/>
    <w:rsid w:val="000B3896"/>
    <w:rsid w:val="000B41BC"/>
    <w:rsid w:val="000B5404"/>
    <w:rsid w:val="000D1708"/>
    <w:rsid w:val="000E2AFC"/>
    <w:rsid w:val="000E6D30"/>
    <w:rsid w:val="000F05F5"/>
    <w:rsid w:val="000F23EB"/>
    <w:rsid w:val="000F518F"/>
    <w:rsid w:val="00100155"/>
    <w:rsid w:val="0010081C"/>
    <w:rsid w:val="001013E3"/>
    <w:rsid w:val="0010363F"/>
    <w:rsid w:val="001236C1"/>
    <w:rsid w:val="00123AA6"/>
    <w:rsid w:val="0012545F"/>
    <w:rsid w:val="00130746"/>
    <w:rsid w:val="00136B82"/>
    <w:rsid w:val="001445AE"/>
    <w:rsid w:val="001464F2"/>
    <w:rsid w:val="00167364"/>
    <w:rsid w:val="0017779F"/>
    <w:rsid w:val="00184643"/>
    <w:rsid w:val="00185695"/>
    <w:rsid w:val="001903B2"/>
    <w:rsid w:val="001B5953"/>
    <w:rsid w:val="001D746E"/>
    <w:rsid w:val="001E190C"/>
    <w:rsid w:val="001E51EE"/>
    <w:rsid w:val="001E54F6"/>
    <w:rsid w:val="001E5A8C"/>
    <w:rsid w:val="00201A0A"/>
    <w:rsid w:val="002075D4"/>
    <w:rsid w:val="00211B2A"/>
    <w:rsid w:val="00223973"/>
    <w:rsid w:val="00223C6C"/>
    <w:rsid w:val="00226E4F"/>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C540A"/>
    <w:rsid w:val="002C710C"/>
    <w:rsid w:val="002D5C30"/>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9E1"/>
    <w:rsid w:val="00360E9A"/>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17A71"/>
    <w:rsid w:val="00422C04"/>
    <w:rsid w:val="00423A40"/>
    <w:rsid w:val="00426144"/>
    <w:rsid w:val="004606D0"/>
    <w:rsid w:val="004636E2"/>
    <w:rsid w:val="00463C73"/>
    <w:rsid w:val="00470CBD"/>
    <w:rsid w:val="0047407D"/>
    <w:rsid w:val="00485F9E"/>
    <w:rsid w:val="00486B2B"/>
    <w:rsid w:val="004909DD"/>
    <w:rsid w:val="004A05E6"/>
    <w:rsid w:val="004A6230"/>
    <w:rsid w:val="004A6C66"/>
    <w:rsid w:val="004A7AA0"/>
    <w:rsid w:val="004C11BC"/>
    <w:rsid w:val="004C5C04"/>
    <w:rsid w:val="004D0448"/>
    <w:rsid w:val="004D2BA9"/>
    <w:rsid w:val="004D4AE6"/>
    <w:rsid w:val="004E2A5D"/>
    <w:rsid w:val="004E302F"/>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1A6F"/>
    <w:rsid w:val="00583C2B"/>
    <w:rsid w:val="00584333"/>
    <w:rsid w:val="00586B66"/>
    <w:rsid w:val="005953EC"/>
    <w:rsid w:val="005976CB"/>
    <w:rsid w:val="005B00A1"/>
    <w:rsid w:val="005C29C8"/>
    <w:rsid w:val="005C3880"/>
    <w:rsid w:val="005C3B3A"/>
    <w:rsid w:val="005C5D25"/>
    <w:rsid w:val="005D2606"/>
    <w:rsid w:val="005D6D48"/>
    <w:rsid w:val="005D72A4"/>
    <w:rsid w:val="005F05CC"/>
    <w:rsid w:val="005F65DE"/>
    <w:rsid w:val="00613492"/>
    <w:rsid w:val="006175E7"/>
    <w:rsid w:val="00630905"/>
    <w:rsid w:val="006315B5"/>
    <w:rsid w:val="00653585"/>
    <w:rsid w:val="00654230"/>
    <w:rsid w:val="0065562F"/>
    <w:rsid w:val="006605D4"/>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04A13"/>
    <w:rsid w:val="00716B1D"/>
    <w:rsid w:val="007246AF"/>
    <w:rsid w:val="007248EC"/>
    <w:rsid w:val="007263B4"/>
    <w:rsid w:val="00726744"/>
    <w:rsid w:val="00731150"/>
    <w:rsid w:val="00734E41"/>
    <w:rsid w:val="00736DCC"/>
    <w:rsid w:val="00741855"/>
    <w:rsid w:val="00742B73"/>
    <w:rsid w:val="00746009"/>
    <w:rsid w:val="00751251"/>
    <w:rsid w:val="007610E7"/>
    <w:rsid w:val="00761AC4"/>
    <w:rsid w:val="00764079"/>
    <w:rsid w:val="00764ED7"/>
    <w:rsid w:val="00770AA0"/>
    <w:rsid w:val="007710F5"/>
    <w:rsid w:val="00771F7E"/>
    <w:rsid w:val="00773E9C"/>
    <w:rsid w:val="00775B5F"/>
    <w:rsid w:val="00776F6B"/>
    <w:rsid w:val="00777694"/>
    <w:rsid w:val="00786A7E"/>
    <w:rsid w:val="00790154"/>
    <w:rsid w:val="007A0802"/>
    <w:rsid w:val="007A3A06"/>
    <w:rsid w:val="007B1FCA"/>
    <w:rsid w:val="007B75D3"/>
    <w:rsid w:val="007C2C12"/>
    <w:rsid w:val="007C3CFA"/>
    <w:rsid w:val="007E0E8B"/>
    <w:rsid w:val="007E6847"/>
    <w:rsid w:val="007E6B0A"/>
    <w:rsid w:val="007F08CA"/>
    <w:rsid w:val="007F6388"/>
    <w:rsid w:val="007F7FC3"/>
    <w:rsid w:val="008077A5"/>
    <w:rsid w:val="00810482"/>
    <w:rsid w:val="00817568"/>
    <w:rsid w:val="008204AC"/>
    <w:rsid w:val="00824E67"/>
    <w:rsid w:val="008261C2"/>
    <w:rsid w:val="00830D96"/>
    <w:rsid w:val="00832A62"/>
    <w:rsid w:val="008362DC"/>
    <w:rsid w:val="0085569D"/>
    <w:rsid w:val="00855B59"/>
    <w:rsid w:val="00856528"/>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389D"/>
    <w:rsid w:val="008B4E93"/>
    <w:rsid w:val="008B52B7"/>
    <w:rsid w:val="008C3818"/>
    <w:rsid w:val="008D36B7"/>
    <w:rsid w:val="008D6ACC"/>
    <w:rsid w:val="008D7AF0"/>
    <w:rsid w:val="008E1A32"/>
    <w:rsid w:val="008E2CBE"/>
    <w:rsid w:val="008E32DD"/>
    <w:rsid w:val="008F4626"/>
    <w:rsid w:val="009004DF"/>
    <w:rsid w:val="00902E2A"/>
    <w:rsid w:val="00903DB9"/>
    <w:rsid w:val="00904AA5"/>
    <w:rsid w:val="009151F1"/>
    <w:rsid w:val="009234D3"/>
    <w:rsid w:val="0093046E"/>
    <w:rsid w:val="00933FE7"/>
    <w:rsid w:val="00941CDF"/>
    <w:rsid w:val="00947DFE"/>
    <w:rsid w:val="00951718"/>
    <w:rsid w:val="00960962"/>
    <w:rsid w:val="00966FA2"/>
    <w:rsid w:val="00972CE0"/>
    <w:rsid w:val="0097742C"/>
    <w:rsid w:val="009A1BA5"/>
    <w:rsid w:val="009A3D30"/>
    <w:rsid w:val="009B673F"/>
    <w:rsid w:val="009C13BE"/>
    <w:rsid w:val="009D0810"/>
    <w:rsid w:val="009D0B88"/>
    <w:rsid w:val="009D4255"/>
    <w:rsid w:val="009D6348"/>
    <w:rsid w:val="009D6F51"/>
    <w:rsid w:val="009E5007"/>
    <w:rsid w:val="009E613F"/>
    <w:rsid w:val="009F042B"/>
    <w:rsid w:val="009F0D64"/>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89D"/>
    <w:rsid w:val="00A40B2C"/>
    <w:rsid w:val="00A42ADC"/>
    <w:rsid w:val="00A5053E"/>
    <w:rsid w:val="00A65EC8"/>
    <w:rsid w:val="00A66D2B"/>
    <w:rsid w:val="00A74524"/>
    <w:rsid w:val="00A770F2"/>
    <w:rsid w:val="00A7740B"/>
    <w:rsid w:val="00A809E8"/>
    <w:rsid w:val="00A870AD"/>
    <w:rsid w:val="00A90843"/>
    <w:rsid w:val="00A9645C"/>
    <w:rsid w:val="00AA0C42"/>
    <w:rsid w:val="00AA1A24"/>
    <w:rsid w:val="00AA6493"/>
    <w:rsid w:val="00AA6EF1"/>
    <w:rsid w:val="00AB2A33"/>
    <w:rsid w:val="00AB6408"/>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234E"/>
    <w:rsid w:val="00B033DF"/>
    <w:rsid w:val="00B039AD"/>
    <w:rsid w:val="00B05B05"/>
    <w:rsid w:val="00B07CEE"/>
    <w:rsid w:val="00B12661"/>
    <w:rsid w:val="00B14A2B"/>
    <w:rsid w:val="00B16045"/>
    <w:rsid w:val="00B1667D"/>
    <w:rsid w:val="00B1714C"/>
    <w:rsid w:val="00B344B6"/>
    <w:rsid w:val="00B357E9"/>
    <w:rsid w:val="00B4164D"/>
    <w:rsid w:val="00B425C1"/>
    <w:rsid w:val="00B461EF"/>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B3EA3"/>
    <w:rsid w:val="00BC1C9A"/>
    <w:rsid w:val="00BD6291"/>
    <w:rsid w:val="00BD6EF3"/>
    <w:rsid w:val="00BE3AAE"/>
    <w:rsid w:val="00BE69C3"/>
    <w:rsid w:val="00C05E12"/>
    <w:rsid w:val="00C1165E"/>
    <w:rsid w:val="00C22074"/>
    <w:rsid w:val="00C2377B"/>
    <w:rsid w:val="00C3004A"/>
    <w:rsid w:val="00C32D73"/>
    <w:rsid w:val="00C341E0"/>
    <w:rsid w:val="00C34E09"/>
    <w:rsid w:val="00C35338"/>
    <w:rsid w:val="00C3693C"/>
    <w:rsid w:val="00C37F27"/>
    <w:rsid w:val="00C446F1"/>
    <w:rsid w:val="00C51C89"/>
    <w:rsid w:val="00C53F6F"/>
    <w:rsid w:val="00C5489D"/>
    <w:rsid w:val="00C63685"/>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3D07"/>
    <w:rsid w:val="00CE5BA4"/>
    <w:rsid w:val="00CF2A40"/>
    <w:rsid w:val="00CF2EDE"/>
    <w:rsid w:val="00CF45F6"/>
    <w:rsid w:val="00D14DEA"/>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0463"/>
    <w:rsid w:val="00D943E5"/>
    <w:rsid w:val="00D94BB8"/>
    <w:rsid w:val="00DA1AE0"/>
    <w:rsid w:val="00DA4259"/>
    <w:rsid w:val="00DA6B11"/>
    <w:rsid w:val="00DB10BF"/>
    <w:rsid w:val="00DC29DD"/>
    <w:rsid w:val="00DC7C0E"/>
    <w:rsid w:val="00DE1E82"/>
    <w:rsid w:val="00DE7387"/>
    <w:rsid w:val="00DF1928"/>
    <w:rsid w:val="00DF2A6A"/>
    <w:rsid w:val="00DF3B72"/>
    <w:rsid w:val="00E01DFD"/>
    <w:rsid w:val="00E05A0D"/>
    <w:rsid w:val="00E10821"/>
    <w:rsid w:val="00E12CA3"/>
    <w:rsid w:val="00E16E67"/>
    <w:rsid w:val="00E2489D"/>
    <w:rsid w:val="00E25610"/>
    <w:rsid w:val="00E26520"/>
    <w:rsid w:val="00E343A3"/>
    <w:rsid w:val="00E51BFA"/>
    <w:rsid w:val="00E621A3"/>
    <w:rsid w:val="00E833BC"/>
    <w:rsid w:val="00E8580E"/>
    <w:rsid w:val="00E97E21"/>
    <w:rsid w:val="00EA1B76"/>
    <w:rsid w:val="00EA77D7"/>
    <w:rsid w:val="00EB52D8"/>
    <w:rsid w:val="00EB7631"/>
    <w:rsid w:val="00EC09B9"/>
    <w:rsid w:val="00EC0AD3"/>
    <w:rsid w:val="00ED00C8"/>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5B70"/>
    <w:rsid w:val="00FB5CC8"/>
    <w:rsid w:val="00FC2CD0"/>
    <w:rsid w:val="00FC7FD8"/>
    <w:rsid w:val="00FD0594"/>
    <w:rsid w:val="00FF4FFF"/>
    <w:rsid w:val="00FF661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663FD"/>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2C540A"/>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autoRedefine/>
    <w:uiPriority w:val="99"/>
    <w:rsid w:val="00A74524"/>
    <w:pPr>
      <w:tabs>
        <w:tab w:val="clear" w:pos="794"/>
        <w:tab w:val="clear" w:pos="1191"/>
        <w:tab w:val="clear" w:pos="1588"/>
        <w:tab w:val="clear" w:pos="1985"/>
        <w:tab w:val="left" w:pos="1134"/>
        <w:tab w:val="left" w:pos="1871"/>
        <w:tab w:val="left" w:pos="2268"/>
      </w:tabs>
      <w:overflowPunct w:val="0"/>
      <w:autoSpaceDE w:val="0"/>
      <w:autoSpaceDN w:val="0"/>
      <w:bidi w:val="0"/>
      <w:adjustRightInd w:val="0"/>
      <w:textAlignment w:val="baseline"/>
    </w:p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8298">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8009e4b-8639-488a-b3c6-fe076bfbbce9" targetNamespace="http://schemas.microsoft.com/office/2006/metadata/properties" ma:root="true" ma:fieldsID="d41af5c836d734370eb92e7ee5f83852" ns2:_="" ns3:_="">
    <xsd:import namespace="996b2e75-67fd-4955-a3b0-5ab9934cb50b"/>
    <xsd:import namespace="a8009e4b-8639-488a-b3c6-fe076bfbbce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8009e4b-8639-488a-b3c6-fe076bfbbce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PM_x0020_Author xmlns="a8009e4b-8639-488a-b3c6-fe076bfbbce9">DPM</DPM_x0020_Author>
    <DPM_x0020_File_x0020_name xmlns="a8009e4b-8639-488a-b3c6-fe076bfbbce9">T22-WTSA.24-C-0039!A20!MSW-A</DPM_x0020_File_x0020_name>
    <DPM_x0020_Version xmlns="a8009e4b-8639-488a-b3c6-fe076bfbbce9">DPM_2022.05.12.01</DPM_x0020_Version>
  </documentManagement>
</p:properties>
</file>

<file path=customXml/itemProps1.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8009e4b-8639-488a-b3c6-fe076bfbb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a8009e4b-8639-488a-b3c6-fe076bfbbce9"/>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1136</Words>
  <Characters>6466</Characters>
  <Application>Microsoft Office Word</Application>
  <DocSecurity>0</DocSecurity>
  <Lines>153</Lines>
  <Paragraphs>50</Paragraphs>
  <ScaleCrop>false</ScaleCrop>
  <HeadingPairs>
    <vt:vector size="2" baseType="variant">
      <vt:variant>
        <vt:lpstr>Title</vt:lpstr>
      </vt:variant>
      <vt:variant>
        <vt:i4>1</vt:i4>
      </vt:variant>
    </vt:vector>
  </HeadingPairs>
  <TitlesOfParts>
    <vt:vector size="1" baseType="lpstr">
      <vt:lpstr>T22-WTSA.24-C-0039!A20!MSW-A</vt:lpstr>
    </vt:vector>
  </TitlesOfParts>
  <Manager>General Secretariat - Pool</Manager>
  <Company>International Telecommunication Union (ITU)</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T22-WTSA.24-C-0039!A20!MSW-A</dc:title>
  <dc:subject>World Telecommunication Standardization Assembly</dc:subject>
  <dc:creator>Documents Proposals Manager (DPM)</dc:creator>
  <cp:keywords>DPM_v2024.7.23.2_prod</cp:keywords>
  <dc:description>Template used by DPM and CPI for the WTSA-24</dc:description>
  <cp:lastModifiedBy>GE</cp:lastModifiedBy>
  <cp:revision>14</cp:revision>
  <cp:lastPrinted>2019-06-26T10:10:00Z</cp:lastPrinted>
  <dcterms:created xsi:type="dcterms:W3CDTF">2024-10-09T07:25:00Z</dcterms:created>
  <dcterms:modified xsi:type="dcterms:W3CDTF">2024-10-11T09:18:00Z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y fmtid="{D5CDD505-2E9C-101B-9397-08002B2CF9AE}" pid="10" name="GrammarlyDocumentId">
    <vt:lpwstr>04260b44137dba4dbc1b047330bb0888e819e08374af361c9bab7b52df09261c</vt:lpwstr>
  </property>
</Properties>
</file>