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D1792B" w14:paraId="26CA0ED8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35D9F73F" w14:textId="77777777" w:rsidR="00D2023F" w:rsidRPr="00D1792B" w:rsidRDefault="0018215C" w:rsidP="00F46D0C">
            <w:pPr>
              <w:spacing w:before="0"/>
              <w:rPr>
                <w:lang w:val="fr-FR"/>
              </w:rPr>
            </w:pPr>
            <w:r w:rsidRPr="00D1792B">
              <w:rPr>
                <w:noProof/>
                <w:lang w:val="fr-FR"/>
              </w:rPr>
              <w:drawing>
                <wp:inline distT="0" distB="0" distL="0" distR="0" wp14:anchorId="61DB32CE" wp14:editId="3138FABA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5EEF4A5" w14:textId="1B5D36B1" w:rsidR="00D2023F" w:rsidRPr="00D1792B" w:rsidRDefault="006F0DB7" w:rsidP="00F46D0C">
            <w:pPr>
              <w:pStyle w:val="TopHeader"/>
              <w:rPr>
                <w:lang w:val="fr-FR"/>
              </w:rPr>
            </w:pPr>
            <w:r w:rsidRPr="00D1792B">
              <w:rPr>
                <w:lang w:val="fr-FR"/>
              </w:rPr>
              <w:t>Assemblée mondiale de normalisation des télécommunications (AMNT-24)</w:t>
            </w:r>
            <w:r w:rsidRPr="00D1792B">
              <w:rPr>
                <w:sz w:val="26"/>
                <w:szCs w:val="26"/>
                <w:lang w:val="fr-FR"/>
              </w:rPr>
              <w:br/>
            </w:r>
            <w:r w:rsidRPr="00D1792B">
              <w:rPr>
                <w:sz w:val="18"/>
                <w:szCs w:val="18"/>
                <w:lang w:val="fr-FR"/>
              </w:rPr>
              <w:t>New Delhi, 15</w:t>
            </w:r>
            <w:r w:rsidR="00F46D0C">
              <w:rPr>
                <w:sz w:val="18"/>
                <w:szCs w:val="18"/>
                <w:lang w:val="fr-FR"/>
              </w:rPr>
              <w:t>-</w:t>
            </w:r>
            <w:r w:rsidRPr="00D1792B">
              <w:rPr>
                <w:sz w:val="18"/>
                <w:szCs w:val="18"/>
                <w:lang w:val="fr-FR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3B2C1FBB" w14:textId="77777777" w:rsidR="00D2023F" w:rsidRPr="00D1792B" w:rsidRDefault="00D2023F" w:rsidP="00F46D0C">
            <w:pPr>
              <w:spacing w:before="0"/>
              <w:rPr>
                <w:lang w:val="fr-FR"/>
              </w:rPr>
            </w:pPr>
            <w:r w:rsidRPr="00D1792B">
              <w:rPr>
                <w:noProof/>
                <w:lang w:val="fr-FR" w:eastAsia="zh-CN"/>
              </w:rPr>
              <w:drawing>
                <wp:inline distT="0" distB="0" distL="0" distR="0" wp14:anchorId="71F78F01" wp14:editId="4136069C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D1792B" w14:paraId="40C6016B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0A83A01" w14:textId="77777777" w:rsidR="00D2023F" w:rsidRPr="00D1792B" w:rsidRDefault="00D2023F" w:rsidP="00F46D0C">
            <w:pPr>
              <w:spacing w:before="0"/>
              <w:rPr>
                <w:lang w:val="fr-FR"/>
              </w:rPr>
            </w:pPr>
          </w:p>
        </w:tc>
      </w:tr>
      <w:tr w:rsidR="00931298" w:rsidRPr="00D1792B" w14:paraId="665A0932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7314389" w14:textId="77777777" w:rsidR="00931298" w:rsidRPr="00D1792B" w:rsidRDefault="00931298" w:rsidP="00F46D0C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07F89432" w14:textId="77777777" w:rsidR="00931298" w:rsidRPr="00D1792B" w:rsidRDefault="00931298" w:rsidP="00F46D0C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52D4D" w:rsidRPr="00D1792B" w14:paraId="20D0ECBA" w14:textId="77777777" w:rsidTr="00267BFB">
        <w:trPr>
          <w:cantSplit/>
        </w:trPr>
        <w:tc>
          <w:tcPr>
            <w:tcW w:w="6237" w:type="dxa"/>
            <w:gridSpan w:val="2"/>
          </w:tcPr>
          <w:p w14:paraId="271FA47F" w14:textId="77777777" w:rsidR="00752D4D" w:rsidRPr="00D1792B" w:rsidRDefault="007F4179" w:rsidP="00F46D0C">
            <w:pPr>
              <w:pStyle w:val="Committee"/>
              <w:spacing w:line="240" w:lineRule="auto"/>
              <w:rPr>
                <w:lang w:val="fr-FR"/>
              </w:rPr>
            </w:pPr>
            <w:r w:rsidRPr="00D1792B">
              <w:rPr>
                <w:lang w:val="fr-FR"/>
              </w:rPr>
              <w:t>SÉANCE PLÉNIÈRE</w:t>
            </w:r>
          </w:p>
        </w:tc>
        <w:tc>
          <w:tcPr>
            <w:tcW w:w="3574" w:type="dxa"/>
            <w:gridSpan w:val="2"/>
          </w:tcPr>
          <w:p w14:paraId="03F6741B" w14:textId="77777777" w:rsidR="00752D4D" w:rsidRPr="00D1792B" w:rsidRDefault="007F4179" w:rsidP="00F46D0C">
            <w:pPr>
              <w:pStyle w:val="Docnumber"/>
              <w:rPr>
                <w:lang w:val="fr-FR"/>
              </w:rPr>
            </w:pPr>
            <w:r w:rsidRPr="00D1792B">
              <w:rPr>
                <w:lang w:val="fr-FR"/>
              </w:rPr>
              <w:t>Addendum 19 au</w:t>
            </w:r>
            <w:r w:rsidRPr="00D1792B">
              <w:rPr>
                <w:lang w:val="fr-FR"/>
              </w:rPr>
              <w:br/>
              <w:t>Document 39</w:t>
            </w:r>
            <w:r w:rsidR="00F94D62" w:rsidRPr="00D1792B">
              <w:rPr>
                <w:lang w:val="fr-FR"/>
              </w:rPr>
              <w:t>-</w:t>
            </w:r>
            <w:r w:rsidR="00EE4CB8" w:rsidRPr="00D1792B">
              <w:rPr>
                <w:lang w:val="fr-FR"/>
              </w:rPr>
              <w:t>F</w:t>
            </w:r>
          </w:p>
        </w:tc>
      </w:tr>
      <w:tr w:rsidR="00931298" w:rsidRPr="00D1792B" w14:paraId="0C8D2D94" w14:textId="77777777" w:rsidTr="00267BFB">
        <w:trPr>
          <w:cantSplit/>
        </w:trPr>
        <w:tc>
          <w:tcPr>
            <w:tcW w:w="6237" w:type="dxa"/>
            <w:gridSpan w:val="2"/>
          </w:tcPr>
          <w:p w14:paraId="0A1668E6" w14:textId="77777777" w:rsidR="00931298" w:rsidRPr="00D1792B" w:rsidRDefault="00931298" w:rsidP="00F46D0C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18C3046B" w14:textId="77777777" w:rsidR="00931298" w:rsidRPr="00D1792B" w:rsidRDefault="007F4179" w:rsidP="00F46D0C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D1792B">
              <w:rPr>
                <w:sz w:val="20"/>
                <w:szCs w:val="16"/>
                <w:lang w:val="fr-FR"/>
              </w:rPr>
              <w:t>13 septembre 2024</w:t>
            </w:r>
          </w:p>
        </w:tc>
      </w:tr>
      <w:tr w:rsidR="00931298" w:rsidRPr="00D1792B" w14:paraId="6E081DD5" w14:textId="77777777" w:rsidTr="00267BFB">
        <w:trPr>
          <w:cantSplit/>
        </w:trPr>
        <w:tc>
          <w:tcPr>
            <w:tcW w:w="6237" w:type="dxa"/>
            <w:gridSpan w:val="2"/>
          </w:tcPr>
          <w:p w14:paraId="1F1A3CCB" w14:textId="77777777" w:rsidR="00931298" w:rsidRPr="00D1792B" w:rsidRDefault="00931298" w:rsidP="00F46D0C">
            <w:pPr>
              <w:spacing w:before="0"/>
              <w:rPr>
                <w:lang w:val="fr-FR"/>
              </w:rPr>
            </w:pPr>
          </w:p>
        </w:tc>
        <w:tc>
          <w:tcPr>
            <w:tcW w:w="3574" w:type="dxa"/>
            <w:gridSpan w:val="2"/>
          </w:tcPr>
          <w:p w14:paraId="4C9AE9CC" w14:textId="77777777" w:rsidR="00931298" w:rsidRPr="00D1792B" w:rsidRDefault="007F4179" w:rsidP="00F46D0C">
            <w:pPr>
              <w:pStyle w:val="TopHeader"/>
              <w:spacing w:before="0"/>
              <w:rPr>
                <w:sz w:val="20"/>
                <w:szCs w:val="20"/>
                <w:lang w:val="fr-FR"/>
              </w:rPr>
            </w:pPr>
            <w:r w:rsidRPr="00D1792B">
              <w:rPr>
                <w:sz w:val="20"/>
                <w:szCs w:val="16"/>
                <w:lang w:val="fr-FR"/>
              </w:rPr>
              <w:t>Original: anglais</w:t>
            </w:r>
          </w:p>
        </w:tc>
      </w:tr>
      <w:tr w:rsidR="00931298" w:rsidRPr="00D1792B" w14:paraId="2A496803" w14:textId="77777777" w:rsidTr="00267BFB">
        <w:trPr>
          <w:cantSplit/>
        </w:trPr>
        <w:tc>
          <w:tcPr>
            <w:tcW w:w="9811" w:type="dxa"/>
            <w:gridSpan w:val="4"/>
          </w:tcPr>
          <w:p w14:paraId="486D75B4" w14:textId="77777777" w:rsidR="00931298" w:rsidRPr="00D1792B" w:rsidRDefault="00931298" w:rsidP="00F46D0C">
            <w:pPr>
              <w:spacing w:before="0"/>
              <w:rPr>
                <w:sz w:val="20"/>
                <w:szCs w:val="16"/>
                <w:lang w:val="fr-FR"/>
              </w:rPr>
            </w:pPr>
          </w:p>
        </w:tc>
      </w:tr>
      <w:tr w:rsidR="007F4179" w:rsidRPr="00954E3E" w14:paraId="64397155" w14:textId="77777777" w:rsidTr="00267BFB">
        <w:trPr>
          <w:cantSplit/>
        </w:trPr>
        <w:tc>
          <w:tcPr>
            <w:tcW w:w="9811" w:type="dxa"/>
            <w:gridSpan w:val="4"/>
          </w:tcPr>
          <w:p w14:paraId="5D280AF6" w14:textId="29CC64C5" w:rsidR="007F4179" w:rsidRPr="00D1792B" w:rsidRDefault="00404D87" w:rsidP="00F46D0C">
            <w:pPr>
              <w:pStyle w:val="Source"/>
              <w:rPr>
                <w:lang w:val="fr-FR"/>
              </w:rPr>
            </w:pPr>
            <w:r w:rsidRPr="00D1792B">
              <w:rPr>
                <w:lang w:val="fr-FR"/>
              </w:rPr>
              <w:t>États</w:t>
            </w:r>
            <w:r w:rsidR="007F4179" w:rsidRPr="00D1792B">
              <w:rPr>
                <w:lang w:val="fr-FR"/>
              </w:rPr>
              <w:t xml:space="preserve"> Membres de la Commission interaméricaine des télécommunications (CITEL)</w:t>
            </w:r>
          </w:p>
        </w:tc>
      </w:tr>
      <w:tr w:rsidR="007F4179" w:rsidRPr="00954E3E" w14:paraId="29D3E948" w14:textId="77777777" w:rsidTr="00267BFB">
        <w:trPr>
          <w:cantSplit/>
        </w:trPr>
        <w:tc>
          <w:tcPr>
            <w:tcW w:w="9811" w:type="dxa"/>
            <w:gridSpan w:val="4"/>
          </w:tcPr>
          <w:p w14:paraId="0ABDAE49" w14:textId="5B2D00B1" w:rsidR="007F4179" w:rsidRPr="00D1792B" w:rsidRDefault="00A457C7" w:rsidP="00F46D0C">
            <w:pPr>
              <w:pStyle w:val="Title1"/>
              <w:rPr>
                <w:lang w:val="fr-FR"/>
              </w:rPr>
            </w:pPr>
            <w:r w:rsidRPr="00D1792B">
              <w:rPr>
                <w:lang w:val="fr-FR"/>
              </w:rPr>
              <w:t>projet de nouvelle résolution</w:t>
            </w:r>
            <w:r w:rsidR="007F4179" w:rsidRPr="00D1792B">
              <w:rPr>
                <w:lang w:val="fr-FR"/>
              </w:rPr>
              <w:t xml:space="preserve"> [IAP</w:t>
            </w:r>
            <w:r w:rsidR="00954E3E">
              <w:rPr>
                <w:lang w:val="fr-FR"/>
              </w:rPr>
              <w:t>-MV</w:t>
            </w:r>
            <w:r w:rsidR="007F4179" w:rsidRPr="00D1792B">
              <w:rPr>
                <w:lang w:val="fr-FR"/>
              </w:rPr>
              <w:t xml:space="preserve">] </w:t>
            </w:r>
            <w:r w:rsidR="00404D87" w:rsidRPr="00D1792B">
              <w:rPr>
                <w:lang w:val="fr-FR"/>
              </w:rPr>
              <w:t>–</w:t>
            </w:r>
            <w:r w:rsidR="00C96537" w:rsidRPr="00D1792B">
              <w:rPr>
                <w:lang w:val="fr-FR"/>
              </w:rPr>
              <w:t xml:space="preserve"> </w:t>
            </w:r>
            <w:r w:rsidR="007F4179" w:rsidRPr="00D1792B">
              <w:rPr>
                <w:lang w:val="fr-FR"/>
              </w:rPr>
              <w:t xml:space="preserve">initiatives </w:t>
            </w:r>
            <w:r w:rsidRPr="00D1792B">
              <w:rPr>
                <w:lang w:val="fr-FR"/>
              </w:rPr>
              <w:t>de normalisation de l</w:t>
            </w:r>
            <w:r w:rsidR="00C96537" w:rsidRPr="00D1792B">
              <w:rPr>
                <w:lang w:val="fr-FR"/>
              </w:rPr>
              <w:t>'</w:t>
            </w:r>
            <w:r w:rsidRPr="00D1792B">
              <w:rPr>
                <w:lang w:val="fr-FR"/>
              </w:rPr>
              <w:t>UIt visant à promouvoir les</w:t>
            </w:r>
            <w:r w:rsidR="007F4179" w:rsidRPr="00D1792B">
              <w:rPr>
                <w:lang w:val="fr-FR"/>
              </w:rPr>
              <w:t xml:space="preserve"> technologies</w:t>
            </w:r>
            <w:r w:rsidRPr="00D1792B">
              <w:rPr>
                <w:lang w:val="fr-FR"/>
              </w:rPr>
              <w:t xml:space="preserve"> de base du métavers</w:t>
            </w:r>
          </w:p>
        </w:tc>
      </w:tr>
      <w:tr w:rsidR="00657CDA" w:rsidRPr="00954E3E" w14:paraId="15795AC9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41A942ED" w14:textId="77777777" w:rsidR="00657CDA" w:rsidRPr="00D1792B" w:rsidRDefault="00657CDA" w:rsidP="00F46D0C">
            <w:pPr>
              <w:pStyle w:val="Title2"/>
              <w:spacing w:before="0"/>
              <w:rPr>
                <w:lang w:val="fr-FR"/>
              </w:rPr>
            </w:pPr>
          </w:p>
        </w:tc>
      </w:tr>
      <w:tr w:rsidR="00657CDA" w:rsidRPr="00954E3E" w14:paraId="728A8027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6B9C9EF1" w14:textId="77777777" w:rsidR="00657CDA" w:rsidRPr="00D1792B" w:rsidRDefault="00657CDA" w:rsidP="00F46D0C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46635B11" w14:textId="77777777" w:rsidR="00931298" w:rsidRPr="00D1792B" w:rsidRDefault="00931298" w:rsidP="00F46D0C">
      <w:pPr>
        <w:rPr>
          <w:lang w:val="fr-FR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954E3E" w14:paraId="0276DECD" w14:textId="77777777" w:rsidTr="00267BFB">
        <w:trPr>
          <w:cantSplit/>
        </w:trPr>
        <w:tc>
          <w:tcPr>
            <w:tcW w:w="1912" w:type="dxa"/>
          </w:tcPr>
          <w:p w14:paraId="6CA9819A" w14:textId="77777777" w:rsidR="00931298" w:rsidRPr="00D1792B" w:rsidRDefault="006F0DB7" w:rsidP="00F46D0C">
            <w:pPr>
              <w:rPr>
                <w:lang w:val="fr-FR"/>
              </w:rPr>
            </w:pPr>
            <w:r w:rsidRPr="00D1792B">
              <w:rPr>
                <w:b/>
                <w:bCs/>
                <w:lang w:val="fr-FR"/>
              </w:rPr>
              <w:t>Résumé:</w:t>
            </w:r>
          </w:p>
        </w:tc>
        <w:tc>
          <w:tcPr>
            <w:tcW w:w="7870" w:type="dxa"/>
            <w:gridSpan w:val="2"/>
          </w:tcPr>
          <w:p w14:paraId="5F67A566" w14:textId="44362EF7" w:rsidR="00931298" w:rsidRPr="00D1792B" w:rsidRDefault="00196988" w:rsidP="00F46D0C">
            <w:pPr>
              <w:pStyle w:val="Abstract"/>
              <w:rPr>
                <w:lang w:val="fr-FR"/>
              </w:rPr>
            </w:pPr>
            <w:r w:rsidRPr="00D1792B">
              <w:rPr>
                <w:lang w:val="fr-FR"/>
              </w:rPr>
              <w:t>La CITEL propose de soumettre à l</w:t>
            </w:r>
            <w:r w:rsidR="00C96537" w:rsidRPr="00D1792B">
              <w:rPr>
                <w:lang w:val="fr-FR"/>
              </w:rPr>
              <w:t>'</w:t>
            </w:r>
            <w:r w:rsidRPr="00D1792B">
              <w:rPr>
                <w:lang w:val="fr-FR"/>
              </w:rPr>
              <w:t>AMNT-24 un projet de nouvelle Résolution intitulé "</w:t>
            </w:r>
            <w:r w:rsidRPr="00D1792B">
              <w:rPr>
                <w:i/>
                <w:iCs/>
                <w:lang w:val="fr-FR"/>
              </w:rPr>
              <w:t>Initiatives de normalisation de l</w:t>
            </w:r>
            <w:r w:rsidR="00C96537" w:rsidRPr="00D1792B">
              <w:rPr>
                <w:i/>
                <w:iCs/>
                <w:lang w:val="fr-FR"/>
              </w:rPr>
              <w:t>'</w:t>
            </w:r>
            <w:r w:rsidRPr="00D1792B">
              <w:rPr>
                <w:i/>
                <w:iCs/>
                <w:lang w:val="fr-FR"/>
              </w:rPr>
              <w:t>UIT visant à promouvoir les technologies de base du métavers</w:t>
            </w:r>
            <w:r w:rsidRPr="00D1792B">
              <w:rPr>
                <w:lang w:val="fr-FR"/>
              </w:rPr>
              <w:t>", afin de promouvoir une approche coordonnée et efficace de la normalisation des technologies de base du métavers favorisant leur développement.</w:t>
            </w:r>
          </w:p>
          <w:p w14:paraId="3DDDD666" w14:textId="410CA33D" w:rsidR="00196988" w:rsidRPr="00D1792B" w:rsidRDefault="00196988" w:rsidP="00F46D0C">
            <w:pPr>
              <w:pStyle w:val="Abstract"/>
              <w:rPr>
                <w:lang w:val="fr-FR"/>
              </w:rPr>
            </w:pPr>
            <w:r w:rsidRPr="00D1792B">
              <w:rPr>
                <w:lang w:val="fr-FR"/>
              </w:rPr>
              <w:t>La CITEL estime qu</w:t>
            </w:r>
            <w:r w:rsidR="00C96537" w:rsidRPr="00D1792B">
              <w:rPr>
                <w:lang w:val="fr-FR"/>
              </w:rPr>
              <w:t>'</w:t>
            </w:r>
            <w:r w:rsidRPr="00D1792B">
              <w:rPr>
                <w:lang w:val="fr-FR"/>
              </w:rPr>
              <w:t>il est essentiel de créer un environnement approprié pour la normalisation, ainsi que de donner la priorité à la conception efficace de politiques qui traitent des différents aspects du métavers, atténuent les risques qu</w:t>
            </w:r>
            <w:r w:rsidR="00C96537" w:rsidRPr="00D1792B">
              <w:rPr>
                <w:lang w:val="fr-FR"/>
              </w:rPr>
              <w:t>'</w:t>
            </w:r>
            <w:r w:rsidRPr="00D1792B">
              <w:rPr>
                <w:lang w:val="fr-FR"/>
              </w:rPr>
              <w:t xml:space="preserve">il présente sans toutefois restreindre les </w:t>
            </w:r>
            <w:r w:rsidR="000D56FE" w:rsidRPr="00D1792B">
              <w:rPr>
                <w:lang w:val="fr-FR"/>
              </w:rPr>
              <w:t>possibilités qu</w:t>
            </w:r>
            <w:r w:rsidR="00C96537" w:rsidRPr="00D1792B">
              <w:rPr>
                <w:lang w:val="fr-FR"/>
              </w:rPr>
              <w:t>'</w:t>
            </w:r>
            <w:r w:rsidRPr="00D1792B">
              <w:rPr>
                <w:lang w:val="fr-FR"/>
              </w:rPr>
              <w:t>off</w:t>
            </w:r>
            <w:r w:rsidR="000D56FE" w:rsidRPr="00D1792B">
              <w:rPr>
                <w:lang w:val="fr-FR"/>
              </w:rPr>
              <w:t xml:space="preserve">re </w:t>
            </w:r>
            <w:r w:rsidR="007A433B" w:rsidRPr="00D1792B">
              <w:rPr>
                <w:lang w:val="fr-FR"/>
              </w:rPr>
              <w:t xml:space="preserve">son essor </w:t>
            </w:r>
            <w:r w:rsidRPr="00D1792B">
              <w:rPr>
                <w:lang w:val="fr-FR"/>
              </w:rPr>
              <w:t xml:space="preserve">et permettent </w:t>
            </w:r>
            <w:r w:rsidR="000D56FE" w:rsidRPr="00D1792B">
              <w:rPr>
                <w:lang w:val="fr-FR"/>
              </w:rPr>
              <w:t xml:space="preserve">à la fois </w:t>
            </w:r>
            <w:r w:rsidRPr="00D1792B">
              <w:rPr>
                <w:lang w:val="fr-FR"/>
              </w:rPr>
              <w:t xml:space="preserve">de renforcer ses </w:t>
            </w:r>
            <w:r w:rsidR="007A433B" w:rsidRPr="00D1792B">
              <w:rPr>
                <w:lang w:val="fr-FR"/>
              </w:rPr>
              <w:t xml:space="preserve">éventuelles </w:t>
            </w:r>
            <w:r w:rsidRPr="00D1792B">
              <w:rPr>
                <w:lang w:val="fr-FR"/>
              </w:rPr>
              <w:t xml:space="preserve">retombées, notamment en favorisant la réduction de la fracture numérique et la réalisation des Objectifs de développement durable (ODD), </w:t>
            </w:r>
            <w:r w:rsidR="000D56FE" w:rsidRPr="00D1792B">
              <w:rPr>
                <w:lang w:val="fr-FR"/>
              </w:rPr>
              <w:t xml:space="preserve">et </w:t>
            </w:r>
            <w:r w:rsidRPr="00D1792B">
              <w:rPr>
                <w:lang w:val="fr-FR"/>
              </w:rPr>
              <w:t>de répondre aux préoccupations liées</w:t>
            </w:r>
            <w:r w:rsidR="000D56FE" w:rsidRPr="00D1792B">
              <w:rPr>
                <w:lang w:val="fr-FR"/>
              </w:rPr>
              <w:t xml:space="preserve"> </w:t>
            </w:r>
            <w:r w:rsidRPr="00D1792B">
              <w:rPr>
                <w:lang w:val="fr-FR"/>
              </w:rPr>
              <w:t>à</w:t>
            </w:r>
            <w:r w:rsidR="00D1792B" w:rsidRPr="00D1792B">
              <w:rPr>
                <w:lang w:val="fr-FR"/>
              </w:rPr>
              <w:t> </w:t>
            </w:r>
            <w:r w:rsidRPr="00D1792B">
              <w:rPr>
                <w:lang w:val="fr-FR"/>
              </w:rPr>
              <w:t>l</w:t>
            </w:r>
            <w:r w:rsidR="00C96537" w:rsidRPr="00D1792B">
              <w:rPr>
                <w:lang w:val="fr-FR"/>
              </w:rPr>
              <w:t>'</w:t>
            </w:r>
            <w:r w:rsidRPr="00D1792B">
              <w:rPr>
                <w:lang w:val="fr-FR"/>
              </w:rPr>
              <w:t>interopérabilité, à l</w:t>
            </w:r>
            <w:r w:rsidR="00C96537" w:rsidRPr="00D1792B">
              <w:rPr>
                <w:lang w:val="fr-FR"/>
              </w:rPr>
              <w:t>'</w:t>
            </w:r>
            <w:r w:rsidRPr="00D1792B">
              <w:rPr>
                <w:lang w:val="fr-FR"/>
              </w:rPr>
              <w:t>accessibilité et à l</w:t>
            </w:r>
            <w:r w:rsidR="00C96537" w:rsidRPr="00D1792B">
              <w:rPr>
                <w:lang w:val="fr-FR"/>
              </w:rPr>
              <w:t>'</w:t>
            </w:r>
            <w:r w:rsidRPr="00D1792B">
              <w:rPr>
                <w:lang w:val="fr-FR"/>
              </w:rPr>
              <w:t>inclusion, à la dynamique concurrentielle du marché, à la sécurité, à la confiance, à la confidentialité et à</w:t>
            </w:r>
            <w:r w:rsidR="00D1792B" w:rsidRPr="00D1792B">
              <w:rPr>
                <w:lang w:val="fr-FR"/>
              </w:rPr>
              <w:t> </w:t>
            </w:r>
            <w:r w:rsidRPr="00D1792B">
              <w:rPr>
                <w:lang w:val="fr-FR"/>
              </w:rPr>
              <w:t>la protection des données</w:t>
            </w:r>
            <w:r w:rsidR="000D56FE" w:rsidRPr="00D1792B">
              <w:rPr>
                <w:lang w:val="fr-FR"/>
              </w:rPr>
              <w:t>, entre autres</w:t>
            </w:r>
            <w:r w:rsidRPr="00D1792B">
              <w:rPr>
                <w:lang w:val="fr-FR"/>
              </w:rPr>
              <w:t>.</w:t>
            </w:r>
          </w:p>
        </w:tc>
      </w:tr>
      <w:tr w:rsidR="00931298" w:rsidRPr="00D1792B" w14:paraId="48D8F69F" w14:textId="77777777" w:rsidTr="00267BFB">
        <w:trPr>
          <w:cantSplit/>
        </w:trPr>
        <w:tc>
          <w:tcPr>
            <w:tcW w:w="1912" w:type="dxa"/>
          </w:tcPr>
          <w:p w14:paraId="254E067C" w14:textId="77777777" w:rsidR="00931298" w:rsidRPr="00D1792B" w:rsidRDefault="00931298" w:rsidP="00F46D0C">
            <w:pPr>
              <w:rPr>
                <w:b/>
                <w:bCs/>
                <w:szCs w:val="24"/>
                <w:lang w:val="fr-FR"/>
              </w:rPr>
            </w:pPr>
            <w:r w:rsidRPr="00D1792B">
              <w:rPr>
                <w:b/>
                <w:bCs/>
                <w:szCs w:val="24"/>
                <w:lang w:val="fr-FR"/>
              </w:rPr>
              <w:t>Contact:</w:t>
            </w:r>
          </w:p>
        </w:tc>
        <w:tc>
          <w:tcPr>
            <w:tcW w:w="3935" w:type="dxa"/>
          </w:tcPr>
          <w:p w14:paraId="3D5B9CBD" w14:textId="1C370F57" w:rsidR="00FE5494" w:rsidRPr="00D1792B" w:rsidRDefault="00A02601" w:rsidP="00F46D0C">
            <w:pPr>
              <w:rPr>
                <w:lang w:val="fr-FR"/>
              </w:rPr>
            </w:pPr>
            <w:r w:rsidRPr="00D1792B">
              <w:rPr>
                <w:lang w:val="fr-FR"/>
              </w:rPr>
              <w:t>Maria Celeste Fuenmayor</w:t>
            </w:r>
            <w:r w:rsidR="00F46D0C">
              <w:rPr>
                <w:lang w:val="fr-FR"/>
              </w:rPr>
              <w:br/>
            </w:r>
            <w:r w:rsidRPr="00D1792B">
              <w:rPr>
                <w:lang w:val="fr-FR"/>
              </w:rPr>
              <w:t>Commission interaméricaine des télécommunications</w:t>
            </w:r>
          </w:p>
        </w:tc>
        <w:tc>
          <w:tcPr>
            <w:tcW w:w="3935" w:type="dxa"/>
          </w:tcPr>
          <w:p w14:paraId="7E98D965" w14:textId="139F319B" w:rsidR="00931298" w:rsidRPr="00D1792B" w:rsidRDefault="006F0DB7" w:rsidP="00F46D0C">
            <w:pPr>
              <w:rPr>
                <w:lang w:val="fr-FR"/>
              </w:rPr>
            </w:pPr>
            <w:r w:rsidRPr="00D1792B">
              <w:rPr>
                <w:lang w:val="fr-FR"/>
              </w:rPr>
              <w:t>Courriel:</w:t>
            </w:r>
            <w:r w:rsidR="00D1792B">
              <w:rPr>
                <w:lang w:val="fr-FR"/>
              </w:rPr>
              <w:tab/>
            </w:r>
            <w:hyperlink r:id="rId14" w:history="1">
              <w:r w:rsidR="00D1792B" w:rsidRPr="000414FC">
                <w:rPr>
                  <w:rStyle w:val="Hyperlink"/>
                  <w:lang w:val="fr-FR"/>
                </w:rPr>
                <w:t>mfuenmayor@oas.org</w:t>
              </w:r>
            </w:hyperlink>
          </w:p>
        </w:tc>
      </w:tr>
    </w:tbl>
    <w:p w14:paraId="467A0036" w14:textId="77777777" w:rsidR="00A52D1A" w:rsidRPr="00D1792B" w:rsidRDefault="00A52D1A" w:rsidP="00F46D0C">
      <w:pPr>
        <w:rPr>
          <w:lang w:val="fr-FR"/>
        </w:rPr>
      </w:pPr>
    </w:p>
    <w:p w14:paraId="5166F846" w14:textId="77777777" w:rsidR="009F4801" w:rsidRPr="00D1792B" w:rsidRDefault="009F4801" w:rsidP="00F46D0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FR"/>
        </w:rPr>
      </w:pPr>
      <w:r w:rsidRPr="00D1792B">
        <w:rPr>
          <w:lang w:val="fr-FR"/>
        </w:rPr>
        <w:br w:type="page"/>
      </w:r>
    </w:p>
    <w:p w14:paraId="623E26C9" w14:textId="77777777" w:rsidR="00DD7EAF" w:rsidRPr="00D1792B" w:rsidRDefault="00287920" w:rsidP="00F46D0C">
      <w:pPr>
        <w:pStyle w:val="Proposal"/>
        <w:rPr>
          <w:lang w:val="fr-FR"/>
        </w:rPr>
      </w:pPr>
      <w:r w:rsidRPr="00D1792B">
        <w:rPr>
          <w:lang w:val="fr-FR"/>
        </w:rPr>
        <w:lastRenderedPageBreak/>
        <w:t>ADD</w:t>
      </w:r>
      <w:r w:rsidRPr="00D1792B">
        <w:rPr>
          <w:lang w:val="fr-FR"/>
        </w:rPr>
        <w:tab/>
        <w:t>IAP/39A19/1</w:t>
      </w:r>
    </w:p>
    <w:p w14:paraId="0562DD57" w14:textId="525BBCB6" w:rsidR="00287920" w:rsidRPr="00D1792B" w:rsidRDefault="00287920" w:rsidP="00F46D0C">
      <w:pPr>
        <w:pStyle w:val="ResNo"/>
        <w:rPr>
          <w:lang w:val="fr-FR"/>
        </w:rPr>
      </w:pPr>
      <w:r w:rsidRPr="00D1792B">
        <w:rPr>
          <w:lang w:val="fr-FR"/>
        </w:rPr>
        <w:t>PROJET DE NOUVELLE R</w:t>
      </w:r>
      <w:r w:rsidR="006E3C7E" w:rsidRPr="00D1792B">
        <w:rPr>
          <w:rFonts w:hAnsi="Times New Roman"/>
          <w:lang w:val="fr-FR"/>
        </w:rPr>
        <w:t>É</w:t>
      </w:r>
      <w:r w:rsidRPr="00D1792B">
        <w:rPr>
          <w:lang w:val="fr-FR"/>
        </w:rPr>
        <w:t>SOLUTION</w:t>
      </w:r>
      <w:r w:rsidR="00A02601" w:rsidRPr="00D1792B">
        <w:rPr>
          <w:lang w:val="fr-FR"/>
        </w:rPr>
        <w:t xml:space="preserve"> [IAP</w:t>
      </w:r>
      <w:r w:rsidR="00954E3E">
        <w:rPr>
          <w:lang w:val="fr-FR"/>
        </w:rPr>
        <w:t>-MV</w:t>
      </w:r>
      <w:r w:rsidR="00A02601" w:rsidRPr="00D1792B">
        <w:rPr>
          <w:lang w:val="fr-FR"/>
        </w:rPr>
        <w:t>] (New Delhi, 2024)</w:t>
      </w:r>
    </w:p>
    <w:p w14:paraId="1745E0CF" w14:textId="3AFD271F" w:rsidR="00A02601" w:rsidRPr="00D1792B" w:rsidRDefault="006E3C7E" w:rsidP="00F46D0C">
      <w:pPr>
        <w:pStyle w:val="Restitle"/>
        <w:rPr>
          <w:lang w:val="fr-FR"/>
        </w:rPr>
      </w:pPr>
      <w:r w:rsidRPr="00D1792B">
        <w:rPr>
          <w:lang w:val="fr-FR"/>
        </w:rPr>
        <w:t>Initiatives de normalisation de l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 xml:space="preserve">UIT visant à promouvoir </w:t>
      </w:r>
      <w:r w:rsidRPr="00D1792B">
        <w:rPr>
          <w:lang w:val="fr-FR"/>
        </w:rPr>
        <w:br/>
        <w:t xml:space="preserve">les technologies </w:t>
      </w:r>
      <w:r w:rsidR="00196988" w:rsidRPr="00D1792B">
        <w:rPr>
          <w:lang w:val="fr-FR"/>
        </w:rPr>
        <w:t>de base du</w:t>
      </w:r>
      <w:r w:rsidRPr="00D1792B">
        <w:rPr>
          <w:lang w:val="fr-FR"/>
        </w:rPr>
        <w:t xml:space="preserve"> métavers</w:t>
      </w:r>
    </w:p>
    <w:p w14:paraId="15463F3F" w14:textId="42536A2A" w:rsidR="006E3C7E" w:rsidRPr="00D1792B" w:rsidRDefault="006E3C7E" w:rsidP="00F46D0C">
      <w:pPr>
        <w:pStyle w:val="Resref"/>
        <w:rPr>
          <w:lang w:val="fr-FR"/>
        </w:rPr>
      </w:pPr>
      <w:r w:rsidRPr="00D1792B">
        <w:rPr>
          <w:lang w:val="fr-FR"/>
        </w:rPr>
        <w:t>(New Delhi, 2024)</w:t>
      </w:r>
    </w:p>
    <w:p w14:paraId="2FB50A55" w14:textId="5761A9CD" w:rsidR="006E3C7E" w:rsidRPr="00D1792B" w:rsidRDefault="006E3C7E" w:rsidP="00F46D0C">
      <w:pPr>
        <w:pStyle w:val="Normalaftertitle"/>
        <w:rPr>
          <w:lang w:val="fr-FR"/>
        </w:rPr>
      </w:pPr>
      <w:r w:rsidRPr="00D1792B">
        <w:rPr>
          <w:lang w:val="fr-FR"/>
        </w:rPr>
        <w:t>L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>Assemblée mondiale de normalisation des télécommunications (New Delhi, 2024),</w:t>
      </w:r>
    </w:p>
    <w:p w14:paraId="11EFC32C" w14:textId="4DF60339" w:rsidR="006E3C7E" w:rsidRPr="00D1792B" w:rsidRDefault="006E3C7E" w:rsidP="00F46D0C">
      <w:pPr>
        <w:pStyle w:val="Call"/>
        <w:rPr>
          <w:lang w:val="fr-FR"/>
        </w:rPr>
      </w:pPr>
      <w:r w:rsidRPr="00D1792B">
        <w:rPr>
          <w:lang w:val="fr-FR"/>
        </w:rPr>
        <w:t>rappelant</w:t>
      </w:r>
    </w:p>
    <w:p w14:paraId="3CD210CC" w14:textId="5CC38EFA" w:rsidR="00DD7EAF" w:rsidRPr="00D1792B" w:rsidRDefault="006E3C7E" w:rsidP="00F46D0C">
      <w:pPr>
        <w:rPr>
          <w:lang w:val="fr-FR"/>
        </w:rPr>
      </w:pPr>
      <w:r w:rsidRPr="00D1792B">
        <w:rPr>
          <w:i/>
          <w:iCs/>
          <w:lang w:val="fr-FR"/>
        </w:rPr>
        <w:t>a)</w:t>
      </w:r>
      <w:r w:rsidRPr="00D1792B">
        <w:rPr>
          <w:lang w:val="fr-FR"/>
        </w:rPr>
        <w:tab/>
      </w:r>
      <w:r w:rsidR="00196988" w:rsidRPr="00D1792B">
        <w:rPr>
          <w:lang w:val="fr-FR"/>
        </w:rPr>
        <w:t>les dispositions pertinentes de l</w:t>
      </w:r>
      <w:r w:rsidR="00C96537" w:rsidRPr="00D1792B">
        <w:rPr>
          <w:lang w:val="fr-FR"/>
        </w:rPr>
        <w:t>'</w:t>
      </w:r>
      <w:r w:rsidR="00196988" w:rsidRPr="00D1792B">
        <w:rPr>
          <w:lang w:val="fr-FR"/>
        </w:rPr>
        <w:t>article 1 de la Constitution de l</w:t>
      </w:r>
      <w:r w:rsidR="00C96537" w:rsidRPr="00D1792B">
        <w:rPr>
          <w:lang w:val="fr-FR"/>
        </w:rPr>
        <w:t>'</w:t>
      </w:r>
      <w:r w:rsidR="00196988" w:rsidRPr="00D1792B">
        <w:rPr>
          <w:lang w:val="fr-FR"/>
        </w:rPr>
        <w:t>UIT, en particulier les numéros 6 et 13, selon lesquelles l</w:t>
      </w:r>
      <w:r w:rsidR="00C96537" w:rsidRPr="00D1792B">
        <w:rPr>
          <w:lang w:val="fr-FR"/>
        </w:rPr>
        <w:t>'</w:t>
      </w:r>
      <w:r w:rsidR="00196988" w:rsidRPr="00D1792B">
        <w:rPr>
          <w:lang w:val="fr-FR"/>
        </w:rPr>
        <w:t>Union a notamment pour objet de s</w:t>
      </w:r>
      <w:r w:rsidR="00C96537" w:rsidRPr="00D1792B">
        <w:rPr>
          <w:lang w:val="fr-FR"/>
        </w:rPr>
        <w:t>'</w:t>
      </w:r>
      <w:r w:rsidR="00196988" w:rsidRPr="00D1792B">
        <w:rPr>
          <w:lang w:val="fr-FR"/>
        </w:rPr>
        <w:t>efforcer d</w:t>
      </w:r>
      <w:r w:rsidR="00C96537" w:rsidRPr="00D1792B">
        <w:rPr>
          <w:lang w:val="fr-FR"/>
        </w:rPr>
        <w:t>'</w:t>
      </w:r>
      <w:r w:rsidR="00196988" w:rsidRPr="00D1792B">
        <w:rPr>
          <w:lang w:val="fr-FR"/>
        </w:rPr>
        <w:t>étendre les avantages des nouvelles technologies de télécommunication à tous les habitants de la planète et, à</w:t>
      </w:r>
      <w:r w:rsidR="00F46D0C">
        <w:rPr>
          <w:lang w:val="fr-FR"/>
        </w:rPr>
        <w:t> </w:t>
      </w:r>
      <w:r w:rsidR="00196988" w:rsidRPr="00D1792B">
        <w:rPr>
          <w:lang w:val="fr-FR"/>
        </w:rPr>
        <w:t>cet effet, facilite la normalisation mondiale des télécommunications, avec une qualité de service satisfaisante;</w:t>
      </w:r>
    </w:p>
    <w:p w14:paraId="3D06DDAB" w14:textId="47C672E0" w:rsidR="00344C67" w:rsidRPr="00D1792B" w:rsidRDefault="00411FB9" w:rsidP="00F46D0C">
      <w:pPr>
        <w:rPr>
          <w:lang w:val="fr-FR"/>
        </w:rPr>
      </w:pPr>
      <w:r w:rsidRPr="00D1792B">
        <w:rPr>
          <w:i/>
          <w:iCs/>
          <w:lang w:val="fr-FR"/>
        </w:rPr>
        <w:t>b)</w:t>
      </w:r>
      <w:r w:rsidRPr="00D1792B">
        <w:rPr>
          <w:i/>
          <w:iCs/>
          <w:lang w:val="fr-FR"/>
        </w:rPr>
        <w:tab/>
      </w:r>
      <w:r w:rsidR="00196988" w:rsidRPr="00D1792B">
        <w:rPr>
          <w:lang w:val="fr-FR"/>
        </w:rPr>
        <w:t>la Résolution 70/1 de l</w:t>
      </w:r>
      <w:r w:rsidR="00C96537" w:rsidRPr="00D1792B">
        <w:rPr>
          <w:lang w:val="fr-FR"/>
        </w:rPr>
        <w:t>'</w:t>
      </w:r>
      <w:r w:rsidR="00196988" w:rsidRPr="00D1792B">
        <w:rPr>
          <w:lang w:val="fr-FR"/>
        </w:rPr>
        <w:t>Assemblée générale des Nations Unies, intitulée "Transformer notre monde: le Programme de développement durable à l</w:t>
      </w:r>
      <w:r w:rsidR="00C96537" w:rsidRPr="00D1792B">
        <w:rPr>
          <w:lang w:val="fr-FR"/>
        </w:rPr>
        <w:t>'</w:t>
      </w:r>
      <w:r w:rsidR="00196988" w:rsidRPr="00D1792B">
        <w:rPr>
          <w:lang w:val="fr-FR"/>
        </w:rPr>
        <w:t>horizon 2030"</w:t>
      </w:r>
      <w:r w:rsidRPr="00D1792B">
        <w:rPr>
          <w:lang w:val="fr-FR"/>
        </w:rPr>
        <w:t>;</w:t>
      </w:r>
    </w:p>
    <w:p w14:paraId="4D09ECC3" w14:textId="2ABFE5B3" w:rsidR="00411FB9" w:rsidRPr="00D1792B" w:rsidRDefault="00411FB9" w:rsidP="00F46D0C">
      <w:pPr>
        <w:rPr>
          <w:lang w:val="fr-FR"/>
        </w:rPr>
      </w:pPr>
      <w:r w:rsidRPr="00D1792B">
        <w:rPr>
          <w:i/>
          <w:iCs/>
          <w:lang w:val="fr-FR"/>
        </w:rPr>
        <w:t>c)</w:t>
      </w:r>
      <w:r w:rsidRPr="00D1792B">
        <w:rPr>
          <w:lang w:val="fr-FR"/>
        </w:rPr>
        <w:tab/>
        <w:t>la Résolution 70/125 de l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>Assemblée générale des Nations Unies</w:t>
      </w:r>
      <w:r w:rsidR="00196988" w:rsidRPr="00D1792B">
        <w:rPr>
          <w:lang w:val="fr-FR"/>
        </w:rPr>
        <w:t>, intitulée</w:t>
      </w:r>
      <w:r w:rsidRPr="00D1792B">
        <w:rPr>
          <w:lang w:val="fr-FR"/>
        </w:rPr>
        <w:t xml:space="preserve"> "Document final de la réunion de haut niveau de l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>Assemblée générale sur l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>examen d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>ensemble de la mise en œuvre des textes issus du Sommet mondial sur la société de l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>information";</w:t>
      </w:r>
    </w:p>
    <w:p w14:paraId="1FCA0A85" w14:textId="054F6750" w:rsidR="00411FB9" w:rsidRPr="00D1792B" w:rsidRDefault="00411FB9" w:rsidP="00F46D0C">
      <w:pPr>
        <w:rPr>
          <w:i/>
          <w:iCs/>
          <w:lang w:val="fr-FR"/>
        </w:rPr>
      </w:pPr>
      <w:r w:rsidRPr="00D1792B">
        <w:rPr>
          <w:i/>
          <w:iCs/>
          <w:lang w:val="fr-FR"/>
        </w:rPr>
        <w:t>d)</w:t>
      </w:r>
      <w:r w:rsidRPr="00D1792B">
        <w:rPr>
          <w:lang w:val="fr-FR"/>
        </w:rPr>
        <w:tab/>
        <w:t>la Résolution 139 (Rév. Bucarest, 2022) de la Conférence de plénipotentiaires sur l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>utilisation des télécommunications/technologies de l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>information et de la communication</w:t>
      </w:r>
      <w:r w:rsidR="00C52435" w:rsidRPr="00D1792B">
        <w:rPr>
          <w:lang w:val="fr-FR"/>
        </w:rPr>
        <w:t xml:space="preserve"> (TIC)</w:t>
      </w:r>
      <w:r w:rsidRPr="00D1792B">
        <w:rPr>
          <w:lang w:val="fr-FR"/>
        </w:rPr>
        <w:t xml:space="preserve"> pour réduire la fracture numérique et édifier une société de l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>information inclusive;</w:t>
      </w:r>
    </w:p>
    <w:p w14:paraId="574E58D8" w14:textId="12C5B1AB" w:rsidR="00411FB9" w:rsidRPr="00D1792B" w:rsidRDefault="00411FB9" w:rsidP="00F46D0C">
      <w:pPr>
        <w:rPr>
          <w:lang w:val="fr-FR"/>
        </w:rPr>
      </w:pPr>
      <w:r w:rsidRPr="00D1792B">
        <w:rPr>
          <w:i/>
          <w:iCs/>
          <w:lang w:val="fr-FR"/>
        </w:rPr>
        <w:t>e)</w:t>
      </w:r>
      <w:r w:rsidRPr="00D1792B">
        <w:rPr>
          <w:lang w:val="fr-FR"/>
        </w:rPr>
        <w:tab/>
        <w:t>la Résolution 140 (Rév. Bucarest, 2022) de la Conférence de plénipotentiaires sur le rôle de l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>UIT dans la mise en œuvre des résultats du Sommet mondial sur la société de l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>information,</w:t>
      </w:r>
    </w:p>
    <w:p w14:paraId="5156A357" w14:textId="28D0AEEB" w:rsidR="00411FB9" w:rsidRPr="00D1792B" w:rsidRDefault="00411FB9" w:rsidP="00F46D0C">
      <w:pPr>
        <w:pStyle w:val="Call"/>
        <w:rPr>
          <w:lang w:val="fr-FR"/>
        </w:rPr>
      </w:pPr>
      <w:r w:rsidRPr="00D1792B">
        <w:rPr>
          <w:lang w:val="fr-FR"/>
        </w:rPr>
        <w:t>reconnaissant</w:t>
      </w:r>
    </w:p>
    <w:p w14:paraId="31A9D1E5" w14:textId="18053A0A" w:rsidR="00411FB9" w:rsidRPr="00D1792B" w:rsidRDefault="00411FB9" w:rsidP="00F46D0C">
      <w:pPr>
        <w:rPr>
          <w:lang w:val="fr-FR"/>
        </w:rPr>
      </w:pPr>
      <w:r w:rsidRPr="00D1792B">
        <w:rPr>
          <w:i/>
          <w:iCs/>
          <w:lang w:val="fr-FR"/>
        </w:rPr>
        <w:t>a)</w:t>
      </w:r>
      <w:r w:rsidRPr="00D1792B">
        <w:rPr>
          <w:lang w:val="fr-FR"/>
        </w:rPr>
        <w:tab/>
      </w:r>
      <w:r w:rsidR="00C019A9" w:rsidRPr="00D1792B">
        <w:rPr>
          <w:lang w:val="fr-FR"/>
        </w:rPr>
        <w:t>que le Groupe spécialisé de l</w:t>
      </w:r>
      <w:r w:rsidR="00C96537" w:rsidRPr="00D1792B">
        <w:rPr>
          <w:lang w:val="fr-FR"/>
        </w:rPr>
        <w:t>'</w:t>
      </w:r>
      <w:r w:rsidR="00C019A9" w:rsidRPr="00D1792B">
        <w:rPr>
          <w:lang w:val="fr-FR"/>
        </w:rPr>
        <w:t>UIT-T sur le métavers (FG-MV) a mené à bonne fin ses travaux, qui ont permis d</w:t>
      </w:r>
      <w:r w:rsidR="00C96537" w:rsidRPr="00D1792B">
        <w:rPr>
          <w:lang w:val="fr-FR"/>
        </w:rPr>
        <w:t>'</w:t>
      </w:r>
      <w:r w:rsidR="00C019A9" w:rsidRPr="00D1792B">
        <w:rPr>
          <w:lang w:val="fr-FR"/>
        </w:rPr>
        <w:t xml:space="preserve">identifier les technologies </w:t>
      </w:r>
      <w:r w:rsidR="000D56FE" w:rsidRPr="00D1792B">
        <w:rPr>
          <w:lang w:val="fr-FR"/>
        </w:rPr>
        <w:t xml:space="preserve">de base </w:t>
      </w:r>
      <w:r w:rsidR="003551A6" w:rsidRPr="00D1792B">
        <w:rPr>
          <w:lang w:val="fr-FR"/>
        </w:rPr>
        <w:t xml:space="preserve">fondamentales </w:t>
      </w:r>
      <w:r w:rsidR="00C019A9" w:rsidRPr="00D1792B">
        <w:rPr>
          <w:lang w:val="fr-FR"/>
        </w:rPr>
        <w:t>du métavers</w:t>
      </w:r>
      <w:r w:rsidRPr="00D1792B">
        <w:rPr>
          <w:lang w:val="fr-FR"/>
        </w:rPr>
        <w:t>;</w:t>
      </w:r>
    </w:p>
    <w:p w14:paraId="5AE5F929" w14:textId="607C2B77" w:rsidR="00411FB9" w:rsidRPr="00D1792B" w:rsidRDefault="00411FB9" w:rsidP="00F46D0C">
      <w:pPr>
        <w:rPr>
          <w:lang w:val="fr-FR"/>
        </w:rPr>
      </w:pPr>
      <w:r w:rsidRPr="00D1792B">
        <w:rPr>
          <w:i/>
          <w:iCs/>
          <w:lang w:val="fr-FR"/>
        </w:rPr>
        <w:t>b)</w:t>
      </w:r>
      <w:r w:rsidRPr="00D1792B">
        <w:rPr>
          <w:lang w:val="fr-FR"/>
        </w:rPr>
        <w:tab/>
      </w:r>
      <w:r w:rsidR="00C019A9" w:rsidRPr="00D1792B">
        <w:rPr>
          <w:lang w:val="fr-FR"/>
        </w:rPr>
        <w:t xml:space="preserve">les résultats </w:t>
      </w:r>
      <w:r w:rsidR="003551A6" w:rsidRPr="00D1792B">
        <w:rPr>
          <w:lang w:val="fr-FR"/>
        </w:rPr>
        <w:t>dignes d</w:t>
      </w:r>
      <w:r w:rsidR="00C96537" w:rsidRPr="00D1792B">
        <w:rPr>
          <w:lang w:val="fr-FR"/>
        </w:rPr>
        <w:t>'</w:t>
      </w:r>
      <w:r w:rsidR="003551A6" w:rsidRPr="00D1792B">
        <w:rPr>
          <w:lang w:val="fr-FR"/>
        </w:rPr>
        <w:t xml:space="preserve">intérêt </w:t>
      </w:r>
      <w:r w:rsidR="00C019A9" w:rsidRPr="00D1792B">
        <w:rPr>
          <w:lang w:val="fr-FR"/>
        </w:rPr>
        <w:t>obtenus par les commissions d</w:t>
      </w:r>
      <w:r w:rsidR="00C96537" w:rsidRPr="00D1792B">
        <w:rPr>
          <w:lang w:val="fr-FR"/>
        </w:rPr>
        <w:t>'</w:t>
      </w:r>
      <w:r w:rsidR="00C019A9" w:rsidRPr="00D1792B">
        <w:rPr>
          <w:lang w:val="fr-FR"/>
        </w:rPr>
        <w:t>études de l</w:t>
      </w:r>
      <w:r w:rsidR="00C96537" w:rsidRPr="00D1792B">
        <w:rPr>
          <w:lang w:val="fr-FR"/>
        </w:rPr>
        <w:t>'</w:t>
      </w:r>
      <w:r w:rsidR="00C019A9" w:rsidRPr="00D1792B">
        <w:rPr>
          <w:lang w:val="fr-FR"/>
        </w:rPr>
        <w:t>UIT-T, en particulier ceux qui se rapportent au métavers</w:t>
      </w:r>
      <w:r w:rsidRPr="00D1792B">
        <w:rPr>
          <w:lang w:val="fr-FR"/>
        </w:rPr>
        <w:t>;</w:t>
      </w:r>
    </w:p>
    <w:p w14:paraId="439471DC" w14:textId="2F9B6F31" w:rsidR="00411FB9" w:rsidRPr="00D1792B" w:rsidRDefault="00411FB9" w:rsidP="00F46D0C">
      <w:pPr>
        <w:rPr>
          <w:lang w:val="fr-FR"/>
        </w:rPr>
      </w:pPr>
      <w:r w:rsidRPr="00D1792B">
        <w:rPr>
          <w:i/>
          <w:iCs/>
          <w:lang w:val="fr-FR"/>
        </w:rPr>
        <w:t>c)</w:t>
      </w:r>
      <w:r w:rsidRPr="00D1792B">
        <w:rPr>
          <w:lang w:val="fr-FR"/>
        </w:rPr>
        <w:tab/>
      </w:r>
      <w:r w:rsidR="00B51918" w:rsidRPr="00D1792B">
        <w:rPr>
          <w:lang w:val="fr-FR"/>
        </w:rPr>
        <w:t>que le métavers n</w:t>
      </w:r>
      <w:r w:rsidR="00C96537" w:rsidRPr="00D1792B">
        <w:rPr>
          <w:lang w:val="fr-FR"/>
        </w:rPr>
        <w:t>'</w:t>
      </w:r>
      <w:r w:rsidR="00B51918" w:rsidRPr="00D1792B">
        <w:rPr>
          <w:lang w:val="fr-FR"/>
        </w:rPr>
        <w:t>est pas, en tant que tel, issu d</w:t>
      </w:r>
      <w:r w:rsidR="00C96537" w:rsidRPr="00D1792B">
        <w:rPr>
          <w:lang w:val="fr-FR"/>
        </w:rPr>
        <w:t>'</w:t>
      </w:r>
      <w:r w:rsidR="00B51918" w:rsidRPr="00D1792B">
        <w:rPr>
          <w:lang w:val="fr-FR"/>
        </w:rPr>
        <w:t>une nouvelle technologie, mais qu</w:t>
      </w:r>
      <w:r w:rsidR="00C96537" w:rsidRPr="00D1792B">
        <w:rPr>
          <w:lang w:val="fr-FR"/>
        </w:rPr>
        <w:t>'</w:t>
      </w:r>
      <w:r w:rsidR="00B51918" w:rsidRPr="00D1792B">
        <w:rPr>
          <w:lang w:val="fr-FR"/>
        </w:rPr>
        <w:t>il est le fruit d</w:t>
      </w:r>
      <w:r w:rsidR="00C96537" w:rsidRPr="00D1792B">
        <w:rPr>
          <w:lang w:val="fr-FR"/>
        </w:rPr>
        <w:t>'</w:t>
      </w:r>
      <w:r w:rsidR="00B51918" w:rsidRPr="00D1792B">
        <w:rPr>
          <w:lang w:val="fr-FR"/>
        </w:rPr>
        <w:t xml:space="preserve">une combinaison de diverses technologies émergentes et de nouvelles caractéristiques, et que sa mise en œuvre repose sur la convergence de plusieurs technologies </w:t>
      </w:r>
      <w:r w:rsidR="003551A6" w:rsidRPr="00D1792B">
        <w:rPr>
          <w:lang w:val="fr-FR"/>
        </w:rPr>
        <w:t>élémentaires</w:t>
      </w:r>
      <w:r w:rsidR="00B51918" w:rsidRPr="00D1792B">
        <w:rPr>
          <w:lang w:val="fr-FR"/>
        </w:rPr>
        <w:t xml:space="preserve"> et </w:t>
      </w:r>
      <w:r w:rsidR="00C52435" w:rsidRPr="00D1792B">
        <w:rPr>
          <w:lang w:val="fr-FR"/>
        </w:rPr>
        <w:t xml:space="preserve">de </w:t>
      </w:r>
      <w:r w:rsidR="00B51918" w:rsidRPr="00D1792B">
        <w:rPr>
          <w:lang w:val="fr-FR"/>
        </w:rPr>
        <w:t xml:space="preserve">normes émanant de nombreuses organisations de normalisation </w:t>
      </w:r>
      <w:r w:rsidR="00C52435" w:rsidRPr="00D1792B">
        <w:rPr>
          <w:lang w:val="fr-FR"/>
        </w:rPr>
        <w:t>intéressées</w:t>
      </w:r>
      <w:r w:rsidRPr="00D1792B">
        <w:rPr>
          <w:lang w:val="fr-FR"/>
        </w:rPr>
        <w:t>,</w:t>
      </w:r>
    </w:p>
    <w:p w14:paraId="505F9097" w14:textId="438AD46D" w:rsidR="00411FB9" w:rsidRPr="00D1792B" w:rsidRDefault="00411FB9" w:rsidP="00F46D0C">
      <w:pPr>
        <w:pStyle w:val="Call"/>
        <w:rPr>
          <w:lang w:val="fr-FR"/>
        </w:rPr>
      </w:pPr>
      <w:r w:rsidRPr="00D1792B">
        <w:rPr>
          <w:lang w:val="fr-FR"/>
        </w:rPr>
        <w:t>considérant</w:t>
      </w:r>
    </w:p>
    <w:p w14:paraId="4797850C" w14:textId="1A0FCC6D" w:rsidR="00411FB9" w:rsidRPr="00D1792B" w:rsidRDefault="00411FB9" w:rsidP="00F46D0C">
      <w:pPr>
        <w:rPr>
          <w:lang w:val="fr-FR"/>
        </w:rPr>
      </w:pPr>
      <w:r w:rsidRPr="00D1792B">
        <w:rPr>
          <w:i/>
          <w:iCs/>
          <w:lang w:val="fr-FR"/>
        </w:rPr>
        <w:t>a)</w:t>
      </w:r>
      <w:r w:rsidR="00B51918" w:rsidRPr="00D1792B">
        <w:rPr>
          <w:lang w:val="fr-FR"/>
        </w:rPr>
        <w:tab/>
        <w:t>qu</w:t>
      </w:r>
      <w:r w:rsidR="00C96537" w:rsidRPr="00D1792B">
        <w:rPr>
          <w:lang w:val="fr-FR"/>
        </w:rPr>
        <w:t>'</w:t>
      </w:r>
      <w:r w:rsidR="00B51918" w:rsidRPr="00D1792B">
        <w:rPr>
          <w:lang w:val="fr-FR"/>
        </w:rPr>
        <w:t>il sera nécessaire de réduire la fracture numérique et d</w:t>
      </w:r>
      <w:r w:rsidR="00C96537" w:rsidRPr="00D1792B">
        <w:rPr>
          <w:lang w:val="fr-FR"/>
        </w:rPr>
        <w:t>'</w:t>
      </w:r>
      <w:r w:rsidR="00B51918" w:rsidRPr="00D1792B">
        <w:rPr>
          <w:lang w:val="fr-FR"/>
        </w:rPr>
        <w:t>offrir un accès universel aux télécommunications/TIC pour tirer pleinement parti des avantages offerts par le métavers</w:t>
      </w:r>
      <w:r w:rsidRPr="00D1792B">
        <w:rPr>
          <w:lang w:val="fr-FR"/>
        </w:rPr>
        <w:t>;</w:t>
      </w:r>
    </w:p>
    <w:p w14:paraId="1AD7EE36" w14:textId="1BD7AED4" w:rsidR="00411FB9" w:rsidRPr="00D1792B" w:rsidRDefault="00411FB9" w:rsidP="00F46D0C">
      <w:pPr>
        <w:rPr>
          <w:lang w:val="fr-FR"/>
        </w:rPr>
      </w:pPr>
      <w:r w:rsidRPr="00D1792B">
        <w:rPr>
          <w:i/>
          <w:iCs/>
          <w:lang w:val="fr-FR"/>
        </w:rPr>
        <w:t>b)</w:t>
      </w:r>
      <w:r w:rsidRPr="00D1792B">
        <w:rPr>
          <w:lang w:val="fr-FR"/>
        </w:rPr>
        <w:tab/>
      </w:r>
      <w:r w:rsidR="00B51918" w:rsidRPr="00D1792B">
        <w:rPr>
          <w:lang w:val="fr-FR"/>
        </w:rPr>
        <w:t>que le développement du métavers ouvre des perspectives en même temps qu</w:t>
      </w:r>
      <w:r w:rsidR="00C96537" w:rsidRPr="00D1792B">
        <w:rPr>
          <w:lang w:val="fr-FR"/>
        </w:rPr>
        <w:t>'</w:t>
      </w:r>
      <w:r w:rsidR="00B51918" w:rsidRPr="00D1792B">
        <w:rPr>
          <w:lang w:val="fr-FR"/>
        </w:rPr>
        <w:t xml:space="preserve">il </w:t>
      </w:r>
      <w:r w:rsidR="003551A6" w:rsidRPr="00D1792B">
        <w:rPr>
          <w:lang w:val="fr-FR"/>
        </w:rPr>
        <w:t xml:space="preserve">pose </w:t>
      </w:r>
      <w:r w:rsidR="00C52435" w:rsidRPr="00D1792B">
        <w:rPr>
          <w:lang w:val="fr-FR"/>
        </w:rPr>
        <w:t>des défis</w:t>
      </w:r>
      <w:r w:rsidRPr="00D1792B">
        <w:rPr>
          <w:lang w:val="fr-FR"/>
        </w:rPr>
        <w:t>,</w:t>
      </w:r>
    </w:p>
    <w:p w14:paraId="1B95B00F" w14:textId="029C3322" w:rsidR="00411FB9" w:rsidRPr="00D1792B" w:rsidRDefault="00411FB9" w:rsidP="00F46D0C">
      <w:pPr>
        <w:pStyle w:val="Call"/>
        <w:rPr>
          <w:lang w:val="fr-FR"/>
        </w:rPr>
      </w:pPr>
      <w:r w:rsidRPr="00D1792B">
        <w:rPr>
          <w:lang w:val="fr-FR"/>
        </w:rPr>
        <w:lastRenderedPageBreak/>
        <w:t>décide que le Secteur de la normalisation des télécommunications de l</w:t>
      </w:r>
      <w:r w:rsidR="00C96537" w:rsidRPr="00D1792B">
        <w:rPr>
          <w:lang w:val="fr-FR"/>
        </w:rPr>
        <w:t>'</w:t>
      </w:r>
      <w:r w:rsidRPr="00D1792B">
        <w:rPr>
          <w:lang w:val="fr-FR"/>
        </w:rPr>
        <w:t>UIT</w:t>
      </w:r>
    </w:p>
    <w:p w14:paraId="23B98332" w14:textId="13F34A68" w:rsidR="00411FB9" w:rsidRPr="00D1792B" w:rsidRDefault="006F1E01" w:rsidP="00F46D0C">
      <w:pPr>
        <w:rPr>
          <w:lang w:val="fr-FR"/>
        </w:rPr>
      </w:pPr>
      <w:r w:rsidRPr="00D1792B">
        <w:rPr>
          <w:lang w:val="fr-FR"/>
        </w:rPr>
        <w:t>1</w:t>
      </w:r>
      <w:r w:rsidRPr="00D1792B">
        <w:rPr>
          <w:lang w:val="fr-FR"/>
        </w:rPr>
        <w:tab/>
      </w:r>
      <w:r w:rsidR="00132759" w:rsidRPr="00D1792B">
        <w:rPr>
          <w:lang w:val="fr-FR"/>
        </w:rPr>
        <w:t>doit mener des travaux de normalisation pour assurer une intégration et une interopérabilité efficaces des différentes composantes techniques du métavers, y compris les architectures, les exigences, les protocoles, les systèmes et les services</w:t>
      </w:r>
      <w:r w:rsidRPr="00D1792B">
        <w:rPr>
          <w:lang w:val="fr-FR"/>
        </w:rPr>
        <w:t>;</w:t>
      </w:r>
    </w:p>
    <w:p w14:paraId="4D3DD3BF" w14:textId="2D02157A" w:rsidR="006F1E01" w:rsidRPr="00D1792B" w:rsidRDefault="006F1E01" w:rsidP="00F46D0C">
      <w:pPr>
        <w:rPr>
          <w:lang w:val="fr-FR"/>
        </w:rPr>
      </w:pPr>
      <w:r w:rsidRPr="00D1792B">
        <w:rPr>
          <w:lang w:val="fr-FR"/>
        </w:rPr>
        <w:t>2</w:t>
      </w:r>
      <w:r w:rsidRPr="00D1792B">
        <w:rPr>
          <w:lang w:val="fr-FR"/>
        </w:rPr>
        <w:tab/>
      </w:r>
      <w:r w:rsidR="00132759" w:rsidRPr="00D1792B">
        <w:rPr>
          <w:lang w:val="fr-FR"/>
        </w:rPr>
        <w:t xml:space="preserve">doit créer une Activité conjointe de coordination sur le métavers (JCA-MV), relevant du Groupe consultatif de la normalisation des télécommunications (GCNT), </w:t>
      </w:r>
      <w:r w:rsidR="0069681B" w:rsidRPr="00D1792B">
        <w:rPr>
          <w:lang w:val="fr-FR"/>
        </w:rPr>
        <w:t>destinée à</w:t>
      </w:r>
      <w:r w:rsidR="00132759" w:rsidRPr="00D1792B">
        <w:rPr>
          <w:lang w:val="fr-FR"/>
        </w:rPr>
        <w:t xml:space="preserve"> coordonner les travaux de normalisation pertinents de chaque commission d</w:t>
      </w:r>
      <w:r w:rsidR="00C96537" w:rsidRPr="00D1792B">
        <w:rPr>
          <w:lang w:val="fr-FR"/>
        </w:rPr>
        <w:t>'</w:t>
      </w:r>
      <w:r w:rsidR="00132759" w:rsidRPr="00D1792B">
        <w:rPr>
          <w:lang w:val="fr-FR"/>
        </w:rPr>
        <w:t>études de l</w:t>
      </w:r>
      <w:r w:rsidR="00C96537" w:rsidRPr="00D1792B">
        <w:rPr>
          <w:lang w:val="fr-FR"/>
        </w:rPr>
        <w:t>'</w:t>
      </w:r>
      <w:r w:rsidR="00132759" w:rsidRPr="00D1792B">
        <w:rPr>
          <w:lang w:val="fr-FR"/>
        </w:rPr>
        <w:t xml:space="preserve">UIT-T et </w:t>
      </w:r>
      <w:r w:rsidR="0069681B" w:rsidRPr="00D1792B">
        <w:rPr>
          <w:lang w:val="fr-FR"/>
        </w:rPr>
        <w:t xml:space="preserve">à </w:t>
      </w:r>
      <w:r w:rsidR="00132759" w:rsidRPr="00D1792B">
        <w:rPr>
          <w:lang w:val="fr-FR"/>
        </w:rPr>
        <w:t xml:space="preserve">collaborer avec les organismes de normalisation concernés et les parties </w:t>
      </w:r>
      <w:r w:rsidR="00C52435" w:rsidRPr="00D1792B">
        <w:rPr>
          <w:lang w:val="fr-FR"/>
        </w:rPr>
        <w:t>intéressées</w:t>
      </w:r>
      <w:r w:rsidR="00132759" w:rsidRPr="00D1792B">
        <w:rPr>
          <w:lang w:val="fr-FR"/>
        </w:rPr>
        <w:t xml:space="preserve"> extérieures à l</w:t>
      </w:r>
      <w:r w:rsidR="00C96537" w:rsidRPr="00D1792B">
        <w:rPr>
          <w:lang w:val="fr-FR"/>
        </w:rPr>
        <w:t>'</w:t>
      </w:r>
      <w:r w:rsidR="00132759" w:rsidRPr="00D1792B">
        <w:rPr>
          <w:lang w:val="fr-FR"/>
        </w:rPr>
        <w:t>UIT-T</w:t>
      </w:r>
      <w:r w:rsidRPr="00D1792B">
        <w:rPr>
          <w:lang w:val="fr-FR"/>
        </w:rPr>
        <w:t>,</w:t>
      </w:r>
    </w:p>
    <w:p w14:paraId="6720D17E" w14:textId="77B54A96" w:rsidR="006F1E01" w:rsidRPr="00D1792B" w:rsidRDefault="006F1E01" w:rsidP="00F46D0C">
      <w:pPr>
        <w:pStyle w:val="Call"/>
        <w:rPr>
          <w:lang w:val="fr-FR"/>
        </w:rPr>
      </w:pPr>
      <w:r w:rsidRPr="00D1792B">
        <w:rPr>
          <w:lang w:val="fr-FR"/>
        </w:rPr>
        <w:t>charge le Directeur du Bureau de la normalisation des télécommunications</w:t>
      </w:r>
    </w:p>
    <w:p w14:paraId="1E4013BB" w14:textId="1DA81582" w:rsidR="006F1E01" w:rsidRPr="00D1792B" w:rsidRDefault="006F1E01" w:rsidP="00F46D0C">
      <w:pPr>
        <w:rPr>
          <w:lang w:val="fr-FR"/>
        </w:rPr>
      </w:pPr>
      <w:r w:rsidRPr="00D1792B">
        <w:rPr>
          <w:lang w:val="fr-FR"/>
        </w:rPr>
        <w:t>1</w:t>
      </w:r>
      <w:r w:rsidRPr="00D1792B">
        <w:rPr>
          <w:lang w:val="fr-FR"/>
        </w:rPr>
        <w:tab/>
      </w:r>
      <w:r w:rsidR="00BA5828" w:rsidRPr="00D1792B">
        <w:rPr>
          <w:lang w:val="fr-FR"/>
        </w:rPr>
        <w:t>de mettre en évidence, selon qu</w:t>
      </w:r>
      <w:r w:rsidR="00C96537" w:rsidRPr="00D1792B">
        <w:rPr>
          <w:lang w:val="fr-FR"/>
        </w:rPr>
        <w:t>'</w:t>
      </w:r>
      <w:r w:rsidR="00BA5828" w:rsidRPr="00D1792B">
        <w:rPr>
          <w:lang w:val="fr-FR"/>
        </w:rPr>
        <w:t>il conviendra, des possibilités de coordination et de coopération au sein de l</w:t>
      </w:r>
      <w:r w:rsidR="00C96537" w:rsidRPr="00D1792B">
        <w:rPr>
          <w:lang w:val="fr-FR"/>
        </w:rPr>
        <w:t>'</w:t>
      </w:r>
      <w:r w:rsidR="00BA5828" w:rsidRPr="00D1792B">
        <w:rPr>
          <w:lang w:val="fr-FR"/>
        </w:rPr>
        <w:t xml:space="preserve">UIT et avec </w:t>
      </w:r>
      <w:r w:rsidR="00C52435" w:rsidRPr="00D1792B">
        <w:rPr>
          <w:lang w:val="fr-FR"/>
        </w:rPr>
        <w:t>d</w:t>
      </w:r>
      <w:r w:rsidR="00C96537" w:rsidRPr="00D1792B">
        <w:rPr>
          <w:lang w:val="fr-FR"/>
        </w:rPr>
        <w:t>'</w:t>
      </w:r>
      <w:r w:rsidR="00BA5828" w:rsidRPr="00D1792B">
        <w:rPr>
          <w:lang w:val="fr-FR"/>
        </w:rPr>
        <w:t>autres organisations concernées</w:t>
      </w:r>
      <w:r w:rsidR="00C52435" w:rsidRPr="00D1792B">
        <w:rPr>
          <w:lang w:val="fr-FR"/>
        </w:rPr>
        <w:t>,</w:t>
      </w:r>
      <w:r w:rsidR="00BA5828" w:rsidRPr="00D1792B">
        <w:rPr>
          <w:lang w:val="fr-FR"/>
        </w:rPr>
        <w:t xml:space="preserve"> et de collaboration avec les parties prenantes intéressées pour ce qui est de la mise en œuvre de la présente Résolution;</w:t>
      </w:r>
    </w:p>
    <w:p w14:paraId="1B41B70A" w14:textId="3E537F34" w:rsidR="006F1E01" w:rsidRPr="00D1792B" w:rsidRDefault="006F1E01" w:rsidP="00F46D0C">
      <w:pPr>
        <w:rPr>
          <w:lang w:val="fr-FR"/>
        </w:rPr>
      </w:pPr>
      <w:r w:rsidRPr="00D1792B">
        <w:rPr>
          <w:lang w:val="fr-FR"/>
        </w:rPr>
        <w:t>2</w:t>
      </w:r>
      <w:r w:rsidRPr="00D1792B">
        <w:rPr>
          <w:lang w:val="fr-FR"/>
        </w:rPr>
        <w:tab/>
      </w:r>
      <w:r w:rsidR="00BA5828" w:rsidRPr="00D1792B">
        <w:rPr>
          <w:lang w:val="fr-FR"/>
        </w:rPr>
        <w:t>de fournir l</w:t>
      </w:r>
      <w:r w:rsidR="00C96537" w:rsidRPr="00D1792B">
        <w:rPr>
          <w:lang w:val="fr-FR"/>
        </w:rPr>
        <w:t>'</w:t>
      </w:r>
      <w:r w:rsidR="00BA5828" w:rsidRPr="00D1792B">
        <w:rPr>
          <w:lang w:val="fr-FR"/>
        </w:rPr>
        <w:t>assistance nécessaire pour accélérer les travaux de normalisation sur le métavers et d</w:t>
      </w:r>
      <w:r w:rsidR="00C96537" w:rsidRPr="00D1792B">
        <w:rPr>
          <w:lang w:val="fr-FR"/>
        </w:rPr>
        <w:t>'</w:t>
      </w:r>
      <w:r w:rsidR="00BA5828" w:rsidRPr="00D1792B">
        <w:rPr>
          <w:lang w:val="fr-FR"/>
        </w:rPr>
        <w:t xml:space="preserve">encourager la participation et les contributions des </w:t>
      </w:r>
      <w:r w:rsidR="004B1EE9" w:rsidRPr="00D1792B">
        <w:rPr>
          <w:lang w:val="fr-FR"/>
        </w:rPr>
        <w:t>États</w:t>
      </w:r>
      <w:r w:rsidR="00BA5828" w:rsidRPr="00D1792B">
        <w:rPr>
          <w:lang w:val="fr-FR"/>
        </w:rPr>
        <w:t xml:space="preserve"> Membres, en particulier des pays en développement</w:t>
      </w:r>
      <w:r w:rsidRPr="00D1792B">
        <w:rPr>
          <w:lang w:val="fr-FR"/>
        </w:rPr>
        <w:t>;</w:t>
      </w:r>
    </w:p>
    <w:p w14:paraId="36D82CEB" w14:textId="73C9032C" w:rsidR="006F1E01" w:rsidRPr="00D1792B" w:rsidRDefault="006F1E01" w:rsidP="00F46D0C">
      <w:pPr>
        <w:rPr>
          <w:lang w:val="fr-FR"/>
        </w:rPr>
      </w:pPr>
      <w:r w:rsidRPr="00D1792B">
        <w:rPr>
          <w:lang w:val="fr-FR"/>
        </w:rPr>
        <w:t>3</w:t>
      </w:r>
      <w:r w:rsidRPr="00D1792B">
        <w:rPr>
          <w:lang w:val="fr-FR"/>
        </w:rPr>
        <w:tab/>
      </w:r>
      <w:r w:rsidR="00390DF8" w:rsidRPr="00D1792B">
        <w:rPr>
          <w:lang w:val="fr-FR"/>
        </w:rPr>
        <w:t>d</w:t>
      </w:r>
      <w:r w:rsidR="00C96537" w:rsidRPr="00D1792B">
        <w:rPr>
          <w:lang w:val="fr-FR"/>
        </w:rPr>
        <w:t>'</w:t>
      </w:r>
      <w:r w:rsidR="00390DF8" w:rsidRPr="00D1792B">
        <w:rPr>
          <w:lang w:val="fr-FR"/>
        </w:rPr>
        <w:t xml:space="preserve">organiser des ateliers, </w:t>
      </w:r>
      <w:r w:rsidR="00C52435" w:rsidRPr="00D1792B">
        <w:rPr>
          <w:lang w:val="fr-FR"/>
        </w:rPr>
        <w:t>y compris avec d</w:t>
      </w:r>
      <w:r w:rsidR="00C96537" w:rsidRPr="00D1792B">
        <w:rPr>
          <w:lang w:val="fr-FR"/>
        </w:rPr>
        <w:t>'</w:t>
      </w:r>
      <w:r w:rsidR="00C52435" w:rsidRPr="00D1792B">
        <w:rPr>
          <w:lang w:val="fr-FR"/>
        </w:rPr>
        <w:t xml:space="preserve">autres organisations de normalisation, </w:t>
      </w:r>
      <w:r w:rsidR="00390DF8" w:rsidRPr="00D1792B">
        <w:rPr>
          <w:lang w:val="fr-FR"/>
        </w:rPr>
        <w:t>afin que des parties prenantes très diverses fassent connaître leurs besoins et présentent des contributions sur cette question</w:t>
      </w:r>
      <w:r w:rsidR="00BA5828" w:rsidRPr="00D1792B">
        <w:rPr>
          <w:lang w:val="fr-FR"/>
        </w:rPr>
        <w:t>;</w:t>
      </w:r>
    </w:p>
    <w:p w14:paraId="63EB96F5" w14:textId="6476B115" w:rsidR="006F1E01" w:rsidRPr="00D1792B" w:rsidRDefault="006F1E01" w:rsidP="00F46D0C">
      <w:pPr>
        <w:rPr>
          <w:lang w:val="fr-FR"/>
        </w:rPr>
      </w:pPr>
      <w:r w:rsidRPr="00D1792B">
        <w:rPr>
          <w:lang w:val="fr-FR"/>
        </w:rPr>
        <w:t>4</w:t>
      </w:r>
      <w:r w:rsidRPr="00D1792B">
        <w:rPr>
          <w:lang w:val="fr-FR"/>
        </w:rPr>
        <w:tab/>
      </w:r>
      <w:r w:rsidR="00390DF8" w:rsidRPr="00D1792B">
        <w:rPr>
          <w:lang w:val="fr-FR"/>
        </w:rPr>
        <w:t>de rendre compte à l</w:t>
      </w:r>
      <w:r w:rsidR="00C96537" w:rsidRPr="00D1792B">
        <w:rPr>
          <w:lang w:val="fr-FR"/>
        </w:rPr>
        <w:t>'</w:t>
      </w:r>
      <w:r w:rsidR="00390DF8" w:rsidRPr="00D1792B">
        <w:rPr>
          <w:lang w:val="fr-FR"/>
        </w:rPr>
        <w:t>AMNT des progrès accomplis dans la mise en œuvre de la présente Résolution</w:t>
      </w:r>
      <w:r w:rsidRPr="00D1792B">
        <w:rPr>
          <w:lang w:val="fr-FR"/>
        </w:rPr>
        <w:t>,</w:t>
      </w:r>
    </w:p>
    <w:p w14:paraId="6B02A4E5" w14:textId="2107FC28" w:rsidR="006F1E01" w:rsidRPr="00D1792B" w:rsidRDefault="006F1E01" w:rsidP="00F46D0C">
      <w:pPr>
        <w:pStyle w:val="Call"/>
        <w:rPr>
          <w:iCs/>
          <w:szCs w:val="24"/>
          <w:lang w:val="fr-FR" w:eastAsia="en-GB"/>
        </w:rPr>
      </w:pPr>
      <w:r w:rsidRPr="00D1792B">
        <w:rPr>
          <w:iCs/>
          <w:szCs w:val="24"/>
          <w:lang w:val="fr-FR" w:eastAsia="en-GB"/>
        </w:rPr>
        <w:t xml:space="preserve">invite les États Membres, les Membres du Secteur, les Associés et les </w:t>
      </w:r>
      <w:r w:rsidRPr="00D1792B">
        <w:rPr>
          <w:lang w:val="fr-FR"/>
        </w:rPr>
        <w:t>établissements</w:t>
      </w:r>
      <w:r w:rsidRPr="00D1792B">
        <w:rPr>
          <w:iCs/>
          <w:szCs w:val="24"/>
          <w:lang w:val="fr-FR" w:eastAsia="en-GB"/>
        </w:rPr>
        <w:t xml:space="preserve"> universitaires</w:t>
      </w:r>
    </w:p>
    <w:p w14:paraId="1382B723" w14:textId="034DCB55" w:rsidR="006F1E01" w:rsidRPr="00D1792B" w:rsidRDefault="006F1E01" w:rsidP="00F46D0C">
      <w:pPr>
        <w:rPr>
          <w:lang w:val="fr-FR" w:eastAsia="en-GB"/>
        </w:rPr>
      </w:pPr>
      <w:r w:rsidRPr="00D1792B">
        <w:rPr>
          <w:lang w:val="fr-FR" w:eastAsia="en-GB"/>
        </w:rPr>
        <w:t>1</w:t>
      </w:r>
      <w:r w:rsidRPr="00D1792B">
        <w:rPr>
          <w:lang w:val="fr-FR" w:eastAsia="en-GB"/>
        </w:rPr>
        <w:tab/>
      </w:r>
      <w:r w:rsidR="00390DF8" w:rsidRPr="00D1792B">
        <w:rPr>
          <w:lang w:val="fr-FR" w:eastAsia="en-GB"/>
        </w:rPr>
        <w:t>à participer activement aux travaux de normalisation liés au métavers</w:t>
      </w:r>
      <w:r w:rsidRPr="00D1792B">
        <w:rPr>
          <w:lang w:val="fr-FR" w:eastAsia="en-GB"/>
        </w:rPr>
        <w:t>;</w:t>
      </w:r>
    </w:p>
    <w:p w14:paraId="46174E2F" w14:textId="51EE53F3" w:rsidR="006F1E01" w:rsidRPr="00D1792B" w:rsidRDefault="006F1E01" w:rsidP="00F46D0C">
      <w:pPr>
        <w:rPr>
          <w:lang w:val="fr-FR" w:eastAsia="en-GB"/>
        </w:rPr>
      </w:pPr>
      <w:r w:rsidRPr="00D1792B">
        <w:rPr>
          <w:lang w:val="fr-FR" w:eastAsia="en-GB"/>
        </w:rPr>
        <w:t>2</w:t>
      </w:r>
      <w:r w:rsidRPr="00D1792B">
        <w:rPr>
          <w:lang w:val="fr-FR" w:eastAsia="en-GB"/>
        </w:rPr>
        <w:tab/>
      </w:r>
      <w:r w:rsidR="00A457C7" w:rsidRPr="00D1792B">
        <w:rPr>
          <w:lang w:val="fr-FR" w:eastAsia="en-GB"/>
        </w:rPr>
        <w:t>à échanger leurs données d</w:t>
      </w:r>
      <w:r w:rsidR="00C96537" w:rsidRPr="00D1792B">
        <w:rPr>
          <w:lang w:val="fr-FR" w:eastAsia="en-GB"/>
        </w:rPr>
        <w:t>'</w:t>
      </w:r>
      <w:r w:rsidR="00A457C7" w:rsidRPr="00D1792B">
        <w:rPr>
          <w:lang w:val="fr-FR" w:eastAsia="en-GB"/>
        </w:rPr>
        <w:t>expérience et à contribuer aux discussions sur les nouveaux défis que posent les technologies de base du métavers et sur la manière dont ces technologies peuvent contribuer à la réalisation du Programme de développement durable à l</w:t>
      </w:r>
      <w:r w:rsidR="00C96537" w:rsidRPr="00D1792B">
        <w:rPr>
          <w:lang w:val="fr-FR" w:eastAsia="en-GB"/>
        </w:rPr>
        <w:t>'</w:t>
      </w:r>
      <w:r w:rsidR="00A457C7" w:rsidRPr="00D1792B">
        <w:rPr>
          <w:lang w:val="fr-FR" w:eastAsia="en-GB"/>
        </w:rPr>
        <w:t>horizon 2030 dans le cadre du mandat de l</w:t>
      </w:r>
      <w:r w:rsidR="00C96537" w:rsidRPr="00D1792B">
        <w:rPr>
          <w:lang w:val="fr-FR" w:eastAsia="en-GB"/>
        </w:rPr>
        <w:t>'</w:t>
      </w:r>
      <w:r w:rsidR="00A457C7" w:rsidRPr="00D1792B">
        <w:rPr>
          <w:lang w:val="fr-FR" w:eastAsia="en-GB"/>
        </w:rPr>
        <w:t>Union</w:t>
      </w:r>
      <w:r w:rsidRPr="00D1792B">
        <w:rPr>
          <w:lang w:val="fr-FR" w:eastAsia="en-GB"/>
        </w:rPr>
        <w:t>.</w:t>
      </w:r>
    </w:p>
    <w:p w14:paraId="52478D3D" w14:textId="77777777" w:rsidR="006F1E01" w:rsidRPr="00D1792B" w:rsidRDefault="006F1E01" w:rsidP="00F46D0C">
      <w:pPr>
        <w:pStyle w:val="Reasons"/>
        <w:rPr>
          <w:lang w:val="fr-FR"/>
        </w:rPr>
      </w:pPr>
    </w:p>
    <w:p w14:paraId="1E02489C" w14:textId="77777777" w:rsidR="006F1E01" w:rsidRPr="00D1792B" w:rsidRDefault="006F1E01" w:rsidP="00F46D0C">
      <w:pPr>
        <w:jc w:val="center"/>
        <w:rPr>
          <w:lang w:val="fr-FR"/>
        </w:rPr>
      </w:pPr>
      <w:r w:rsidRPr="00D1792B">
        <w:rPr>
          <w:lang w:val="fr-FR"/>
        </w:rPr>
        <w:t>______________</w:t>
      </w:r>
    </w:p>
    <w:sectPr w:rsidR="006F1E01" w:rsidRPr="00D1792B">
      <w:headerReference w:type="default" r:id="rId15"/>
      <w:footerReference w:type="even" r:id="rId16"/>
      <w:pgSz w:w="11907" w:h="16840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B1DD19" w14:textId="77777777" w:rsidR="006D76F7" w:rsidRDefault="006D76F7">
      <w:r>
        <w:separator/>
      </w:r>
    </w:p>
  </w:endnote>
  <w:endnote w:type="continuationSeparator" w:id="0">
    <w:p w14:paraId="796385C0" w14:textId="77777777" w:rsidR="006D76F7" w:rsidRDefault="006D76F7">
      <w:r>
        <w:continuationSeparator/>
      </w:r>
    </w:p>
  </w:endnote>
  <w:endnote w:type="continuationNotice" w:id="1">
    <w:p w14:paraId="302F9D8B" w14:textId="77777777" w:rsidR="006D76F7" w:rsidRDefault="006D76F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FE8D33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77BD2CA" w14:textId="3E008130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54E3E">
      <w:rPr>
        <w:noProof/>
      </w:rPr>
      <w:t>20.09.24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2F547" w14:textId="77777777" w:rsidR="006D76F7" w:rsidRDefault="006D76F7">
      <w:r>
        <w:rPr>
          <w:b/>
        </w:rPr>
        <w:t>_______________</w:t>
      </w:r>
    </w:p>
  </w:footnote>
  <w:footnote w:type="continuationSeparator" w:id="0">
    <w:p w14:paraId="4B67CF01" w14:textId="77777777" w:rsidR="006D76F7" w:rsidRDefault="006D7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F90DD" w14:textId="1832735A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</w:r>
    <w:r w:rsidR="00D1792B">
      <w:t>WTSA</w:t>
    </w:r>
    <w:r w:rsidR="0090488A">
      <w:t>-24/39(Add.19)-F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813135078">
    <w:abstractNumId w:val="8"/>
  </w:num>
  <w:num w:numId="2" w16cid:durableId="1171725134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726757589">
    <w:abstractNumId w:val="9"/>
  </w:num>
  <w:num w:numId="4" w16cid:durableId="1887835681">
    <w:abstractNumId w:val="7"/>
  </w:num>
  <w:num w:numId="5" w16cid:durableId="554465561">
    <w:abstractNumId w:val="6"/>
  </w:num>
  <w:num w:numId="6" w16cid:durableId="891236682">
    <w:abstractNumId w:val="5"/>
  </w:num>
  <w:num w:numId="7" w16cid:durableId="1232428476">
    <w:abstractNumId w:val="4"/>
  </w:num>
  <w:num w:numId="8" w16cid:durableId="1852990792">
    <w:abstractNumId w:val="3"/>
  </w:num>
  <w:num w:numId="9" w16cid:durableId="1473135563">
    <w:abstractNumId w:val="2"/>
  </w:num>
  <w:num w:numId="10" w16cid:durableId="1213662227">
    <w:abstractNumId w:val="1"/>
  </w:num>
  <w:num w:numId="11" w16cid:durableId="884294976">
    <w:abstractNumId w:val="0"/>
  </w:num>
  <w:num w:numId="12" w16cid:durableId="1788549840">
    <w:abstractNumId w:val="12"/>
  </w:num>
  <w:num w:numId="13" w16cid:durableId="16634646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22A29"/>
    <w:rsid w:val="00024294"/>
    <w:rsid w:val="00030C01"/>
    <w:rsid w:val="00032E8D"/>
    <w:rsid w:val="00034F78"/>
    <w:rsid w:val="000355FD"/>
    <w:rsid w:val="00051E39"/>
    <w:rsid w:val="0005307B"/>
    <w:rsid w:val="0005603E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56FE"/>
    <w:rsid w:val="000D708A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2759"/>
    <w:rsid w:val="00137CF6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96988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67BFB"/>
    <w:rsid w:val="0027050E"/>
    <w:rsid w:val="00271316"/>
    <w:rsid w:val="00287920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E7D1F"/>
    <w:rsid w:val="002F2D0C"/>
    <w:rsid w:val="002F442D"/>
    <w:rsid w:val="00316351"/>
    <w:rsid w:val="00316B80"/>
    <w:rsid w:val="003251EA"/>
    <w:rsid w:val="00336B4E"/>
    <w:rsid w:val="00344C67"/>
    <w:rsid w:val="0034635C"/>
    <w:rsid w:val="003551A6"/>
    <w:rsid w:val="00377BD3"/>
    <w:rsid w:val="00384088"/>
    <w:rsid w:val="003879F0"/>
    <w:rsid w:val="00390DF8"/>
    <w:rsid w:val="0039169B"/>
    <w:rsid w:val="00394470"/>
    <w:rsid w:val="003A7F8C"/>
    <w:rsid w:val="003B09A1"/>
    <w:rsid w:val="003B532E"/>
    <w:rsid w:val="003C33B7"/>
    <w:rsid w:val="003D0F8B"/>
    <w:rsid w:val="003F020A"/>
    <w:rsid w:val="00404D87"/>
    <w:rsid w:val="00411FB9"/>
    <w:rsid w:val="0041348E"/>
    <w:rsid w:val="004142ED"/>
    <w:rsid w:val="00420EDB"/>
    <w:rsid w:val="004265ED"/>
    <w:rsid w:val="004373CA"/>
    <w:rsid w:val="004420C9"/>
    <w:rsid w:val="00443CCE"/>
    <w:rsid w:val="00462D00"/>
    <w:rsid w:val="00465799"/>
    <w:rsid w:val="00471EF9"/>
    <w:rsid w:val="00492075"/>
    <w:rsid w:val="004969AD"/>
    <w:rsid w:val="004A26C4"/>
    <w:rsid w:val="004B13CB"/>
    <w:rsid w:val="004B1EE9"/>
    <w:rsid w:val="004B4AAE"/>
    <w:rsid w:val="004C6FBE"/>
    <w:rsid w:val="004D5D5C"/>
    <w:rsid w:val="004D6DFC"/>
    <w:rsid w:val="004E05BE"/>
    <w:rsid w:val="004E268A"/>
    <w:rsid w:val="004E2B16"/>
    <w:rsid w:val="004E6CC7"/>
    <w:rsid w:val="004F630A"/>
    <w:rsid w:val="0050139F"/>
    <w:rsid w:val="00504AE1"/>
    <w:rsid w:val="00510C3D"/>
    <w:rsid w:val="00513862"/>
    <w:rsid w:val="00514844"/>
    <w:rsid w:val="00520ADC"/>
    <w:rsid w:val="0055140B"/>
    <w:rsid w:val="00553247"/>
    <w:rsid w:val="0056747D"/>
    <w:rsid w:val="005773C2"/>
    <w:rsid w:val="00580D46"/>
    <w:rsid w:val="00581B01"/>
    <w:rsid w:val="00587F8C"/>
    <w:rsid w:val="00595780"/>
    <w:rsid w:val="00595C83"/>
    <w:rsid w:val="005964AB"/>
    <w:rsid w:val="005A1A6A"/>
    <w:rsid w:val="005B275C"/>
    <w:rsid w:val="005C099A"/>
    <w:rsid w:val="005C31A5"/>
    <w:rsid w:val="005D431B"/>
    <w:rsid w:val="005E10C9"/>
    <w:rsid w:val="005E4F9C"/>
    <w:rsid w:val="005E61DD"/>
    <w:rsid w:val="006023DF"/>
    <w:rsid w:val="00602F64"/>
    <w:rsid w:val="00622829"/>
    <w:rsid w:val="00623F15"/>
    <w:rsid w:val="00624ED4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9681B"/>
    <w:rsid w:val="006A0D14"/>
    <w:rsid w:val="006A6E9B"/>
    <w:rsid w:val="006A72A4"/>
    <w:rsid w:val="006B7C2A"/>
    <w:rsid w:val="006C23DA"/>
    <w:rsid w:val="006C7156"/>
    <w:rsid w:val="006D4032"/>
    <w:rsid w:val="006D76F7"/>
    <w:rsid w:val="006E3C7E"/>
    <w:rsid w:val="006E3D45"/>
    <w:rsid w:val="006E6EE0"/>
    <w:rsid w:val="006F0DB7"/>
    <w:rsid w:val="006F1E01"/>
    <w:rsid w:val="00700547"/>
    <w:rsid w:val="00706168"/>
    <w:rsid w:val="00707E39"/>
    <w:rsid w:val="007149F9"/>
    <w:rsid w:val="00716D70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63BD4"/>
    <w:rsid w:val="007742CA"/>
    <w:rsid w:val="00776230"/>
    <w:rsid w:val="00777235"/>
    <w:rsid w:val="00785E1D"/>
    <w:rsid w:val="0078609B"/>
    <w:rsid w:val="00790D70"/>
    <w:rsid w:val="00797C4B"/>
    <w:rsid w:val="007A433B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2B56"/>
    <w:rsid w:val="00830D80"/>
    <w:rsid w:val="00840F52"/>
    <w:rsid w:val="008508D8"/>
    <w:rsid w:val="00850EEE"/>
    <w:rsid w:val="00854D8D"/>
    <w:rsid w:val="00864CD2"/>
    <w:rsid w:val="00872FC8"/>
    <w:rsid w:val="00874789"/>
    <w:rsid w:val="008777B8"/>
    <w:rsid w:val="008845D0"/>
    <w:rsid w:val="008959A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4E3E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2601"/>
    <w:rsid w:val="00A066F1"/>
    <w:rsid w:val="00A141AF"/>
    <w:rsid w:val="00A16D29"/>
    <w:rsid w:val="00A30305"/>
    <w:rsid w:val="00A31D2D"/>
    <w:rsid w:val="00A36DF9"/>
    <w:rsid w:val="00A41A0D"/>
    <w:rsid w:val="00A41CB8"/>
    <w:rsid w:val="00A457C7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1918"/>
    <w:rsid w:val="00B529AD"/>
    <w:rsid w:val="00B6324B"/>
    <w:rsid w:val="00B639E9"/>
    <w:rsid w:val="00B66385"/>
    <w:rsid w:val="00B66C2B"/>
    <w:rsid w:val="00B817CD"/>
    <w:rsid w:val="00B94AD0"/>
    <w:rsid w:val="00BA5265"/>
    <w:rsid w:val="00BA5828"/>
    <w:rsid w:val="00BB3A95"/>
    <w:rsid w:val="00BB6222"/>
    <w:rsid w:val="00BC053B"/>
    <w:rsid w:val="00BC2FB6"/>
    <w:rsid w:val="00BC7B38"/>
    <w:rsid w:val="00BC7D84"/>
    <w:rsid w:val="00BF490E"/>
    <w:rsid w:val="00C0018F"/>
    <w:rsid w:val="00C019A9"/>
    <w:rsid w:val="00C0539A"/>
    <w:rsid w:val="00C06D23"/>
    <w:rsid w:val="00C120F4"/>
    <w:rsid w:val="00C16A5A"/>
    <w:rsid w:val="00C20466"/>
    <w:rsid w:val="00C20FF7"/>
    <w:rsid w:val="00C214ED"/>
    <w:rsid w:val="00C234E6"/>
    <w:rsid w:val="00C30155"/>
    <w:rsid w:val="00C31E63"/>
    <w:rsid w:val="00C324A8"/>
    <w:rsid w:val="00C34489"/>
    <w:rsid w:val="00C35338"/>
    <w:rsid w:val="00C479FD"/>
    <w:rsid w:val="00C50EF4"/>
    <w:rsid w:val="00C52435"/>
    <w:rsid w:val="00C54517"/>
    <w:rsid w:val="00C64CD8"/>
    <w:rsid w:val="00C701BF"/>
    <w:rsid w:val="00C72D5C"/>
    <w:rsid w:val="00C77E1A"/>
    <w:rsid w:val="00C96537"/>
    <w:rsid w:val="00C97C68"/>
    <w:rsid w:val="00CA1A47"/>
    <w:rsid w:val="00CC247A"/>
    <w:rsid w:val="00CC7DAF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1792B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5387"/>
    <w:rsid w:val="00DA7E2F"/>
    <w:rsid w:val="00DD441E"/>
    <w:rsid w:val="00DD44AF"/>
    <w:rsid w:val="00DD7EAF"/>
    <w:rsid w:val="00DE2AC3"/>
    <w:rsid w:val="00DE5692"/>
    <w:rsid w:val="00DE70B3"/>
    <w:rsid w:val="00DF1E7B"/>
    <w:rsid w:val="00DF3E19"/>
    <w:rsid w:val="00DF6908"/>
    <w:rsid w:val="00DF700D"/>
    <w:rsid w:val="00E0231F"/>
    <w:rsid w:val="00E03C94"/>
    <w:rsid w:val="00E12CBA"/>
    <w:rsid w:val="00E2134A"/>
    <w:rsid w:val="00E26226"/>
    <w:rsid w:val="00E3103C"/>
    <w:rsid w:val="00E45D05"/>
    <w:rsid w:val="00E55816"/>
    <w:rsid w:val="00E55AEF"/>
    <w:rsid w:val="00E6117A"/>
    <w:rsid w:val="00E765C9"/>
    <w:rsid w:val="00E808DD"/>
    <w:rsid w:val="00E82677"/>
    <w:rsid w:val="00E870AC"/>
    <w:rsid w:val="00E94DBA"/>
    <w:rsid w:val="00E976C1"/>
    <w:rsid w:val="00EA12E5"/>
    <w:rsid w:val="00EB55C6"/>
    <w:rsid w:val="00EC7F04"/>
    <w:rsid w:val="00ED30BC"/>
    <w:rsid w:val="00EE4CB8"/>
    <w:rsid w:val="00F00DDC"/>
    <w:rsid w:val="00F01223"/>
    <w:rsid w:val="00F02766"/>
    <w:rsid w:val="00F05BD4"/>
    <w:rsid w:val="00F2404A"/>
    <w:rsid w:val="00F3630D"/>
    <w:rsid w:val="00F4677D"/>
    <w:rsid w:val="00F46D0C"/>
    <w:rsid w:val="00F528B4"/>
    <w:rsid w:val="00F60D05"/>
    <w:rsid w:val="00F6155B"/>
    <w:rsid w:val="00F65C19"/>
    <w:rsid w:val="00F7356B"/>
    <w:rsid w:val="00F80977"/>
    <w:rsid w:val="00F83F75"/>
    <w:rsid w:val="00F94D62"/>
    <w:rsid w:val="00F972D2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5CE6C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8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eed72537-6c1d-47e8-b5aa-1dcfd4e4a42a">DPM</DPM_x0020_Author>
    <DPM_x0020_File_x0020_name xmlns="eed72537-6c1d-47e8-b5aa-1dcfd4e4a42a">T22-WTSA.24-C-0039!A19!MSW-F</DPM_x0020_File_x0020_name>
    <DPM_x0020_Version xmlns="eed72537-6c1d-47e8-b5aa-1dcfd4e4a42a">DPM_2022.05.12.01</DPM_x0020_Versi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eed72537-6c1d-47e8-b5aa-1dcfd4e4a42a" targetNamespace="http://schemas.microsoft.com/office/2006/metadata/properties" ma:root="true" ma:fieldsID="d41af5c836d734370eb92e7ee5f83852" ns2:_="" ns3:_="">
    <xsd:import namespace="996b2e75-67fd-4955-a3b0-5ab9934cb50b"/>
    <xsd:import namespace="eed72537-6c1d-47e8-b5aa-1dcfd4e4a42a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72537-6c1d-47e8-b5aa-1dcfd4e4a42a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eed72537-6c1d-47e8-b5aa-1dcfd4e4a42a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eed72537-6c1d-47e8-b5aa-1dcfd4e4a4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5353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T22-WTSA.24-C-0039!A19!MSW-F</vt:lpstr>
      <vt:lpstr>T22-WTSA.24-C-0039!A19!MSW-F</vt:lpstr>
    </vt:vector>
  </TitlesOfParts>
  <Manager>General Secretariat - Pool</Manager>
  <Company>International Telecommunication Union (ITU)</Company>
  <LinksUpToDate>false</LinksUpToDate>
  <CharactersWithSpaces>6238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T22-WTSA.24-C-0039!A19!MSW-F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</cp:lastModifiedBy>
  <cp:revision>2</cp:revision>
  <cp:lastPrinted>2016-06-06T07:49:00Z</cp:lastPrinted>
  <dcterms:created xsi:type="dcterms:W3CDTF">2024-10-09T09:33:00Z</dcterms:created>
  <dcterms:modified xsi:type="dcterms:W3CDTF">2024-10-09T09:33:00Z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