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031A9312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6FEA2EC5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07ACA753" wp14:editId="059BC6F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61139D3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DE409AD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0540A44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442D955A" wp14:editId="23C7757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7459022F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D88CE24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7BE0C5CD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5B5C461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93B8817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F2B23F5" w14:textId="77777777" w:rsidTr="003C64ED">
        <w:trPr>
          <w:cantSplit/>
        </w:trPr>
        <w:tc>
          <w:tcPr>
            <w:tcW w:w="6237" w:type="dxa"/>
            <w:gridSpan w:val="2"/>
          </w:tcPr>
          <w:p w14:paraId="79113597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2441E641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(Add.17)-C</w:t>
            </w:r>
          </w:p>
        </w:tc>
      </w:tr>
      <w:tr w:rsidR="00931298" w:rsidRPr="00B660EE" w14:paraId="63ED52CF" w14:textId="77777777" w:rsidTr="003C64ED">
        <w:trPr>
          <w:cantSplit/>
        </w:trPr>
        <w:tc>
          <w:tcPr>
            <w:tcW w:w="6237" w:type="dxa"/>
            <w:gridSpan w:val="2"/>
          </w:tcPr>
          <w:p w14:paraId="050F2767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167532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D1CED7B" w14:textId="77777777" w:rsidTr="003C64ED">
        <w:trPr>
          <w:cantSplit/>
        </w:trPr>
        <w:tc>
          <w:tcPr>
            <w:tcW w:w="6237" w:type="dxa"/>
            <w:gridSpan w:val="2"/>
          </w:tcPr>
          <w:p w14:paraId="228EBB0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8A9974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09D93E6D" w14:textId="77777777" w:rsidTr="003C64ED">
        <w:trPr>
          <w:cantSplit/>
        </w:trPr>
        <w:tc>
          <w:tcPr>
            <w:tcW w:w="9811" w:type="dxa"/>
            <w:gridSpan w:val="4"/>
          </w:tcPr>
          <w:p w14:paraId="59CF8975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22BFCF4B" w14:textId="77777777" w:rsidTr="003C64ED">
        <w:trPr>
          <w:cantSplit/>
        </w:trPr>
        <w:tc>
          <w:tcPr>
            <w:tcW w:w="9811" w:type="dxa"/>
            <w:gridSpan w:val="4"/>
          </w:tcPr>
          <w:p w14:paraId="6E3C84CE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59F7D310" w14:textId="77777777" w:rsidTr="003C64ED">
        <w:trPr>
          <w:cantSplit/>
        </w:trPr>
        <w:tc>
          <w:tcPr>
            <w:tcW w:w="9811" w:type="dxa"/>
            <w:gridSpan w:val="4"/>
          </w:tcPr>
          <w:p w14:paraId="33803ED9" w14:textId="208229B4" w:rsidR="0048422D" w:rsidRPr="00B660EE" w:rsidRDefault="00891C67" w:rsidP="0048422D">
            <w:pPr>
              <w:pStyle w:val="Title1"/>
              <w:rPr>
                <w:lang w:eastAsia="zh-CN"/>
              </w:rPr>
            </w:pPr>
            <w:proofErr w:type="spellStart"/>
            <w:r>
              <w:t>建议保</w:t>
            </w:r>
            <w:r>
              <w:rPr>
                <w:rFonts w:ascii="SimSun" w:eastAsia="SimSun" w:hAnsi="SimSun" w:cs="SimSun" w:hint="eastAsia"/>
              </w:rPr>
              <w:t>留</w:t>
            </w:r>
            <w:proofErr w:type="spellEnd"/>
            <w:r w:rsidR="0042052D">
              <w:rPr>
                <w:rFonts w:hint="eastAsia"/>
                <w:lang w:eastAsia="zh-CN"/>
              </w:rPr>
              <w:t>第</w:t>
            </w:r>
            <w:r w:rsidR="0042052D">
              <w:rPr>
                <w:lang w:eastAsia="zh-CN"/>
              </w:rPr>
              <w:t>29</w:t>
            </w:r>
            <w:r w:rsidR="0042052D"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3AFADF9E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368EA8D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46917F68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561734F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6D18D39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2267C21C" w14:textId="77777777" w:rsidTr="003C64ED">
        <w:trPr>
          <w:cantSplit/>
        </w:trPr>
        <w:tc>
          <w:tcPr>
            <w:tcW w:w="1985" w:type="dxa"/>
          </w:tcPr>
          <w:p w14:paraId="4023B8BF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35734696" w14:textId="6E1DEA37" w:rsidR="00B91408" w:rsidRPr="00906526" w:rsidRDefault="00B91408" w:rsidP="00D72EA7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FB30BA">
              <w:rPr>
                <w:bCs/>
                <w:szCs w:val="24"/>
                <w:lang w:eastAsia="zh-CN"/>
              </w:rPr>
              <w:t>CITEL</w:t>
            </w:r>
            <w:r>
              <w:rPr>
                <w:lang w:eastAsia="zh-CN"/>
              </w:rPr>
              <w:t>建议</w:t>
            </w:r>
            <w:r w:rsidRPr="00FB30BA">
              <w:rPr>
                <w:bCs/>
                <w:szCs w:val="24"/>
                <w:lang w:eastAsia="zh-CN"/>
              </w:rPr>
              <w:t>WTSA-24</w:t>
            </w:r>
            <w:r>
              <w:rPr>
                <w:lang w:eastAsia="zh-CN"/>
              </w:rPr>
              <w:t>不对第</w:t>
            </w:r>
            <w:r>
              <w:rPr>
                <w:lang w:eastAsia="zh-CN"/>
              </w:rPr>
              <w:t>29</w:t>
            </w:r>
            <w:r>
              <w:rPr>
                <w:lang w:eastAsia="zh-CN"/>
              </w:rPr>
              <w:t>号决议</w:t>
            </w:r>
            <w:r w:rsidR="00D72EA7">
              <w:rPr>
                <w:lang w:eastAsia="zh-CN"/>
              </w:rPr>
              <w:t>进行全面修改（</w:t>
            </w:r>
            <w:r w:rsidR="00D72EA7">
              <w:rPr>
                <w:lang w:eastAsia="zh-CN"/>
              </w:rPr>
              <w:t>NOC</w:t>
            </w:r>
            <w:r w:rsidR="00D72EA7">
              <w:rPr>
                <w:lang w:eastAsia="zh-CN"/>
              </w:rPr>
              <w:t>）</w:t>
            </w:r>
            <w:r w:rsidR="00A33EFA">
              <w:rPr>
                <w:rFonts w:hint="eastAsia"/>
                <w:lang w:eastAsia="zh-CN"/>
              </w:rPr>
              <w:t>。</w:t>
            </w:r>
          </w:p>
        </w:tc>
      </w:tr>
      <w:tr w:rsidR="00931298" w:rsidRPr="009D4900" w14:paraId="4F77AE73" w14:textId="77777777" w:rsidTr="003C64ED">
        <w:trPr>
          <w:cantSplit/>
        </w:trPr>
        <w:tc>
          <w:tcPr>
            <w:tcW w:w="1985" w:type="dxa"/>
          </w:tcPr>
          <w:p w14:paraId="018E68F1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4F5CA4F1" w14:textId="2E8B6121" w:rsidR="00FE5494" w:rsidRPr="00B660EE" w:rsidRDefault="00937CEE" w:rsidP="00E6117A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美洲国家电信委员会</w:t>
            </w:r>
            <w:r>
              <w:rPr>
                <w:lang w:val="en-US" w:eastAsia="zh-CN"/>
              </w:rPr>
              <w:br/>
            </w:r>
            <w:r w:rsidRPr="00F36589">
              <w:rPr>
                <w:lang w:val="en-US"/>
              </w:rPr>
              <w:t xml:space="preserve">Maria Celeste </w:t>
            </w:r>
            <w:proofErr w:type="spellStart"/>
            <w:r w:rsidRPr="00F36589">
              <w:rPr>
                <w:lang w:val="en-US"/>
              </w:rPr>
              <w:t>Fuenmayor</w:t>
            </w:r>
            <w:proofErr w:type="spellEnd"/>
          </w:p>
        </w:tc>
        <w:tc>
          <w:tcPr>
            <w:tcW w:w="3935" w:type="dxa"/>
          </w:tcPr>
          <w:p w14:paraId="30307EA8" w14:textId="01C1602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CF7827" w:rsidRPr="00891C67">
                <w:rPr>
                  <w:rStyle w:val="Hyperlink"/>
                </w:rPr>
                <w:t>mfuenmayor@oas.org</w:t>
              </w:r>
            </w:hyperlink>
          </w:p>
        </w:tc>
      </w:tr>
    </w:tbl>
    <w:p w14:paraId="3D6C4D31" w14:textId="77777777" w:rsidR="00A52D1A" w:rsidRPr="00A52D1A" w:rsidRDefault="00A52D1A" w:rsidP="00A52D1A">
      <w:pPr>
        <w:rPr>
          <w:lang w:eastAsia="zh-CN"/>
        </w:rPr>
      </w:pPr>
    </w:p>
    <w:p w14:paraId="7EDA1B5A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4DABA19" w14:textId="77777777" w:rsidR="001414FE" w:rsidRDefault="008023E8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IAP/39A17/1</w:t>
      </w:r>
    </w:p>
    <w:p w14:paraId="7622072D" w14:textId="77777777" w:rsidR="00C1247D" w:rsidRPr="002B04C3" w:rsidRDefault="008023E8" w:rsidP="00F81018">
      <w:pPr>
        <w:pStyle w:val="ResNo"/>
        <w:rPr>
          <w:lang w:eastAsia="zh-CN"/>
        </w:rPr>
      </w:pPr>
      <w:bookmarkStart w:id="1" w:name="_Toc114651303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29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r w:rsidRPr="002B04C3">
        <w:rPr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</w:t>
      </w:r>
      <w:bookmarkEnd w:id="1"/>
    </w:p>
    <w:p w14:paraId="127A4F19" w14:textId="77777777" w:rsidR="00C1247D" w:rsidRPr="002B04C3" w:rsidRDefault="008023E8" w:rsidP="00F81018">
      <w:pPr>
        <w:pStyle w:val="Restitle"/>
        <w:rPr>
          <w:lang w:eastAsia="zh-CN"/>
        </w:rPr>
      </w:pPr>
      <w:bookmarkStart w:id="2" w:name="_Toc114651304"/>
      <w:r w:rsidRPr="002B04C3">
        <w:rPr>
          <w:rFonts w:hint="eastAsia"/>
          <w:lang w:eastAsia="zh-CN"/>
        </w:rPr>
        <w:t>国际电信网上的迂回呼叫程序</w:t>
      </w:r>
      <w:bookmarkEnd w:id="2"/>
    </w:p>
    <w:p w14:paraId="79392E65" w14:textId="77777777" w:rsidR="00C1247D" w:rsidRPr="00C03558" w:rsidRDefault="008023E8" w:rsidP="00F81018">
      <w:pPr>
        <w:pStyle w:val="Resref"/>
        <w:rPr>
          <w:i w:val="0"/>
          <w:iCs/>
          <w:lang w:eastAsia="zh-CN"/>
        </w:rPr>
      </w:pPr>
      <w:r w:rsidRPr="00C03558">
        <w:rPr>
          <w:rFonts w:hint="eastAsia"/>
          <w:i w:val="0"/>
          <w:iCs/>
          <w:lang w:eastAsia="zh-CN"/>
        </w:rPr>
        <w:t>（</w:t>
      </w:r>
      <w:r w:rsidRPr="00C03558">
        <w:rPr>
          <w:rStyle w:val="Italic"/>
          <w:i w:val="0"/>
          <w:iCs/>
          <w:lang w:eastAsia="zh-CN"/>
        </w:rPr>
        <w:t>1996</w:t>
      </w:r>
      <w:r w:rsidRPr="00C03558">
        <w:rPr>
          <w:rStyle w:val="Italic"/>
          <w:rFonts w:hint="eastAsia"/>
          <w:i w:val="0"/>
          <w:iCs/>
          <w:lang w:eastAsia="zh-CN"/>
        </w:rPr>
        <w:t>年，日内瓦；</w:t>
      </w:r>
      <w:r w:rsidRPr="00C03558">
        <w:rPr>
          <w:rStyle w:val="Italic"/>
          <w:i w:val="0"/>
          <w:iCs/>
          <w:lang w:eastAsia="zh-CN"/>
        </w:rPr>
        <w:t>2000</w:t>
      </w:r>
      <w:r w:rsidRPr="00C03558">
        <w:rPr>
          <w:rStyle w:val="Italic"/>
          <w:rFonts w:hint="eastAsia"/>
          <w:i w:val="0"/>
          <w:iCs/>
          <w:lang w:eastAsia="zh-CN"/>
        </w:rPr>
        <w:t>年，蒙特利尔；</w:t>
      </w:r>
      <w:r w:rsidRPr="00C03558">
        <w:rPr>
          <w:rStyle w:val="Italic"/>
          <w:i w:val="0"/>
          <w:iCs/>
          <w:lang w:eastAsia="zh-CN"/>
        </w:rPr>
        <w:t>2004</w:t>
      </w:r>
      <w:r w:rsidRPr="00C03558">
        <w:rPr>
          <w:rStyle w:val="Italic"/>
          <w:rFonts w:hint="eastAsia"/>
          <w:i w:val="0"/>
          <w:iCs/>
          <w:lang w:eastAsia="zh-CN"/>
        </w:rPr>
        <w:t>年，弗洛里亚诺波利斯；</w:t>
      </w:r>
      <w:r w:rsidRPr="00C03558">
        <w:rPr>
          <w:rStyle w:val="Italic"/>
          <w:i w:val="0"/>
          <w:iCs/>
          <w:lang w:eastAsia="zh-CN"/>
        </w:rPr>
        <w:br/>
        <w:t>2008</w:t>
      </w:r>
      <w:r w:rsidRPr="00C03558">
        <w:rPr>
          <w:rStyle w:val="Italic"/>
          <w:rFonts w:hint="eastAsia"/>
          <w:i w:val="0"/>
          <w:iCs/>
          <w:lang w:eastAsia="zh-CN"/>
        </w:rPr>
        <w:t>年，约翰内斯堡；</w:t>
      </w:r>
      <w:r w:rsidRPr="00C03558">
        <w:rPr>
          <w:rStyle w:val="Italic"/>
          <w:i w:val="0"/>
          <w:iCs/>
          <w:lang w:eastAsia="zh-CN"/>
        </w:rPr>
        <w:t>2012</w:t>
      </w:r>
      <w:r w:rsidRPr="00C03558">
        <w:rPr>
          <w:rStyle w:val="Italic"/>
          <w:rFonts w:hint="eastAsia"/>
          <w:i w:val="0"/>
          <w:iCs/>
          <w:lang w:eastAsia="zh-CN"/>
        </w:rPr>
        <w:t>年，迪拜；</w:t>
      </w:r>
      <w:r w:rsidRPr="00C03558">
        <w:rPr>
          <w:rStyle w:val="Italic"/>
          <w:i w:val="0"/>
          <w:iCs/>
          <w:lang w:eastAsia="zh-CN"/>
        </w:rPr>
        <w:t>2016</w:t>
      </w:r>
      <w:r w:rsidRPr="00C03558">
        <w:rPr>
          <w:rStyle w:val="Italic"/>
          <w:rFonts w:hint="eastAsia"/>
          <w:i w:val="0"/>
          <w:iCs/>
          <w:lang w:eastAsia="zh-CN"/>
        </w:rPr>
        <w:t>年，哈马马特；</w:t>
      </w:r>
      <w:r w:rsidRPr="00C03558">
        <w:rPr>
          <w:rStyle w:val="Italic"/>
          <w:i w:val="0"/>
          <w:iCs/>
          <w:lang w:eastAsia="zh-CN"/>
        </w:rPr>
        <w:t>2022</w:t>
      </w:r>
      <w:r w:rsidRPr="00C03558">
        <w:rPr>
          <w:rStyle w:val="Italic"/>
          <w:rFonts w:hint="eastAsia"/>
          <w:i w:val="0"/>
          <w:iCs/>
          <w:lang w:eastAsia="zh-CN"/>
        </w:rPr>
        <w:t>年，日内瓦</w:t>
      </w:r>
      <w:r w:rsidRPr="00C03558">
        <w:rPr>
          <w:rFonts w:hint="eastAsia"/>
          <w:i w:val="0"/>
          <w:iCs/>
          <w:lang w:eastAsia="zh-CN"/>
        </w:rPr>
        <w:t>）</w:t>
      </w:r>
    </w:p>
    <w:p w14:paraId="21B5E15D" w14:textId="77777777" w:rsidR="00C1247D" w:rsidRPr="002B04C3" w:rsidRDefault="008023E8" w:rsidP="008E0A83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2B04C3">
        <w:rPr>
          <w:lang w:eastAsia="zh-CN"/>
        </w:rPr>
        <w:t>2022</w:t>
      </w:r>
      <w:r w:rsidRPr="002B04C3">
        <w:rPr>
          <w:rFonts w:hint="eastAsia"/>
          <w:lang w:eastAsia="zh-CN"/>
        </w:rPr>
        <w:t>年，日内瓦），</w:t>
      </w:r>
    </w:p>
    <w:p w14:paraId="59936C40" w14:textId="6367E062" w:rsidR="001414FE" w:rsidRDefault="008023E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72EA7" w:rsidRPr="00FB30BA">
        <w:rPr>
          <w:bCs/>
          <w:szCs w:val="24"/>
          <w:lang w:eastAsia="zh-CN"/>
        </w:rPr>
        <w:t>CITEL</w:t>
      </w:r>
      <w:r w:rsidR="00D72EA7">
        <w:rPr>
          <w:lang w:eastAsia="zh-CN"/>
        </w:rPr>
        <w:t>建议</w:t>
      </w:r>
      <w:r w:rsidR="00D72EA7" w:rsidRPr="00FB30BA">
        <w:rPr>
          <w:bCs/>
          <w:szCs w:val="24"/>
          <w:lang w:eastAsia="zh-CN"/>
        </w:rPr>
        <w:t>WTSA-24</w:t>
      </w:r>
      <w:r w:rsidR="00D72EA7">
        <w:rPr>
          <w:lang w:eastAsia="zh-CN"/>
        </w:rPr>
        <w:t>不对第</w:t>
      </w:r>
      <w:r w:rsidR="00D72EA7">
        <w:rPr>
          <w:lang w:eastAsia="zh-CN"/>
        </w:rPr>
        <w:t>29</w:t>
      </w:r>
      <w:r w:rsidR="00D72EA7">
        <w:rPr>
          <w:lang w:eastAsia="zh-CN"/>
        </w:rPr>
        <w:t>号决议进行全面修改（</w:t>
      </w:r>
      <w:r w:rsidR="00D72EA7">
        <w:rPr>
          <w:lang w:eastAsia="zh-CN"/>
        </w:rPr>
        <w:t>NOC</w:t>
      </w:r>
      <w:r w:rsidR="00D72EA7">
        <w:rPr>
          <w:lang w:eastAsia="zh-CN"/>
        </w:rPr>
        <w:t>）</w:t>
      </w:r>
      <w:r w:rsidR="00D72EA7">
        <w:rPr>
          <w:rFonts w:hint="eastAsia"/>
          <w:lang w:eastAsia="zh-CN"/>
        </w:rPr>
        <w:t>，</w:t>
      </w:r>
      <w:r w:rsidR="00937CEE" w:rsidRPr="00937CEE">
        <w:rPr>
          <w:rFonts w:hint="eastAsia"/>
          <w:bCs/>
          <w:lang w:eastAsia="zh-CN"/>
        </w:rPr>
        <w:t>因为该决议的现有版本以</w:t>
      </w:r>
      <w:r w:rsidR="00937CEE">
        <w:rPr>
          <w:rFonts w:hint="eastAsia"/>
          <w:bCs/>
          <w:lang w:eastAsia="zh-CN"/>
        </w:rPr>
        <w:t>高效</w:t>
      </w:r>
      <w:r w:rsidR="00937CEE" w:rsidRPr="00937CEE">
        <w:rPr>
          <w:rFonts w:hint="eastAsia"/>
          <w:bCs/>
          <w:lang w:eastAsia="zh-CN"/>
        </w:rPr>
        <w:t>和令人满意的方式有效地实现了其预期目的。</w:t>
      </w:r>
      <w:r w:rsidR="00937CEE" w:rsidRPr="00937CEE">
        <w:rPr>
          <w:rFonts w:hint="eastAsia"/>
          <w:bCs/>
          <w:lang w:eastAsia="zh-CN"/>
        </w:rPr>
        <w:t>WTSA-20</w:t>
      </w:r>
      <w:r w:rsidR="00937CEE" w:rsidRPr="00937CEE">
        <w:rPr>
          <w:rFonts w:hint="eastAsia"/>
          <w:bCs/>
          <w:lang w:eastAsia="zh-CN"/>
        </w:rPr>
        <w:t>（</w:t>
      </w:r>
      <w:r w:rsidR="00937CEE" w:rsidRPr="00937CEE">
        <w:rPr>
          <w:rFonts w:hint="eastAsia"/>
          <w:bCs/>
          <w:lang w:eastAsia="zh-CN"/>
        </w:rPr>
        <w:t>2022</w:t>
      </w:r>
      <w:r w:rsidR="00937CEE" w:rsidRPr="00937CEE">
        <w:rPr>
          <w:rFonts w:hint="eastAsia"/>
          <w:bCs/>
          <w:lang w:eastAsia="zh-CN"/>
        </w:rPr>
        <w:t>年</w:t>
      </w:r>
      <w:r w:rsidR="00937CEE" w:rsidRPr="00937CEE">
        <w:rPr>
          <w:rFonts w:hint="eastAsia"/>
          <w:bCs/>
          <w:lang w:eastAsia="zh-CN"/>
        </w:rPr>
        <w:t>3</w:t>
      </w:r>
      <w:r w:rsidR="00937CEE" w:rsidRPr="00937CEE">
        <w:rPr>
          <w:rFonts w:hint="eastAsia"/>
          <w:bCs/>
          <w:lang w:eastAsia="zh-CN"/>
        </w:rPr>
        <w:t>月）修改了</w:t>
      </w:r>
      <w:r w:rsidR="00937CEE" w:rsidRPr="00937CEE">
        <w:rPr>
          <w:rFonts w:hint="eastAsia"/>
          <w:bCs/>
          <w:lang w:eastAsia="zh-CN"/>
        </w:rPr>
        <w:t>WTSA</w:t>
      </w:r>
      <w:r w:rsidR="00937CEE" w:rsidRPr="00937CEE">
        <w:rPr>
          <w:rFonts w:hint="eastAsia"/>
          <w:bCs/>
          <w:lang w:eastAsia="zh-CN"/>
        </w:rPr>
        <w:t>第</w:t>
      </w:r>
      <w:r w:rsidR="00937CEE" w:rsidRPr="00937CEE">
        <w:rPr>
          <w:rFonts w:hint="eastAsia"/>
          <w:bCs/>
          <w:lang w:eastAsia="zh-CN"/>
        </w:rPr>
        <w:t>64</w:t>
      </w:r>
      <w:r w:rsidR="00937CEE" w:rsidRPr="00937CEE">
        <w:rPr>
          <w:rFonts w:hint="eastAsia"/>
          <w:bCs/>
          <w:lang w:eastAsia="zh-CN"/>
        </w:rPr>
        <w:t>号决议。自那时以来，没有证据表明需要进行任何进一步的修订，因此</w:t>
      </w:r>
      <w:r w:rsidR="00937CEE" w:rsidRPr="00937CEE">
        <w:rPr>
          <w:rFonts w:hint="eastAsia"/>
          <w:bCs/>
          <w:lang w:eastAsia="zh-CN"/>
        </w:rPr>
        <w:t>WTSA-24</w:t>
      </w:r>
      <w:r w:rsidR="00937CEE" w:rsidRPr="00937CEE">
        <w:rPr>
          <w:rFonts w:hint="eastAsia"/>
          <w:bCs/>
          <w:lang w:eastAsia="zh-CN"/>
        </w:rPr>
        <w:t>没有必要在仅仅两年后就投入有限的时间和资源进行额外的</w:t>
      </w:r>
      <w:r w:rsidR="00937CEE">
        <w:rPr>
          <w:rFonts w:hint="eastAsia"/>
          <w:bCs/>
          <w:lang w:eastAsia="zh-CN"/>
        </w:rPr>
        <w:t>修改</w:t>
      </w:r>
      <w:r w:rsidR="00937CEE" w:rsidRPr="00937CEE">
        <w:rPr>
          <w:rFonts w:hint="eastAsia"/>
          <w:bCs/>
          <w:lang w:eastAsia="zh-CN"/>
        </w:rPr>
        <w:t>。</w:t>
      </w:r>
    </w:p>
    <w:sectPr w:rsidR="001414F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86CE" w14:textId="77777777" w:rsidR="007A312D" w:rsidRDefault="007A312D">
      <w:r>
        <w:separator/>
      </w:r>
    </w:p>
  </w:endnote>
  <w:endnote w:type="continuationSeparator" w:id="0">
    <w:p w14:paraId="5638E662" w14:textId="77777777" w:rsidR="007A312D" w:rsidRDefault="007A312D">
      <w:r>
        <w:continuationSeparator/>
      </w:r>
    </w:p>
  </w:endnote>
  <w:endnote w:type="continuationNotice" w:id="1">
    <w:p w14:paraId="5BAC7C2A" w14:textId="77777777" w:rsidR="007A312D" w:rsidRDefault="007A31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12C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4585495" w14:textId="07520D6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C67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ABF8" w14:textId="77777777" w:rsidR="007A312D" w:rsidRDefault="007A312D">
      <w:r>
        <w:rPr>
          <w:b/>
        </w:rPr>
        <w:t>_______________</w:t>
      </w:r>
    </w:p>
  </w:footnote>
  <w:footnote w:type="continuationSeparator" w:id="0">
    <w:p w14:paraId="645D90C8" w14:textId="77777777" w:rsidR="007A312D" w:rsidRDefault="007A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6D78" w14:textId="5B1A34E9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33EFA">
      <w:rPr>
        <w:noProof/>
      </w:rPr>
      <w:t>2</w:t>
    </w:r>
    <w:r>
      <w:fldChar w:fldCharType="end"/>
    </w:r>
    <w:r w:rsidR="00C12C2B">
      <w:br/>
    </w:r>
    <w:r w:rsidR="00EF2A81">
      <w:t>WTSA-24/</w:t>
    </w:r>
    <w:r w:rsidR="0035166C">
      <w:t>39(Add.17)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14FE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118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16E24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52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2FC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A312D"/>
    <w:rsid w:val="007B28CB"/>
    <w:rsid w:val="007C0180"/>
    <w:rsid w:val="007C472D"/>
    <w:rsid w:val="007C60C2"/>
    <w:rsid w:val="007D1EC0"/>
    <w:rsid w:val="007D5320"/>
    <w:rsid w:val="007E51BA"/>
    <w:rsid w:val="007E66EA"/>
    <w:rsid w:val="007F3C67"/>
    <w:rsid w:val="007F6D49"/>
    <w:rsid w:val="00800972"/>
    <w:rsid w:val="008023E8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91C67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2EA0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37CEE"/>
    <w:rsid w:val="00940614"/>
    <w:rsid w:val="00944A5C"/>
    <w:rsid w:val="00952A66"/>
    <w:rsid w:val="0095691C"/>
    <w:rsid w:val="009B2216"/>
    <w:rsid w:val="009B47EB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3EFA"/>
    <w:rsid w:val="00A34B5B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175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1408"/>
    <w:rsid w:val="00B94AD0"/>
    <w:rsid w:val="00BA5265"/>
    <w:rsid w:val="00BB3A95"/>
    <w:rsid w:val="00BB6222"/>
    <w:rsid w:val="00BC2FB6"/>
    <w:rsid w:val="00BC7D84"/>
    <w:rsid w:val="00BE15D6"/>
    <w:rsid w:val="00BF3941"/>
    <w:rsid w:val="00BF490E"/>
    <w:rsid w:val="00BF5986"/>
    <w:rsid w:val="00C0018F"/>
    <w:rsid w:val="00C0539A"/>
    <w:rsid w:val="00C120F4"/>
    <w:rsid w:val="00C1247D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CF7827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2EA7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CEB30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bb1cc38-ee59-4bd1-a0e5-b65843eb6dc0">DPM</DPM_x0020_Author>
    <DPM_x0020_File_x0020_name xmlns="bbb1cc38-ee59-4bd1-a0e5-b65843eb6dc0">T22-WTSA.24-C-0039!A17!MSW-C</DPM_x0020_File_x0020_name>
    <DPM_x0020_Version xmlns="bbb1cc38-ee59-4bd1-a0e5-b65843eb6dc0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bb1cc38-ee59-4bd1-a0e5-b65843eb6dc0" targetNamespace="http://schemas.microsoft.com/office/2006/metadata/properties" ma:root="true" ma:fieldsID="d41af5c836d734370eb92e7ee5f83852" ns2:_="" ns3:_="">
    <xsd:import namespace="996b2e75-67fd-4955-a3b0-5ab9934cb50b"/>
    <xsd:import namespace="bbb1cc38-ee59-4bd1-a0e5-b65843eb6dc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c38-ee59-4bd1-a0e5-b65843eb6dc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bb1cc38-ee59-4bd1-a0e5-b65843eb6dc0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bb1cc38-ee59-4bd1-a0e5-b65843eb6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DA3DB-D965-4922-9D81-D5C5E66858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Xing, Yun</cp:lastModifiedBy>
  <cp:revision>9</cp:revision>
  <cp:lastPrinted>2016-06-06T07:49:00Z</cp:lastPrinted>
  <dcterms:created xsi:type="dcterms:W3CDTF">2024-09-19T08:09:00Z</dcterms:created>
  <dcterms:modified xsi:type="dcterms:W3CDTF">2024-09-23T04:07:00Z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