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207323DA" w14:textId="77777777" w:rsidTr="008077A5">
        <w:trPr>
          <w:cantSplit/>
          <w:trHeight w:val="20"/>
        </w:trPr>
        <w:tc>
          <w:tcPr>
            <w:tcW w:w="1310" w:type="dxa"/>
          </w:tcPr>
          <w:p w14:paraId="35902A00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5ECF4E3F" wp14:editId="51F9AC44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76A80E80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28413B43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698B4F6E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72527D53" wp14:editId="619EC41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AE0A8F4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7C332374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50E4215C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53920C81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77BE6D02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5F68D3CB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7D7B80E8" w14:textId="77777777" w:rsidTr="008077A5">
        <w:trPr>
          <w:cantSplit/>
        </w:trPr>
        <w:tc>
          <w:tcPr>
            <w:tcW w:w="6456" w:type="dxa"/>
            <w:gridSpan w:val="2"/>
          </w:tcPr>
          <w:p w14:paraId="24F69113" w14:textId="77777777" w:rsidR="00AD538E" w:rsidRPr="005D3312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5D3312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22284212" w14:textId="209CE993" w:rsidR="00AD538E" w:rsidRPr="005D3312" w:rsidRDefault="0071393C" w:rsidP="003309DA">
            <w:pPr>
              <w:pStyle w:val="Docnumber"/>
              <w:bidi/>
            </w:pPr>
            <w:r>
              <w:rPr>
                <w:rFonts w:hint="cs"/>
                <w:rtl/>
              </w:rPr>
              <w:t>الإضافة</w:t>
            </w:r>
            <w:r w:rsidR="005D3312">
              <w:rPr>
                <w:rFonts w:hint="cs"/>
                <w:rtl/>
              </w:rPr>
              <w:t xml:space="preserve"> </w:t>
            </w:r>
            <w:r w:rsidR="00D21D8E" w:rsidRPr="005D3312">
              <w:t>17</w:t>
            </w:r>
            <w:r w:rsidR="00D21D8E" w:rsidRPr="005D3312">
              <w:br/>
            </w:r>
            <w:r>
              <w:rPr>
                <w:rFonts w:hint="cs"/>
                <w:rtl/>
              </w:rPr>
              <w:t>للوثيقة</w:t>
            </w:r>
            <w:r w:rsidR="005D3312">
              <w:rPr>
                <w:rFonts w:hint="cs"/>
                <w:rtl/>
              </w:rPr>
              <w:t xml:space="preserve"> </w:t>
            </w:r>
            <w:r w:rsidR="00D21D8E" w:rsidRPr="005D3312">
              <w:rPr>
                <w:rFonts w:eastAsia="SimSun"/>
              </w:rPr>
              <w:t>39-A</w:t>
            </w:r>
          </w:p>
        </w:tc>
      </w:tr>
      <w:tr w:rsidR="006175E7" w:rsidRPr="00B344B6" w14:paraId="27C5A491" w14:textId="77777777" w:rsidTr="008077A5">
        <w:trPr>
          <w:cantSplit/>
        </w:trPr>
        <w:tc>
          <w:tcPr>
            <w:tcW w:w="6456" w:type="dxa"/>
            <w:gridSpan w:val="2"/>
          </w:tcPr>
          <w:p w14:paraId="060D325B" w14:textId="77777777" w:rsidR="006175E7" w:rsidRPr="005D3312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43517A17" w14:textId="77777777" w:rsidR="006175E7" w:rsidRPr="005D3312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5D3312">
              <w:rPr>
                <w:rFonts w:ascii="Dubai" w:eastAsia="SimSun" w:hAnsi="Dubai" w:cs="Dubai"/>
                <w:sz w:val="22"/>
                <w:szCs w:val="22"/>
              </w:rPr>
              <w:t>13</w:t>
            </w:r>
            <w:r w:rsidRPr="005D3312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5D3312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542D03D0" w14:textId="77777777" w:rsidTr="008077A5">
        <w:trPr>
          <w:cantSplit/>
        </w:trPr>
        <w:tc>
          <w:tcPr>
            <w:tcW w:w="6456" w:type="dxa"/>
            <w:gridSpan w:val="2"/>
          </w:tcPr>
          <w:p w14:paraId="64470AD7" w14:textId="77777777" w:rsidR="006175E7" w:rsidRPr="005D3312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1477D4D7" w14:textId="77777777" w:rsidR="006175E7" w:rsidRPr="005D3312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5D3312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116C5858" w14:textId="77777777" w:rsidTr="008077A5">
        <w:trPr>
          <w:cantSplit/>
        </w:trPr>
        <w:tc>
          <w:tcPr>
            <w:tcW w:w="9579" w:type="dxa"/>
            <w:gridSpan w:val="4"/>
          </w:tcPr>
          <w:p w14:paraId="5DF815E2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202BFFF9" w14:textId="77777777" w:rsidTr="008077A5">
        <w:trPr>
          <w:cantSplit/>
        </w:trPr>
        <w:tc>
          <w:tcPr>
            <w:tcW w:w="9579" w:type="dxa"/>
            <w:gridSpan w:val="4"/>
          </w:tcPr>
          <w:p w14:paraId="0485E843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6B2B277F" w14:textId="77777777" w:rsidTr="008077A5">
        <w:trPr>
          <w:cantSplit/>
        </w:trPr>
        <w:tc>
          <w:tcPr>
            <w:tcW w:w="9579" w:type="dxa"/>
            <w:gridSpan w:val="4"/>
          </w:tcPr>
          <w:p w14:paraId="5307BEAF" w14:textId="3C6937B4" w:rsidR="006175E7" w:rsidRPr="00D21D8E" w:rsidRDefault="00B57340" w:rsidP="00B57340">
            <w:pPr>
              <w:pStyle w:val="Title1"/>
              <w:spacing w:before="240"/>
            </w:pPr>
            <w:r w:rsidRPr="00B57340">
              <w:rPr>
                <w:rFonts w:hint="cs"/>
                <w:rtl/>
                <w:lang w:bidi="ar-SA"/>
              </w:rPr>
              <w:t>اقتراح بالإبقاء على القرار</w:t>
            </w:r>
            <w:r>
              <w:rPr>
                <w:rFonts w:hint="cs"/>
                <w:rtl/>
                <w:lang w:bidi="ar-SA"/>
              </w:rPr>
              <w:t xml:space="preserve"> 29</w:t>
            </w:r>
          </w:p>
        </w:tc>
      </w:tr>
      <w:tr w:rsidR="006175E7" w:rsidRPr="00B344B6" w14:paraId="503A86B2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719730DD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02AB9144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704E309B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0AF080FF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0A4471FD" w14:textId="77777777" w:rsidTr="008077A5">
        <w:tc>
          <w:tcPr>
            <w:tcW w:w="1355" w:type="dxa"/>
            <w:shd w:val="clear" w:color="auto" w:fill="FFFFFF"/>
          </w:tcPr>
          <w:p w14:paraId="47917F52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33CE3E9A" w14:textId="635C2491" w:rsidR="00314F41" w:rsidRPr="00B344B6" w:rsidRDefault="001F139B" w:rsidP="0055044C">
            <w:pPr>
              <w:pStyle w:val="Abstract"/>
              <w:bidi/>
              <w:spacing w:before="240" w:after="40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1F139B">
              <w:rPr>
                <w:rFonts w:ascii="Dubai" w:hAnsi="Dubai" w:cs="Dubai"/>
                <w:sz w:val="22"/>
                <w:szCs w:val="22"/>
                <w:rtl/>
                <w:lang w:val="en-GB"/>
              </w:rPr>
              <w:t>تقترح الدول الأعضاء في لجنة البلدان الأمريكية للاتصالات (</w:t>
            </w:r>
            <w:r w:rsidRPr="001F139B">
              <w:rPr>
                <w:rFonts w:ascii="Dubai" w:hAnsi="Dubai" w:cs="Dubai"/>
                <w:sz w:val="22"/>
                <w:szCs w:val="22"/>
                <w:lang w:val="en-GB"/>
              </w:rPr>
              <w:t>CITEL</w:t>
            </w:r>
            <w:r w:rsidRPr="001F139B">
              <w:rPr>
                <w:rFonts w:ascii="Dubai" w:hAnsi="Dubai" w:cs="Dubai"/>
                <w:sz w:val="22"/>
                <w:szCs w:val="22"/>
                <w:rtl/>
                <w:lang w:val="en-GB"/>
              </w:rPr>
              <w:t>) "عدم إدخال أي تغيير" (</w:t>
            </w:r>
            <w:r w:rsidRPr="001F139B">
              <w:rPr>
                <w:rFonts w:ascii="Dubai" w:hAnsi="Dubai" w:cs="Dubai"/>
                <w:sz w:val="22"/>
                <w:szCs w:val="22"/>
                <w:lang w:val="en-GB"/>
              </w:rPr>
              <w:t>NOC</w:t>
            </w:r>
            <w:r w:rsidRPr="001F139B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) على القرار </w:t>
            </w:r>
            <w:r>
              <w:rPr>
                <w:rFonts w:ascii="Dubai" w:hAnsi="Dubai" w:cs="Dubai"/>
                <w:sz w:val="22"/>
                <w:szCs w:val="22"/>
                <w:lang w:val="en-GB"/>
              </w:rPr>
              <w:t>29</w:t>
            </w:r>
            <w:r w:rsidRPr="001F139B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في الجمعية العالمية لتقييس الاتصالات (</w:t>
            </w:r>
            <w:r w:rsidRPr="001F139B">
              <w:rPr>
                <w:rFonts w:ascii="Dubai" w:hAnsi="Dubai" w:cs="Dubai"/>
                <w:sz w:val="22"/>
                <w:szCs w:val="22"/>
                <w:lang w:val="en-GB"/>
              </w:rPr>
              <w:t>WTSA-24</w:t>
            </w:r>
            <w:r w:rsidRPr="001F139B">
              <w:rPr>
                <w:rFonts w:ascii="Dubai" w:hAnsi="Dubai" w:cs="Dubai"/>
                <w:sz w:val="22"/>
                <w:szCs w:val="22"/>
                <w:rtl/>
                <w:lang w:val="en-GB"/>
              </w:rPr>
              <w:t>)</w:t>
            </w:r>
          </w:p>
        </w:tc>
      </w:tr>
      <w:tr w:rsidR="00314F41" w:rsidRPr="00B344B6" w14:paraId="235B63D0" w14:textId="77777777" w:rsidTr="008077A5">
        <w:tc>
          <w:tcPr>
            <w:tcW w:w="1355" w:type="dxa"/>
            <w:shd w:val="clear" w:color="auto" w:fill="FFFFFF"/>
            <w:hideMark/>
          </w:tcPr>
          <w:p w14:paraId="7ED5BACB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686BED50" w14:textId="2CC7C6DF" w:rsidR="00314F41" w:rsidRPr="00B344B6" w:rsidRDefault="001F139B" w:rsidP="001F139B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813386">
              <w:t>Maria Celeste Fuenmayor</w:t>
            </w:r>
            <w:r w:rsidR="005D3312">
              <w:rPr>
                <w:rtl/>
              </w:rPr>
              <w:br/>
            </w:r>
            <w:r w:rsidRPr="001F139B">
              <w:rPr>
                <w:rFonts w:eastAsia="SimSun"/>
                <w:position w:val="2"/>
                <w:rtl/>
                <w:lang w:val="en-GB"/>
              </w:rPr>
              <w:t>لجنة البلدان الأمريكية للاتصالات</w:t>
            </w:r>
            <w:r w:rsidR="00196D73">
              <w:rPr>
                <w:rFonts w:eastAsia="SimSun" w:hint="cs"/>
                <w:position w:val="2"/>
                <w:rtl/>
                <w:lang w:val="en-GB"/>
              </w:rPr>
              <w:t xml:space="preserve"> </w:t>
            </w:r>
            <w:r w:rsidRPr="001F139B">
              <w:rPr>
                <w:rFonts w:eastAsia="SimSun"/>
                <w:position w:val="2"/>
                <w:rtl/>
                <w:lang w:val="en-GB"/>
              </w:rPr>
              <w:t>(</w:t>
            </w:r>
            <w:r w:rsidRPr="001F139B">
              <w:rPr>
                <w:rFonts w:eastAsia="SimSun"/>
                <w:position w:val="2"/>
                <w:lang w:val="en-GB"/>
              </w:rPr>
              <w:t>CITEL</w:t>
            </w:r>
            <w:r w:rsidRPr="001F139B">
              <w:rPr>
                <w:rFonts w:eastAsia="SimSun"/>
                <w:position w:val="2"/>
                <w:rtl/>
                <w:lang w:val="en-GB"/>
              </w:rPr>
              <w:t>)</w:t>
            </w:r>
          </w:p>
        </w:tc>
        <w:tc>
          <w:tcPr>
            <w:tcW w:w="4250" w:type="dxa"/>
            <w:shd w:val="clear" w:color="auto" w:fill="FFFFFF"/>
          </w:tcPr>
          <w:p w14:paraId="0F7C01BD" w14:textId="11D5E9CE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r w:rsidR="005D3312">
              <w:rPr>
                <w:lang w:val="en-GB"/>
              </w:rPr>
              <w:fldChar w:fldCharType="begin"/>
            </w:r>
            <w:r w:rsidR="005D3312" w:rsidRPr="00797A25">
              <w:rPr>
                <w:lang w:val="fr-CH"/>
                <w:rPrChange w:id="0" w:author="Bilani, Joumana" w:date="2024-09-13T17:20:00Z">
                  <w:rPr/>
                </w:rPrChange>
              </w:rPr>
              <w:instrText>HYPERLINK "mailto:mfuenmayor@oas.org" \t "_blank"</w:instrText>
            </w:r>
            <w:r w:rsidR="005D3312">
              <w:rPr>
                <w:lang w:val="en-GB"/>
              </w:rPr>
              <w:fldChar w:fldCharType="separate"/>
            </w:r>
            <w:r w:rsidR="005D3312" w:rsidRPr="00E34AD0">
              <w:rPr>
                <w:rStyle w:val="Hyperlink"/>
                <w:lang w:val="fr-CH"/>
              </w:rPr>
              <w:t>mfuenmayor@oas.org</w:t>
            </w:r>
            <w:r w:rsidR="005D3312">
              <w:rPr>
                <w:rStyle w:val="Hyperlink"/>
                <w:lang w:val="fr-CH"/>
              </w:rPr>
              <w:fldChar w:fldCharType="end"/>
            </w:r>
          </w:p>
        </w:tc>
      </w:tr>
    </w:tbl>
    <w:p w14:paraId="63F1551B" w14:textId="77777777" w:rsidR="0012545F" w:rsidRPr="00B344B6" w:rsidRDefault="0012545F" w:rsidP="005D3312">
      <w:pPr>
        <w:rPr>
          <w:rtl/>
        </w:rPr>
      </w:pPr>
      <w:r w:rsidRPr="00B344B6">
        <w:rPr>
          <w:rtl/>
        </w:rPr>
        <w:br w:type="page"/>
      </w:r>
    </w:p>
    <w:p w14:paraId="3C5AE598" w14:textId="77777777" w:rsidR="00BB7667" w:rsidRDefault="001C65E8">
      <w:pPr>
        <w:pStyle w:val="Proposal"/>
      </w:pPr>
      <w:r>
        <w:rPr>
          <w:u w:val="single"/>
        </w:rPr>
        <w:lastRenderedPageBreak/>
        <w:t>NOC</w:t>
      </w:r>
      <w:r>
        <w:tab/>
        <w:t>IAP/39A17/1</w:t>
      </w:r>
    </w:p>
    <w:p w14:paraId="0626CA92" w14:textId="77777777" w:rsidR="00CF1D20" w:rsidRPr="00FC0F14" w:rsidRDefault="001C65E8" w:rsidP="00ED026F">
      <w:pPr>
        <w:pStyle w:val="ResNo"/>
        <w:rPr>
          <w:rtl/>
        </w:rPr>
      </w:pPr>
      <w:bookmarkStart w:id="1" w:name="_Toc111642720"/>
      <w:bookmarkStart w:id="2" w:name="_Toc111646788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29</w:t>
      </w:r>
      <w:r w:rsidRPr="00FC0F14">
        <w:rPr>
          <w:rFonts w:hint="cs"/>
          <w:rtl/>
        </w:rPr>
        <w:t xml:space="preserve"> (المراجَع في جنيف، </w:t>
      </w:r>
      <w:r w:rsidRPr="00FC0F14">
        <w:t>2022</w:t>
      </w:r>
      <w:r w:rsidRPr="00FC0F14">
        <w:rPr>
          <w:rFonts w:hint="cs"/>
          <w:rtl/>
        </w:rPr>
        <w:t>)</w:t>
      </w:r>
      <w:bookmarkEnd w:id="1"/>
      <w:bookmarkEnd w:id="2"/>
    </w:p>
    <w:p w14:paraId="1935E80E" w14:textId="77777777" w:rsidR="00CF1D20" w:rsidRPr="00FC0F14" w:rsidRDefault="001C65E8" w:rsidP="00ED026F">
      <w:pPr>
        <w:pStyle w:val="Restitle"/>
        <w:rPr>
          <w:noProof/>
          <w:rtl/>
          <w:lang w:bidi="ar-EG"/>
        </w:rPr>
      </w:pPr>
      <w:bookmarkStart w:id="3" w:name="_Toc111642721"/>
      <w:bookmarkStart w:id="4" w:name="_Toc111646789"/>
      <w:r w:rsidRPr="00FC0F14">
        <w:rPr>
          <w:noProof/>
          <w:rtl/>
          <w:lang w:bidi="ar-EG"/>
        </w:rPr>
        <w:t>إجراءات النداء البديلة على شبكات الاتصالات الدولية</w:t>
      </w:r>
      <w:bookmarkEnd w:id="3"/>
      <w:bookmarkEnd w:id="4"/>
    </w:p>
    <w:p w14:paraId="44143096" w14:textId="77777777" w:rsidR="00CF1D20" w:rsidRPr="00FC0F14" w:rsidRDefault="001C65E8" w:rsidP="00ED026F">
      <w:pPr>
        <w:pStyle w:val="Resref"/>
        <w:rPr>
          <w:iCs w:val="0"/>
          <w:u w:val="single"/>
          <w:rtl/>
          <w:lang w:bidi="ar-EG"/>
        </w:rPr>
      </w:pPr>
      <w:r w:rsidRPr="00FC0F14">
        <w:rPr>
          <w:rtl/>
          <w:lang w:val="es-ES" w:bidi="ar-EG"/>
        </w:rPr>
        <w:t xml:space="preserve">(جنيف، </w:t>
      </w:r>
      <w:r w:rsidRPr="00FC0F14">
        <w:rPr>
          <w:lang w:val="es-ES" w:bidi="ar-EG"/>
        </w:rPr>
        <w:t>1996</w:t>
      </w:r>
      <w:r w:rsidRPr="00FC0F14">
        <w:rPr>
          <w:rtl/>
          <w:lang w:val="es-ES" w:bidi="ar-EG"/>
        </w:rPr>
        <w:t xml:space="preserve">؛ مونتريال، </w:t>
      </w:r>
      <w:r w:rsidRPr="00FC0F14">
        <w:rPr>
          <w:lang w:val="es-ES" w:bidi="ar-EG"/>
        </w:rPr>
        <w:t>2000</w:t>
      </w:r>
      <w:r w:rsidRPr="00FC0F14">
        <w:rPr>
          <w:rtl/>
          <w:lang w:val="es-ES" w:bidi="ar-EG"/>
        </w:rPr>
        <w:t xml:space="preserve">؛ فلوريانوبوليس، </w:t>
      </w:r>
      <w:r w:rsidRPr="00FC0F14">
        <w:rPr>
          <w:lang w:bidi="ar-EG"/>
        </w:rPr>
        <w:t>2004</w:t>
      </w:r>
      <w:r w:rsidRPr="00FC0F14">
        <w:rPr>
          <w:rtl/>
          <w:lang w:bidi="ar-EG"/>
        </w:rPr>
        <w:t xml:space="preserve">؛ جوهانسبرغ، </w:t>
      </w:r>
      <w:r w:rsidRPr="00FC0F14">
        <w:rPr>
          <w:lang w:bidi="ar-EG"/>
        </w:rPr>
        <w:t>2008</w:t>
      </w:r>
      <w:r w:rsidRPr="00FC0F14">
        <w:rPr>
          <w:rFonts w:hint="cs"/>
          <w:rtl/>
          <w:lang w:bidi="ar-EG"/>
        </w:rPr>
        <w:t>؛ دبي، </w:t>
      </w:r>
      <w:r w:rsidRPr="00FC0F14">
        <w:rPr>
          <w:lang w:bidi="ar-EG"/>
        </w:rPr>
        <w:t>2012</w:t>
      </w:r>
      <w:r w:rsidRPr="00FC0F14">
        <w:rPr>
          <w:rFonts w:hint="cs"/>
          <w:rtl/>
          <w:lang w:bidi="ar-EG"/>
        </w:rPr>
        <w:t xml:space="preserve">؛ 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 xml:space="preserve">؛ جنيف، </w:t>
      </w:r>
      <w:r w:rsidRPr="00FC0F14">
        <w:rPr>
          <w:lang w:bidi="ar-EG"/>
        </w:rPr>
        <w:t>2022</w:t>
      </w:r>
      <w:r w:rsidRPr="00FC0F14">
        <w:rPr>
          <w:rtl/>
          <w:lang w:bidi="ar-EG"/>
        </w:rPr>
        <w:t>)</w:t>
      </w:r>
    </w:p>
    <w:p w14:paraId="5598B99E" w14:textId="77777777" w:rsidR="00CF1D20" w:rsidRPr="00FC0F14" w:rsidRDefault="001C65E8" w:rsidP="00ED026F">
      <w:pPr>
        <w:pStyle w:val="Normalaftertitle"/>
        <w:rPr>
          <w:noProof/>
          <w:rtl/>
          <w:lang w:bidi="ar-EG"/>
        </w:rPr>
      </w:pPr>
      <w:r w:rsidRPr="00FC0F14">
        <w:rPr>
          <w:rFonts w:hint="cs"/>
          <w:noProof/>
          <w:rtl/>
          <w:lang w:bidi="ar-EG"/>
        </w:rPr>
        <w:t xml:space="preserve">إن الجمعية العالمية لتقييس الاتصالات (جنيف، </w:t>
      </w:r>
      <w:r w:rsidRPr="00FC0F14">
        <w:rPr>
          <w:noProof/>
          <w:lang w:bidi="ar-EG"/>
        </w:rPr>
        <w:t>2022</w:t>
      </w:r>
      <w:r w:rsidRPr="00FC0F14">
        <w:rPr>
          <w:rFonts w:hint="cs"/>
          <w:noProof/>
          <w:rtl/>
          <w:lang w:bidi="ar-EG"/>
        </w:rPr>
        <w:t>)،</w:t>
      </w:r>
    </w:p>
    <w:p w14:paraId="5F15B50B" w14:textId="421D583C" w:rsidR="00BB7667" w:rsidRDefault="001C65E8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 w:rsidRPr="00791B39">
        <w:rPr>
          <w:b w:val="0"/>
          <w:bCs w:val="0"/>
        </w:rPr>
        <w:tab/>
      </w:r>
      <w:r w:rsidR="001F139B" w:rsidRPr="00A06580">
        <w:rPr>
          <w:b w:val="0"/>
          <w:bCs w:val="0"/>
          <w:spacing w:val="2"/>
          <w:rtl/>
        </w:rPr>
        <w:t>تقترح الدول الأعضاء في لجنة البلدان الأمريكية للاتصالات (</w:t>
      </w:r>
      <w:r w:rsidR="001F139B" w:rsidRPr="00A06580">
        <w:rPr>
          <w:b w:val="0"/>
          <w:bCs w:val="0"/>
          <w:spacing w:val="2"/>
        </w:rPr>
        <w:t>CITEL</w:t>
      </w:r>
      <w:r w:rsidR="001F139B" w:rsidRPr="00A06580">
        <w:rPr>
          <w:b w:val="0"/>
          <w:bCs w:val="0"/>
          <w:spacing w:val="2"/>
          <w:rtl/>
        </w:rPr>
        <w:t>) "عدم إدخال أي تغيير" (</w:t>
      </w:r>
      <w:r w:rsidR="001F139B" w:rsidRPr="00A06580">
        <w:rPr>
          <w:b w:val="0"/>
          <w:bCs w:val="0"/>
          <w:spacing w:val="2"/>
        </w:rPr>
        <w:t>NOC</w:t>
      </w:r>
      <w:r w:rsidR="001F139B" w:rsidRPr="00A06580">
        <w:rPr>
          <w:b w:val="0"/>
          <w:bCs w:val="0"/>
          <w:spacing w:val="2"/>
          <w:rtl/>
        </w:rPr>
        <w:t xml:space="preserve">) على القرار </w:t>
      </w:r>
      <w:r w:rsidR="00AE439C" w:rsidRPr="00A06580">
        <w:rPr>
          <w:b w:val="0"/>
          <w:bCs w:val="0"/>
          <w:spacing w:val="2"/>
        </w:rPr>
        <w:t>29</w:t>
      </w:r>
      <w:r w:rsidR="001F139B" w:rsidRPr="00A06580">
        <w:rPr>
          <w:b w:val="0"/>
          <w:bCs w:val="0"/>
          <w:spacing w:val="2"/>
          <w:rtl/>
        </w:rPr>
        <w:t xml:space="preserve"> في الجمعية العالمية لتقييس الاتصالات عام 2024 (</w:t>
      </w:r>
      <w:r w:rsidR="001F139B" w:rsidRPr="00A06580">
        <w:rPr>
          <w:b w:val="0"/>
          <w:bCs w:val="0"/>
          <w:spacing w:val="2"/>
        </w:rPr>
        <w:t>WTSA-24</w:t>
      </w:r>
      <w:r w:rsidR="001F139B" w:rsidRPr="00A06580">
        <w:rPr>
          <w:b w:val="0"/>
          <w:bCs w:val="0"/>
          <w:spacing w:val="2"/>
          <w:rtl/>
        </w:rPr>
        <w:t xml:space="preserve">) ‏لأن النسخة الحالية من القرار </w:t>
      </w:r>
      <w:r w:rsidR="001F139B" w:rsidRPr="00A06580">
        <w:rPr>
          <w:b w:val="0"/>
          <w:bCs w:val="0"/>
          <w:spacing w:val="2"/>
          <w:highlight w:val="red"/>
          <w:cs/>
        </w:rPr>
        <w:t>‎</w:t>
      </w:r>
      <w:r w:rsidR="00BC6456">
        <w:rPr>
          <w:b w:val="0"/>
          <w:bCs w:val="0"/>
          <w:spacing w:val="2"/>
        </w:rPr>
        <w:t>29</w:t>
      </w:r>
      <w:r w:rsidR="001F139B" w:rsidRPr="00A06580">
        <w:rPr>
          <w:b w:val="0"/>
          <w:bCs w:val="0"/>
          <w:spacing w:val="2"/>
          <w:rtl/>
        </w:rPr>
        <w:t xml:space="preserve"> ‏للجمعية العالمية لتقييس الاتصالات </w:t>
      </w:r>
      <w:r w:rsidR="007C45E7" w:rsidRPr="00A06580">
        <w:rPr>
          <w:rFonts w:hint="cs"/>
          <w:b w:val="0"/>
          <w:bCs w:val="0"/>
          <w:spacing w:val="2"/>
          <w:rtl/>
        </w:rPr>
        <w:t>تستوفي</w:t>
      </w:r>
      <w:r w:rsidR="001F139B" w:rsidRPr="00A06580">
        <w:rPr>
          <w:b w:val="0"/>
          <w:bCs w:val="0"/>
          <w:spacing w:val="2"/>
          <w:rtl/>
        </w:rPr>
        <w:t xml:space="preserve"> الغرض المقصود منه</w:t>
      </w:r>
      <w:r w:rsidR="00AE439C" w:rsidRPr="00A06580">
        <w:rPr>
          <w:rFonts w:hint="cs"/>
          <w:b w:val="0"/>
          <w:bCs w:val="0"/>
          <w:spacing w:val="2"/>
          <w:rtl/>
          <w:lang w:bidi="ar-EG"/>
        </w:rPr>
        <w:t xml:space="preserve"> بكفاءة وبشكل مرضٍ</w:t>
      </w:r>
      <w:r w:rsidR="001F139B" w:rsidRPr="00A06580">
        <w:rPr>
          <w:b w:val="0"/>
          <w:bCs w:val="0"/>
          <w:spacing w:val="2"/>
          <w:rtl/>
        </w:rPr>
        <w:t xml:space="preserve">. </w:t>
      </w:r>
      <w:r w:rsidR="00AE439C" w:rsidRPr="00A06580">
        <w:rPr>
          <w:rFonts w:hint="cs"/>
          <w:b w:val="0"/>
          <w:bCs w:val="0"/>
          <w:spacing w:val="2"/>
          <w:rtl/>
        </w:rPr>
        <w:t>وقد</w:t>
      </w:r>
      <w:r w:rsidR="00AE439C" w:rsidRPr="00A06580">
        <w:rPr>
          <w:spacing w:val="2"/>
          <w:rtl/>
        </w:rPr>
        <w:t xml:space="preserve"> </w:t>
      </w:r>
      <w:r w:rsidR="00AE439C" w:rsidRPr="00A06580">
        <w:rPr>
          <w:b w:val="0"/>
          <w:bCs w:val="0"/>
          <w:spacing w:val="2"/>
          <w:rtl/>
        </w:rPr>
        <w:t xml:space="preserve">‏عدلت الجمعية </w:t>
      </w:r>
      <w:r w:rsidR="00AE439C" w:rsidRPr="00A06580">
        <w:rPr>
          <w:b w:val="0"/>
          <w:bCs w:val="0"/>
          <w:spacing w:val="2"/>
          <w:cs/>
        </w:rPr>
        <w:t>‎</w:t>
      </w:r>
      <w:r w:rsidR="00AE439C" w:rsidRPr="00A06580">
        <w:rPr>
          <w:b w:val="0"/>
          <w:bCs w:val="0"/>
          <w:spacing w:val="2"/>
        </w:rPr>
        <w:t>WTSA-20</w:t>
      </w:r>
      <w:r w:rsidR="00AE439C" w:rsidRPr="00A06580">
        <w:rPr>
          <w:b w:val="0"/>
          <w:bCs w:val="0"/>
          <w:spacing w:val="2"/>
          <w:rtl/>
        </w:rPr>
        <w:t xml:space="preserve"> (‏في مارس </w:t>
      </w:r>
      <w:r w:rsidR="00AE439C" w:rsidRPr="00A06580">
        <w:rPr>
          <w:b w:val="0"/>
          <w:bCs w:val="0"/>
          <w:spacing w:val="2"/>
          <w:cs/>
        </w:rPr>
        <w:t>‎</w:t>
      </w:r>
      <w:r w:rsidR="00AE439C" w:rsidRPr="00A06580">
        <w:rPr>
          <w:b w:val="0"/>
          <w:bCs w:val="0"/>
          <w:spacing w:val="2"/>
        </w:rPr>
        <w:t>2022</w:t>
      </w:r>
      <w:r w:rsidR="00AE439C" w:rsidRPr="00A06580">
        <w:rPr>
          <w:b w:val="0"/>
          <w:bCs w:val="0"/>
          <w:spacing w:val="2"/>
          <w:rtl/>
        </w:rPr>
        <w:t xml:space="preserve">) ‏القرار </w:t>
      </w:r>
      <w:r w:rsidR="00AE439C" w:rsidRPr="00A06580">
        <w:rPr>
          <w:b w:val="0"/>
          <w:bCs w:val="0"/>
          <w:spacing w:val="2"/>
          <w:cs/>
        </w:rPr>
        <w:t>‎</w:t>
      </w:r>
      <w:r w:rsidR="00AE439C" w:rsidRPr="00A06580">
        <w:rPr>
          <w:b w:val="0"/>
          <w:bCs w:val="0"/>
          <w:spacing w:val="2"/>
        </w:rPr>
        <w:t>64</w:t>
      </w:r>
      <w:r w:rsidR="00AE439C" w:rsidRPr="00A06580">
        <w:rPr>
          <w:b w:val="0"/>
          <w:bCs w:val="0"/>
          <w:spacing w:val="2"/>
          <w:rtl/>
        </w:rPr>
        <w:t xml:space="preserve"> ‏للجمعية العالمية لتقييس الاتصالات. ومنذ ذلك الحين، لم تكن هناك حاجة واضحة لأي مراجعات أخرى، وبالتالي </w:t>
      </w:r>
      <w:r w:rsidR="00AE439C" w:rsidRPr="00A06580">
        <w:rPr>
          <w:rFonts w:hint="cs"/>
          <w:b w:val="0"/>
          <w:bCs w:val="0"/>
          <w:spacing w:val="2"/>
          <w:rtl/>
        </w:rPr>
        <w:t xml:space="preserve">لا </w:t>
      </w:r>
      <w:r w:rsidR="00AE439C" w:rsidRPr="00A06580">
        <w:rPr>
          <w:b w:val="0"/>
          <w:bCs w:val="0"/>
          <w:spacing w:val="2"/>
          <w:rtl/>
        </w:rPr>
        <w:t>ضرور</w:t>
      </w:r>
      <w:r w:rsidR="00AE439C" w:rsidRPr="00A06580">
        <w:rPr>
          <w:rFonts w:hint="cs"/>
          <w:b w:val="0"/>
          <w:bCs w:val="0"/>
          <w:spacing w:val="2"/>
          <w:rtl/>
        </w:rPr>
        <w:t>ة</w:t>
      </w:r>
      <w:r w:rsidR="00AE439C" w:rsidRPr="00A06580">
        <w:rPr>
          <w:b w:val="0"/>
          <w:bCs w:val="0"/>
          <w:spacing w:val="2"/>
          <w:rtl/>
        </w:rPr>
        <w:t xml:space="preserve"> </w:t>
      </w:r>
      <w:r w:rsidR="00AE439C" w:rsidRPr="00A06580">
        <w:rPr>
          <w:rFonts w:hint="cs"/>
          <w:b w:val="0"/>
          <w:bCs w:val="0"/>
          <w:spacing w:val="2"/>
          <w:rtl/>
        </w:rPr>
        <w:t>ل</w:t>
      </w:r>
      <w:r w:rsidR="00AE439C" w:rsidRPr="00A06580">
        <w:rPr>
          <w:b w:val="0"/>
          <w:bCs w:val="0"/>
          <w:spacing w:val="2"/>
          <w:rtl/>
        </w:rPr>
        <w:t xml:space="preserve">أن تخصص الجمعية </w:t>
      </w:r>
      <w:r w:rsidR="00AE439C" w:rsidRPr="00A06580">
        <w:rPr>
          <w:b w:val="0"/>
          <w:bCs w:val="0"/>
          <w:spacing w:val="2"/>
          <w:cs/>
        </w:rPr>
        <w:t>‎</w:t>
      </w:r>
      <w:r w:rsidR="00AE439C" w:rsidRPr="00A06580">
        <w:rPr>
          <w:b w:val="0"/>
          <w:bCs w:val="0"/>
          <w:spacing w:val="2"/>
        </w:rPr>
        <w:t>WTSA-24</w:t>
      </w:r>
      <w:r w:rsidR="00AE439C" w:rsidRPr="00A06580">
        <w:rPr>
          <w:b w:val="0"/>
          <w:bCs w:val="0"/>
          <w:spacing w:val="2"/>
          <w:rtl/>
        </w:rPr>
        <w:t xml:space="preserve"> ‏وقتا</w:t>
      </w:r>
      <w:r w:rsidR="00AE439C" w:rsidRPr="00A06580">
        <w:rPr>
          <w:rFonts w:hint="cs"/>
          <w:b w:val="0"/>
          <w:bCs w:val="0"/>
          <w:spacing w:val="2"/>
          <w:rtl/>
        </w:rPr>
        <w:t>ً</w:t>
      </w:r>
      <w:r w:rsidR="00AE439C" w:rsidRPr="00A06580">
        <w:rPr>
          <w:b w:val="0"/>
          <w:bCs w:val="0"/>
          <w:spacing w:val="2"/>
          <w:rtl/>
        </w:rPr>
        <w:t xml:space="preserve"> وموارد محدودة لإجراء تعديلات إضافية بعد عامين فقط.</w:t>
      </w:r>
      <w:r w:rsidR="00AE439C" w:rsidRPr="00A06580">
        <w:rPr>
          <w:b w:val="0"/>
          <w:bCs w:val="0"/>
          <w:spacing w:val="2"/>
          <w:cs/>
        </w:rPr>
        <w:t>‎</w:t>
      </w:r>
    </w:p>
    <w:p w14:paraId="682D1B80" w14:textId="23E1E359" w:rsidR="00791B39" w:rsidRPr="00791B39" w:rsidRDefault="00791B39" w:rsidP="00791B39">
      <w:pPr>
        <w:spacing w:before="600"/>
        <w:jc w:val="center"/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sectPr w:rsidR="00791B39" w:rsidRPr="00791B39">
      <w:headerReference w:type="even" r:id="rId14"/>
      <w:headerReference w:type="default" r:id="rId15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BCD0" w14:textId="77777777" w:rsidR="00DA4259" w:rsidRDefault="00DA4259" w:rsidP="002919E1">
      <w:r>
        <w:separator/>
      </w:r>
    </w:p>
    <w:p w14:paraId="74FB408A" w14:textId="77777777" w:rsidR="00DA4259" w:rsidRDefault="00DA4259" w:rsidP="002919E1"/>
    <w:p w14:paraId="65E7EB30" w14:textId="77777777" w:rsidR="00DA4259" w:rsidRDefault="00DA4259" w:rsidP="002919E1"/>
    <w:p w14:paraId="0D36706D" w14:textId="77777777" w:rsidR="00DA4259" w:rsidRDefault="00DA4259"/>
  </w:endnote>
  <w:endnote w:type="continuationSeparator" w:id="0">
    <w:p w14:paraId="628B54A7" w14:textId="77777777" w:rsidR="00DA4259" w:rsidRDefault="00DA4259" w:rsidP="002919E1">
      <w:r>
        <w:continuationSeparator/>
      </w:r>
    </w:p>
    <w:p w14:paraId="163B77B1" w14:textId="77777777" w:rsidR="00DA4259" w:rsidRDefault="00DA4259" w:rsidP="002919E1"/>
    <w:p w14:paraId="026B7FCC" w14:textId="77777777" w:rsidR="00DA4259" w:rsidRDefault="00DA4259" w:rsidP="002919E1"/>
    <w:p w14:paraId="711254F4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4EE89" w14:textId="77777777" w:rsidR="00DA4259" w:rsidRDefault="00DA4259" w:rsidP="002919E1">
      <w:r>
        <w:t>___________________</w:t>
      </w:r>
    </w:p>
  </w:footnote>
  <w:footnote w:type="continuationSeparator" w:id="0">
    <w:p w14:paraId="07B502B0" w14:textId="77777777" w:rsidR="00DA4259" w:rsidRDefault="00DA4259" w:rsidP="002919E1">
      <w:r>
        <w:continuationSeparator/>
      </w:r>
    </w:p>
    <w:p w14:paraId="4634C266" w14:textId="77777777" w:rsidR="00DA4259" w:rsidRDefault="00DA4259" w:rsidP="002919E1"/>
    <w:p w14:paraId="7112A030" w14:textId="77777777" w:rsidR="00DA4259" w:rsidRDefault="00DA4259" w:rsidP="002919E1"/>
    <w:p w14:paraId="7298492C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205F" w14:textId="77777777" w:rsidR="00281F5F" w:rsidRDefault="00281F5F" w:rsidP="002919E1"/>
  <w:p w14:paraId="4C3BB992" w14:textId="77777777" w:rsidR="00281F5F" w:rsidRDefault="00281F5F" w:rsidP="002919E1"/>
  <w:p w14:paraId="2A4B06CF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9415" w14:textId="77777777" w:rsidR="00654230" w:rsidRPr="006175E7" w:rsidRDefault="006175E7" w:rsidP="00EB52D8">
    <w:pPr>
      <w:pStyle w:val="Header"/>
    </w:pPr>
    <w:r w:rsidRPr="006175E7">
      <w:rPr>
        <w:sz w:val="18"/>
        <w:szCs w:val="18"/>
      </w:rPr>
      <w:fldChar w:fldCharType="begin"/>
    </w:r>
    <w:r w:rsidRPr="006175E7">
      <w:rPr>
        <w:sz w:val="18"/>
        <w:szCs w:val="18"/>
      </w:rPr>
      <w:instrText xml:space="preserve"> PAGE  \* MERGEFORMAT </w:instrText>
    </w:r>
    <w:r w:rsidRPr="006175E7">
      <w:rPr>
        <w:sz w:val="18"/>
        <w:szCs w:val="18"/>
      </w:rPr>
      <w:fldChar w:fldCharType="separate"/>
    </w:r>
    <w:r w:rsidRPr="006175E7">
      <w:rPr>
        <w:sz w:val="18"/>
        <w:szCs w:val="18"/>
      </w:rPr>
      <w:t>2</w:t>
    </w:r>
    <w:r w:rsidRPr="006175E7">
      <w:rPr>
        <w:sz w:val="18"/>
        <w:szCs w:val="18"/>
      </w:rPr>
      <w:fldChar w:fldCharType="end"/>
    </w:r>
    <w:r w:rsidR="00EB52D8">
      <w:rPr>
        <w:sz w:val="18"/>
        <w:szCs w:val="18"/>
      </w:rPr>
      <w:br/>
    </w:r>
    <w:r w:rsidR="00966FA2">
      <w:t>WTSA-24/39(Add.17)-A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296692421">
    <w:abstractNumId w:val="9"/>
  </w:num>
  <w:num w:numId="2" w16cid:durableId="865295407">
    <w:abstractNumId w:val="13"/>
  </w:num>
  <w:num w:numId="3" w16cid:durableId="530343535">
    <w:abstractNumId w:val="10"/>
  </w:num>
  <w:num w:numId="4" w16cid:durableId="517619660">
    <w:abstractNumId w:val="14"/>
  </w:num>
  <w:num w:numId="5" w16cid:durableId="897399548">
    <w:abstractNumId w:val="7"/>
  </w:num>
  <w:num w:numId="6" w16cid:durableId="1973099024">
    <w:abstractNumId w:val="6"/>
  </w:num>
  <w:num w:numId="7" w16cid:durableId="1158229049">
    <w:abstractNumId w:val="5"/>
  </w:num>
  <w:num w:numId="8" w16cid:durableId="406266883">
    <w:abstractNumId w:val="4"/>
  </w:num>
  <w:num w:numId="9" w16cid:durableId="179273534">
    <w:abstractNumId w:val="8"/>
  </w:num>
  <w:num w:numId="10" w16cid:durableId="990255158">
    <w:abstractNumId w:val="3"/>
  </w:num>
  <w:num w:numId="11" w16cid:durableId="867521560">
    <w:abstractNumId w:val="2"/>
  </w:num>
  <w:num w:numId="12" w16cid:durableId="1336231111">
    <w:abstractNumId w:val="1"/>
  </w:num>
  <w:num w:numId="13" w16cid:durableId="989945663">
    <w:abstractNumId w:val="0"/>
  </w:num>
  <w:num w:numId="14" w16cid:durableId="239292262">
    <w:abstractNumId w:val="11"/>
  </w:num>
  <w:num w:numId="15" w16cid:durableId="70321776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lani, Joumana">
    <w15:presenceInfo w15:providerId="AD" w15:userId="S::joumana.bilani@itu.int::175c7f3a-a933-4794-b823-02bd141ee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3AC6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1277"/>
    <w:rsid w:val="00167364"/>
    <w:rsid w:val="00184643"/>
    <w:rsid w:val="001903B2"/>
    <w:rsid w:val="00196D73"/>
    <w:rsid w:val="001B5953"/>
    <w:rsid w:val="001C65E8"/>
    <w:rsid w:val="001D746E"/>
    <w:rsid w:val="001E190C"/>
    <w:rsid w:val="001E51EE"/>
    <w:rsid w:val="001E54F6"/>
    <w:rsid w:val="001E5A8C"/>
    <w:rsid w:val="001F139B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1EB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906"/>
    <w:rsid w:val="00546A99"/>
    <w:rsid w:val="0055044C"/>
    <w:rsid w:val="00553150"/>
    <w:rsid w:val="00553411"/>
    <w:rsid w:val="00554AE7"/>
    <w:rsid w:val="00564746"/>
    <w:rsid w:val="0056512C"/>
    <w:rsid w:val="005730DF"/>
    <w:rsid w:val="00574061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3312"/>
    <w:rsid w:val="005D6D48"/>
    <w:rsid w:val="005D72A4"/>
    <w:rsid w:val="005F05CC"/>
    <w:rsid w:val="005F4D0F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393C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91B39"/>
    <w:rsid w:val="007A0802"/>
    <w:rsid w:val="007A3A06"/>
    <w:rsid w:val="007B1FCA"/>
    <w:rsid w:val="007C2C12"/>
    <w:rsid w:val="007C3CFA"/>
    <w:rsid w:val="007C45E7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9F4D2D"/>
    <w:rsid w:val="00A03FD6"/>
    <w:rsid w:val="00A04CF4"/>
    <w:rsid w:val="00A06580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439C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57340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B7667"/>
    <w:rsid w:val="00BC6456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1D20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2FE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DF47C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addf125-97e6-4249-99c9-6d922112d70a" targetNamespace="http://schemas.microsoft.com/office/2006/metadata/properties" ma:root="true" ma:fieldsID="d41af5c836d734370eb92e7ee5f83852" ns2:_="" ns3:_="">
    <xsd:import namespace="996b2e75-67fd-4955-a3b0-5ab9934cb50b"/>
    <xsd:import namespace="1addf125-97e6-4249-99c9-6d922112d70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df125-97e6-4249-99c9-6d922112d70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addf125-97e6-4249-99c9-6d922112d70a">DPM</DPM_x0020_Author>
    <DPM_x0020_File_x0020_name xmlns="1addf125-97e6-4249-99c9-6d922112d70a">T22-WTSA.24-C-0039!A17!MSW-A</DPM_x0020_File_x0020_name>
    <DPM_x0020_Version xmlns="1addf125-97e6-4249-99c9-6d922112d70a">DPM_2022.05.12.01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addf125-97e6-4249-99c9-6d922112d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df125-97e6-4249-99c9-6d922112d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T22-WTSA.24-C-0039!A17!MSW-A</vt:lpstr>
    </vt:vector>
  </TitlesOfParts>
  <Manager>General Secretariat - Pool</Manager>
  <Company>International Telecommunication Union (ITU)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T22-WTSA.24-C-0039!A17!MSW-A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5</cp:revision>
  <cp:lastPrinted>2019-06-26T10:10:00Z</cp:lastPrinted>
  <dcterms:created xsi:type="dcterms:W3CDTF">2024-09-18T14:20:00Z</dcterms:created>
  <dcterms:modified xsi:type="dcterms:W3CDTF">2024-09-18T15:33:00Z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