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1145EBF5" w14:textId="77777777" w:rsidTr="008077A5">
        <w:trPr>
          <w:cantSplit/>
          <w:trHeight w:val="20"/>
        </w:trPr>
        <w:tc>
          <w:tcPr>
            <w:tcW w:w="1310" w:type="dxa"/>
          </w:tcPr>
          <w:p w14:paraId="790ED15D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32D87E63" wp14:editId="36756B1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4882D86B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EB54F9F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6CBC5CED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19A2400" wp14:editId="2163FB4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2ABA533C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4279D338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56A8F48B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4899C9B6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4917FD5D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385FA716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4E91F47F" w14:textId="77777777" w:rsidTr="008077A5">
        <w:trPr>
          <w:cantSplit/>
        </w:trPr>
        <w:tc>
          <w:tcPr>
            <w:tcW w:w="6456" w:type="dxa"/>
            <w:gridSpan w:val="2"/>
          </w:tcPr>
          <w:p w14:paraId="4EDC3956" w14:textId="77777777" w:rsidR="00AD538E" w:rsidRPr="00420AFD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420AFD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7190797F" w14:textId="1DEDDE4E" w:rsidR="00AD538E" w:rsidRPr="00420AFD" w:rsidRDefault="00F30F77" w:rsidP="003309DA">
            <w:pPr>
              <w:pStyle w:val="Docnumber"/>
              <w:bidi/>
            </w:pPr>
            <w:r>
              <w:rPr>
                <w:rFonts w:hint="cs"/>
                <w:rtl/>
              </w:rPr>
              <w:t>الإضافة</w:t>
            </w:r>
            <w:r w:rsidR="00420AFD">
              <w:rPr>
                <w:rFonts w:hint="cs"/>
                <w:rtl/>
                <w:lang w:bidi="ar-EG"/>
              </w:rPr>
              <w:t xml:space="preserve"> </w:t>
            </w:r>
            <w:r w:rsidR="00D21D8E" w:rsidRPr="00420AFD">
              <w:t>1</w:t>
            </w:r>
            <w:r w:rsidR="00D21D8E" w:rsidRPr="00420AFD">
              <w:br/>
            </w:r>
            <w:r>
              <w:rPr>
                <w:rFonts w:hint="cs"/>
                <w:rtl/>
              </w:rPr>
              <w:t>للوثيقة</w:t>
            </w:r>
            <w:r w:rsidR="00420AFD">
              <w:rPr>
                <w:rFonts w:hint="cs"/>
                <w:rtl/>
              </w:rPr>
              <w:t xml:space="preserve"> </w:t>
            </w:r>
            <w:r w:rsidR="00D21D8E" w:rsidRPr="00420AFD">
              <w:rPr>
                <w:rFonts w:eastAsia="SimSun"/>
              </w:rPr>
              <w:t>39-A</w:t>
            </w:r>
          </w:p>
        </w:tc>
      </w:tr>
      <w:tr w:rsidR="006175E7" w:rsidRPr="00B344B6" w14:paraId="38C19844" w14:textId="77777777" w:rsidTr="008077A5">
        <w:trPr>
          <w:cantSplit/>
        </w:trPr>
        <w:tc>
          <w:tcPr>
            <w:tcW w:w="6456" w:type="dxa"/>
            <w:gridSpan w:val="2"/>
          </w:tcPr>
          <w:p w14:paraId="505D939D" w14:textId="77777777" w:rsidR="006175E7" w:rsidRPr="00420AFD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30F4C1F5" w14:textId="77777777" w:rsidR="006175E7" w:rsidRPr="00420AFD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420AFD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420AFD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20AFD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74F4267F" w14:textId="77777777" w:rsidTr="008077A5">
        <w:trPr>
          <w:cantSplit/>
        </w:trPr>
        <w:tc>
          <w:tcPr>
            <w:tcW w:w="6456" w:type="dxa"/>
            <w:gridSpan w:val="2"/>
          </w:tcPr>
          <w:p w14:paraId="75FB2E62" w14:textId="77777777" w:rsidR="006175E7" w:rsidRPr="00420AFD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402F62F5" w14:textId="77777777" w:rsidR="006175E7" w:rsidRPr="00420AFD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420AFD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205FAAD0" w14:textId="77777777" w:rsidTr="008077A5">
        <w:trPr>
          <w:cantSplit/>
        </w:trPr>
        <w:tc>
          <w:tcPr>
            <w:tcW w:w="9579" w:type="dxa"/>
            <w:gridSpan w:val="4"/>
          </w:tcPr>
          <w:p w14:paraId="5575B9A4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F7765A3" w14:textId="77777777" w:rsidTr="008077A5">
        <w:trPr>
          <w:cantSplit/>
        </w:trPr>
        <w:tc>
          <w:tcPr>
            <w:tcW w:w="9579" w:type="dxa"/>
            <w:gridSpan w:val="4"/>
          </w:tcPr>
          <w:p w14:paraId="1128A610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79FF2E61" w14:textId="77777777" w:rsidTr="008077A5">
        <w:trPr>
          <w:cantSplit/>
        </w:trPr>
        <w:tc>
          <w:tcPr>
            <w:tcW w:w="9579" w:type="dxa"/>
            <w:gridSpan w:val="4"/>
          </w:tcPr>
          <w:p w14:paraId="02831667" w14:textId="4C13CBA7" w:rsidR="006175E7" w:rsidRPr="00D21D8E" w:rsidRDefault="0001138F" w:rsidP="006175E7">
            <w:pPr>
              <w:pStyle w:val="Title1"/>
              <w:spacing w:before="240"/>
              <w:rPr>
                <w:rtl/>
              </w:rPr>
            </w:pPr>
            <w:r w:rsidRPr="0001138F">
              <w:rPr>
                <w:rtl/>
              </w:rPr>
              <w:t>اقتراح بالإبقاء على القرار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87</w:t>
            </w:r>
          </w:p>
        </w:tc>
      </w:tr>
      <w:tr w:rsidR="006175E7" w:rsidRPr="00B344B6" w14:paraId="07CBFD13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4DA32B96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3CC92166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37B884BD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0B131EA0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4C256FA0" w14:textId="77777777" w:rsidTr="008077A5">
        <w:tc>
          <w:tcPr>
            <w:tcW w:w="1355" w:type="dxa"/>
            <w:shd w:val="clear" w:color="auto" w:fill="FFFFFF"/>
          </w:tcPr>
          <w:p w14:paraId="778A880F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1892A089" w14:textId="17F0F068" w:rsidR="00314F41" w:rsidRPr="00B344B6" w:rsidRDefault="0001138F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01138F">
              <w:rPr>
                <w:rFonts w:ascii="Dubai" w:hAnsi="Dubai" w:cs="Dubai"/>
                <w:sz w:val="22"/>
                <w:szCs w:val="22"/>
                <w:rtl/>
                <w:lang w:val="en-GB"/>
              </w:rPr>
              <w:t>تقترح الدول الأعضاء في لجنة البلدان الأمريكية للاتصالات (</w:t>
            </w:r>
            <w:r w:rsidRPr="0001138F">
              <w:rPr>
                <w:rFonts w:ascii="Dubai" w:hAnsi="Dubai" w:cs="Dubai"/>
                <w:sz w:val="22"/>
                <w:szCs w:val="22"/>
                <w:lang w:val="en-GB"/>
              </w:rPr>
              <w:t>CITEL</w:t>
            </w:r>
            <w:r w:rsidRPr="0001138F">
              <w:rPr>
                <w:rFonts w:ascii="Dubai" w:hAnsi="Dubai" w:cs="Dubai"/>
                <w:sz w:val="22"/>
                <w:szCs w:val="22"/>
                <w:rtl/>
                <w:lang w:val="en-GB"/>
              </w:rPr>
              <w:t>) "عدم إدخال أي تغيير" (</w:t>
            </w:r>
            <w:r w:rsidRPr="0001138F">
              <w:rPr>
                <w:rFonts w:ascii="Dubai" w:hAnsi="Dubai" w:cs="Dubai"/>
                <w:sz w:val="22"/>
                <w:szCs w:val="22"/>
                <w:lang w:val="en-GB"/>
              </w:rPr>
              <w:t>NOC</w:t>
            </w:r>
            <w:r w:rsidRPr="0001138F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) على القرار </w:t>
            </w:r>
            <w:r>
              <w:rPr>
                <w:rFonts w:ascii="Dubai" w:hAnsi="Dubai" w:cs="Dubai" w:hint="cs"/>
                <w:sz w:val="22"/>
                <w:szCs w:val="22"/>
                <w:lang w:val="en-GB"/>
              </w:rPr>
              <w:t>87</w:t>
            </w:r>
            <w:r w:rsidRPr="0001138F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في الجمعية العالمية لتقييس الاتصالات (</w:t>
            </w:r>
            <w:r w:rsidRPr="0001138F">
              <w:rPr>
                <w:rFonts w:ascii="Dubai" w:hAnsi="Dubai" w:cs="Dubai"/>
                <w:sz w:val="22"/>
                <w:szCs w:val="22"/>
                <w:lang w:val="en-GB"/>
              </w:rPr>
              <w:t>WTSA-24</w:t>
            </w:r>
            <w:r w:rsidRPr="0001138F">
              <w:rPr>
                <w:rFonts w:ascii="Dubai" w:hAnsi="Dubai" w:cs="Dubai"/>
                <w:sz w:val="22"/>
                <w:szCs w:val="22"/>
                <w:rtl/>
                <w:lang w:val="en-GB"/>
              </w:rPr>
              <w:t>)</w:t>
            </w:r>
          </w:p>
        </w:tc>
      </w:tr>
      <w:tr w:rsidR="00314F41" w:rsidRPr="00B344B6" w14:paraId="4CCEFA7F" w14:textId="77777777" w:rsidTr="008077A5">
        <w:tc>
          <w:tcPr>
            <w:tcW w:w="1355" w:type="dxa"/>
            <w:shd w:val="clear" w:color="auto" w:fill="FFFFFF"/>
            <w:hideMark/>
          </w:tcPr>
          <w:p w14:paraId="53382E62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D58369A" w14:textId="00AC0389" w:rsidR="00314F41" w:rsidRPr="00B344B6" w:rsidRDefault="0001138F" w:rsidP="0001138F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01138F">
              <w:t>Maria Celeste Fuenmayor</w:t>
            </w:r>
            <w:r w:rsidR="00314F41" w:rsidRPr="00B344B6">
              <w:br/>
            </w:r>
            <w:r w:rsidRPr="0001138F">
              <w:rPr>
                <w:rtl/>
              </w:rPr>
              <w:t>لجنة البلدان الأمريكية للاتصالات</w:t>
            </w:r>
            <w:r w:rsidR="00314F41" w:rsidRPr="00B344B6">
              <w:br/>
            </w:r>
          </w:p>
        </w:tc>
        <w:tc>
          <w:tcPr>
            <w:tcW w:w="4250" w:type="dxa"/>
            <w:shd w:val="clear" w:color="auto" w:fill="FFFFFF"/>
          </w:tcPr>
          <w:p w14:paraId="2C3372FC" w14:textId="43A932CD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9F014F" w:rsidRPr="00394038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3B6CC8E2" w14:textId="77777777" w:rsidR="00314F41" w:rsidRPr="00B344B6" w:rsidRDefault="00314F41" w:rsidP="00790154"/>
    <w:p w14:paraId="1750D5A9" w14:textId="77777777" w:rsidR="0012545F" w:rsidRPr="00B344B6" w:rsidRDefault="0012545F" w:rsidP="00AA0D1E">
      <w:pPr>
        <w:rPr>
          <w:rtl/>
        </w:rPr>
      </w:pPr>
      <w:r w:rsidRPr="00B344B6">
        <w:rPr>
          <w:rtl/>
        </w:rPr>
        <w:br w:type="page"/>
      </w:r>
    </w:p>
    <w:p w14:paraId="1321780F" w14:textId="1A2C0FA6" w:rsidR="0019646D" w:rsidRPr="00DF1070" w:rsidRDefault="0001138F" w:rsidP="00106773">
      <w:pPr>
        <w:pStyle w:val="Proposal"/>
        <w:tabs>
          <w:tab w:val="center" w:pos="4819"/>
        </w:tabs>
        <w:rPr>
          <w:rtl/>
        </w:rPr>
      </w:pPr>
      <w:r>
        <w:rPr>
          <w:u w:val="single"/>
        </w:rPr>
        <w:lastRenderedPageBreak/>
        <w:t>NOC</w:t>
      </w:r>
      <w:r>
        <w:tab/>
        <w:t>IAP/39A1/1</w:t>
      </w:r>
    </w:p>
    <w:p w14:paraId="06078BC1" w14:textId="77777777" w:rsidR="00106773" w:rsidRPr="00FC0F14" w:rsidRDefault="0001138F" w:rsidP="00D33DBA">
      <w:pPr>
        <w:pStyle w:val="ResNo"/>
      </w:pPr>
      <w:bookmarkStart w:id="0" w:name="_Toc111642794"/>
      <w:bookmarkStart w:id="1" w:name="_Toc111646862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87</w:t>
      </w:r>
      <w:r w:rsidRPr="00FC0F14">
        <w:rPr>
          <w:rFonts w:hint="cs"/>
          <w:rtl/>
        </w:rPr>
        <w:t xml:space="preserve"> (الحمامات، </w:t>
      </w:r>
      <w:r w:rsidRPr="00FC0F14">
        <w:t>2016</w:t>
      </w:r>
      <w:r w:rsidRPr="00FC0F14">
        <w:rPr>
          <w:rFonts w:hint="cs"/>
          <w:rtl/>
        </w:rPr>
        <w:t>)</w:t>
      </w:r>
      <w:bookmarkEnd w:id="0"/>
      <w:bookmarkEnd w:id="1"/>
    </w:p>
    <w:p w14:paraId="6A891658" w14:textId="77777777" w:rsidR="00106773" w:rsidRPr="00FC0F14" w:rsidRDefault="0001138F" w:rsidP="00D33DBA">
      <w:pPr>
        <w:pStyle w:val="Restitle"/>
        <w:rPr>
          <w:rtl/>
        </w:rPr>
      </w:pPr>
      <w:bookmarkStart w:id="2" w:name="_Toc111642795"/>
      <w:bookmarkStart w:id="3" w:name="_Toc111646863"/>
      <w:r w:rsidRPr="00FC0F14">
        <w:rPr>
          <w:rFonts w:hint="cs"/>
          <w:rtl/>
        </w:rPr>
        <w:t>مشاركة قطاع تقييس الاتصالات للاتحاد الدولي للاتصالات</w:t>
      </w:r>
      <w:r w:rsidRPr="00FC0F14">
        <w:rPr>
          <w:rtl/>
        </w:rPr>
        <w:br/>
      </w:r>
      <w:r w:rsidRPr="00FC0F14">
        <w:rPr>
          <w:rFonts w:hint="cs"/>
          <w:rtl/>
        </w:rPr>
        <w:t>في استعراض لوائح الاتصالات الدولية ومراجعتها دورياً</w:t>
      </w:r>
      <w:bookmarkEnd w:id="2"/>
      <w:bookmarkEnd w:id="3"/>
    </w:p>
    <w:p w14:paraId="282B26C1" w14:textId="77777777" w:rsidR="00106773" w:rsidRPr="00FC0F14" w:rsidRDefault="0001138F" w:rsidP="00D33DBA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r w:rsidRPr="00FC0F14">
        <w:rPr>
          <w:rFonts w:hint="cs"/>
          <w:rtl/>
          <w:lang w:bidi="ar-EG"/>
        </w:rPr>
        <w:t>)</w:t>
      </w:r>
    </w:p>
    <w:p w14:paraId="1A7A8C76" w14:textId="77777777" w:rsidR="00106773" w:rsidRPr="00FC0F14" w:rsidRDefault="0001138F" w:rsidP="00D33DBA">
      <w:pPr>
        <w:pStyle w:val="Normalaftertitle"/>
        <w:spacing w:before="240"/>
        <w:rPr>
          <w:rtl/>
          <w:lang w:bidi="ar-EG"/>
        </w:rPr>
      </w:pPr>
      <w:r w:rsidRPr="00FC0F14">
        <w:rPr>
          <w:rFonts w:hint="cs"/>
          <w:rtl/>
          <w:lang w:bidi="ar-EG"/>
        </w:rPr>
        <w:t xml:space="preserve">إن الجمعية العالمية لتقييس الاتصالات (الحمامات،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)،</w:t>
      </w:r>
    </w:p>
    <w:p w14:paraId="6A6B563E" w14:textId="40785EE6" w:rsidR="0019646D" w:rsidRDefault="0001138F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 w:rsidRPr="009F014F">
        <w:rPr>
          <w:b w:val="0"/>
          <w:bCs w:val="0"/>
        </w:rPr>
        <w:tab/>
      </w:r>
      <w:r w:rsidRPr="0001138F">
        <w:rPr>
          <w:b w:val="0"/>
          <w:bCs w:val="0"/>
          <w:rtl/>
        </w:rPr>
        <w:t>تقترح الدول الأعضاء في لجنة البلدان الأمريكية للاتصالات (</w:t>
      </w:r>
      <w:r w:rsidRPr="0001138F">
        <w:rPr>
          <w:b w:val="0"/>
          <w:bCs w:val="0"/>
        </w:rPr>
        <w:t>CITEL</w:t>
      </w:r>
      <w:r w:rsidRPr="0001138F">
        <w:rPr>
          <w:b w:val="0"/>
          <w:bCs w:val="0"/>
          <w:rtl/>
        </w:rPr>
        <w:t>) الحفاظ على الوضع الراهن بالدعوة إلى "عدم إدخال أي تغيير" (</w:t>
      </w:r>
      <w:r w:rsidRPr="0001138F">
        <w:rPr>
          <w:b w:val="0"/>
          <w:bCs w:val="0"/>
        </w:rPr>
        <w:t>NOC</w:t>
      </w:r>
      <w:r w:rsidRPr="0001138F">
        <w:rPr>
          <w:b w:val="0"/>
          <w:bCs w:val="0"/>
          <w:rtl/>
        </w:rPr>
        <w:t xml:space="preserve">) على القرار </w:t>
      </w:r>
      <w:r>
        <w:rPr>
          <w:rFonts w:hint="cs"/>
          <w:b w:val="0"/>
          <w:bCs w:val="0"/>
        </w:rPr>
        <w:t>87</w:t>
      </w:r>
      <w:r w:rsidRPr="0001138F">
        <w:rPr>
          <w:b w:val="0"/>
          <w:bCs w:val="0"/>
          <w:rtl/>
        </w:rPr>
        <w:t xml:space="preserve"> في الجمعية العالمية لتقييس الاتصالات عام </w:t>
      </w:r>
      <w:r w:rsidRPr="0001138F">
        <w:rPr>
          <w:b w:val="0"/>
          <w:bCs w:val="0"/>
        </w:rPr>
        <w:t>2024</w:t>
      </w:r>
      <w:r w:rsidRPr="0001138F">
        <w:rPr>
          <w:b w:val="0"/>
          <w:bCs w:val="0"/>
          <w:rtl/>
        </w:rPr>
        <w:t xml:space="preserve"> (</w:t>
      </w:r>
      <w:r w:rsidRPr="0001138F">
        <w:rPr>
          <w:b w:val="0"/>
          <w:bCs w:val="0"/>
        </w:rPr>
        <w:t>WTSA-24</w:t>
      </w:r>
      <w:r w:rsidRPr="0001138F">
        <w:rPr>
          <w:b w:val="0"/>
          <w:bCs w:val="0"/>
          <w:rtl/>
        </w:rPr>
        <w:t>). ‏والأساس المنطقي وراء هذا الاقتراح متجذر في الاعتقاد بأن النسخة الحالية من القرار تخدم الغرض المقصود منه بكفاءة وبطريقة ومرضية.</w:t>
      </w:r>
      <w:r w:rsidRPr="0001138F">
        <w:rPr>
          <w:b w:val="0"/>
          <w:bCs w:val="0"/>
          <w:cs/>
        </w:rPr>
        <w:t>‎</w:t>
      </w:r>
    </w:p>
    <w:p w14:paraId="5A0210BC" w14:textId="35722073" w:rsidR="009F014F" w:rsidRPr="009F014F" w:rsidRDefault="009F014F" w:rsidP="009F014F">
      <w:pPr>
        <w:spacing w:before="600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sectPr w:rsidR="009F014F" w:rsidRPr="009F014F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0EDC" w14:textId="77777777" w:rsidR="00DA4259" w:rsidRDefault="00DA4259" w:rsidP="002919E1">
      <w:r>
        <w:separator/>
      </w:r>
    </w:p>
    <w:p w14:paraId="698FC67E" w14:textId="77777777" w:rsidR="00DA4259" w:rsidRDefault="00DA4259" w:rsidP="002919E1"/>
    <w:p w14:paraId="4BBEAEEF" w14:textId="77777777" w:rsidR="00DA4259" w:rsidRDefault="00DA4259" w:rsidP="002919E1"/>
    <w:p w14:paraId="6D49D486" w14:textId="77777777" w:rsidR="00DA4259" w:rsidRDefault="00DA4259"/>
  </w:endnote>
  <w:endnote w:type="continuationSeparator" w:id="0">
    <w:p w14:paraId="57FA7210" w14:textId="77777777" w:rsidR="00DA4259" w:rsidRDefault="00DA4259" w:rsidP="002919E1">
      <w:r>
        <w:continuationSeparator/>
      </w:r>
    </w:p>
    <w:p w14:paraId="3DF6AE13" w14:textId="77777777" w:rsidR="00DA4259" w:rsidRDefault="00DA4259" w:rsidP="002919E1"/>
    <w:p w14:paraId="3B80D5B6" w14:textId="77777777" w:rsidR="00DA4259" w:rsidRDefault="00DA4259" w:rsidP="002919E1"/>
    <w:p w14:paraId="5893738B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ABA2" w14:textId="77777777" w:rsidR="00DA4259" w:rsidRDefault="00DA4259" w:rsidP="002919E1">
      <w:r>
        <w:t>___________________</w:t>
      </w:r>
    </w:p>
  </w:footnote>
  <w:footnote w:type="continuationSeparator" w:id="0">
    <w:p w14:paraId="7981ED17" w14:textId="77777777" w:rsidR="00DA4259" w:rsidRDefault="00DA4259" w:rsidP="002919E1">
      <w:r>
        <w:continuationSeparator/>
      </w:r>
    </w:p>
    <w:p w14:paraId="08719347" w14:textId="77777777" w:rsidR="00DA4259" w:rsidRDefault="00DA4259" w:rsidP="002919E1"/>
    <w:p w14:paraId="082BD174" w14:textId="77777777" w:rsidR="00DA4259" w:rsidRDefault="00DA4259" w:rsidP="002919E1"/>
    <w:p w14:paraId="140F0DA2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3CF" w14:textId="77777777" w:rsidR="00281F5F" w:rsidRDefault="00281F5F" w:rsidP="002919E1"/>
  <w:p w14:paraId="45611417" w14:textId="77777777" w:rsidR="00281F5F" w:rsidRDefault="00281F5F" w:rsidP="002919E1"/>
  <w:p w14:paraId="384C92A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5486" w14:textId="77777777" w:rsidR="00654230" w:rsidRPr="00106773" w:rsidRDefault="006175E7" w:rsidP="00106773">
    <w:pPr>
      <w:pStyle w:val="Header"/>
      <w:spacing w:after="120"/>
      <w:rPr>
        <w:sz w:val="18"/>
        <w:szCs w:val="18"/>
      </w:rPr>
    </w:pPr>
    <w:r w:rsidRPr="00106773">
      <w:rPr>
        <w:sz w:val="18"/>
        <w:szCs w:val="18"/>
      </w:rPr>
      <w:fldChar w:fldCharType="begin"/>
    </w:r>
    <w:r w:rsidRPr="00106773">
      <w:rPr>
        <w:sz w:val="18"/>
        <w:szCs w:val="18"/>
      </w:rPr>
      <w:instrText xml:space="preserve"> PAGE  \* MERGEFORMAT </w:instrText>
    </w:r>
    <w:r w:rsidRPr="00106773">
      <w:rPr>
        <w:sz w:val="18"/>
        <w:szCs w:val="18"/>
      </w:rPr>
      <w:fldChar w:fldCharType="separate"/>
    </w:r>
    <w:r w:rsidRPr="00106773">
      <w:rPr>
        <w:sz w:val="18"/>
        <w:szCs w:val="18"/>
      </w:rPr>
      <w:t>2</w:t>
    </w:r>
    <w:r w:rsidRPr="00106773">
      <w:rPr>
        <w:sz w:val="18"/>
        <w:szCs w:val="18"/>
      </w:rPr>
      <w:fldChar w:fldCharType="end"/>
    </w:r>
    <w:r w:rsidR="00EB52D8" w:rsidRPr="00106773">
      <w:rPr>
        <w:sz w:val="18"/>
        <w:szCs w:val="18"/>
      </w:rPr>
      <w:br/>
    </w:r>
    <w:r w:rsidR="00966FA2" w:rsidRPr="00106773">
      <w:rPr>
        <w:sz w:val="18"/>
        <w:szCs w:val="18"/>
      </w:rPr>
      <w:t>WTSA-24/39(Add.1)-A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713193788">
    <w:abstractNumId w:val="9"/>
  </w:num>
  <w:num w:numId="2" w16cid:durableId="532617298">
    <w:abstractNumId w:val="13"/>
  </w:num>
  <w:num w:numId="3" w16cid:durableId="634988374">
    <w:abstractNumId w:val="10"/>
  </w:num>
  <w:num w:numId="4" w16cid:durableId="771319488">
    <w:abstractNumId w:val="14"/>
  </w:num>
  <w:num w:numId="5" w16cid:durableId="977951273">
    <w:abstractNumId w:val="7"/>
  </w:num>
  <w:num w:numId="6" w16cid:durableId="768812507">
    <w:abstractNumId w:val="6"/>
  </w:num>
  <w:num w:numId="7" w16cid:durableId="1277641453">
    <w:abstractNumId w:val="5"/>
  </w:num>
  <w:num w:numId="8" w16cid:durableId="851995913">
    <w:abstractNumId w:val="4"/>
  </w:num>
  <w:num w:numId="9" w16cid:durableId="196552711">
    <w:abstractNumId w:val="8"/>
  </w:num>
  <w:num w:numId="10" w16cid:durableId="653995528">
    <w:abstractNumId w:val="3"/>
  </w:num>
  <w:num w:numId="11" w16cid:durableId="63720557">
    <w:abstractNumId w:val="2"/>
  </w:num>
  <w:num w:numId="12" w16cid:durableId="1059093700">
    <w:abstractNumId w:val="1"/>
  </w:num>
  <w:num w:numId="13" w16cid:durableId="849877253">
    <w:abstractNumId w:val="0"/>
  </w:num>
  <w:num w:numId="14" w16cid:durableId="470289785">
    <w:abstractNumId w:val="11"/>
  </w:num>
  <w:num w:numId="15" w16cid:durableId="1905984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38F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06773"/>
    <w:rsid w:val="001236C1"/>
    <w:rsid w:val="00123AA6"/>
    <w:rsid w:val="0012545F"/>
    <w:rsid w:val="00136B82"/>
    <w:rsid w:val="001445AE"/>
    <w:rsid w:val="001464F2"/>
    <w:rsid w:val="00153879"/>
    <w:rsid w:val="00167364"/>
    <w:rsid w:val="00184643"/>
    <w:rsid w:val="001903B2"/>
    <w:rsid w:val="0019646D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0AFD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108C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0636"/>
    <w:rsid w:val="009E5007"/>
    <w:rsid w:val="009E613F"/>
    <w:rsid w:val="009F014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0D1E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1515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1762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070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0F77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22A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1eabe90-22fc-485b-8e3d-b51ddf60061c" targetNamespace="http://schemas.microsoft.com/office/2006/metadata/properties" ma:root="true" ma:fieldsID="d41af5c836d734370eb92e7ee5f83852" ns2:_="" ns3:_="">
    <xsd:import namespace="996b2e75-67fd-4955-a3b0-5ab9934cb50b"/>
    <xsd:import namespace="a1eabe90-22fc-485b-8e3d-b51ddf60061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abe90-22fc-485b-8e3d-b51ddf60061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1eabe90-22fc-485b-8e3d-b51ddf60061c">DPM</DPM_x0020_Author>
    <DPM_x0020_File_x0020_name xmlns="a1eabe90-22fc-485b-8e3d-b51ddf60061c">T22-WTSA.24-C-0039!A1!MSW-A</DPM_x0020_File_x0020_name>
    <DPM_x0020_Version xmlns="a1eabe90-22fc-485b-8e3d-b51ddf60061c">DPM_2022.05.12.01</DPM_x0020_Version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1eabe90-22fc-485b-8e3d-b51ddf600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abe90-22fc-485b-8e3d-b51ddf600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T22-WTSA.24-C-0039!A1!MSW-A</vt:lpstr>
    </vt:vector>
  </TitlesOfParts>
  <Manager>General Secretariat - Pool</Manager>
  <Company>International Telecommunication Union (ITU)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3</cp:revision>
  <cp:lastPrinted>2019-06-26T10:10:00Z</cp:lastPrinted>
  <dcterms:created xsi:type="dcterms:W3CDTF">2024-09-19T07:52:00Z</dcterms:created>
  <dcterms:modified xsi:type="dcterms:W3CDTF">2024-09-19T11:34:00Z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