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646B1A58" w14:textId="77777777" w:rsidTr="008F1982">
        <w:trPr>
          <w:cantSplit/>
          <w:trHeight w:val="20"/>
        </w:trPr>
        <w:tc>
          <w:tcPr>
            <w:tcW w:w="1318" w:type="dxa"/>
          </w:tcPr>
          <w:p w14:paraId="4E1F4238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8F5DE80" wp14:editId="6B65AFF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203C3351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0896B8A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72EF610D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371D4E6F" wp14:editId="7A56C3C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E7982DF" w14:textId="77777777" w:rsidTr="008F1982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7BDE8E16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23FDE651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2B02FD4C" w14:textId="77777777" w:rsidTr="008F1982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769E8FDB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3C01C58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8F1982" w:rsidRPr="00B344B6" w14:paraId="5B6520CA" w14:textId="77777777" w:rsidTr="008F1982">
        <w:trPr>
          <w:cantSplit/>
        </w:trPr>
        <w:tc>
          <w:tcPr>
            <w:tcW w:w="6496" w:type="dxa"/>
            <w:gridSpan w:val="2"/>
          </w:tcPr>
          <w:p w14:paraId="2CBC03C2" w14:textId="77777777" w:rsidR="008F1982" w:rsidRPr="00D21D8E" w:rsidRDefault="008F1982" w:rsidP="008F1982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D21D8E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3E8F754" w14:textId="1BC39351" w:rsidR="008F1982" w:rsidRPr="00EC0AD3" w:rsidRDefault="008F1982" w:rsidP="008F1982">
            <w:pPr>
              <w:pStyle w:val="Docnumber"/>
              <w:bidi/>
            </w:pPr>
            <w:r w:rsidRPr="008D76B4">
              <w:rPr>
                <w:rtl/>
              </w:rPr>
              <w:t xml:space="preserve">الإضافة </w:t>
            </w:r>
            <w:r w:rsidRPr="008D76B4">
              <w:t>26</w:t>
            </w:r>
            <w:r w:rsidRPr="008D76B4">
              <w:br/>
            </w:r>
            <w:r w:rsidRPr="008D76B4">
              <w:rPr>
                <w:rtl/>
                <w:lang w:bidi="ar-EG"/>
              </w:rPr>
              <w:t xml:space="preserve">للوثيقة </w:t>
            </w:r>
            <w:r w:rsidRPr="008D76B4">
              <w:rPr>
                <w:rFonts w:eastAsia="SimSun"/>
              </w:rPr>
              <w:t>38-A</w:t>
            </w:r>
          </w:p>
        </w:tc>
      </w:tr>
      <w:tr w:rsidR="008F1982" w:rsidRPr="00B344B6" w14:paraId="57FEFFC9" w14:textId="77777777" w:rsidTr="008F1982">
        <w:trPr>
          <w:cantSplit/>
        </w:trPr>
        <w:tc>
          <w:tcPr>
            <w:tcW w:w="6496" w:type="dxa"/>
            <w:gridSpan w:val="2"/>
          </w:tcPr>
          <w:p w14:paraId="51A7C5F7" w14:textId="77777777" w:rsidR="008F1982" w:rsidRPr="009D0810" w:rsidRDefault="008F1982" w:rsidP="008F1982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C6273BE" w14:textId="009E6921" w:rsidR="008F1982" w:rsidRPr="009D0810" w:rsidRDefault="008F1982" w:rsidP="008F1982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8D76B4">
              <w:rPr>
                <w:rFonts w:ascii="Dubai" w:eastAsia="SimSun" w:hAnsi="Dubai" w:cs="Dubai"/>
                <w:sz w:val="22"/>
                <w:szCs w:val="22"/>
              </w:rPr>
              <w:t>16</w:t>
            </w:r>
            <w:r w:rsidRPr="008D76B4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8D76B4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8F1982" w:rsidRPr="00B344B6" w14:paraId="0BC75E6F" w14:textId="77777777" w:rsidTr="008F1982">
        <w:trPr>
          <w:cantSplit/>
        </w:trPr>
        <w:tc>
          <w:tcPr>
            <w:tcW w:w="6496" w:type="dxa"/>
            <w:gridSpan w:val="2"/>
          </w:tcPr>
          <w:p w14:paraId="6CA7B1F6" w14:textId="77777777" w:rsidR="008F1982" w:rsidRPr="009D0810" w:rsidRDefault="008F1982" w:rsidP="008F1982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8631271" w14:textId="581B8FAF" w:rsidR="008F1982" w:rsidRPr="009D0810" w:rsidRDefault="008F1982" w:rsidP="008F1982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8D76B4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600188EC" w14:textId="77777777" w:rsidTr="008F1982">
        <w:trPr>
          <w:cantSplit/>
        </w:trPr>
        <w:tc>
          <w:tcPr>
            <w:tcW w:w="9639" w:type="dxa"/>
            <w:gridSpan w:val="4"/>
          </w:tcPr>
          <w:p w14:paraId="7A7E72A8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1EF695DE" w14:textId="77777777" w:rsidTr="008F1982">
        <w:trPr>
          <w:cantSplit/>
        </w:trPr>
        <w:tc>
          <w:tcPr>
            <w:tcW w:w="9639" w:type="dxa"/>
            <w:gridSpan w:val="4"/>
          </w:tcPr>
          <w:p w14:paraId="35EEA32C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B344B6" w14:paraId="58F93B34" w14:textId="77777777" w:rsidTr="008F1982">
        <w:trPr>
          <w:cantSplit/>
        </w:trPr>
        <w:tc>
          <w:tcPr>
            <w:tcW w:w="9639" w:type="dxa"/>
            <w:gridSpan w:val="4"/>
          </w:tcPr>
          <w:p w14:paraId="74E0390A" w14:textId="4BDA93C7" w:rsidR="006175E7" w:rsidRPr="00D21D8E" w:rsidRDefault="008F1982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val="en-GB"/>
              </w:rPr>
              <w:t xml:space="preserve">اقتراح الإبقاء على القرار </w:t>
            </w:r>
            <w:r>
              <w:rPr>
                <w:rFonts w:hint="cs"/>
                <w:lang w:val="en-GB"/>
              </w:rPr>
              <w:t>1</w:t>
            </w:r>
          </w:p>
        </w:tc>
      </w:tr>
      <w:tr w:rsidR="006175E7" w:rsidRPr="00B344B6" w14:paraId="648C2F9A" w14:textId="77777777" w:rsidTr="008F1982">
        <w:trPr>
          <w:cantSplit/>
          <w:trHeight w:hRule="exact" w:val="240"/>
        </w:trPr>
        <w:tc>
          <w:tcPr>
            <w:tcW w:w="9639" w:type="dxa"/>
            <w:gridSpan w:val="4"/>
          </w:tcPr>
          <w:p w14:paraId="6C611C6B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5137CD84" w14:textId="77777777" w:rsidTr="008F1982">
        <w:trPr>
          <w:cantSplit/>
          <w:trHeight w:hRule="exact" w:val="240"/>
        </w:trPr>
        <w:tc>
          <w:tcPr>
            <w:tcW w:w="9639" w:type="dxa"/>
            <w:gridSpan w:val="4"/>
          </w:tcPr>
          <w:p w14:paraId="710B152A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64D41219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1DFD020C" w14:textId="77777777" w:rsidTr="008077A5">
        <w:tc>
          <w:tcPr>
            <w:tcW w:w="1355" w:type="dxa"/>
            <w:shd w:val="clear" w:color="auto" w:fill="FFFFFF"/>
          </w:tcPr>
          <w:p w14:paraId="36C73E6C" w14:textId="77777777" w:rsidR="00314F41" w:rsidRPr="008F1982" w:rsidRDefault="00314F41" w:rsidP="008F1982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8F1982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4B279F2" w14:textId="5B3B8B76" w:rsidR="00314F41" w:rsidRPr="00B344B6" w:rsidRDefault="008F1982" w:rsidP="008F1982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D73578">
              <w:rPr>
                <w:rtl/>
                <w:lang w:val="en-GB"/>
              </w:rPr>
              <w:t xml:space="preserve">‏يتمثل مقترح المؤتمر الأوروبي لإدارات البريد والاتصالات بشأن القرار </w:t>
            </w:r>
            <w:r w:rsidRPr="00D73578">
              <w:rPr>
                <w:cs/>
                <w:lang w:val="en-GB"/>
              </w:rPr>
              <w:t>‎</w:t>
            </w:r>
            <w:r w:rsidRPr="00D73578">
              <w:rPr>
                <w:lang w:val="en-GB"/>
              </w:rPr>
              <w:t>1</w:t>
            </w:r>
            <w:r w:rsidRPr="00D73578">
              <w:rPr>
                <w:rtl/>
                <w:lang w:val="en-GB"/>
              </w:rPr>
              <w:t xml:space="preserve"> ‏للجمعية العالمية لتقييس الاتصالات في </w:t>
            </w:r>
            <w:r>
              <w:rPr>
                <w:rFonts w:hint="cs"/>
                <w:rtl/>
                <w:lang w:val="en-GB"/>
              </w:rPr>
              <w:t>عدم</w:t>
            </w:r>
            <w:r w:rsidRPr="00D73578">
              <w:rPr>
                <w:rtl/>
                <w:lang w:val="en-GB"/>
              </w:rPr>
              <w:t xml:space="preserve"> تغيير (</w:t>
            </w:r>
            <w:r w:rsidRPr="00D73578">
              <w:rPr>
                <w:cs/>
                <w:lang w:val="en-GB"/>
              </w:rPr>
              <w:t>‎</w:t>
            </w:r>
            <w:r w:rsidRPr="00D73578">
              <w:rPr>
                <w:lang w:val="en-GB"/>
              </w:rPr>
              <w:t>NOC</w:t>
            </w:r>
            <w:r w:rsidRPr="00D73578">
              <w:rPr>
                <w:rtl/>
                <w:lang w:val="en-GB"/>
              </w:rPr>
              <w:t>)</w:t>
            </w:r>
            <w:r>
              <w:rPr>
                <w:rFonts w:hint="cs"/>
                <w:rtl/>
                <w:lang w:val="en-GB"/>
              </w:rPr>
              <w:t xml:space="preserve"> القرار بمجمله</w:t>
            </w:r>
            <w:r w:rsidRPr="00D73578">
              <w:rPr>
                <w:rtl/>
                <w:lang w:val="en-GB"/>
              </w:rPr>
              <w:t>.</w:t>
            </w:r>
          </w:p>
        </w:tc>
      </w:tr>
      <w:tr w:rsidR="008F1982" w:rsidRPr="00B344B6" w14:paraId="7900AA0D" w14:textId="77777777" w:rsidTr="008077A5">
        <w:tc>
          <w:tcPr>
            <w:tcW w:w="1355" w:type="dxa"/>
            <w:shd w:val="clear" w:color="auto" w:fill="FFFFFF"/>
            <w:hideMark/>
          </w:tcPr>
          <w:p w14:paraId="0E4444A1" w14:textId="77777777" w:rsidR="008F1982" w:rsidRPr="008F1982" w:rsidRDefault="008F1982" w:rsidP="008F1982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8F1982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C0985CA" w14:textId="6B47B405" w:rsidR="008F1982" w:rsidRPr="00B344B6" w:rsidRDefault="008F1982" w:rsidP="008F1982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8D76B4">
              <w:t>Paul Redwin</w:t>
            </w:r>
            <w:r w:rsidRPr="008D76B4">
              <w:br/>
            </w:r>
            <w:r w:rsidRPr="00D73578">
              <w:rPr>
                <w:rFonts w:hint="cs"/>
                <w:rtl/>
                <w:lang w:val="en-GB" w:bidi="ar-EG"/>
              </w:rPr>
              <w:t>وزارة</w:t>
            </w:r>
            <w:r w:rsidRPr="00D73578">
              <w:rPr>
                <w:rtl/>
                <w:lang w:val="en-GB"/>
              </w:rPr>
              <w:t xml:space="preserve"> العلوم والابتكار والتكنولوجيا (</w:t>
            </w:r>
            <w:r w:rsidRPr="00D73578">
              <w:rPr>
                <w:cs/>
                <w:lang w:val="en-GB"/>
              </w:rPr>
              <w:t>‎</w:t>
            </w:r>
            <w:r w:rsidRPr="00D73578">
              <w:rPr>
                <w:lang w:val="en-GB"/>
              </w:rPr>
              <w:t>DSIT</w:t>
            </w:r>
            <w:r w:rsidRPr="00D73578">
              <w:rPr>
                <w:rtl/>
                <w:lang w:val="en-GB"/>
              </w:rPr>
              <w:t>)</w:t>
            </w:r>
            <w:r w:rsidRPr="008D76B4">
              <w:br/>
            </w:r>
            <w:r w:rsidRPr="008D76B4">
              <w:rPr>
                <w:rtl/>
                <w:lang w:bidi="ar-EG"/>
              </w:rPr>
              <w:t>المملكة المتحدة</w:t>
            </w:r>
          </w:p>
        </w:tc>
        <w:tc>
          <w:tcPr>
            <w:tcW w:w="4250" w:type="dxa"/>
            <w:shd w:val="clear" w:color="auto" w:fill="FFFFFF"/>
          </w:tcPr>
          <w:p w14:paraId="445E8427" w14:textId="6FABA8D9" w:rsidR="008F1982" w:rsidRPr="00B344B6" w:rsidRDefault="008F1982" w:rsidP="008F1982">
            <w:pPr>
              <w:rPr>
                <w:rFonts w:eastAsia="SimSun"/>
                <w:position w:val="2"/>
                <w:lang w:eastAsia="zh-CN"/>
              </w:rPr>
            </w:pPr>
            <w:r w:rsidRPr="008D76B4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8D76B4">
                <w:rPr>
                  <w:rStyle w:val="Hyperlink"/>
                  <w:lang w:val="de-DE"/>
                </w:rPr>
                <w:t>paul.redwin@dsit.gov.uk</w:t>
              </w:r>
            </w:hyperlink>
          </w:p>
        </w:tc>
      </w:tr>
    </w:tbl>
    <w:p w14:paraId="2988A56B" w14:textId="77777777" w:rsidR="00314F41" w:rsidRPr="00B344B6" w:rsidRDefault="00314F41" w:rsidP="00790154"/>
    <w:p w14:paraId="7A3EB489" w14:textId="77777777" w:rsidR="002F3E46" w:rsidRPr="00B344B6" w:rsidRDefault="002F3E46" w:rsidP="00523D37">
      <w:pPr>
        <w:rPr>
          <w:lang w:bidi="ar-EG"/>
        </w:rPr>
      </w:pPr>
    </w:p>
    <w:p w14:paraId="52A0F496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03D41269" w14:textId="77777777" w:rsidR="00CB6AC4" w:rsidRDefault="00022E3F">
      <w:pPr>
        <w:pStyle w:val="Proposal"/>
      </w:pPr>
      <w:r>
        <w:rPr>
          <w:u w:val="single"/>
        </w:rPr>
        <w:lastRenderedPageBreak/>
        <w:t>NOC</w:t>
      </w:r>
      <w:r>
        <w:tab/>
        <w:t>ECP/38A26/1</w:t>
      </w:r>
    </w:p>
    <w:p w14:paraId="79D2F98B" w14:textId="77777777" w:rsidR="00022E3F" w:rsidRDefault="00022E3F" w:rsidP="00ED026F">
      <w:pPr>
        <w:pStyle w:val="ResNo"/>
      </w:pPr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1</w:t>
      </w:r>
      <w:r w:rsidRPr="00FC0F14">
        <w:rPr>
          <w:rFonts w:hint="cs"/>
          <w:rtl/>
        </w:rPr>
        <w:t xml:space="preserve"> (المراجَع في جنيف، </w:t>
      </w:r>
      <w:r w:rsidRPr="00FC0F14">
        <w:t>2022</w:t>
      </w:r>
      <w:r w:rsidRPr="00FC0F14">
        <w:rPr>
          <w:rFonts w:hint="cs"/>
          <w:rtl/>
        </w:rPr>
        <w:t>)</w:t>
      </w:r>
    </w:p>
    <w:p w14:paraId="2DBC3A90" w14:textId="77777777" w:rsidR="00022E3F" w:rsidRPr="00FC0F14" w:rsidRDefault="00022E3F" w:rsidP="00ED026F">
      <w:pPr>
        <w:pStyle w:val="Restitle"/>
        <w:rPr>
          <w:noProof/>
          <w:rtl/>
          <w:lang w:val="fr-FR" w:bidi="ar-EG"/>
        </w:rPr>
      </w:pPr>
      <w:bookmarkStart w:id="0" w:name="_Toc111642707"/>
      <w:bookmarkStart w:id="1" w:name="_Toc111646775"/>
      <w:r w:rsidRPr="00FC0F14">
        <w:rPr>
          <w:noProof/>
          <w:rtl/>
          <w:lang w:bidi="ar-EG"/>
        </w:rPr>
        <w:t>النظام الداخلي لقطاع تقييس الاتصالات للاتحاد الدولي للاتصالات</w:t>
      </w:r>
      <w:bookmarkEnd w:id="0"/>
      <w:bookmarkEnd w:id="1"/>
    </w:p>
    <w:p w14:paraId="291F83E6" w14:textId="77777777" w:rsidR="00022E3F" w:rsidRPr="00FC0F14" w:rsidRDefault="00022E3F" w:rsidP="00ED026F">
      <w:pPr>
        <w:pStyle w:val="Resref"/>
        <w:rPr>
          <w:iCs w:val="0"/>
        </w:rPr>
      </w:pPr>
      <w:r w:rsidRPr="00FC0F14">
        <w:rPr>
          <w:rtl/>
        </w:rPr>
        <w:t>(</w:t>
      </w:r>
      <w:r w:rsidRPr="00FC0F14">
        <w:rPr>
          <w:rFonts w:hint="cs"/>
          <w:rtl/>
        </w:rPr>
        <w:t xml:space="preserve">جنيف، </w:t>
      </w:r>
      <w:r w:rsidRPr="00FC0F14">
        <w:t>2022</w:t>
      </w:r>
      <w:r w:rsidRPr="00FC0F14">
        <w:rPr>
          <w:rtl/>
        </w:rPr>
        <w:t>)</w:t>
      </w:r>
      <w:r w:rsidRPr="00FC0F14">
        <w:rPr>
          <w:rStyle w:val="FootnoteReference"/>
          <w:rFonts w:hint="cs"/>
          <w:i w:val="0"/>
          <w:rtl/>
        </w:rPr>
        <w:t>،</w:t>
      </w:r>
      <w:r>
        <w:rPr>
          <w:rStyle w:val="FootnoteReference"/>
          <w:iCs w:val="0"/>
          <w:rtl/>
        </w:rPr>
        <w:footnoteReference w:customMarkFollows="1" w:id="1"/>
        <w:t>1</w:t>
      </w:r>
    </w:p>
    <w:p w14:paraId="3913E360" w14:textId="77777777" w:rsidR="00022E3F" w:rsidRPr="00FC0F14" w:rsidRDefault="00022E3F" w:rsidP="00ED026F">
      <w:pPr>
        <w:pStyle w:val="Normalaftertitle"/>
        <w:spacing w:before="360"/>
        <w:rPr>
          <w:noProof/>
          <w:lang w:bidi="ar-EG"/>
        </w:rPr>
      </w:pPr>
      <w:r w:rsidRPr="00FC0F14">
        <w:rPr>
          <w:noProof/>
          <w:rtl/>
          <w:lang w:bidi="ar-EG"/>
        </w:rPr>
        <w:t>إن الجمعية العالمية لتقييس الاتصالات (</w:t>
      </w:r>
      <w:r w:rsidRPr="00FC0F14">
        <w:rPr>
          <w:rFonts w:hint="cs"/>
          <w:rtl/>
          <w:lang w:bidi="ar-EG"/>
        </w:rPr>
        <w:t xml:space="preserve">جنيف، </w:t>
      </w:r>
      <w:r w:rsidRPr="00FC0F14">
        <w:rPr>
          <w:lang w:bidi="ar-EG"/>
        </w:rPr>
        <w:t>2022</w:t>
      </w:r>
      <w:r w:rsidRPr="00FC0F14">
        <w:rPr>
          <w:noProof/>
          <w:rtl/>
          <w:lang w:bidi="ar-EG"/>
        </w:rPr>
        <w:t>)،</w:t>
      </w:r>
    </w:p>
    <w:p w14:paraId="4B06A507" w14:textId="622679A6" w:rsidR="00CB6AC4" w:rsidRDefault="00022E3F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="008F1982" w:rsidRPr="00D73578">
        <w:rPr>
          <w:b w:val="0"/>
          <w:bCs w:val="0"/>
          <w:rtl/>
          <w:lang w:val="en-GB"/>
        </w:rPr>
        <w:t>منذ</w:t>
      </w:r>
      <w:r w:rsidR="008F1982">
        <w:rPr>
          <w:rFonts w:hint="cs"/>
          <w:b w:val="0"/>
          <w:bCs w:val="0"/>
          <w:rtl/>
          <w:lang w:val="en-GB"/>
        </w:rPr>
        <w:t xml:space="preserve"> </w:t>
      </w:r>
      <w:r w:rsidR="008F1982" w:rsidRPr="00D73578">
        <w:rPr>
          <w:b w:val="0"/>
          <w:bCs w:val="0"/>
          <w:rtl/>
          <w:lang w:val="en-GB"/>
        </w:rPr>
        <w:t>آخر دورة للجمعية</w:t>
      </w:r>
      <w:r w:rsidR="008F1982">
        <w:rPr>
          <w:rFonts w:hint="cs"/>
          <w:b w:val="0"/>
          <w:bCs w:val="0"/>
          <w:rtl/>
          <w:lang w:val="en-GB"/>
        </w:rPr>
        <w:t xml:space="preserve"> </w:t>
      </w:r>
      <w:r w:rsidR="008F1982" w:rsidRPr="00D73578">
        <w:rPr>
          <w:b w:val="0"/>
          <w:bCs w:val="0"/>
          <w:rtl/>
          <w:lang w:val="en-GB"/>
        </w:rPr>
        <w:t xml:space="preserve">العالمية لتقييس الاتصالات عام </w:t>
      </w:r>
      <w:r w:rsidR="008F1982" w:rsidRPr="00D73578">
        <w:rPr>
          <w:b w:val="0"/>
          <w:bCs w:val="0"/>
          <w:cs/>
          <w:lang w:val="en-GB"/>
        </w:rPr>
        <w:t>‎</w:t>
      </w:r>
      <w:r w:rsidR="008F1982" w:rsidRPr="00D73578">
        <w:rPr>
          <w:b w:val="0"/>
          <w:bCs w:val="0"/>
          <w:lang w:val="en-GB"/>
        </w:rPr>
        <w:t>2022</w:t>
      </w:r>
      <w:r w:rsidR="008F1982" w:rsidRPr="00D73578">
        <w:rPr>
          <w:b w:val="0"/>
          <w:bCs w:val="0"/>
          <w:rtl/>
          <w:lang w:val="en-GB"/>
        </w:rPr>
        <w:t xml:space="preserve">‏، </w:t>
      </w:r>
      <w:r w:rsidR="008F1982">
        <w:rPr>
          <w:rFonts w:hint="cs"/>
          <w:b w:val="0"/>
          <w:bCs w:val="0"/>
          <w:rtl/>
          <w:lang w:val="en-GB"/>
        </w:rPr>
        <w:t>ما برحت</w:t>
      </w:r>
      <w:r w:rsidR="008F1982" w:rsidRPr="00D73578">
        <w:rPr>
          <w:b w:val="0"/>
          <w:bCs w:val="0"/>
          <w:rtl/>
          <w:lang w:val="en-GB"/>
        </w:rPr>
        <w:t xml:space="preserve"> أساليب عمل الفريق الاستشاري لتقييس الاتصالات </w:t>
      </w:r>
      <w:r w:rsidR="008F1982">
        <w:rPr>
          <w:rFonts w:hint="cs"/>
          <w:b w:val="0"/>
          <w:bCs w:val="0"/>
          <w:rtl/>
          <w:lang w:val="en-GB"/>
        </w:rPr>
        <w:t>وأفرقة</w:t>
      </w:r>
      <w:r w:rsidR="008F1982" w:rsidRPr="00D73578">
        <w:rPr>
          <w:b w:val="0"/>
          <w:bCs w:val="0"/>
          <w:rtl/>
          <w:lang w:val="en-GB"/>
        </w:rPr>
        <w:t xml:space="preserve"> مقرر</w:t>
      </w:r>
      <w:r w:rsidR="008F1982">
        <w:rPr>
          <w:rFonts w:hint="cs"/>
          <w:b w:val="0"/>
          <w:bCs w:val="0"/>
          <w:rtl/>
          <w:lang w:val="en-GB"/>
        </w:rPr>
        <w:t>ي</w:t>
      </w:r>
      <w:r w:rsidR="008F1982" w:rsidRPr="00D73578">
        <w:rPr>
          <w:b w:val="0"/>
          <w:bCs w:val="0"/>
          <w:rtl/>
          <w:lang w:val="en-GB"/>
        </w:rPr>
        <w:t xml:space="preserve"> الفريق الاستشاري لتقييس الاتصالات </w:t>
      </w:r>
      <w:r w:rsidR="008F1982">
        <w:rPr>
          <w:rFonts w:hint="cs"/>
          <w:b w:val="0"/>
          <w:bCs w:val="0"/>
          <w:rtl/>
          <w:lang w:val="en-GB"/>
        </w:rPr>
        <w:t>تناقش وتراجع مختلف</w:t>
      </w:r>
      <w:r w:rsidR="008F1982" w:rsidRPr="00D73578">
        <w:rPr>
          <w:b w:val="0"/>
          <w:bCs w:val="0"/>
          <w:rtl/>
          <w:lang w:val="en-GB"/>
        </w:rPr>
        <w:t xml:space="preserve"> توصيات قطاع تقييس الاتصالات في السلسلة </w:t>
      </w:r>
      <w:r w:rsidR="008F1982" w:rsidRPr="00D73578">
        <w:rPr>
          <w:b w:val="0"/>
          <w:bCs w:val="0"/>
          <w:lang w:val="en-GB"/>
        </w:rPr>
        <w:t>A</w:t>
      </w:r>
      <w:r w:rsidR="008F1982" w:rsidRPr="00D73578">
        <w:rPr>
          <w:b w:val="0"/>
          <w:bCs w:val="0"/>
          <w:rtl/>
          <w:lang w:val="en-GB"/>
        </w:rPr>
        <w:t>. وكانت هذه العملية</w:t>
      </w:r>
      <w:r w:rsidR="008F1982">
        <w:rPr>
          <w:rFonts w:hint="cs"/>
          <w:b w:val="0"/>
          <w:bCs w:val="0"/>
          <w:rtl/>
          <w:lang w:val="en-GB"/>
        </w:rPr>
        <w:t xml:space="preserve"> ولا تزال</w:t>
      </w:r>
      <w:r w:rsidR="008F1982" w:rsidRPr="00D73578">
        <w:rPr>
          <w:b w:val="0"/>
          <w:bCs w:val="0"/>
          <w:rtl/>
          <w:lang w:val="en-GB"/>
        </w:rPr>
        <w:t xml:space="preserve"> ناجحة وقي</w:t>
      </w:r>
      <w:r w:rsidR="008F1982">
        <w:rPr>
          <w:rFonts w:hint="cs"/>
          <w:b w:val="0"/>
          <w:bCs w:val="0"/>
          <w:rtl/>
          <w:lang w:val="en-GB"/>
        </w:rPr>
        <w:t>ِّ</w:t>
      </w:r>
      <w:r w:rsidR="008F1982" w:rsidRPr="00D73578">
        <w:rPr>
          <w:b w:val="0"/>
          <w:bCs w:val="0"/>
          <w:rtl/>
          <w:lang w:val="en-GB"/>
        </w:rPr>
        <w:t>مة في الاتفاق على إجراءات العمل المستقبلية في قطاع تقييس الاتصالات</w:t>
      </w:r>
      <w:r w:rsidR="008F1982">
        <w:rPr>
          <w:rFonts w:hint="cs"/>
          <w:b w:val="0"/>
          <w:bCs w:val="0"/>
          <w:rtl/>
          <w:lang w:val="en-GB" w:bidi="ar-EG"/>
        </w:rPr>
        <w:t>.</w:t>
      </w:r>
    </w:p>
    <w:sectPr w:rsidR="00CB6AC4">
      <w:headerReference w:type="even" r:id="rId15"/>
      <w:headerReference w:type="default" r:id="rId16"/>
      <w:type w:val="oddPage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5CADF" w14:textId="77777777" w:rsidR="00DA4259" w:rsidRDefault="00DA4259" w:rsidP="002919E1">
      <w:r>
        <w:separator/>
      </w:r>
    </w:p>
    <w:p w14:paraId="24F4A1E8" w14:textId="77777777" w:rsidR="00DA4259" w:rsidRDefault="00DA4259" w:rsidP="002919E1"/>
    <w:p w14:paraId="57F41367" w14:textId="77777777" w:rsidR="00DA4259" w:rsidRDefault="00DA4259" w:rsidP="002919E1"/>
    <w:p w14:paraId="49993341" w14:textId="77777777" w:rsidR="00DA4259" w:rsidRDefault="00DA4259"/>
  </w:endnote>
  <w:endnote w:type="continuationSeparator" w:id="0">
    <w:p w14:paraId="3DFAB652" w14:textId="77777777" w:rsidR="00DA4259" w:rsidRDefault="00DA4259" w:rsidP="002919E1">
      <w:r>
        <w:continuationSeparator/>
      </w:r>
    </w:p>
    <w:p w14:paraId="56314500" w14:textId="77777777" w:rsidR="00DA4259" w:rsidRDefault="00DA4259" w:rsidP="002919E1"/>
    <w:p w14:paraId="3B30E957" w14:textId="77777777" w:rsidR="00DA4259" w:rsidRDefault="00DA4259" w:rsidP="002919E1"/>
    <w:p w14:paraId="5E748E5D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17FC2" w14:textId="77777777" w:rsidR="00DA4259" w:rsidRDefault="00DA4259" w:rsidP="002919E1">
      <w:r>
        <w:t>___________________</w:t>
      </w:r>
    </w:p>
  </w:footnote>
  <w:footnote w:type="continuationSeparator" w:id="0">
    <w:p w14:paraId="4577BF4E" w14:textId="77777777" w:rsidR="00DA4259" w:rsidRDefault="00DA4259" w:rsidP="002919E1">
      <w:r>
        <w:continuationSeparator/>
      </w:r>
    </w:p>
    <w:p w14:paraId="1DF2F5CB" w14:textId="77777777" w:rsidR="00DA4259" w:rsidRDefault="00DA4259" w:rsidP="002919E1"/>
    <w:p w14:paraId="0CCC3A27" w14:textId="77777777" w:rsidR="00DA4259" w:rsidRDefault="00DA4259" w:rsidP="002919E1"/>
    <w:p w14:paraId="11DF8FA3" w14:textId="77777777" w:rsidR="00DA4259" w:rsidRDefault="00DA4259"/>
  </w:footnote>
  <w:footnote w:id="1">
    <w:p w14:paraId="2342BDE6" w14:textId="77777777" w:rsidR="00022E3F" w:rsidRDefault="00022E3F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ab/>
      </w:r>
      <w:r>
        <w:rPr>
          <w:rFonts w:hint="eastAsia"/>
          <w:rtl/>
        </w:rPr>
        <w:t>سبق</w:t>
      </w:r>
      <w:r>
        <w:rPr>
          <w:rtl/>
        </w:rPr>
        <w:t xml:space="preserve"> نشره (جنيف، 1956 و1958؛ نيودلهي، 1960؛ جنيف، 1964؛ مار ديل بلاتا، 1968؛ جنيف، 1972 و1976 و1980؛ مالقة-طورمولينوس، 1984؛ ملبورن، 1988؛ هلسنكي، 1993؛ جنيف، 1996؛ مونتريال، 2000؛ فلوريانوبوليس، 2004؛ جوهانسبرغ، 2008؛ دبي، 2012؛ الحمامات، 2</w:t>
      </w:r>
      <w:r>
        <w:rPr>
          <w:rFonts w:hint="cs"/>
          <w:rtl/>
        </w:rPr>
        <w:t>016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 w:rsidRPr="00FC0F14">
        <w:rPr>
          <w:rFonts w:hint="cs"/>
          <w:rtl/>
        </w:rPr>
        <w:t xml:space="preserve">جنيف، </w:t>
      </w:r>
      <w:r w:rsidRPr="00FC0F14">
        <w:t>2022</w:t>
      </w:r>
      <w:r>
        <w:rPr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85BF" w14:textId="77777777" w:rsidR="00281F5F" w:rsidRDefault="00281F5F" w:rsidP="002919E1"/>
  <w:p w14:paraId="0B8FB5D9" w14:textId="77777777" w:rsidR="00281F5F" w:rsidRDefault="00281F5F" w:rsidP="002919E1"/>
  <w:p w14:paraId="234007E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4795" w14:textId="77777777" w:rsidR="00654230" w:rsidRPr="008F1982" w:rsidRDefault="006175E7" w:rsidP="008F1982">
    <w:pPr>
      <w:pStyle w:val="Header"/>
      <w:spacing w:after="120"/>
      <w:rPr>
        <w:sz w:val="18"/>
        <w:szCs w:val="18"/>
      </w:rPr>
    </w:pPr>
    <w:r w:rsidRPr="008F1982">
      <w:rPr>
        <w:sz w:val="18"/>
        <w:szCs w:val="18"/>
      </w:rPr>
      <w:fldChar w:fldCharType="begin"/>
    </w:r>
    <w:r w:rsidRPr="008F1982">
      <w:rPr>
        <w:sz w:val="18"/>
        <w:szCs w:val="18"/>
      </w:rPr>
      <w:instrText xml:space="preserve"> PAGE  \* MERGEFORMAT </w:instrText>
    </w:r>
    <w:r w:rsidRPr="008F1982">
      <w:rPr>
        <w:sz w:val="18"/>
        <w:szCs w:val="18"/>
      </w:rPr>
      <w:fldChar w:fldCharType="separate"/>
    </w:r>
    <w:r w:rsidRPr="008F1982">
      <w:rPr>
        <w:sz w:val="18"/>
        <w:szCs w:val="18"/>
      </w:rPr>
      <w:t>2</w:t>
    </w:r>
    <w:r w:rsidRPr="008F1982">
      <w:rPr>
        <w:sz w:val="18"/>
        <w:szCs w:val="18"/>
      </w:rPr>
      <w:fldChar w:fldCharType="end"/>
    </w:r>
    <w:r w:rsidR="00EB52D8" w:rsidRPr="008F1982">
      <w:rPr>
        <w:sz w:val="18"/>
        <w:szCs w:val="18"/>
      </w:rPr>
      <w:br/>
    </w:r>
    <w:r w:rsidR="00966FA2" w:rsidRPr="008F1982">
      <w:rPr>
        <w:sz w:val="18"/>
        <w:szCs w:val="18"/>
      </w:rPr>
      <w:t>WTSA-24/38(Add.26)-A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400493400">
    <w:abstractNumId w:val="9"/>
  </w:num>
  <w:num w:numId="2" w16cid:durableId="2114277583">
    <w:abstractNumId w:val="13"/>
  </w:num>
  <w:num w:numId="3" w16cid:durableId="1913587583">
    <w:abstractNumId w:val="10"/>
  </w:num>
  <w:num w:numId="4" w16cid:durableId="630093377">
    <w:abstractNumId w:val="14"/>
  </w:num>
  <w:num w:numId="5" w16cid:durableId="1029331312">
    <w:abstractNumId w:val="7"/>
  </w:num>
  <w:num w:numId="6" w16cid:durableId="1703628774">
    <w:abstractNumId w:val="6"/>
  </w:num>
  <w:num w:numId="7" w16cid:durableId="318116643">
    <w:abstractNumId w:val="5"/>
  </w:num>
  <w:num w:numId="8" w16cid:durableId="247354440">
    <w:abstractNumId w:val="4"/>
  </w:num>
  <w:num w:numId="9" w16cid:durableId="1097674429">
    <w:abstractNumId w:val="8"/>
  </w:num>
  <w:num w:numId="10" w16cid:durableId="1874876771">
    <w:abstractNumId w:val="3"/>
  </w:num>
  <w:num w:numId="11" w16cid:durableId="810563732">
    <w:abstractNumId w:val="2"/>
  </w:num>
  <w:num w:numId="12" w16cid:durableId="2067365672">
    <w:abstractNumId w:val="1"/>
  </w:num>
  <w:num w:numId="13" w16cid:durableId="1034236400">
    <w:abstractNumId w:val="0"/>
  </w:num>
  <w:num w:numId="14" w16cid:durableId="1407267842">
    <w:abstractNumId w:val="11"/>
  </w:num>
  <w:num w:numId="15" w16cid:durableId="1016347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2E3F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07CB4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1982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57C5A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B6AC4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1A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redwin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b041b3-209f-4e77-8ca2-f0436389f740" targetNamespace="http://schemas.microsoft.com/office/2006/metadata/properties" ma:root="true" ma:fieldsID="d41af5c836d734370eb92e7ee5f83852" ns2:_="" ns3:_="">
    <xsd:import namespace="996b2e75-67fd-4955-a3b0-5ab9934cb50b"/>
    <xsd:import namespace="feb041b3-209f-4e77-8ca2-f0436389f74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41b3-209f-4e77-8ca2-f0436389f74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b041b3-209f-4e77-8ca2-f0436389f740">DPM</DPM_x0020_Author>
    <DPM_x0020_File_x0020_name xmlns="feb041b3-209f-4e77-8ca2-f0436389f740">T22-WTSA.24-C-0038!A26!MSW-A</DPM_x0020_File_x0020_name>
    <DPM_x0020_Version xmlns="feb041b3-209f-4e77-8ca2-f0436389f740">DPM_2024.10.03.01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b041b3-209f-4e77-8ca2-f0436389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996b2e75-67fd-4955-a3b0-5ab9934cb50b"/>
    <ds:schemaRef ds:uri="http://www.w3.org/XML/1998/namespace"/>
    <ds:schemaRef ds:uri="feb041b3-209f-4e77-8ca2-f0436389f740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T22-WTSA.24-C-0038!A26!MSW-A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TSB (HT)</cp:lastModifiedBy>
  <cp:revision>2</cp:revision>
  <cp:lastPrinted>2019-06-26T10:10:00Z</cp:lastPrinted>
  <dcterms:created xsi:type="dcterms:W3CDTF">2024-10-08T09:12:00Z</dcterms:created>
  <dcterms:modified xsi:type="dcterms:W3CDTF">2024-10-08T09:12:00Z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