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21B42" w14:paraId="3BE3974B" w14:textId="77777777" w:rsidTr="00267BFB">
        <w:trPr>
          <w:cantSplit/>
          <w:trHeight w:val="1132"/>
        </w:trPr>
        <w:tc>
          <w:tcPr>
            <w:tcW w:w="1290" w:type="dxa"/>
            <w:vAlign w:val="center"/>
          </w:tcPr>
          <w:p w14:paraId="686CACDF" w14:textId="77777777" w:rsidR="00D2023F" w:rsidRPr="00321B42" w:rsidRDefault="0018215C" w:rsidP="00C30155">
            <w:pPr>
              <w:spacing w:before="0"/>
              <w:rPr>
                <w:lang w:val="fr-FR"/>
              </w:rPr>
            </w:pPr>
            <w:r w:rsidRPr="00321B42">
              <w:rPr>
                <w:lang w:val="fr-FR"/>
              </w:rPr>
              <w:drawing>
                <wp:inline distT="0" distB="0" distL="0" distR="0" wp14:anchorId="7BADD08D" wp14:editId="5626A2A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C30E7BD" w14:textId="77777777" w:rsidR="00D2023F" w:rsidRPr="00321B42" w:rsidRDefault="006F0DB7" w:rsidP="008A186A">
            <w:pPr>
              <w:pStyle w:val="TopHeader"/>
              <w:rPr>
                <w:lang w:val="fr-FR"/>
              </w:rPr>
            </w:pPr>
            <w:r w:rsidRPr="00321B42">
              <w:rPr>
                <w:lang w:val="fr-FR"/>
              </w:rPr>
              <w:t>Assemblée mondiale de normalisation des télécommunications (AMNT-24)</w:t>
            </w:r>
            <w:r w:rsidRPr="00321B42">
              <w:rPr>
                <w:sz w:val="26"/>
                <w:szCs w:val="26"/>
                <w:lang w:val="fr-FR"/>
              </w:rPr>
              <w:br/>
            </w:r>
            <w:r w:rsidRPr="00321B42">
              <w:rPr>
                <w:sz w:val="18"/>
                <w:szCs w:val="18"/>
                <w:lang w:val="fr-FR"/>
              </w:rPr>
              <w:t>New Delhi, 15</w:t>
            </w:r>
            <w:r w:rsidR="00BC053B" w:rsidRPr="00321B42">
              <w:rPr>
                <w:sz w:val="18"/>
                <w:szCs w:val="18"/>
                <w:lang w:val="fr-FR"/>
              </w:rPr>
              <w:t>-</w:t>
            </w:r>
            <w:r w:rsidRPr="00321B42">
              <w:rPr>
                <w:sz w:val="18"/>
                <w:szCs w:val="18"/>
                <w:lang w:val="fr-FR"/>
              </w:rPr>
              <w:t>24 octobre 2024</w:t>
            </w:r>
          </w:p>
        </w:tc>
        <w:tc>
          <w:tcPr>
            <w:tcW w:w="1306" w:type="dxa"/>
            <w:tcBorders>
              <w:left w:val="nil"/>
            </w:tcBorders>
            <w:vAlign w:val="center"/>
          </w:tcPr>
          <w:p w14:paraId="6B3719BF" w14:textId="77777777" w:rsidR="00D2023F" w:rsidRPr="00321B42" w:rsidRDefault="00D2023F" w:rsidP="00C30155">
            <w:pPr>
              <w:spacing w:before="0"/>
              <w:rPr>
                <w:lang w:val="fr-FR"/>
              </w:rPr>
            </w:pPr>
            <w:r w:rsidRPr="00321B42">
              <w:rPr>
                <w:lang w:val="fr-FR" w:eastAsia="zh-CN"/>
              </w:rPr>
              <w:drawing>
                <wp:inline distT="0" distB="0" distL="0" distR="0" wp14:anchorId="233B2DE6" wp14:editId="305C97B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21B42" w14:paraId="3A0E172F" w14:textId="77777777" w:rsidTr="00267BFB">
        <w:trPr>
          <w:cantSplit/>
        </w:trPr>
        <w:tc>
          <w:tcPr>
            <w:tcW w:w="9811" w:type="dxa"/>
            <w:gridSpan w:val="4"/>
            <w:tcBorders>
              <w:bottom w:val="single" w:sz="12" w:space="0" w:color="auto"/>
            </w:tcBorders>
          </w:tcPr>
          <w:p w14:paraId="252FE918" w14:textId="77777777" w:rsidR="00D2023F" w:rsidRPr="00321B42" w:rsidRDefault="00D2023F" w:rsidP="00C30155">
            <w:pPr>
              <w:spacing w:before="0"/>
              <w:rPr>
                <w:lang w:val="fr-FR"/>
              </w:rPr>
            </w:pPr>
          </w:p>
        </w:tc>
      </w:tr>
      <w:tr w:rsidR="00931298" w:rsidRPr="00321B42" w14:paraId="093AD862" w14:textId="77777777" w:rsidTr="00267BFB">
        <w:trPr>
          <w:cantSplit/>
        </w:trPr>
        <w:tc>
          <w:tcPr>
            <w:tcW w:w="6237" w:type="dxa"/>
            <w:gridSpan w:val="2"/>
            <w:tcBorders>
              <w:top w:val="single" w:sz="12" w:space="0" w:color="auto"/>
            </w:tcBorders>
          </w:tcPr>
          <w:p w14:paraId="499C3B44" w14:textId="77777777" w:rsidR="00931298" w:rsidRPr="00321B42" w:rsidRDefault="00931298" w:rsidP="00C30155">
            <w:pPr>
              <w:spacing w:before="0"/>
              <w:rPr>
                <w:lang w:val="fr-FR"/>
              </w:rPr>
            </w:pPr>
          </w:p>
        </w:tc>
        <w:tc>
          <w:tcPr>
            <w:tcW w:w="3574" w:type="dxa"/>
            <w:gridSpan w:val="2"/>
          </w:tcPr>
          <w:p w14:paraId="099A8DB4" w14:textId="77777777" w:rsidR="00931298" w:rsidRPr="00321B42" w:rsidRDefault="00931298" w:rsidP="00C30155">
            <w:pPr>
              <w:spacing w:before="0"/>
              <w:rPr>
                <w:sz w:val="20"/>
                <w:szCs w:val="16"/>
                <w:lang w:val="fr-FR"/>
              </w:rPr>
            </w:pPr>
          </w:p>
        </w:tc>
      </w:tr>
      <w:tr w:rsidR="00752D4D" w:rsidRPr="00321B42" w14:paraId="143AC471" w14:textId="77777777" w:rsidTr="00267BFB">
        <w:trPr>
          <w:cantSplit/>
        </w:trPr>
        <w:tc>
          <w:tcPr>
            <w:tcW w:w="6237" w:type="dxa"/>
            <w:gridSpan w:val="2"/>
          </w:tcPr>
          <w:p w14:paraId="318BDE9A" w14:textId="77777777" w:rsidR="00752D4D" w:rsidRPr="00321B42" w:rsidRDefault="007F4179" w:rsidP="00C30155">
            <w:pPr>
              <w:pStyle w:val="Committee"/>
              <w:rPr>
                <w:lang w:val="fr-FR"/>
              </w:rPr>
            </w:pPr>
            <w:r w:rsidRPr="00321B42">
              <w:rPr>
                <w:lang w:val="fr-FR"/>
              </w:rPr>
              <w:t>SÉANCE PLÉNIÈRE</w:t>
            </w:r>
          </w:p>
        </w:tc>
        <w:tc>
          <w:tcPr>
            <w:tcW w:w="3574" w:type="dxa"/>
            <w:gridSpan w:val="2"/>
          </w:tcPr>
          <w:p w14:paraId="5DE779DC" w14:textId="177788F5" w:rsidR="00752D4D" w:rsidRPr="00321B42" w:rsidRDefault="007F4179" w:rsidP="00A52D1A">
            <w:pPr>
              <w:pStyle w:val="Docnumber"/>
              <w:rPr>
                <w:lang w:val="fr-FR"/>
              </w:rPr>
            </w:pPr>
            <w:r w:rsidRPr="00321B42">
              <w:rPr>
                <w:lang w:val="fr-FR"/>
              </w:rPr>
              <w:t>Addendum 21 au</w:t>
            </w:r>
            <w:r w:rsidRPr="00321B42">
              <w:rPr>
                <w:lang w:val="fr-FR"/>
              </w:rPr>
              <w:br/>
              <w:t>Document 38</w:t>
            </w:r>
            <w:r w:rsidR="000037C7" w:rsidRPr="00321B42">
              <w:rPr>
                <w:lang w:val="fr-FR"/>
              </w:rPr>
              <w:t>-F</w:t>
            </w:r>
          </w:p>
        </w:tc>
      </w:tr>
      <w:tr w:rsidR="00931298" w:rsidRPr="00321B42" w14:paraId="3716BF20" w14:textId="77777777" w:rsidTr="00267BFB">
        <w:trPr>
          <w:cantSplit/>
        </w:trPr>
        <w:tc>
          <w:tcPr>
            <w:tcW w:w="6237" w:type="dxa"/>
            <w:gridSpan w:val="2"/>
          </w:tcPr>
          <w:p w14:paraId="2D8EDC86" w14:textId="77777777" w:rsidR="00931298" w:rsidRPr="00321B42" w:rsidRDefault="00931298" w:rsidP="00C30155">
            <w:pPr>
              <w:spacing w:before="0"/>
              <w:rPr>
                <w:lang w:val="fr-FR"/>
              </w:rPr>
            </w:pPr>
          </w:p>
        </w:tc>
        <w:tc>
          <w:tcPr>
            <w:tcW w:w="3574" w:type="dxa"/>
            <w:gridSpan w:val="2"/>
          </w:tcPr>
          <w:p w14:paraId="5CAEC05E" w14:textId="77777777" w:rsidR="00931298" w:rsidRPr="00321B42" w:rsidRDefault="007F4179" w:rsidP="00C30155">
            <w:pPr>
              <w:pStyle w:val="TopHeader"/>
              <w:spacing w:before="0"/>
              <w:rPr>
                <w:sz w:val="20"/>
                <w:szCs w:val="20"/>
                <w:lang w:val="fr-FR"/>
              </w:rPr>
            </w:pPr>
            <w:r w:rsidRPr="00321B42">
              <w:rPr>
                <w:sz w:val="20"/>
                <w:szCs w:val="16"/>
                <w:lang w:val="fr-FR"/>
              </w:rPr>
              <w:t>16 septembre 2024</w:t>
            </w:r>
          </w:p>
        </w:tc>
      </w:tr>
      <w:tr w:rsidR="00931298" w:rsidRPr="00321B42" w14:paraId="26DA9C94" w14:textId="77777777" w:rsidTr="00267BFB">
        <w:trPr>
          <w:cantSplit/>
        </w:trPr>
        <w:tc>
          <w:tcPr>
            <w:tcW w:w="6237" w:type="dxa"/>
            <w:gridSpan w:val="2"/>
          </w:tcPr>
          <w:p w14:paraId="7EAEF474" w14:textId="77777777" w:rsidR="00931298" w:rsidRPr="00321B42" w:rsidRDefault="00931298" w:rsidP="00C30155">
            <w:pPr>
              <w:spacing w:before="0"/>
              <w:rPr>
                <w:lang w:val="fr-FR"/>
              </w:rPr>
            </w:pPr>
          </w:p>
        </w:tc>
        <w:tc>
          <w:tcPr>
            <w:tcW w:w="3574" w:type="dxa"/>
            <w:gridSpan w:val="2"/>
          </w:tcPr>
          <w:p w14:paraId="18E5116F" w14:textId="77777777" w:rsidR="00931298" w:rsidRPr="00321B42" w:rsidRDefault="007F4179" w:rsidP="00C30155">
            <w:pPr>
              <w:pStyle w:val="TopHeader"/>
              <w:spacing w:before="0"/>
              <w:rPr>
                <w:sz w:val="20"/>
                <w:szCs w:val="20"/>
                <w:lang w:val="fr-FR"/>
              </w:rPr>
            </w:pPr>
            <w:r w:rsidRPr="00321B42">
              <w:rPr>
                <w:sz w:val="20"/>
                <w:szCs w:val="16"/>
                <w:lang w:val="fr-FR"/>
              </w:rPr>
              <w:t>Original: anglais</w:t>
            </w:r>
          </w:p>
        </w:tc>
      </w:tr>
      <w:tr w:rsidR="00931298" w:rsidRPr="00321B42" w14:paraId="7087E337" w14:textId="77777777" w:rsidTr="00267BFB">
        <w:trPr>
          <w:cantSplit/>
        </w:trPr>
        <w:tc>
          <w:tcPr>
            <w:tcW w:w="9811" w:type="dxa"/>
            <w:gridSpan w:val="4"/>
          </w:tcPr>
          <w:p w14:paraId="2BB597A8" w14:textId="77777777" w:rsidR="00931298" w:rsidRPr="00321B42" w:rsidRDefault="00931298" w:rsidP="00706168">
            <w:pPr>
              <w:spacing w:before="0"/>
              <w:rPr>
                <w:sz w:val="20"/>
                <w:szCs w:val="16"/>
                <w:lang w:val="fr-FR"/>
              </w:rPr>
            </w:pPr>
          </w:p>
        </w:tc>
      </w:tr>
      <w:tr w:rsidR="007F4179" w:rsidRPr="00321B42" w14:paraId="239AF9FF" w14:textId="77777777" w:rsidTr="00267BFB">
        <w:trPr>
          <w:cantSplit/>
        </w:trPr>
        <w:tc>
          <w:tcPr>
            <w:tcW w:w="9811" w:type="dxa"/>
            <w:gridSpan w:val="4"/>
          </w:tcPr>
          <w:p w14:paraId="2824B75C" w14:textId="0749C652" w:rsidR="007F4179" w:rsidRPr="00321B42" w:rsidRDefault="000037C7" w:rsidP="007F4179">
            <w:pPr>
              <w:pStyle w:val="Source"/>
              <w:rPr>
                <w:lang w:val="fr-FR"/>
              </w:rPr>
            </w:pPr>
            <w:r w:rsidRPr="00321B42">
              <w:rPr>
                <w:lang w:val="fr-FR"/>
              </w:rPr>
              <w:t>États</w:t>
            </w:r>
            <w:r w:rsidR="007F4179" w:rsidRPr="00321B42">
              <w:rPr>
                <w:lang w:val="fr-FR"/>
              </w:rPr>
              <w:t xml:space="preserve"> Membres de la Conférence européenne des administrations </w:t>
            </w:r>
            <w:r w:rsidR="00F243BE" w:rsidRPr="00321B42">
              <w:rPr>
                <w:lang w:val="fr-FR"/>
              </w:rPr>
              <w:br/>
            </w:r>
            <w:r w:rsidR="007F4179" w:rsidRPr="00321B42">
              <w:rPr>
                <w:lang w:val="fr-FR"/>
              </w:rPr>
              <w:t>des postes et télécommunications (CEPT)</w:t>
            </w:r>
          </w:p>
        </w:tc>
      </w:tr>
      <w:tr w:rsidR="007F4179" w:rsidRPr="00321B42" w14:paraId="35D39366" w14:textId="77777777" w:rsidTr="00267BFB">
        <w:trPr>
          <w:cantSplit/>
        </w:trPr>
        <w:tc>
          <w:tcPr>
            <w:tcW w:w="9811" w:type="dxa"/>
            <w:gridSpan w:val="4"/>
          </w:tcPr>
          <w:p w14:paraId="0B75809C" w14:textId="201E2E45" w:rsidR="007F4179" w:rsidRPr="00321B42" w:rsidRDefault="000037C7" w:rsidP="007F4179">
            <w:pPr>
              <w:pStyle w:val="Title1"/>
              <w:rPr>
                <w:lang w:val="fr-FR"/>
              </w:rPr>
            </w:pPr>
            <w:r w:rsidRPr="00321B42">
              <w:rPr>
                <w:lang w:val="fr-FR"/>
              </w:rPr>
              <w:t>projet de nouvelle résolution</w:t>
            </w:r>
            <w:r w:rsidR="007F4179" w:rsidRPr="00321B42">
              <w:rPr>
                <w:lang w:val="fr-FR"/>
              </w:rPr>
              <w:t xml:space="preserve"> [ECP-MV] </w:t>
            </w:r>
            <w:r w:rsidR="00F243BE" w:rsidRPr="00321B42">
              <w:rPr>
                <w:lang w:val="fr-FR"/>
              </w:rPr>
              <w:t>–</w:t>
            </w:r>
            <w:r w:rsidR="007F4179" w:rsidRPr="00321B42">
              <w:rPr>
                <w:lang w:val="fr-FR"/>
              </w:rPr>
              <w:t xml:space="preserve"> </w:t>
            </w:r>
            <w:r w:rsidR="00B21229" w:rsidRPr="00321B42">
              <w:rPr>
                <w:lang w:val="fr-FR"/>
              </w:rPr>
              <w:t>Appuyer</w:t>
            </w:r>
            <w:r w:rsidR="00456B09" w:rsidRPr="00321B42">
              <w:rPr>
                <w:lang w:val="fr-FR"/>
              </w:rPr>
              <w:br/>
            </w:r>
            <w:r w:rsidR="00B21229" w:rsidRPr="00321B42">
              <w:rPr>
                <w:lang w:val="fr-FR"/>
              </w:rPr>
              <w:t>et renforcer l'élaboration de normes pour</w:t>
            </w:r>
            <w:r w:rsidR="00F243BE" w:rsidRPr="00321B42">
              <w:rPr>
                <w:lang w:val="fr-FR"/>
              </w:rPr>
              <w:br/>
            </w:r>
            <w:r w:rsidR="00B21229" w:rsidRPr="00321B42">
              <w:rPr>
                <w:lang w:val="fr-FR"/>
              </w:rPr>
              <w:t>les applications, les systèmes et</w:t>
            </w:r>
            <w:r w:rsidR="00F243BE" w:rsidRPr="00321B42">
              <w:rPr>
                <w:lang w:val="fr-FR"/>
              </w:rPr>
              <w:br/>
            </w:r>
            <w:r w:rsidR="00B21229" w:rsidRPr="00321B42">
              <w:rPr>
                <w:lang w:val="fr-FR"/>
              </w:rPr>
              <w:t>les services du métavers</w:t>
            </w:r>
          </w:p>
        </w:tc>
      </w:tr>
      <w:tr w:rsidR="00657CDA" w:rsidRPr="00321B42" w14:paraId="44EDC9CE" w14:textId="77777777" w:rsidTr="00267BFB">
        <w:trPr>
          <w:cantSplit/>
          <w:trHeight w:hRule="exact" w:val="240"/>
        </w:trPr>
        <w:tc>
          <w:tcPr>
            <w:tcW w:w="9811" w:type="dxa"/>
            <w:gridSpan w:val="4"/>
          </w:tcPr>
          <w:p w14:paraId="10CA88C6" w14:textId="77777777" w:rsidR="00657CDA" w:rsidRPr="00321B42" w:rsidRDefault="00657CDA" w:rsidP="007F4179">
            <w:pPr>
              <w:pStyle w:val="Title2"/>
              <w:spacing w:before="0"/>
              <w:rPr>
                <w:lang w:val="fr-FR"/>
              </w:rPr>
            </w:pPr>
          </w:p>
        </w:tc>
      </w:tr>
      <w:tr w:rsidR="00657CDA" w:rsidRPr="00321B42" w14:paraId="18232209" w14:textId="77777777" w:rsidTr="00267BFB">
        <w:trPr>
          <w:cantSplit/>
          <w:trHeight w:hRule="exact" w:val="240"/>
        </w:trPr>
        <w:tc>
          <w:tcPr>
            <w:tcW w:w="9811" w:type="dxa"/>
            <w:gridSpan w:val="4"/>
          </w:tcPr>
          <w:p w14:paraId="7163AE50" w14:textId="77777777" w:rsidR="00657CDA" w:rsidRPr="00321B42" w:rsidRDefault="00657CDA" w:rsidP="00293F9A">
            <w:pPr>
              <w:pStyle w:val="Agendaitem"/>
              <w:spacing w:before="0"/>
              <w:rPr>
                <w:lang w:val="fr-FR"/>
              </w:rPr>
            </w:pPr>
          </w:p>
        </w:tc>
      </w:tr>
    </w:tbl>
    <w:p w14:paraId="16DD6733" w14:textId="77777777" w:rsidR="00931298" w:rsidRPr="00321B42" w:rsidRDefault="00931298" w:rsidP="00931298">
      <w:pPr>
        <w:rPr>
          <w:lang w:val="fr-FR"/>
        </w:rPr>
      </w:pPr>
    </w:p>
    <w:tbl>
      <w:tblPr>
        <w:tblW w:w="5000" w:type="pct"/>
        <w:tblLayout w:type="fixed"/>
        <w:tblLook w:val="0000" w:firstRow="0" w:lastRow="0" w:firstColumn="0" w:lastColumn="0" w:noHBand="0" w:noVBand="0"/>
      </w:tblPr>
      <w:tblGrid>
        <w:gridCol w:w="1885"/>
        <w:gridCol w:w="3360"/>
        <w:gridCol w:w="4394"/>
      </w:tblGrid>
      <w:tr w:rsidR="00931298" w:rsidRPr="00321B42" w14:paraId="77FC568B" w14:textId="77777777" w:rsidTr="000037C7">
        <w:trPr>
          <w:cantSplit/>
        </w:trPr>
        <w:tc>
          <w:tcPr>
            <w:tcW w:w="1885" w:type="dxa"/>
          </w:tcPr>
          <w:p w14:paraId="46CCBE48" w14:textId="77777777" w:rsidR="00931298" w:rsidRPr="00321B42" w:rsidRDefault="006F0DB7" w:rsidP="00C30155">
            <w:pPr>
              <w:rPr>
                <w:lang w:val="fr-FR"/>
              </w:rPr>
            </w:pPr>
            <w:r w:rsidRPr="00321B42">
              <w:rPr>
                <w:b/>
                <w:bCs/>
                <w:lang w:val="fr-FR"/>
              </w:rPr>
              <w:t>Résumé:</w:t>
            </w:r>
          </w:p>
        </w:tc>
        <w:tc>
          <w:tcPr>
            <w:tcW w:w="7754" w:type="dxa"/>
            <w:gridSpan w:val="2"/>
          </w:tcPr>
          <w:p w14:paraId="2ECABF95" w14:textId="770FECB7" w:rsidR="00B21229" w:rsidRPr="00321B42" w:rsidRDefault="00B21229" w:rsidP="00F243BE">
            <w:pPr>
              <w:pStyle w:val="Abstract"/>
              <w:rPr>
                <w:color w:val="000000" w:themeColor="text1"/>
                <w:lang w:val="fr-FR" w:eastAsia="ko-KR"/>
              </w:rPr>
            </w:pPr>
            <w:r w:rsidRPr="00321B42">
              <w:rPr>
                <w:lang w:val="fr-FR"/>
              </w:rPr>
              <w:t xml:space="preserve">La présente proposition européenne commune vise à </w:t>
            </w:r>
            <w:r w:rsidRPr="00321B42">
              <w:rPr>
                <w:rFonts w:eastAsiaTheme="minorEastAsia"/>
                <w:szCs w:val="24"/>
                <w:lang w:val="fr-FR" w:eastAsia="ko-KR"/>
              </w:rPr>
              <w:t>appuyer et à renforcer l'élaboration, par l'UIT-T, de normes pour les applications, les systèmes et les services du métavers</w:t>
            </w:r>
            <w:r w:rsidRPr="00321B42">
              <w:rPr>
                <w:szCs w:val="24"/>
                <w:lang w:val="fr-FR"/>
              </w:rPr>
              <w:t xml:space="preserve">, en particulier en ce qui concerne </w:t>
            </w:r>
            <w:r w:rsidRPr="00321B42">
              <w:rPr>
                <w:color w:val="000000" w:themeColor="text1"/>
                <w:lang w:val="fr-FR" w:eastAsia="ko-KR"/>
              </w:rPr>
              <w:t xml:space="preserve">l'architecture, l'infrastructure et les technologies de base qui sous-tendent le métavers. Elle </w:t>
            </w:r>
            <w:r w:rsidR="00B672DC" w:rsidRPr="00321B42">
              <w:rPr>
                <w:color w:val="000000" w:themeColor="text1"/>
                <w:lang w:val="fr-FR" w:eastAsia="ko-KR"/>
              </w:rPr>
              <w:t>met</w:t>
            </w:r>
            <w:r w:rsidRPr="00321B42">
              <w:rPr>
                <w:color w:val="000000" w:themeColor="text1"/>
                <w:lang w:val="fr-FR" w:eastAsia="ko-KR"/>
              </w:rPr>
              <w:t xml:space="preserve"> en avant le potentiel qu'offre le métavers au service d'un développement durable et accessible ainsi que la nécessité </w:t>
            </w:r>
            <w:r w:rsidR="00B672DC" w:rsidRPr="00321B42">
              <w:rPr>
                <w:color w:val="000000" w:themeColor="text1"/>
                <w:lang w:val="fr-FR" w:eastAsia="ko-KR"/>
              </w:rPr>
              <w:t>de coopérer</w:t>
            </w:r>
            <w:r w:rsidRPr="00321B42">
              <w:rPr>
                <w:color w:val="000000" w:themeColor="text1"/>
                <w:lang w:val="fr-FR" w:eastAsia="ko-KR"/>
              </w:rPr>
              <w:t xml:space="preserve"> avec l'UIT-D pour identifier les besoins des pays en développement </w:t>
            </w:r>
            <w:r w:rsidR="00E31C37" w:rsidRPr="00321B42">
              <w:rPr>
                <w:color w:val="000000" w:themeColor="text1"/>
                <w:lang w:val="fr-FR" w:eastAsia="ko-KR"/>
              </w:rPr>
              <w:t xml:space="preserve">pour ce qui est de contribuer </w:t>
            </w:r>
            <w:r w:rsidRPr="00321B42">
              <w:rPr>
                <w:color w:val="000000" w:themeColor="text1"/>
                <w:lang w:val="fr-FR" w:eastAsia="ko-KR"/>
              </w:rPr>
              <w:t>à la réduction de l'écart en matière de normalisation.</w:t>
            </w:r>
          </w:p>
          <w:p w14:paraId="33248C40" w14:textId="2C952268" w:rsidR="00B21229" w:rsidRPr="00321B42" w:rsidRDefault="00B672DC" w:rsidP="00F243BE">
            <w:pPr>
              <w:pStyle w:val="Abstract"/>
              <w:rPr>
                <w:color w:val="000000" w:themeColor="text1"/>
                <w:lang w:val="fr-FR" w:eastAsia="ko-KR"/>
              </w:rPr>
            </w:pPr>
            <w:r w:rsidRPr="00321B42">
              <w:rPr>
                <w:color w:val="000000" w:themeColor="text1"/>
                <w:lang w:val="fr-FR" w:eastAsia="ko-KR"/>
              </w:rPr>
              <w:t>La présente proposition a pour objectif de</w:t>
            </w:r>
            <w:r w:rsidR="00B21229" w:rsidRPr="00321B42">
              <w:rPr>
                <w:color w:val="000000" w:themeColor="text1"/>
                <w:lang w:val="fr-FR" w:eastAsia="ko-KR"/>
              </w:rPr>
              <w:t xml:space="preserve"> souligne</w:t>
            </w:r>
            <w:r w:rsidRPr="00321B42">
              <w:rPr>
                <w:color w:val="000000" w:themeColor="text1"/>
                <w:lang w:val="fr-FR" w:eastAsia="ko-KR"/>
              </w:rPr>
              <w:t>r</w:t>
            </w:r>
            <w:r w:rsidR="00B21229" w:rsidRPr="00321B42">
              <w:rPr>
                <w:color w:val="000000" w:themeColor="text1"/>
                <w:lang w:val="fr-FR" w:eastAsia="ko-KR"/>
              </w:rPr>
              <w:t xml:space="preserve"> la nécessité</w:t>
            </w:r>
            <w:r w:rsidRPr="00321B42">
              <w:rPr>
                <w:color w:val="000000" w:themeColor="text1"/>
                <w:lang w:val="fr-FR" w:eastAsia="ko-KR"/>
              </w:rPr>
              <w:t xml:space="preserve"> d'élaborer </w:t>
            </w:r>
            <w:r w:rsidR="00B21229" w:rsidRPr="00321B42">
              <w:rPr>
                <w:iCs/>
                <w:lang w:val="fr-FR"/>
              </w:rPr>
              <w:t>une feuille de route détaillée pour l'élaboration de normes de l'UIT-T sur le métavers, l'identification des écarts en matière de normalisation</w:t>
            </w:r>
            <w:r w:rsidRPr="00321B42">
              <w:rPr>
                <w:iCs/>
                <w:lang w:val="fr-FR"/>
              </w:rPr>
              <w:t>, ainsi que</w:t>
            </w:r>
            <w:r w:rsidR="00B21229" w:rsidRPr="00321B42">
              <w:rPr>
                <w:iCs/>
                <w:lang w:val="fr-FR"/>
              </w:rPr>
              <w:t xml:space="preserve"> la nécessité d'</w:t>
            </w:r>
            <w:r w:rsidR="00B21229" w:rsidRPr="00321B42">
              <w:rPr>
                <w:color w:val="000000" w:themeColor="text1"/>
                <w:lang w:val="fr-FR" w:eastAsia="ko-KR"/>
              </w:rPr>
              <w:t>assurer l'interopérabilité entre les différents métavers.</w:t>
            </w:r>
          </w:p>
          <w:p w14:paraId="37ACB72F" w14:textId="4244FC44" w:rsidR="00931298" w:rsidRPr="00321B42" w:rsidRDefault="00B21229" w:rsidP="00F243BE">
            <w:pPr>
              <w:pStyle w:val="Abstract"/>
              <w:rPr>
                <w:lang w:val="fr-FR"/>
              </w:rPr>
            </w:pPr>
            <w:r w:rsidRPr="00321B42">
              <w:rPr>
                <w:color w:val="000000" w:themeColor="text1"/>
                <w:lang w:val="fr-FR" w:eastAsia="ko-KR"/>
              </w:rPr>
              <w:t xml:space="preserve">En outre, les dispositions </w:t>
            </w:r>
            <w:r w:rsidR="00B672DC" w:rsidRPr="00321B42">
              <w:rPr>
                <w:color w:val="000000" w:themeColor="text1"/>
                <w:lang w:val="fr-FR" w:eastAsia="ko-KR"/>
              </w:rPr>
              <w:t>figurant dans la proposition européenne commune</w:t>
            </w:r>
            <w:r w:rsidRPr="00321B42">
              <w:rPr>
                <w:color w:val="000000" w:themeColor="text1"/>
                <w:lang w:val="fr-FR" w:eastAsia="ko-KR"/>
              </w:rPr>
              <w:t xml:space="preserve"> visent à garantir que l'UIT-T </w:t>
            </w:r>
            <w:r w:rsidR="00B672DC" w:rsidRPr="00321B42">
              <w:rPr>
                <w:color w:val="000000" w:themeColor="text1"/>
                <w:lang w:val="fr-FR" w:eastAsia="ko-KR"/>
              </w:rPr>
              <w:t>collabore</w:t>
            </w:r>
            <w:r w:rsidRPr="00321B42">
              <w:rPr>
                <w:color w:val="000000" w:themeColor="text1"/>
                <w:lang w:val="fr-FR" w:eastAsia="ko-KR"/>
              </w:rPr>
              <w:t xml:space="preserve"> avec le secteur privé et d'autres organismes de normalisation pour promouvoir la coopération et la complémentarité dans l</w:t>
            </w:r>
            <w:r w:rsidR="00B672DC" w:rsidRPr="00321B42">
              <w:rPr>
                <w:color w:val="000000" w:themeColor="text1"/>
                <w:lang w:val="fr-FR" w:eastAsia="ko-KR"/>
              </w:rPr>
              <w:t>e cadre de l</w:t>
            </w:r>
            <w:r w:rsidRPr="00321B42">
              <w:rPr>
                <w:color w:val="000000" w:themeColor="text1"/>
                <w:lang w:val="fr-FR" w:eastAsia="ko-KR"/>
              </w:rPr>
              <w:t xml:space="preserve">'élaboration de normes pour </w:t>
            </w:r>
            <w:r w:rsidR="00B672DC" w:rsidRPr="00321B42">
              <w:rPr>
                <w:color w:val="000000" w:themeColor="text1"/>
                <w:lang w:val="fr-FR" w:eastAsia="ko-KR"/>
              </w:rPr>
              <w:t>l</w:t>
            </w:r>
            <w:r w:rsidRPr="00321B42">
              <w:rPr>
                <w:color w:val="000000" w:themeColor="text1"/>
                <w:lang w:val="fr-FR" w:eastAsia="ko-KR"/>
              </w:rPr>
              <w:t xml:space="preserve">es applications, </w:t>
            </w:r>
            <w:r w:rsidR="00B672DC" w:rsidRPr="00321B42">
              <w:rPr>
                <w:color w:val="000000" w:themeColor="text1"/>
                <w:lang w:val="fr-FR" w:eastAsia="ko-KR"/>
              </w:rPr>
              <w:t xml:space="preserve">les </w:t>
            </w:r>
            <w:r w:rsidRPr="00321B42">
              <w:rPr>
                <w:color w:val="000000" w:themeColor="text1"/>
                <w:lang w:val="fr-FR" w:eastAsia="ko-KR"/>
              </w:rPr>
              <w:t xml:space="preserve">systèmes et </w:t>
            </w:r>
            <w:r w:rsidR="00B672DC" w:rsidRPr="00321B42">
              <w:rPr>
                <w:color w:val="000000" w:themeColor="text1"/>
                <w:lang w:val="fr-FR" w:eastAsia="ko-KR"/>
              </w:rPr>
              <w:t xml:space="preserve">les </w:t>
            </w:r>
            <w:r w:rsidRPr="00321B42">
              <w:rPr>
                <w:color w:val="000000" w:themeColor="text1"/>
                <w:lang w:val="fr-FR" w:eastAsia="ko-KR"/>
              </w:rPr>
              <w:t>services du métavers.</w:t>
            </w:r>
          </w:p>
        </w:tc>
      </w:tr>
      <w:tr w:rsidR="00931298" w:rsidRPr="00321B42" w14:paraId="33F30381" w14:textId="77777777" w:rsidTr="000037C7">
        <w:trPr>
          <w:cantSplit/>
        </w:trPr>
        <w:tc>
          <w:tcPr>
            <w:tcW w:w="1885" w:type="dxa"/>
          </w:tcPr>
          <w:p w14:paraId="269115D9" w14:textId="77777777" w:rsidR="00931298" w:rsidRPr="00321B42" w:rsidRDefault="00931298" w:rsidP="00C30155">
            <w:pPr>
              <w:rPr>
                <w:b/>
                <w:bCs/>
                <w:szCs w:val="24"/>
                <w:lang w:val="fr-FR"/>
              </w:rPr>
            </w:pPr>
            <w:r w:rsidRPr="00321B42">
              <w:rPr>
                <w:b/>
                <w:bCs/>
                <w:szCs w:val="24"/>
                <w:lang w:val="fr-FR"/>
              </w:rPr>
              <w:t>Contact:</w:t>
            </w:r>
          </w:p>
        </w:tc>
        <w:tc>
          <w:tcPr>
            <w:tcW w:w="3360" w:type="dxa"/>
          </w:tcPr>
          <w:p w14:paraId="26FFE958" w14:textId="1340A530" w:rsidR="00FE5494" w:rsidRPr="00321B42" w:rsidRDefault="000037C7" w:rsidP="00F243BE">
            <w:pPr>
              <w:rPr>
                <w:lang w:val="fr-FR"/>
              </w:rPr>
            </w:pPr>
            <w:r w:rsidRPr="00321B42">
              <w:rPr>
                <w:lang w:val="fr-FR"/>
              </w:rPr>
              <w:t>Vincent Affleck</w:t>
            </w:r>
            <w:r w:rsidR="006F0DB7" w:rsidRPr="00321B42">
              <w:rPr>
                <w:lang w:val="fr-FR"/>
              </w:rPr>
              <w:br/>
            </w:r>
            <w:r w:rsidRPr="00321B42">
              <w:rPr>
                <w:lang w:val="fr-FR"/>
              </w:rPr>
              <w:t>DSIT</w:t>
            </w:r>
            <w:r w:rsidRPr="00321B42">
              <w:rPr>
                <w:lang w:val="fr-FR"/>
              </w:rPr>
              <w:br/>
              <w:t>Royaume-Uni</w:t>
            </w:r>
          </w:p>
        </w:tc>
        <w:tc>
          <w:tcPr>
            <w:tcW w:w="4394" w:type="dxa"/>
          </w:tcPr>
          <w:p w14:paraId="42A7A1B2" w14:textId="46E3A2D5" w:rsidR="00931298" w:rsidRPr="00321B42" w:rsidRDefault="006F0DB7" w:rsidP="00E6117A">
            <w:pPr>
              <w:rPr>
                <w:lang w:val="fr-FR"/>
              </w:rPr>
            </w:pPr>
            <w:r w:rsidRPr="00321B42">
              <w:rPr>
                <w:lang w:val="fr-FR"/>
              </w:rPr>
              <w:t>Courriel:</w:t>
            </w:r>
            <w:r w:rsidR="000037C7" w:rsidRPr="00321B42">
              <w:rPr>
                <w:lang w:val="fr-FR"/>
              </w:rPr>
              <w:tab/>
            </w:r>
            <w:hyperlink r:id="rId14" w:history="1">
              <w:r w:rsidR="000037C7" w:rsidRPr="00321B42">
                <w:rPr>
                  <w:rStyle w:val="Hyperlink"/>
                  <w:lang w:val="fr-FR"/>
                </w:rPr>
                <w:t>vincentaffleck2@hotmail.com</w:t>
              </w:r>
            </w:hyperlink>
          </w:p>
        </w:tc>
      </w:tr>
    </w:tbl>
    <w:p w14:paraId="2B778A29" w14:textId="77777777" w:rsidR="00931298" w:rsidRPr="00321B42" w:rsidRDefault="009F4801" w:rsidP="00A01AA1">
      <w:pPr>
        <w:tabs>
          <w:tab w:val="clear" w:pos="1134"/>
          <w:tab w:val="clear" w:pos="1871"/>
          <w:tab w:val="clear" w:pos="2268"/>
        </w:tabs>
        <w:overflowPunct/>
        <w:autoSpaceDE/>
        <w:autoSpaceDN/>
        <w:adjustRightInd/>
        <w:spacing w:before="0"/>
        <w:textAlignment w:val="auto"/>
        <w:rPr>
          <w:lang w:val="fr-FR"/>
        </w:rPr>
      </w:pPr>
      <w:r w:rsidRPr="00321B42">
        <w:rPr>
          <w:lang w:val="fr-FR"/>
        </w:rPr>
        <w:br w:type="page"/>
      </w:r>
    </w:p>
    <w:p w14:paraId="23FC151F" w14:textId="77777777" w:rsidR="00F358D6" w:rsidRPr="00321B42" w:rsidRDefault="007E0B3A">
      <w:pPr>
        <w:pStyle w:val="Proposal"/>
        <w:rPr>
          <w:lang w:val="fr-FR"/>
        </w:rPr>
      </w:pPr>
      <w:r w:rsidRPr="00321B42">
        <w:rPr>
          <w:lang w:val="fr-FR"/>
        </w:rPr>
        <w:lastRenderedPageBreak/>
        <w:t>ADD</w:t>
      </w:r>
      <w:r w:rsidRPr="00321B42">
        <w:rPr>
          <w:lang w:val="fr-FR"/>
        </w:rPr>
        <w:tab/>
        <w:t>ECP/38A21/1</w:t>
      </w:r>
    </w:p>
    <w:p w14:paraId="18C31204" w14:textId="63E5B133" w:rsidR="00F358D6" w:rsidRPr="00321B42" w:rsidRDefault="007E0B3A">
      <w:pPr>
        <w:pStyle w:val="ResNo"/>
        <w:rPr>
          <w:lang w:val="fr-FR"/>
        </w:rPr>
      </w:pPr>
      <w:r w:rsidRPr="00321B42">
        <w:rPr>
          <w:lang w:val="fr-FR"/>
        </w:rPr>
        <w:t>PROJET DE NOUVELLE R</w:t>
      </w:r>
      <w:r w:rsidR="000037C7" w:rsidRPr="00321B42">
        <w:rPr>
          <w:lang w:val="fr-FR"/>
        </w:rPr>
        <w:t>É</w:t>
      </w:r>
      <w:r w:rsidRPr="00321B42">
        <w:rPr>
          <w:lang w:val="fr-FR"/>
        </w:rPr>
        <w:t>SOLUTION [ECP-MV]</w:t>
      </w:r>
      <w:r w:rsidR="000037C7" w:rsidRPr="00321B42">
        <w:rPr>
          <w:lang w:val="fr-FR"/>
        </w:rPr>
        <w:t xml:space="preserve"> (</w:t>
      </w:r>
      <w:r w:rsidR="000037C7" w:rsidRPr="00321B42">
        <w:rPr>
          <w:caps w:val="0"/>
          <w:lang w:val="fr-FR"/>
        </w:rPr>
        <w:t>New Delhi</w:t>
      </w:r>
      <w:r w:rsidR="000037C7" w:rsidRPr="00321B42">
        <w:rPr>
          <w:lang w:val="fr-FR"/>
        </w:rPr>
        <w:t>, 2024)</w:t>
      </w:r>
    </w:p>
    <w:p w14:paraId="1021D8E0" w14:textId="425A78E5" w:rsidR="00B672DC" w:rsidRPr="00321B42" w:rsidRDefault="00B672DC" w:rsidP="00456B09">
      <w:pPr>
        <w:pStyle w:val="Restitle"/>
        <w:rPr>
          <w:i/>
          <w:lang w:val="fr-FR"/>
        </w:rPr>
      </w:pPr>
      <w:r w:rsidRPr="00321B42">
        <w:rPr>
          <w:lang w:val="fr-FR"/>
        </w:rPr>
        <w:t>Appuyer et renforcer</w:t>
      </w:r>
      <w:r w:rsidR="00F243BE" w:rsidRPr="00321B42">
        <w:rPr>
          <w:lang w:val="fr-FR"/>
        </w:rPr>
        <w:t xml:space="preserve"> </w:t>
      </w:r>
      <w:r w:rsidRPr="00321B42">
        <w:rPr>
          <w:lang w:val="fr-FR"/>
        </w:rPr>
        <w:t>l'élaboration de normes pour les</w:t>
      </w:r>
      <w:r w:rsidR="00456B09" w:rsidRPr="00321B42">
        <w:rPr>
          <w:lang w:val="fr-FR"/>
        </w:rPr>
        <w:br/>
      </w:r>
      <w:r w:rsidRPr="00321B42">
        <w:rPr>
          <w:lang w:val="fr-FR"/>
        </w:rPr>
        <w:t>applications,</w:t>
      </w:r>
      <w:r w:rsidR="00456B09" w:rsidRPr="00321B42">
        <w:rPr>
          <w:lang w:val="fr-FR"/>
        </w:rPr>
        <w:t xml:space="preserve"> </w:t>
      </w:r>
      <w:r w:rsidRPr="00321B42">
        <w:rPr>
          <w:lang w:val="fr-FR"/>
        </w:rPr>
        <w:t>les systèmes et les services du métavers</w:t>
      </w:r>
    </w:p>
    <w:p w14:paraId="4F6C2FD8" w14:textId="5A33CBE4" w:rsidR="00F358D6" w:rsidRPr="00321B42" w:rsidRDefault="000037C7" w:rsidP="000037C7">
      <w:pPr>
        <w:pStyle w:val="Resref"/>
        <w:rPr>
          <w:lang w:val="fr-FR"/>
        </w:rPr>
      </w:pPr>
      <w:r w:rsidRPr="00321B42">
        <w:rPr>
          <w:lang w:val="fr-FR"/>
        </w:rPr>
        <w:t>(New Delhi, 2024)</w:t>
      </w:r>
    </w:p>
    <w:p w14:paraId="047445FE" w14:textId="310E4B4E" w:rsidR="00F358D6" w:rsidRPr="00321B42" w:rsidRDefault="000037C7" w:rsidP="000037C7">
      <w:pPr>
        <w:pStyle w:val="Normalaftertitle"/>
        <w:rPr>
          <w:lang w:val="fr-FR"/>
        </w:rPr>
      </w:pPr>
      <w:r w:rsidRPr="00321B42">
        <w:rPr>
          <w:lang w:val="fr-FR"/>
        </w:rPr>
        <w:t>L'Assemblée mondiale de normalisation des télécommunications (New Delhi, 2024),</w:t>
      </w:r>
    </w:p>
    <w:p w14:paraId="0C6BC38F" w14:textId="4980E5F9" w:rsidR="000037C7" w:rsidRPr="00321B42" w:rsidRDefault="00B672DC" w:rsidP="000037C7">
      <w:pPr>
        <w:pStyle w:val="Call"/>
        <w:rPr>
          <w:lang w:val="fr-FR"/>
        </w:rPr>
      </w:pPr>
      <w:r w:rsidRPr="00321B42">
        <w:rPr>
          <w:lang w:val="fr-FR"/>
        </w:rPr>
        <w:t>c</w:t>
      </w:r>
      <w:r w:rsidR="000037C7" w:rsidRPr="00321B42">
        <w:rPr>
          <w:lang w:val="fr-FR"/>
        </w:rPr>
        <w:t>onsidérant</w:t>
      </w:r>
    </w:p>
    <w:p w14:paraId="6CA8B212" w14:textId="0CC64644" w:rsidR="00B672DC" w:rsidRPr="00321B42" w:rsidRDefault="000037C7" w:rsidP="00B672DC">
      <w:pPr>
        <w:rPr>
          <w:lang w:val="fr-FR"/>
        </w:rPr>
      </w:pPr>
      <w:r w:rsidRPr="00321B42">
        <w:rPr>
          <w:i/>
          <w:iCs/>
          <w:lang w:val="fr-FR"/>
        </w:rPr>
        <w:t>a)</w:t>
      </w:r>
      <w:r w:rsidRPr="00321B42">
        <w:rPr>
          <w:lang w:val="fr-FR"/>
        </w:rPr>
        <w:tab/>
      </w:r>
      <w:r w:rsidR="00B672DC" w:rsidRPr="00321B42">
        <w:rPr>
          <w:lang w:val="fr-FR"/>
        </w:rPr>
        <w:t xml:space="preserve">que le développement du métavers est à la fois source de défis et de possibilités, car il est susceptible </w:t>
      </w:r>
      <w:r w:rsidR="004D0FC5" w:rsidRPr="00321B42">
        <w:rPr>
          <w:lang w:val="fr-FR"/>
        </w:rPr>
        <w:t>de produire des incidences</w:t>
      </w:r>
      <w:r w:rsidR="00B672DC" w:rsidRPr="00321B42">
        <w:rPr>
          <w:lang w:val="fr-FR"/>
        </w:rPr>
        <w:t xml:space="preserve"> sur un large éventail d'applications des télécommunications/</w:t>
      </w:r>
      <w:r w:rsidR="004D0FC5" w:rsidRPr="00321B42">
        <w:rPr>
          <w:lang w:val="fr-FR"/>
        </w:rPr>
        <w:t>technologies de l'information et de la communication (TIC)</w:t>
      </w:r>
      <w:r w:rsidR="00B672DC" w:rsidRPr="00321B42">
        <w:rPr>
          <w:lang w:val="fr-FR"/>
        </w:rPr>
        <w:t xml:space="preserve"> et de promouvoir l'innovation dans un large éventail de secteurs et de cas d'utilisation, créant ainsi de nouveaux débouchés, modèles économiques et marchés;</w:t>
      </w:r>
    </w:p>
    <w:p w14:paraId="1EC44D29" w14:textId="4BAED24A" w:rsidR="00B672DC" w:rsidRPr="00321B42" w:rsidRDefault="00B672DC" w:rsidP="00B672DC">
      <w:pPr>
        <w:rPr>
          <w:lang w:val="fr-FR"/>
        </w:rPr>
      </w:pPr>
      <w:r w:rsidRPr="00321B42">
        <w:rPr>
          <w:i/>
          <w:iCs/>
          <w:lang w:val="fr-FR"/>
        </w:rPr>
        <w:t>b)</w:t>
      </w:r>
      <w:r w:rsidRPr="00321B42">
        <w:rPr>
          <w:lang w:val="fr-FR"/>
        </w:rPr>
        <w:tab/>
        <w:t>que le métavers n'est pas une technologie nouvelle, mais une plate-forme qui associe diverses technologies</w:t>
      </w:r>
      <w:r w:rsidR="004D0FC5" w:rsidRPr="00321B42">
        <w:rPr>
          <w:lang w:val="fr-FR"/>
        </w:rPr>
        <w:t>,</w:t>
      </w:r>
      <w:r w:rsidRPr="00321B42">
        <w:rPr>
          <w:lang w:val="fr-FR"/>
        </w:rPr>
        <w:t xml:space="preserve"> et que sa mise en œuvre optimale est assurée lorsque ces technologies sont conçues pour être interopérables;</w:t>
      </w:r>
    </w:p>
    <w:p w14:paraId="6BD0D1AB" w14:textId="59442720" w:rsidR="00B672DC" w:rsidRPr="00321B42" w:rsidRDefault="00B672DC" w:rsidP="00B672DC">
      <w:pPr>
        <w:rPr>
          <w:lang w:val="fr-FR"/>
        </w:rPr>
      </w:pPr>
      <w:r w:rsidRPr="00321B42">
        <w:rPr>
          <w:i/>
          <w:iCs/>
          <w:lang w:val="fr-FR"/>
        </w:rPr>
        <w:t>c)</w:t>
      </w:r>
      <w:r w:rsidRPr="00321B42">
        <w:rPr>
          <w:lang w:val="fr-FR"/>
        </w:rPr>
        <w:tab/>
        <w:t xml:space="preserve">que les organisations de normalisation ont reconnu la nécessité </w:t>
      </w:r>
      <w:r w:rsidR="00123CD7" w:rsidRPr="00321B42">
        <w:rPr>
          <w:lang w:val="fr-FR"/>
        </w:rPr>
        <w:t>d'élaborer des normes</w:t>
      </w:r>
      <w:r w:rsidRPr="00321B42">
        <w:rPr>
          <w:lang w:val="fr-FR"/>
        </w:rPr>
        <w:t xml:space="preserve"> dans le cadre d'activités déjà en cours et que l</w:t>
      </w:r>
      <w:r w:rsidR="004D0FC5" w:rsidRPr="00321B42">
        <w:rPr>
          <w:lang w:val="fr-FR"/>
        </w:rPr>
        <w:t>e Secteur du développement des télécommunications de l'UIT (</w:t>
      </w:r>
      <w:r w:rsidRPr="00321B42">
        <w:rPr>
          <w:lang w:val="fr-FR"/>
        </w:rPr>
        <w:t>UIT-T</w:t>
      </w:r>
      <w:r w:rsidR="004D0FC5" w:rsidRPr="00321B42">
        <w:rPr>
          <w:lang w:val="fr-FR"/>
        </w:rPr>
        <w:t>)</w:t>
      </w:r>
      <w:r w:rsidRPr="00321B42">
        <w:rPr>
          <w:lang w:val="fr-FR"/>
        </w:rPr>
        <w:t xml:space="preserve"> doit </w:t>
      </w:r>
      <w:r w:rsidR="00857DAF" w:rsidRPr="00321B42">
        <w:rPr>
          <w:lang w:val="fr-FR"/>
        </w:rPr>
        <w:t>assurer une collaboration et une coordination efficaces</w:t>
      </w:r>
      <w:r w:rsidRPr="00321B42">
        <w:rPr>
          <w:lang w:val="fr-FR"/>
        </w:rPr>
        <w:t xml:space="preserve"> avec ces autres </w:t>
      </w:r>
      <w:r w:rsidR="00123CD7" w:rsidRPr="00321B42">
        <w:rPr>
          <w:lang w:val="fr-FR"/>
        </w:rPr>
        <w:t>organisations</w:t>
      </w:r>
      <w:r w:rsidRPr="00321B42">
        <w:rPr>
          <w:lang w:val="fr-FR"/>
        </w:rPr>
        <w:t xml:space="preserve"> de normalisation </w:t>
      </w:r>
      <w:r w:rsidR="004D0FC5" w:rsidRPr="00321B42">
        <w:rPr>
          <w:lang w:val="fr-FR"/>
        </w:rPr>
        <w:t xml:space="preserve">dans le cadre de ses </w:t>
      </w:r>
      <w:r w:rsidR="00123CD7" w:rsidRPr="00321B42">
        <w:rPr>
          <w:lang w:val="fr-FR"/>
        </w:rPr>
        <w:t>travaux</w:t>
      </w:r>
      <w:r w:rsidRPr="00321B42">
        <w:rPr>
          <w:lang w:val="fr-FR"/>
        </w:rPr>
        <w:t>;</w:t>
      </w:r>
    </w:p>
    <w:p w14:paraId="45087AAB" w14:textId="02502872" w:rsidR="00B672DC" w:rsidRPr="00321B42" w:rsidRDefault="00B672DC" w:rsidP="00B672DC">
      <w:pPr>
        <w:rPr>
          <w:lang w:val="fr-FR"/>
        </w:rPr>
      </w:pPr>
      <w:r w:rsidRPr="00321B42">
        <w:rPr>
          <w:i/>
          <w:iCs/>
          <w:lang w:val="fr-FR"/>
        </w:rPr>
        <w:t>d)</w:t>
      </w:r>
      <w:r w:rsidRPr="00321B42">
        <w:rPr>
          <w:lang w:val="fr-FR"/>
        </w:rPr>
        <w:tab/>
      </w:r>
      <w:r w:rsidR="004D0FC5" w:rsidRPr="00321B42">
        <w:rPr>
          <w:lang w:val="fr-FR"/>
        </w:rPr>
        <w:t xml:space="preserve">que </w:t>
      </w:r>
      <w:r w:rsidRPr="00321B42">
        <w:rPr>
          <w:lang w:val="fr-FR"/>
        </w:rPr>
        <w:t xml:space="preserve">les Groupes de travail du Groupe spécialisé </w:t>
      </w:r>
      <w:r w:rsidR="004D0FC5" w:rsidRPr="00321B42">
        <w:rPr>
          <w:lang w:val="fr-FR"/>
        </w:rPr>
        <w:t xml:space="preserve">de l'UIT-T </w:t>
      </w:r>
      <w:r w:rsidRPr="00321B42">
        <w:rPr>
          <w:lang w:val="fr-FR"/>
        </w:rPr>
        <w:t xml:space="preserve">sur le métavers (FG-MV) ont achevé </w:t>
      </w:r>
      <w:r w:rsidR="00123CD7" w:rsidRPr="00321B42">
        <w:rPr>
          <w:lang w:val="fr-FR"/>
        </w:rPr>
        <w:t xml:space="preserve">l'élaboration de </w:t>
      </w:r>
      <w:r w:rsidRPr="00321B42">
        <w:rPr>
          <w:lang w:val="fr-FR"/>
        </w:rPr>
        <w:t xml:space="preserve">52 </w:t>
      </w:r>
      <w:r w:rsidR="00123CD7" w:rsidRPr="00321B42">
        <w:rPr>
          <w:lang w:val="fr-FR"/>
        </w:rPr>
        <w:t xml:space="preserve">produits préalables en vue de la </w:t>
      </w:r>
      <w:r w:rsidRPr="00321B42">
        <w:rPr>
          <w:lang w:val="fr-FR"/>
        </w:rPr>
        <w:t>normalisation;</w:t>
      </w:r>
    </w:p>
    <w:p w14:paraId="302CD2C9" w14:textId="68E65446" w:rsidR="000037C7" w:rsidRPr="00321B42" w:rsidRDefault="00B672DC" w:rsidP="00B672DC">
      <w:pPr>
        <w:rPr>
          <w:lang w:val="fr-FR"/>
        </w:rPr>
      </w:pPr>
      <w:r w:rsidRPr="00321B42">
        <w:rPr>
          <w:i/>
          <w:lang w:val="fr-FR"/>
        </w:rPr>
        <w:t>e)</w:t>
      </w:r>
      <w:r w:rsidRPr="00321B42">
        <w:rPr>
          <w:lang w:val="fr-FR"/>
        </w:rPr>
        <w:tab/>
        <w:t>que les résultats du Groupe FG-MV ont grandement contribué à promouvoir une compréhension et une vision communes</w:t>
      </w:r>
      <w:r w:rsidR="00123CD7" w:rsidRPr="00321B42">
        <w:rPr>
          <w:lang w:val="fr-FR"/>
        </w:rPr>
        <w:t xml:space="preserve"> entre de nombreuses parties prenantes dans le monde</w:t>
      </w:r>
      <w:r w:rsidRPr="00321B42">
        <w:rPr>
          <w:lang w:val="fr-FR"/>
        </w:rPr>
        <w:t xml:space="preserve"> </w:t>
      </w:r>
      <w:r w:rsidR="00123CD7" w:rsidRPr="00321B42">
        <w:rPr>
          <w:lang w:val="fr-FR"/>
        </w:rPr>
        <w:t>pour l'instauration d'un</w:t>
      </w:r>
      <w:r w:rsidRPr="00321B42">
        <w:rPr>
          <w:lang w:val="fr-FR"/>
        </w:rPr>
        <w:t xml:space="preserve"> métavers </w:t>
      </w:r>
      <w:r w:rsidR="00123CD7" w:rsidRPr="00321B42">
        <w:rPr>
          <w:lang w:val="fr-FR"/>
        </w:rPr>
        <w:t xml:space="preserve">qui soit </w:t>
      </w:r>
      <w:r w:rsidRPr="00321B42">
        <w:rPr>
          <w:lang w:val="fr-FR"/>
        </w:rPr>
        <w:t>ouvert, interopérable, sûr, inclusi</w:t>
      </w:r>
      <w:r w:rsidR="00123CD7" w:rsidRPr="00321B42">
        <w:rPr>
          <w:lang w:val="fr-FR"/>
        </w:rPr>
        <w:t>f</w:t>
      </w:r>
      <w:r w:rsidRPr="00321B42">
        <w:rPr>
          <w:lang w:val="fr-FR"/>
        </w:rPr>
        <w:t>, accessible et durable</w:t>
      </w:r>
      <w:r w:rsidR="000037C7" w:rsidRPr="00321B42">
        <w:rPr>
          <w:lang w:val="fr-FR"/>
        </w:rPr>
        <w:t>,</w:t>
      </w:r>
    </w:p>
    <w:p w14:paraId="52E588E2" w14:textId="4C4B278F" w:rsidR="000037C7" w:rsidRPr="00321B42" w:rsidRDefault="00123CD7" w:rsidP="000037C7">
      <w:pPr>
        <w:pStyle w:val="Call"/>
        <w:rPr>
          <w:lang w:val="fr-FR"/>
        </w:rPr>
      </w:pPr>
      <w:r w:rsidRPr="00321B42">
        <w:rPr>
          <w:lang w:val="fr-FR"/>
        </w:rPr>
        <w:t>ayant à l'esprit</w:t>
      </w:r>
    </w:p>
    <w:p w14:paraId="521680F0" w14:textId="579758DF" w:rsidR="000037C7" w:rsidRPr="00321B42" w:rsidRDefault="007E0B3A" w:rsidP="000037C7">
      <w:pPr>
        <w:rPr>
          <w:lang w:val="fr-FR"/>
        </w:rPr>
      </w:pPr>
      <w:r w:rsidRPr="00321B42">
        <w:rPr>
          <w:i/>
          <w:iCs/>
          <w:lang w:val="fr-FR"/>
        </w:rPr>
        <w:t>a)</w:t>
      </w:r>
      <w:r w:rsidR="00123CD7" w:rsidRPr="00321B42">
        <w:rPr>
          <w:i/>
          <w:iCs/>
          <w:lang w:val="fr-FR"/>
        </w:rPr>
        <w:tab/>
      </w:r>
      <w:r w:rsidR="00123CD7" w:rsidRPr="00321B42">
        <w:rPr>
          <w:lang w:val="fr-FR"/>
        </w:rPr>
        <w:t>que le métavers est un catalyseur essentiel pour améliorer la valeur des futures applications et des futurs services de télécommunication/TIC</w:t>
      </w:r>
      <w:r w:rsidRPr="00321B42">
        <w:rPr>
          <w:lang w:val="fr-FR"/>
        </w:rPr>
        <w:t>;</w:t>
      </w:r>
    </w:p>
    <w:p w14:paraId="70E4C1E4" w14:textId="7EF31796" w:rsidR="007E0B3A" w:rsidRPr="00321B42" w:rsidRDefault="007E0B3A" w:rsidP="00F6469C">
      <w:pPr>
        <w:rPr>
          <w:lang w:val="fr-FR"/>
        </w:rPr>
      </w:pPr>
      <w:r w:rsidRPr="00321B42">
        <w:rPr>
          <w:i/>
          <w:iCs/>
          <w:lang w:val="fr-FR"/>
        </w:rPr>
        <w:t>b)</w:t>
      </w:r>
      <w:r w:rsidRPr="00321B42">
        <w:rPr>
          <w:lang w:val="fr-FR"/>
        </w:rPr>
        <w:tab/>
      </w:r>
      <w:r w:rsidR="00123CD7" w:rsidRPr="00321B42">
        <w:rPr>
          <w:lang w:val="fr-FR"/>
        </w:rPr>
        <w:t>qu'il est nécessaire d'élaborer des normes techniques</w:t>
      </w:r>
      <w:r w:rsidRPr="00321B42">
        <w:rPr>
          <w:lang w:val="fr-FR"/>
        </w:rPr>
        <w:t xml:space="preserve"> pour assurer une intégration et une interopérabilité efficaces des différentes composantes techniques du métavers, y compris les architectures, les exigences, les protocoles, les systèmes et les services;</w:t>
      </w:r>
    </w:p>
    <w:p w14:paraId="4BC47019" w14:textId="405B8436" w:rsidR="00DA0394" w:rsidRPr="00321B42" w:rsidRDefault="007E0B3A" w:rsidP="00DA0394">
      <w:pPr>
        <w:rPr>
          <w:lang w:val="fr-FR"/>
        </w:rPr>
      </w:pPr>
      <w:r w:rsidRPr="00321B42">
        <w:rPr>
          <w:i/>
          <w:iCs/>
          <w:lang w:val="fr-FR"/>
        </w:rPr>
        <w:t>c)</w:t>
      </w:r>
      <w:r w:rsidRPr="00321B42">
        <w:rPr>
          <w:lang w:val="fr-FR"/>
        </w:rPr>
        <w:tab/>
      </w:r>
      <w:r w:rsidR="00DA0394" w:rsidRPr="00321B42">
        <w:rPr>
          <w:lang w:val="fr-FR"/>
        </w:rPr>
        <w:t>qu'en raison des incidences que le métavers peut avoir sur la vie des populations, il est nécessaire d'élaborer des normes techniques qui respectent et promeuvent les droits humains fondamentaux tels que le respect de la vie privée, l'inclusion, l'accessibilité et la protection;</w:t>
      </w:r>
    </w:p>
    <w:p w14:paraId="349B6813" w14:textId="661CB52D" w:rsidR="007E0B3A" w:rsidRPr="00321B42" w:rsidRDefault="00DA0394" w:rsidP="00DA0394">
      <w:pPr>
        <w:rPr>
          <w:lang w:val="fr-FR"/>
        </w:rPr>
      </w:pPr>
      <w:r w:rsidRPr="00321B42">
        <w:rPr>
          <w:i/>
          <w:iCs/>
          <w:lang w:val="fr-FR"/>
        </w:rPr>
        <w:t>d)</w:t>
      </w:r>
      <w:r w:rsidRPr="00321B42">
        <w:rPr>
          <w:i/>
          <w:iCs/>
          <w:lang w:val="fr-FR"/>
        </w:rPr>
        <w:tab/>
      </w:r>
      <w:r w:rsidRPr="00321B42">
        <w:rPr>
          <w:lang w:val="fr-FR"/>
        </w:rPr>
        <w:t>qu'un grand nombre de commissions d'études de l'UIT-T ont déjà entamé des travaux concernant la prise en charge des applications, des systèmes et des services du métavers, sur la base des produits élaborés et fournis par le Groupe FG-MV</w:t>
      </w:r>
      <w:r w:rsidR="007E0B3A" w:rsidRPr="00321B42">
        <w:rPr>
          <w:lang w:val="fr-FR"/>
        </w:rPr>
        <w:t>,</w:t>
      </w:r>
    </w:p>
    <w:p w14:paraId="4C5421F2" w14:textId="7D04D0B6" w:rsidR="007E0B3A" w:rsidRPr="00321B42" w:rsidRDefault="007E0B3A" w:rsidP="007E0B3A">
      <w:pPr>
        <w:pStyle w:val="Call"/>
        <w:rPr>
          <w:lang w:val="fr-FR"/>
        </w:rPr>
      </w:pPr>
      <w:r w:rsidRPr="00321B42">
        <w:rPr>
          <w:lang w:val="fr-FR"/>
        </w:rPr>
        <w:t>décide</w:t>
      </w:r>
    </w:p>
    <w:p w14:paraId="184DE024" w14:textId="7DA0F037" w:rsidR="00DA0394" w:rsidRPr="00321B42" w:rsidRDefault="007E0B3A" w:rsidP="00DA0394">
      <w:pPr>
        <w:rPr>
          <w:lang w:val="fr-FR"/>
        </w:rPr>
      </w:pPr>
      <w:r w:rsidRPr="00321B42">
        <w:rPr>
          <w:lang w:val="fr-FR"/>
        </w:rPr>
        <w:t>1</w:t>
      </w:r>
      <w:r w:rsidRPr="00321B42">
        <w:rPr>
          <w:lang w:val="fr-FR"/>
        </w:rPr>
        <w:tab/>
      </w:r>
      <w:r w:rsidR="00DA0394" w:rsidRPr="00321B42">
        <w:rPr>
          <w:lang w:val="fr-FR"/>
        </w:rPr>
        <w:t>de promouvoir et de renforcer les travaux de normalisation de l'UIT-T relatifs à l'architecture, à l'infrastructure et aux technologies de base des télécommunications qui sous-tendent le métavers;</w:t>
      </w:r>
    </w:p>
    <w:p w14:paraId="7E9C92C6" w14:textId="222C565C" w:rsidR="00DA0394" w:rsidRPr="00321B42" w:rsidRDefault="00DA0394" w:rsidP="00DA0394">
      <w:pPr>
        <w:rPr>
          <w:lang w:val="fr-FR"/>
        </w:rPr>
      </w:pPr>
      <w:r w:rsidRPr="00321B42">
        <w:rPr>
          <w:lang w:val="fr-FR"/>
        </w:rPr>
        <w:lastRenderedPageBreak/>
        <w:t>2</w:t>
      </w:r>
      <w:r w:rsidRPr="00321B42">
        <w:rPr>
          <w:lang w:val="fr-FR"/>
        </w:rPr>
        <w:tab/>
        <w:t>de collaborer avec le secteur privé et d'autres organisations de normalisation, afin de promouvoir la coopération et la complémentarité dans l'élaboration de normes relatives aux applications, aux systèmes et aux services du métavers;</w:t>
      </w:r>
    </w:p>
    <w:p w14:paraId="73B59EFD" w14:textId="017E3542" w:rsidR="007E0B3A" w:rsidRPr="00321B42" w:rsidRDefault="00DA0394" w:rsidP="007E0B3A">
      <w:pPr>
        <w:rPr>
          <w:lang w:val="fr-FR"/>
        </w:rPr>
      </w:pPr>
      <w:r w:rsidRPr="00321B42">
        <w:rPr>
          <w:lang w:val="fr-FR"/>
        </w:rPr>
        <w:t>3</w:t>
      </w:r>
      <w:r w:rsidRPr="00321B42">
        <w:rPr>
          <w:lang w:val="fr-FR"/>
        </w:rPr>
        <w:tab/>
        <w:t>de promouvoir le potentiel</w:t>
      </w:r>
      <w:r w:rsidR="003B7AFD" w:rsidRPr="00321B42">
        <w:rPr>
          <w:lang w:val="fr-FR"/>
        </w:rPr>
        <w:t xml:space="preserve"> offert par le</w:t>
      </w:r>
      <w:r w:rsidRPr="00321B42">
        <w:rPr>
          <w:lang w:val="fr-FR"/>
        </w:rPr>
        <w:t xml:space="preserve"> métavers </w:t>
      </w:r>
      <w:r w:rsidR="003B7AFD" w:rsidRPr="00321B42">
        <w:rPr>
          <w:lang w:val="fr-FR"/>
        </w:rPr>
        <w:t>pour parvenir à un</w:t>
      </w:r>
      <w:r w:rsidRPr="00321B42">
        <w:rPr>
          <w:lang w:val="fr-FR"/>
        </w:rPr>
        <w:t xml:space="preserve"> développement durable et accessible et accroître la valeur des futurs services et</w:t>
      </w:r>
      <w:r w:rsidR="003B7AFD" w:rsidRPr="00321B42">
        <w:rPr>
          <w:lang w:val="fr-FR"/>
        </w:rPr>
        <w:t xml:space="preserve"> des futures</w:t>
      </w:r>
      <w:r w:rsidRPr="00321B42">
        <w:rPr>
          <w:lang w:val="fr-FR"/>
        </w:rPr>
        <w:t xml:space="preserve"> applications de télécommunication/TIC</w:t>
      </w:r>
      <w:r w:rsidR="007E0B3A" w:rsidRPr="00321B42">
        <w:rPr>
          <w:lang w:val="fr-FR"/>
        </w:rPr>
        <w:t>,</w:t>
      </w:r>
    </w:p>
    <w:p w14:paraId="739FDCCA" w14:textId="128A69F5" w:rsidR="007E0B3A" w:rsidRPr="00321B42" w:rsidRDefault="007E0B3A" w:rsidP="007E0B3A">
      <w:pPr>
        <w:pStyle w:val="Call"/>
        <w:rPr>
          <w:lang w:val="fr-FR"/>
        </w:rPr>
      </w:pPr>
      <w:r w:rsidRPr="00321B42">
        <w:rPr>
          <w:lang w:val="fr-FR"/>
        </w:rPr>
        <w:t>charge la Commission d'études 16</w:t>
      </w:r>
    </w:p>
    <w:p w14:paraId="630FA535" w14:textId="2AD4AD8D" w:rsidR="007E0B3A" w:rsidRPr="00321B42" w:rsidRDefault="007E0B3A" w:rsidP="007E0B3A">
      <w:pPr>
        <w:rPr>
          <w:lang w:val="fr-FR"/>
        </w:rPr>
      </w:pPr>
      <w:r w:rsidRPr="00321B42">
        <w:rPr>
          <w:lang w:val="fr-FR"/>
        </w:rPr>
        <w:t>1</w:t>
      </w:r>
      <w:r w:rsidRPr="00321B42">
        <w:rPr>
          <w:lang w:val="fr-FR"/>
        </w:rPr>
        <w:tab/>
      </w:r>
      <w:r w:rsidR="002F57B7" w:rsidRPr="00321B42">
        <w:rPr>
          <w:lang w:val="fr-FR"/>
        </w:rPr>
        <w:t>d'assumer la responsabilité</w:t>
      </w:r>
      <w:r w:rsidR="003B7AFD" w:rsidRPr="00321B42">
        <w:rPr>
          <w:lang w:val="fr-FR"/>
        </w:rPr>
        <w:t>:</w:t>
      </w:r>
    </w:p>
    <w:p w14:paraId="79D6E845" w14:textId="45D688BA" w:rsidR="007E0B3A" w:rsidRPr="00321B42" w:rsidRDefault="007E0B3A" w:rsidP="007E0B3A">
      <w:pPr>
        <w:pStyle w:val="enumlev1"/>
        <w:rPr>
          <w:lang w:val="fr-FR"/>
        </w:rPr>
      </w:pPr>
      <w:r w:rsidRPr="00321B42">
        <w:rPr>
          <w:lang w:val="fr-FR"/>
        </w:rPr>
        <w:t>i)</w:t>
      </w:r>
      <w:r w:rsidRPr="00321B42">
        <w:rPr>
          <w:lang w:val="fr-FR"/>
        </w:rPr>
        <w:tab/>
      </w:r>
      <w:r w:rsidR="003B7AFD" w:rsidRPr="00321B42">
        <w:rPr>
          <w:lang w:val="fr-FR"/>
        </w:rPr>
        <w:t>de mener à bien une analyse approfondie de l'écart en matière de normalisation des systèmes, des applications et des services du métavers</w:t>
      </w:r>
      <w:r w:rsidRPr="00321B42">
        <w:rPr>
          <w:lang w:val="fr-FR"/>
        </w:rPr>
        <w:t>;</w:t>
      </w:r>
    </w:p>
    <w:p w14:paraId="29D433D3" w14:textId="5CC5750D" w:rsidR="007E0B3A" w:rsidRPr="00321B42" w:rsidRDefault="007E0B3A" w:rsidP="007E0B3A">
      <w:pPr>
        <w:pStyle w:val="enumlev1"/>
        <w:rPr>
          <w:lang w:val="fr-FR"/>
        </w:rPr>
      </w:pPr>
      <w:r w:rsidRPr="00321B42">
        <w:rPr>
          <w:lang w:val="fr-FR"/>
        </w:rPr>
        <w:t>ii)</w:t>
      </w:r>
      <w:r w:rsidRPr="00321B42">
        <w:rPr>
          <w:lang w:val="fr-FR"/>
        </w:rPr>
        <w:tab/>
      </w:r>
      <w:r w:rsidR="003B7AFD" w:rsidRPr="00321B42">
        <w:rPr>
          <w:lang w:val="fr-FR"/>
        </w:rPr>
        <w:t>si des écarts en matière de normalisation sont recensés dans les technologies de télécommunication, d'élaborer une feuille de route complète pour l'élaboration de normes de l'UIT-T sur le métavers</w:t>
      </w:r>
      <w:r w:rsidRPr="00321B42">
        <w:rPr>
          <w:lang w:val="fr-FR"/>
        </w:rPr>
        <w:t>;</w:t>
      </w:r>
    </w:p>
    <w:p w14:paraId="532F79D8" w14:textId="6C4045AB" w:rsidR="007E0B3A" w:rsidRPr="00321B42" w:rsidRDefault="007E0B3A" w:rsidP="007E0B3A">
      <w:pPr>
        <w:rPr>
          <w:lang w:val="fr-FR"/>
        </w:rPr>
      </w:pPr>
      <w:r w:rsidRPr="00321B42">
        <w:rPr>
          <w:lang w:val="fr-FR"/>
        </w:rPr>
        <w:t>2</w:t>
      </w:r>
      <w:r w:rsidRPr="00321B42">
        <w:rPr>
          <w:lang w:val="fr-FR"/>
        </w:rPr>
        <w:tab/>
      </w:r>
      <w:r w:rsidR="003B7AFD" w:rsidRPr="00321B42">
        <w:rPr>
          <w:lang w:val="fr-FR"/>
        </w:rPr>
        <w:t>d'examiner les produits élaborés par le Groupe spécialisé de l'UIT-T sur le métavers et</w:t>
      </w:r>
      <w:r w:rsidR="004A4053" w:rsidRPr="00321B42">
        <w:rPr>
          <w:lang w:val="fr-FR"/>
        </w:rPr>
        <w:t>:</w:t>
      </w:r>
    </w:p>
    <w:p w14:paraId="27BEFE5C" w14:textId="1468EED1" w:rsidR="003B7AFD" w:rsidRPr="00321B42" w:rsidRDefault="007E0B3A" w:rsidP="003B7AFD">
      <w:pPr>
        <w:pStyle w:val="enumlev1"/>
        <w:rPr>
          <w:lang w:val="fr-FR"/>
        </w:rPr>
      </w:pPr>
      <w:r w:rsidRPr="00321B42">
        <w:rPr>
          <w:lang w:val="fr-FR"/>
        </w:rPr>
        <w:t>i)</w:t>
      </w:r>
      <w:r w:rsidRPr="00321B42">
        <w:rPr>
          <w:lang w:val="fr-FR"/>
        </w:rPr>
        <w:tab/>
      </w:r>
      <w:r w:rsidR="003B7AFD" w:rsidRPr="00321B42">
        <w:rPr>
          <w:lang w:val="fr-FR"/>
        </w:rPr>
        <w:t xml:space="preserve">d'élaborer des </w:t>
      </w:r>
      <w:r w:rsidR="004A4053" w:rsidRPr="00321B42">
        <w:rPr>
          <w:lang w:val="fr-FR"/>
        </w:rPr>
        <w:t>R</w:t>
      </w:r>
      <w:r w:rsidR="003B7AFD" w:rsidRPr="00321B42">
        <w:rPr>
          <w:lang w:val="fr-FR"/>
        </w:rPr>
        <w:t xml:space="preserve">ecommandations, des </w:t>
      </w:r>
      <w:r w:rsidR="004A4053" w:rsidRPr="00321B42">
        <w:rPr>
          <w:lang w:val="fr-FR"/>
        </w:rPr>
        <w:t>d</w:t>
      </w:r>
      <w:r w:rsidR="003B7AFD" w:rsidRPr="00321B42">
        <w:rPr>
          <w:lang w:val="fr-FR"/>
        </w:rPr>
        <w:t xml:space="preserve">ocuments techniques et des </w:t>
      </w:r>
      <w:r w:rsidR="004A4053" w:rsidRPr="00321B42">
        <w:rPr>
          <w:lang w:val="fr-FR"/>
        </w:rPr>
        <w:t>l</w:t>
      </w:r>
      <w:r w:rsidR="003B7AFD" w:rsidRPr="00321B42">
        <w:rPr>
          <w:lang w:val="fr-FR"/>
        </w:rPr>
        <w:t>ignes directrices sur l'infrastructure, les systèmes, les services et les applications du métavers, afin de favoriser des écosystèmes de télécommunication/TIC robustes et de rendre les télécommunications/TIC plus efficaces et centrées sur l'utilisateur;</w:t>
      </w:r>
    </w:p>
    <w:p w14:paraId="6530CD03" w14:textId="19F9BBF3" w:rsidR="003B7AFD" w:rsidRPr="00321B42" w:rsidRDefault="003B7AFD" w:rsidP="003B7AFD">
      <w:pPr>
        <w:pStyle w:val="enumlev1"/>
        <w:rPr>
          <w:lang w:val="fr-FR"/>
        </w:rPr>
      </w:pPr>
      <w:r w:rsidRPr="00321B42">
        <w:rPr>
          <w:lang w:val="fr-FR"/>
        </w:rPr>
        <w:t>ii)</w:t>
      </w:r>
      <w:r w:rsidRPr="00321B42">
        <w:rPr>
          <w:lang w:val="fr-FR"/>
        </w:rPr>
        <w:tab/>
        <w:t>de mettre l'accent sur la nécessité d'assurer l'interopérabilité entre les différentes applications et les différents systèmes et services du métavers;</w:t>
      </w:r>
    </w:p>
    <w:p w14:paraId="0E144D11" w14:textId="42170A2E" w:rsidR="007E0B3A" w:rsidRPr="00321B42" w:rsidRDefault="003B7AFD" w:rsidP="007E0B3A">
      <w:pPr>
        <w:pStyle w:val="enumlev1"/>
        <w:rPr>
          <w:lang w:val="fr-FR"/>
        </w:rPr>
      </w:pPr>
      <w:r w:rsidRPr="00321B42">
        <w:rPr>
          <w:lang w:val="fr-FR"/>
        </w:rPr>
        <w:t>iii)</w:t>
      </w:r>
      <w:r w:rsidRPr="00321B42">
        <w:rPr>
          <w:lang w:val="fr-FR"/>
        </w:rPr>
        <w:tab/>
        <w:t xml:space="preserve">de collaborer et coopérer efficacement avec d'autres organisations de normalisation et d'autres organisations connexes s'occupant de normalisation </w:t>
      </w:r>
      <w:r w:rsidR="00280078" w:rsidRPr="00321B42">
        <w:rPr>
          <w:lang w:val="fr-FR"/>
        </w:rPr>
        <w:t>sur</w:t>
      </w:r>
      <w:r w:rsidRPr="00321B42">
        <w:rPr>
          <w:lang w:val="fr-FR"/>
        </w:rPr>
        <w:t xml:space="preserve"> le métavers, afin d'assurer la complémentarité et d'éviter les doubles emplois</w:t>
      </w:r>
      <w:r w:rsidR="007E0B3A" w:rsidRPr="00321B42">
        <w:rPr>
          <w:lang w:val="fr-FR"/>
        </w:rPr>
        <w:t>;</w:t>
      </w:r>
    </w:p>
    <w:p w14:paraId="3AAA0750" w14:textId="3758B4F2" w:rsidR="007E0B3A" w:rsidRPr="00321B42" w:rsidRDefault="007E0B3A" w:rsidP="00CF0BF4">
      <w:pPr>
        <w:pStyle w:val="Call"/>
        <w:rPr>
          <w:lang w:val="fr-FR"/>
        </w:rPr>
      </w:pPr>
      <w:r w:rsidRPr="00321B42">
        <w:rPr>
          <w:lang w:val="fr-FR"/>
        </w:rPr>
        <w:t>charge le Directeur du Bureau de la normalisation des télécommunications, en collaboration avec les Directeurs du Bureau de développement des télécommunications</w:t>
      </w:r>
      <w:r w:rsidR="004A4053" w:rsidRPr="00321B42">
        <w:rPr>
          <w:lang w:val="fr-FR"/>
        </w:rPr>
        <w:t xml:space="preserve"> </w:t>
      </w:r>
      <w:r w:rsidRPr="00321B42">
        <w:rPr>
          <w:lang w:val="fr-FR"/>
        </w:rPr>
        <w:t>et du Bureau des radiocommunications</w:t>
      </w:r>
    </w:p>
    <w:p w14:paraId="58D50A01" w14:textId="42741BF7" w:rsidR="00280078" w:rsidRPr="00321B42" w:rsidRDefault="007E0B3A" w:rsidP="00280078">
      <w:pPr>
        <w:rPr>
          <w:lang w:val="fr-FR"/>
        </w:rPr>
      </w:pPr>
      <w:r w:rsidRPr="00321B42">
        <w:rPr>
          <w:lang w:val="fr-FR"/>
        </w:rPr>
        <w:t>1</w:t>
      </w:r>
      <w:r w:rsidRPr="00321B42">
        <w:rPr>
          <w:lang w:val="fr-FR"/>
        </w:rPr>
        <w:tab/>
      </w:r>
      <w:r w:rsidR="00280078" w:rsidRPr="00321B42">
        <w:rPr>
          <w:lang w:val="fr-FR"/>
        </w:rPr>
        <w:t xml:space="preserve">de travailler de concert pour tenir compte des besoins particuliers des pays en développement lors de l'étude et de la mise en œuvre des Recommandations relatives au métavers et à son infrastructure, </w:t>
      </w:r>
      <w:r w:rsidR="00BA48C8" w:rsidRPr="00321B42">
        <w:rPr>
          <w:lang w:val="fr-FR"/>
        </w:rPr>
        <w:t xml:space="preserve">à </w:t>
      </w:r>
      <w:r w:rsidR="00280078" w:rsidRPr="00321B42">
        <w:rPr>
          <w:lang w:val="fr-FR"/>
        </w:rPr>
        <w:t xml:space="preserve">ses systèmes, </w:t>
      </w:r>
      <w:r w:rsidR="00BA48C8" w:rsidRPr="00321B42">
        <w:rPr>
          <w:lang w:val="fr-FR"/>
        </w:rPr>
        <w:t xml:space="preserve">à </w:t>
      </w:r>
      <w:r w:rsidR="00280078" w:rsidRPr="00321B42">
        <w:rPr>
          <w:lang w:val="fr-FR"/>
        </w:rPr>
        <w:t xml:space="preserve">ses services et </w:t>
      </w:r>
      <w:r w:rsidR="00BA48C8" w:rsidRPr="00321B42">
        <w:rPr>
          <w:lang w:val="fr-FR"/>
        </w:rPr>
        <w:t xml:space="preserve">à </w:t>
      </w:r>
      <w:r w:rsidR="00280078" w:rsidRPr="00321B42">
        <w:rPr>
          <w:lang w:val="fr-FR"/>
        </w:rPr>
        <w:t xml:space="preserve">ses applications, et d'examiner la contribution du métavers à la réalisation des </w:t>
      </w:r>
      <w:r w:rsidR="00BA48C8" w:rsidRPr="00321B42">
        <w:rPr>
          <w:lang w:val="fr-FR"/>
        </w:rPr>
        <w:t>Objectifs de développement durable (</w:t>
      </w:r>
      <w:r w:rsidR="00280078" w:rsidRPr="00321B42">
        <w:rPr>
          <w:lang w:val="fr-FR"/>
        </w:rPr>
        <w:t>ODD</w:t>
      </w:r>
      <w:r w:rsidR="00BA48C8" w:rsidRPr="00321B42">
        <w:rPr>
          <w:lang w:val="fr-FR"/>
        </w:rPr>
        <w:t>)</w:t>
      </w:r>
      <w:r w:rsidR="00280078" w:rsidRPr="00321B42">
        <w:rPr>
          <w:lang w:val="fr-FR"/>
        </w:rPr>
        <w:t>;</w:t>
      </w:r>
    </w:p>
    <w:p w14:paraId="7FEDA439" w14:textId="01A53423" w:rsidR="00280078" w:rsidRPr="00321B42" w:rsidRDefault="00280078" w:rsidP="00280078">
      <w:pPr>
        <w:rPr>
          <w:lang w:val="fr-FR"/>
        </w:rPr>
      </w:pPr>
      <w:r w:rsidRPr="00321B42">
        <w:rPr>
          <w:lang w:val="fr-FR"/>
        </w:rPr>
        <w:t>2</w:t>
      </w:r>
      <w:r w:rsidRPr="00321B42">
        <w:rPr>
          <w:lang w:val="fr-FR"/>
        </w:rPr>
        <w:tab/>
        <w:t xml:space="preserve">de veiller à ce que la mise en œuvre des </w:t>
      </w:r>
      <w:r w:rsidR="004A4053" w:rsidRPr="00321B42">
        <w:rPr>
          <w:lang w:val="fr-FR"/>
        </w:rPr>
        <w:t>R</w:t>
      </w:r>
      <w:r w:rsidRPr="00321B42">
        <w:rPr>
          <w:lang w:val="fr-FR"/>
        </w:rPr>
        <w:t xml:space="preserve">ecommandations, des documents techniques et des lignes directrices relatifs au métavers soit prise en considération dans les initiatives du </w:t>
      </w:r>
      <w:r w:rsidR="00BA48C8" w:rsidRPr="00321B42">
        <w:rPr>
          <w:lang w:val="fr-FR"/>
        </w:rPr>
        <w:t>Bureau de la normalisation des télécommunications (TSB)</w:t>
      </w:r>
      <w:r w:rsidRPr="00321B42">
        <w:rPr>
          <w:lang w:val="fr-FR"/>
        </w:rPr>
        <w:t xml:space="preserve"> visant à réduire l'écart en matière de normalisation visant à aider les pays en développement;</w:t>
      </w:r>
    </w:p>
    <w:p w14:paraId="0E5967DA" w14:textId="32B14EFB" w:rsidR="007E0B3A" w:rsidRPr="00321B42" w:rsidRDefault="00280078" w:rsidP="007E0B3A">
      <w:pPr>
        <w:rPr>
          <w:lang w:val="fr-FR"/>
        </w:rPr>
      </w:pPr>
      <w:r w:rsidRPr="00321B42">
        <w:rPr>
          <w:lang w:val="fr-FR"/>
        </w:rPr>
        <w:t>3</w:t>
      </w:r>
      <w:r w:rsidRPr="00321B42">
        <w:rPr>
          <w:lang w:val="fr-FR"/>
        </w:rPr>
        <w:tab/>
        <w:t>de tenir compte de la nécessité d'échanger des informations sur la normalisation du métavers entre les groupes concernés de l'UIT-T, d</w:t>
      </w:r>
      <w:r w:rsidR="00BA48C8" w:rsidRPr="00321B42">
        <w:rPr>
          <w:lang w:val="fr-FR"/>
        </w:rPr>
        <w:t>u Secteur des radiocommunications de l'UIT</w:t>
      </w:r>
      <w:r w:rsidRPr="00321B42">
        <w:rPr>
          <w:lang w:val="fr-FR"/>
        </w:rPr>
        <w:t xml:space="preserve"> </w:t>
      </w:r>
      <w:r w:rsidR="00BA48C8" w:rsidRPr="00321B42">
        <w:rPr>
          <w:lang w:val="fr-FR"/>
        </w:rPr>
        <w:t>(</w:t>
      </w:r>
      <w:r w:rsidRPr="00321B42">
        <w:rPr>
          <w:lang w:val="fr-FR"/>
        </w:rPr>
        <w:t>UIT-R</w:t>
      </w:r>
      <w:r w:rsidR="00BA48C8" w:rsidRPr="00321B42">
        <w:rPr>
          <w:lang w:val="fr-FR"/>
        </w:rPr>
        <w:t>)</w:t>
      </w:r>
      <w:r w:rsidRPr="00321B42">
        <w:rPr>
          <w:lang w:val="fr-FR"/>
        </w:rPr>
        <w:t xml:space="preserve"> et d</w:t>
      </w:r>
      <w:r w:rsidR="00BA48C8" w:rsidRPr="00321B42">
        <w:rPr>
          <w:lang w:val="fr-FR"/>
        </w:rPr>
        <w:t>u Secteur du développement des télécommunications de l'UIT (</w:t>
      </w:r>
      <w:r w:rsidRPr="00321B42">
        <w:rPr>
          <w:lang w:val="fr-FR"/>
        </w:rPr>
        <w:t>UIT-D</w:t>
      </w:r>
      <w:r w:rsidR="00BA48C8" w:rsidRPr="00321B42">
        <w:rPr>
          <w:lang w:val="fr-FR"/>
        </w:rPr>
        <w:t>)</w:t>
      </w:r>
      <w:r w:rsidR="007E0B3A" w:rsidRPr="00321B42">
        <w:rPr>
          <w:lang w:val="fr-FR"/>
        </w:rPr>
        <w:t>,</w:t>
      </w:r>
    </w:p>
    <w:p w14:paraId="2FB99E15" w14:textId="77777777" w:rsidR="007E0B3A" w:rsidRPr="00321B42" w:rsidRDefault="007E0B3A" w:rsidP="004A4053">
      <w:pPr>
        <w:pStyle w:val="Call"/>
        <w:rPr>
          <w:lang w:val="fr-FR"/>
        </w:rPr>
      </w:pPr>
      <w:r w:rsidRPr="00321B42">
        <w:rPr>
          <w:lang w:val="fr-FR"/>
        </w:rPr>
        <w:t>charge le Directeur du Bureau de la normalisation des télécommunications</w:t>
      </w:r>
    </w:p>
    <w:p w14:paraId="6503DBD5" w14:textId="08ECE966" w:rsidR="007E0B3A" w:rsidRPr="00321B42" w:rsidRDefault="00BA48C8" w:rsidP="007E0B3A">
      <w:pPr>
        <w:rPr>
          <w:lang w:val="fr-FR"/>
        </w:rPr>
      </w:pPr>
      <w:r w:rsidRPr="00321B42">
        <w:rPr>
          <w:lang w:val="fr-FR"/>
        </w:rPr>
        <w:t>d'appuyer la coordination des activités et des études relatives à la normalisation du métavers entre les commissions d'études, les groupes spécialisés et les autres groupes compétents de l'UIT-T concernés et de collaborer proactivement avec d'autres organisations de normalisation dans le cadre de leurs travaux sur le métavers</w:t>
      </w:r>
      <w:r w:rsidR="007E0B3A" w:rsidRPr="00321B42">
        <w:rPr>
          <w:lang w:val="fr-FR"/>
        </w:rPr>
        <w:t>,</w:t>
      </w:r>
    </w:p>
    <w:p w14:paraId="41C2BF3C" w14:textId="77777777" w:rsidR="007E0B3A" w:rsidRPr="00321B42" w:rsidRDefault="007E0B3A" w:rsidP="004A4053">
      <w:pPr>
        <w:pStyle w:val="Call"/>
        <w:rPr>
          <w:lang w:val="fr-FR"/>
        </w:rPr>
      </w:pPr>
      <w:r w:rsidRPr="00321B42">
        <w:rPr>
          <w:lang w:val="fr-FR"/>
        </w:rPr>
        <w:lastRenderedPageBreak/>
        <w:t>charge les commissions d'études du Secteur de la normalisation des télécommunications de l'UIT</w:t>
      </w:r>
    </w:p>
    <w:p w14:paraId="0DBBF1F8" w14:textId="64C82968" w:rsidR="00BA48C8" w:rsidRPr="00321B42" w:rsidRDefault="007E0B3A" w:rsidP="00BA48C8">
      <w:pPr>
        <w:rPr>
          <w:lang w:val="fr-FR"/>
        </w:rPr>
      </w:pPr>
      <w:r w:rsidRPr="00321B42">
        <w:rPr>
          <w:lang w:val="fr-FR"/>
        </w:rPr>
        <w:t>1</w:t>
      </w:r>
      <w:r w:rsidRPr="00321B42">
        <w:rPr>
          <w:lang w:val="fr-FR"/>
        </w:rPr>
        <w:tab/>
      </w:r>
      <w:r w:rsidR="00E87B03" w:rsidRPr="00321B42">
        <w:rPr>
          <w:lang w:val="fr-FR"/>
        </w:rPr>
        <w:t>à élaborer d</w:t>
      </w:r>
      <w:r w:rsidR="00BA48C8" w:rsidRPr="00321B42">
        <w:rPr>
          <w:lang w:val="fr-FR"/>
        </w:rPr>
        <w:t>es travaux de normalisation de suivi, selon qu'il conviendra</w:t>
      </w:r>
      <w:r w:rsidR="00E87B03" w:rsidRPr="00321B42">
        <w:rPr>
          <w:lang w:val="fr-FR"/>
        </w:rPr>
        <w:t xml:space="preserve"> dans le cadre de leurs </w:t>
      </w:r>
      <w:r w:rsidR="00BA48C8" w:rsidRPr="00321B42">
        <w:rPr>
          <w:lang w:val="fr-FR"/>
        </w:rPr>
        <w:t xml:space="preserve">Questions à l'étude respectives, sur la base des produits pertinents élaborés et fournis dans le cadre des travaux </w:t>
      </w:r>
      <w:r w:rsidR="00E87B03" w:rsidRPr="00321B42">
        <w:rPr>
          <w:lang w:val="fr-FR"/>
        </w:rPr>
        <w:t xml:space="preserve">préalables à la </w:t>
      </w:r>
      <w:r w:rsidR="00BA48C8" w:rsidRPr="00321B42">
        <w:rPr>
          <w:lang w:val="fr-FR"/>
        </w:rPr>
        <w:t xml:space="preserve">normalisation du Groupe spécialisé </w:t>
      </w:r>
      <w:r w:rsidR="00E87B03" w:rsidRPr="00321B42">
        <w:rPr>
          <w:lang w:val="fr-FR"/>
        </w:rPr>
        <w:t xml:space="preserve">de l'UIT </w:t>
      </w:r>
      <w:r w:rsidR="00BA48C8" w:rsidRPr="00321B42">
        <w:rPr>
          <w:lang w:val="fr-FR"/>
        </w:rPr>
        <w:t>sur le métavers (FG</w:t>
      </w:r>
      <w:r w:rsidR="00F6469C" w:rsidRPr="00321B42">
        <w:rPr>
          <w:lang w:val="fr-FR"/>
        </w:rPr>
        <w:noBreakHyphen/>
      </w:r>
      <w:r w:rsidR="00BA48C8" w:rsidRPr="00321B42">
        <w:rPr>
          <w:lang w:val="fr-FR"/>
        </w:rPr>
        <w:t>MV);</w:t>
      </w:r>
    </w:p>
    <w:p w14:paraId="23B961F8" w14:textId="27558915" w:rsidR="007E0B3A" w:rsidRPr="00321B42" w:rsidRDefault="00BA48C8" w:rsidP="00BA48C8">
      <w:pPr>
        <w:rPr>
          <w:lang w:val="fr-FR"/>
        </w:rPr>
      </w:pPr>
      <w:r w:rsidRPr="00321B42">
        <w:rPr>
          <w:lang w:val="fr-FR"/>
        </w:rPr>
        <w:t>2</w:t>
      </w:r>
      <w:r w:rsidRPr="00321B42">
        <w:rPr>
          <w:lang w:val="fr-FR"/>
        </w:rPr>
        <w:tab/>
        <w:t xml:space="preserve">de poursuivre </w:t>
      </w:r>
      <w:r w:rsidR="00E87B03" w:rsidRPr="00321B42">
        <w:rPr>
          <w:lang w:val="fr-FR"/>
        </w:rPr>
        <w:t>les</w:t>
      </w:r>
      <w:r w:rsidRPr="00321B42">
        <w:rPr>
          <w:lang w:val="fr-FR"/>
        </w:rPr>
        <w:t xml:space="preserve"> travaux de normalisation </w:t>
      </w:r>
      <w:r w:rsidR="00E87B03" w:rsidRPr="00321B42">
        <w:rPr>
          <w:lang w:val="fr-FR"/>
        </w:rPr>
        <w:t xml:space="preserve">relatifs au métavers, </w:t>
      </w:r>
      <w:r w:rsidRPr="00321B42">
        <w:rPr>
          <w:lang w:val="fr-FR"/>
        </w:rPr>
        <w:t xml:space="preserve">conformément à la feuille de route </w:t>
      </w:r>
      <w:r w:rsidR="00E87B03" w:rsidRPr="00321B42">
        <w:rPr>
          <w:lang w:val="fr-FR"/>
        </w:rPr>
        <w:t>de l'UIT</w:t>
      </w:r>
      <w:r w:rsidRPr="00321B42">
        <w:rPr>
          <w:lang w:val="fr-FR"/>
        </w:rPr>
        <w:t xml:space="preserve"> sur </w:t>
      </w:r>
      <w:r w:rsidR="00E87B03" w:rsidRPr="00321B42">
        <w:rPr>
          <w:lang w:val="fr-FR"/>
        </w:rPr>
        <w:t>le</w:t>
      </w:r>
      <w:r w:rsidRPr="00321B42">
        <w:rPr>
          <w:lang w:val="fr-FR"/>
        </w:rPr>
        <w:t xml:space="preserve"> métavers</w:t>
      </w:r>
      <w:r w:rsidR="00E87B03" w:rsidRPr="00321B42">
        <w:rPr>
          <w:lang w:val="fr-FR"/>
        </w:rPr>
        <w:t xml:space="preserve"> </w:t>
      </w:r>
      <w:r w:rsidRPr="00321B42">
        <w:rPr>
          <w:lang w:val="fr-FR"/>
        </w:rPr>
        <w:t xml:space="preserve">élaborée par la </w:t>
      </w:r>
      <w:r w:rsidR="00E87B03" w:rsidRPr="00321B42">
        <w:rPr>
          <w:lang w:val="fr-FR"/>
        </w:rPr>
        <w:t>CE</w:t>
      </w:r>
      <w:r w:rsidRPr="00321B42">
        <w:rPr>
          <w:lang w:val="fr-FR"/>
        </w:rPr>
        <w:t xml:space="preserve"> 16</w:t>
      </w:r>
      <w:r w:rsidR="00E87B03" w:rsidRPr="00321B42">
        <w:rPr>
          <w:lang w:val="fr-FR"/>
        </w:rPr>
        <w:t xml:space="preserve"> de l'UIT-T</w:t>
      </w:r>
      <w:r w:rsidRPr="00321B42">
        <w:rPr>
          <w:lang w:val="fr-FR"/>
        </w:rPr>
        <w:t>, afin de valoriser les produits élaborés par chaque CE conformément à son mandat</w:t>
      </w:r>
      <w:r w:rsidR="007E0B3A" w:rsidRPr="00321B42">
        <w:rPr>
          <w:lang w:val="fr-FR"/>
        </w:rPr>
        <w:t>,</w:t>
      </w:r>
    </w:p>
    <w:p w14:paraId="0AE53FE5" w14:textId="77777777" w:rsidR="007E0B3A" w:rsidRPr="00321B42" w:rsidRDefault="007E0B3A" w:rsidP="007E0B3A">
      <w:pPr>
        <w:pStyle w:val="Call"/>
        <w:rPr>
          <w:lang w:val="fr-FR"/>
        </w:rPr>
      </w:pPr>
      <w:r w:rsidRPr="00321B42">
        <w:rPr>
          <w:lang w:val="fr-FR"/>
        </w:rPr>
        <w:t>invite les États Membres, les Membres de Secteur, les Associés et les établissements universitaires</w:t>
      </w:r>
    </w:p>
    <w:p w14:paraId="37F5D26B" w14:textId="6DE958AA" w:rsidR="00E87B03" w:rsidRPr="00321B42" w:rsidRDefault="007E0B3A" w:rsidP="00E87B03">
      <w:pPr>
        <w:rPr>
          <w:lang w:val="fr-FR"/>
        </w:rPr>
      </w:pPr>
      <w:r w:rsidRPr="00321B42">
        <w:rPr>
          <w:lang w:val="fr-FR"/>
        </w:rPr>
        <w:t>1</w:t>
      </w:r>
      <w:r w:rsidRPr="00321B42">
        <w:rPr>
          <w:lang w:val="fr-FR"/>
        </w:rPr>
        <w:tab/>
      </w:r>
      <w:r w:rsidR="00E87B03" w:rsidRPr="00321B42">
        <w:rPr>
          <w:lang w:val="fr-FR"/>
        </w:rPr>
        <w:t>à présenter des contributions fondées sur les bonnes pratiques techniques et à participer activement aux travaux de normalisation relatifs au métavers et aux activités pertinentes de l'UIT;</w:t>
      </w:r>
    </w:p>
    <w:p w14:paraId="1B6DDD37" w14:textId="45E461A0" w:rsidR="007E0B3A" w:rsidRPr="00321B42" w:rsidRDefault="00E87B03" w:rsidP="00E87B03">
      <w:pPr>
        <w:rPr>
          <w:lang w:val="fr-FR"/>
        </w:rPr>
      </w:pPr>
      <w:r w:rsidRPr="00321B42">
        <w:rPr>
          <w:lang w:val="fr-FR"/>
        </w:rPr>
        <w:t>2</w:t>
      </w:r>
      <w:r w:rsidRPr="00321B42">
        <w:rPr>
          <w:lang w:val="fr-FR"/>
        </w:rPr>
        <w:tab/>
        <w:t>à collaborer et à échanger des connaissances spécialisées dans les domaines liés au métavers avec d'autres membres de l'UIT, d'autres organisations de normalisation compétentes et d'autres parties concernées</w:t>
      </w:r>
      <w:r w:rsidR="007E0B3A" w:rsidRPr="00321B42">
        <w:rPr>
          <w:lang w:val="fr-FR"/>
        </w:rPr>
        <w:t>.</w:t>
      </w:r>
    </w:p>
    <w:p w14:paraId="1D0A0E44" w14:textId="7D074F2E" w:rsidR="00F6469C" w:rsidRPr="00321B42" w:rsidRDefault="007E0B3A" w:rsidP="00F6469C">
      <w:pPr>
        <w:pStyle w:val="Reasons"/>
        <w:rPr>
          <w:lang w:val="fr-FR"/>
        </w:rPr>
      </w:pPr>
      <w:r w:rsidRPr="00321B42">
        <w:rPr>
          <w:b/>
          <w:bCs/>
          <w:lang w:val="fr-FR"/>
        </w:rPr>
        <w:t>Motifs:</w:t>
      </w:r>
      <w:r w:rsidRPr="00321B42">
        <w:rPr>
          <w:b/>
          <w:bCs/>
          <w:lang w:val="fr-FR"/>
        </w:rPr>
        <w:tab/>
      </w:r>
      <w:r w:rsidR="00E87B03" w:rsidRPr="00321B42">
        <w:rPr>
          <w:lang w:val="fr-FR"/>
        </w:rPr>
        <w:t>Le concept de métavers est l'une des avancées les plus importantes dans le domaine des</w:t>
      </w:r>
      <w:r w:rsidR="004A4053" w:rsidRPr="00321B42">
        <w:rPr>
          <w:lang w:val="fr-FR"/>
        </w:rPr>
        <w:t> </w:t>
      </w:r>
      <w:r w:rsidR="00E87B03" w:rsidRPr="00321B42">
        <w:rPr>
          <w:lang w:val="fr-FR"/>
        </w:rPr>
        <w:t xml:space="preserve">TIC </w:t>
      </w:r>
      <w:r w:rsidR="00DC511A" w:rsidRPr="00321B42">
        <w:rPr>
          <w:lang w:val="fr-FR"/>
        </w:rPr>
        <w:t xml:space="preserve">réalisées </w:t>
      </w:r>
      <w:r w:rsidR="00E87B03" w:rsidRPr="00321B42">
        <w:rPr>
          <w:lang w:val="fr-FR"/>
        </w:rPr>
        <w:t>au cours de deux ou trois dernières années. Le métavers est une plate-forme qui associe une ou plusieurs technologies pour concevoir de nouvelles applications passionnantes. De nombreuses applications commerciales d'avant-garde ont déjà été mises au point, notamment en associant l'intelligence artificielle, la réalité virtuelle et les jumeaux numériques.</w:t>
      </w:r>
    </w:p>
    <w:p w14:paraId="77E76D73" w14:textId="77777777" w:rsidR="00F6469C" w:rsidRPr="00321B42" w:rsidRDefault="00E87B03" w:rsidP="004A4053">
      <w:pPr>
        <w:rPr>
          <w:lang w:val="fr-FR"/>
        </w:rPr>
      </w:pPr>
      <w:r w:rsidRPr="00321B42">
        <w:rPr>
          <w:lang w:val="fr-FR"/>
        </w:rPr>
        <w:t xml:space="preserve">Le Groupe spécialisé de l'UIT-T sur métavers (FG-MV) a achevé ses travaux en juin 2024, et </w:t>
      </w:r>
      <w:r w:rsidR="00E31C37" w:rsidRPr="00321B42">
        <w:rPr>
          <w:lang w:val="fr-FR"/>
        </w:rPr>
        <w:t xml:space="preserve">à sa réunion de juin-juillet 2024, le </w:t>
      </w:r>
      <w:r w:rsidRPr="00321B42">
        <w:rPr>
          <w:lang w:val="fr-FR"/>
        </w:rPr>
        <w:t>GCNT a approuvé 52 produits</w:t>
      </w:r>
      <w:r w:rsidR="00E31C37" w:rsidRPr="00321B42">
        <w:rPr>
          <w:lang w:val="fr-FR"/>
        </w:rPr>
        <w:t xml:space="preserve"> </w:t>
      </w:r>
      <w:r w:rsidRPr="00321B42">
        <w:rPr>
          <w:lang w:val="fr-FR"/>
        </w:rPr>
        <w:t>qu'il a transmis aux commissions d'études pour examen et</w:t>
      </w:r>
      <w:r w:rsidR="00E31C37" w:rsidRPr="00321B42">
        <w:rPr>
          <w:lang w:val="fr-FR"/>
        </w:rPr>
        <w:t xml:space="preserve"> suite à donner,</w:t>
      </w:r>
      <w:r w:rsidRPr="00321B42">
        <w:rPr>
          <w:lang w:val="fr-FR"/>
        </w:rPr>
        <w:t xml:space="preserve"> selon qu'il conviendra. L'Europe approuve les travaux du Groupe spécialisé et se réjouit à la perspective de participer aux travaux futurs sur le métavers au cours de la prochaine période d'études de l'UIT-T et au-delà. Toutefois, pour que les avantages du métavers puissent être pleinement exploités, il faut que les applications, les systèmes et les services des différents métavers soient </w:t>
      </w:r>
      <w:r w:rsidR="00E31C37" w:rsidRPr="00321B42">
        <w:rPr>
          <w:lang w:val="fr-FR"/>
        </w:rPr>
        <w:t>interopérables</w:t>
      </w:r>
      <w:r w:rsidRPr="00321B42">
        <w:rPr>
          <w:lang w:val="fr-FR"/>
        </w:rPr>
        <w:t xml:space="preserve"> et que l'UIT et d'autres organismes de normalisation collaborent afin d'échanger de bonnes pratiques, d'identifier les lacunes et d'éviter les </w:t>
      </w:r>
      <w:r w:rsidR="00E31C37" w:rsidRPr="00321B42">
        <w:rPr>
          <w:lang w:val="fr-FR"/>
        </w:rPr>
        <w:t>doubles emplois</w:t>
      </w:r>
      <w:r w:rsidRPr="00321B42">
        <w:rPr>
          <w:lang w:val="fr-FR"/>
        </w:rPr>
        <w:t>.</w:t>
      </w:r>
    </w:p>
    <w:p w14:paraId="38F85BDD" w14:textId="05ADCEE9" w:rsidR="007E0B3A" w:rsidRPr="00321B42" w:rsidRDefault="00E87B03" w:rsidP="004A4053">
      <w:pPr>
        <w:rPr>
          <w:lang w:val="fr-FR"/>
        </w:rPr>
      </w:pPr>
      <w:r w:rsidRPr="00321B42">
        <w:rPr>
          <w:lang w:val="fr-FR"/>
        </w:rPr>
        <w:t xml:space="preserve">L'objectif de </w:t>
      </w:r>
      <w:r w:rsidR="00E31C37" w:rsidRPr="00321B42">
        <w:rPr>
          <w:lang w:val="fr-FR"/>
        </w:rPr>
        <w:t>la présente proposition européenne commune</w:t>
      </w:r>
      <w:r w:rsidRPr="00321B42">
        <w:rPr>
          <w:lang w:val="fr-FR"/>
        </w:rPr>
        <w:t xml:space="preserve"> est de fournir des orientations sur la meilleure approche à adopter pour </w:t>
      </w:r>
      <w:r w:rsidR="00E31C37" w:rsidRPr="00321B42">
        <w:rPr>
          <w:lang w:val="fr-FR"/>
        </w:rPr>
        <w:t>l'</w:t>
      </w:r>
      <w:r w:rsidRPr="00321B42">
        <w:rPr>
          <w:lang w:val="fr-FR"/>
        </w:rPr>
        <w:t xml:space="preserve">UIT-T et, en particulier, pour que </w:t>
      </w:r>
      <w:r w:rsidR="00E31C37" w:rsidRPr="00321B42">
        <w:rPr>
          <w:lang w:val="fr-FR"/>
        </w:rPr>
        <w:t>la</w:t>
      </w:r>
      <w:r w:rsidRPr="00321B42">
        <w:rPr>
          <w:lang w:val="fr-FR"/>
        </w:rPr>
        <w:t xml:space="preserve"> Commission d'étude 16 </w:t>
      </w:r>
      <w:r w:rsidR="00E31C37" w:rsidRPr="00321B42">
        <w:rPr>
          <w:lang w:val="fr-FR"/>
        </w:rPr>
        <w:t xml:space="preserve">de l'UIT-T </w:t>
      </w:r>
      <w:r w:rsidRPr="00321B42">
        <w:rPr>
          <w:lang w:val="fr-FR"/>
        </w:rPr>
        <w:t>dirige les travaux, en s'appuyant sur les résultats du Groupe FG-MV.</w:t>
      </w:r>
    </w:p>
    <w:p w14:paraId="2AE8EDCD" w14:textId="77777777" w:rsidR="007E0B3A" w:rsidRPr="00321B42" w:rsidRDefault="007E0B3A">
      <w:pPr>
        <w:jc w:val="center"/>
        <w:rPr>
          <w:lang w:val="fr-FR"/>
        </w:rPr>
      </w:pPr>
      <w:r w:rsidRPr="00321B42">
        <w:rPr>
          <w:lang w:val="fr-FR"/>
        </w:rPr>
        <w:t>______________</w:t>
      </w:r>
    </w:p>
    <w:sectPr w:rsidR="007E0B3A" w:rsidRPr="00321B42" w:rsidSect="002F442D">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3521" w14:textId="77777777" w:rsidR="00D0795E" w:rsidRDefault="00D0795E">
      <w:r>
        <w:separator/>
      </w:r>
    </w:p>
  </w:endnote>
  <w:endnote w:type="continuationSeparator" w:id="0">
    <w:p w14:paraId="26D7CD72" w14:textId="77777777" w:rsidR="00D0795E" w:rsidRDefault="00D0795E">
      <w:r>
        <w:continuationSeparator/>
      </w:r>
    </w:p>
  </w:endnote>
  <w:endnote w:type="continuationNotice" w:id="1">
    <w:p w14:paraId="25C45624" w14:textId="77777777" w:rsidR="00D0795E" w:rsidRDefault="00D079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C8A0" w14:textId="77777777" w:rsidR="009D4900" w:rsidRDefault="009D4900">
    <w:pPr>
      <w:framePr w:wrap="around" w:vAnchor="text" w:hAnchor="margin" w:xAlign="right" w:y="1"/>
    </w:pPr>
    <w:r>
      <w:fldChar w:fldCharType="begin"/>
    </w:r>
    <w:r>
      <w:instrText xml:space="preserve">PAGE  </w:instrText>
    </w:r>
    <w:r>
      <w:fldChar w:fldCharType="end"/>
    </w:r>
  </w:p>
  <w:p w14:paraId="482A5E24" w14:textId="1E9A3A3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21B42">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763E" w14:textId="77777777" w:rsidR="00D0795E" w:rsidRDefault="00D0795E">
      <w:r>
        <w:rPr>
          <w:b/>
        </w:rPr>
        <w:t>_______________</w:t>
      </w:r>
    </w:p>
  </w:footnote>
  <w:footnote w:type="continuationSeparator" w:id="0">
    <w:p w14:paraId="51A32367" w14:textId="77777777" w:rsidR="00D0795E" w:rsidRDefault="00D0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F684"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-24/38(Add.21)-F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1828792">
    <w:abstractNumId w:val="8"/>
  </w:num>
  <w:num w:numId="2" w16cid:durableId="8523797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19626974">
    <w:abstractNumId w:val="9"/>
  </w:num>
  <w:num w:numId="4" w16cid:durableId="433861980">
    <w:abstractNumId w:val="7"/>
  </w:num>
  <w:num w:numId="5" w16cid:durableId="1837529719">
    <w:abstractNumId w:val="6"/>
  </w:num>
  <w:num w:numId="6" w16cid:durableId="624194572">
    <w:abstractNumId w:val="5"/>
  </w:num>
  <w:num w:numId="7" w16cid:durableId="1165708637">
    <w:abstractNumId w:val="4"/>
  </w:num>
  <w:num w:numId="8" w16cid:durableId="1762800677">
    <w:abstractNumId w:val="3"/>
  </w:num>
  <w:num w:numId="9" w16cid:durableId="2122722450">
    <w:abstractNumId w:val="2"/>
  </w:num>
  <w:num w:numId="10" w16cid:durableId="2045590597">
    <w:abstractNumId w:val="1"/>
  </w:num>
  <w:num w:numId="11" w16cid:durableId="667096927">
    <w:abstractNumId w:val="0"/>
  </w:num>
  <w:num w:numId="12" w16cid:durableId="1613512472">
    <w:abstractNumId w:val="12"/>
  </w:num>
  <w:num w:numId="13" w16cid:durableId="10781349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37C7"/>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3CD7"/>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80078"/>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2F57B7"/>
    <w:rsid w:val="00316351"/>
    <w:rsid w:val="00316B80"/>
    <w:rsid w:val="00321B42"/>
    <w:rsid w:val="003251EA"/>
    <w:rsid w:val="00336B4E"/>
    <w:rsid w:val="0034635C"/>
    <w:rsid w:val="00361EEA"/>
    <w:rsid w:val="00377BD3"/>
    <w:rsid w:val="00384088"/>
    <w:rsid w:val="003879F0"/>
    <w:rsid w:val="0039169B"/>
    <w:rsid w:val="00394470"/>
    <w:rsid w:val="003A7F8C"/>
    <w:rsid w:val="003B09A1"/>
    <w:rsid w:val="003B532E"/>
    <w:rsid w:val="003B7AFD"/>
    <w:rsid w:val="003C33B7"/>
    <w:rsid w:val="003D0F8B"/>
    <w:rsid w:val="003F020A"/>
    <w:rsid w:val="0041348E"/>
    <w:rsid w:val="004142ED"/>
    <w:rsid w:val="00420EDB"/>
    <w:rsid w:val="004373CA"/>
    <w:rsid w:val="004420C9"/>
    <w:rsid w:val="00443CCE"/>
    <w:rsid w:val="00456B09"/>
    <w:rsid w:val="00462D00"/>
    <w:rsid w:val="00465799"/>
    <w:rsid w:val="00471EF9"/>
    <w:rsid w:val="00492075"/>
    <w:rsid w:val="004969AD"/>
    <w:rsid w:val="004A26C4"/>
    <w:rsid w:val="004A4053"/>
    <w:rsid w:val="004B13CB"/>
    <w:rsid w:val="004B4AAE"/>
    <w:rsid w:val="004C6FBE"/>
    <w:rsid w:val="004D0FC5"/>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3231"/>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26AE"/>
    <w:rsid w:val="00797C4B"/>
    <w:rsid w:val="007C60C2"/>
    <w:rsid w:val="007D1EC0"/>
    <w:rsid w:val="007D5320"/>
    <w:rsid w:val="007E0B3A"/>
    <w:rsid w:val="007E51BA"/>
    <w:rsid w:val="007E66EA"/>
    <w:rsid w:val="007F3C67"/>
    <w:rsid w:val="007F4179"/>
    <w:rsid w:val="007F6D49"/>
    <w:rsid w:val="00800972"/>
    <w:rsid w:val="00804475"/>
    <w:rsid w:val="00811633"/>
    <w:rsid w:val="00822B56"/>
    <w:rsid w:val="00840F52"/>
    <w:rsid w:val="008508D8"/>
    <w:rsid w:val="00850EEE"/>
    <w:rsid w:val="00854D8D"/>
    <w:rsid w:val="00857DAF"/>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4D86"/>
    <w:rsid w:val="00AC5B55"/>
    <w:rsid w:val="00AE0E1B"/>
    <w:rsid w:val="00B067BF"/>
    <w:rsid w:val="00B21229"/>
    <w:rsid w:val="00B305D7"/>
    <w:rsid w:val="00B529AD"/>
    <w:rsid w:val="00B6324B"/>
    <w:rsid w:val="00B639E9"/>
    <w:rsid w:val="00B66385"/>
    <w:rsid w:val="00B66C2B"/>
    <w:rsid w:val="00B672DC"/>
    <w:rsid w:val="00B817CD"/>
    <w:rsid w:val="00B94AD0"/>
    <w:rsid w:val="00BA48C8"/>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0BF4"/>
    <w:rsid w:val="00CF1E9D"/>
    <w:rsid w:val="00CF2B5B"/>
    <w:rsid w:val="00D055D3"/>
    <w:rsid w:val="00D0795E"/>
    <w:rsid w:val="00D14CE0"/>
    <w:rsid w:val="00D2023F"/>
    <w:rsid w:val="00D278AC"/>
    <w:rsid w:val="00D41719"/>
    <w:rsid w:val="00D449A9"/>
    <w:rsid w:val="00D54009"/>
    <w:rsid w:val="00D5651D"/>
    <w:rsid w:val="00D57A34"/>
    <w:rsid w:val="00D643B3"/>
    <w:rsid w:val="00D74898"/>
    <w:rsid w:val="00D801ED"/>
    <w:rsid w:val="00D936BC"/>
    <w:rsid w:val="00D96530"/>
    <w:rsid w:val="00DA0394"/>
    <w:rsid w:val="00DA7E2F"/>
    <w:rsid w:val="00DC511A"/>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31C37"/>
    <w:rsid w:val="00E45D05"/>
    <w:rsid w:val="00E55816"/>
    <w:rsid w:val="00E55AEF"/>
    <w:rsid w:val="00E6117A"/>
    <w:rsid w:val="00E765C9"/>
    <w:rsid w:val="00E808DD"/>
    <w:rsid w:val="00E82677"/>
    <w:rsid w:val="00E870AC"/>
    <w:rsid w:val="00E87B03"/>
    <w:rsid w:val="00E94DBA"/>
    <w:rsid w:val="00E976C1"/>
    <w:rsid w:val="00EA12E5"/>
    <w:rsid w:val="00EB55C6"/>
    <w:rsid w:val="00EC7F04"/>
    <w:rsid w:val="00ED30BC"/>
    <w:rsid w:val="00F00DDC"/>
    <w:rsid w:val="00F01223"/>
    <w:rsid w:val="00F02766"/>
    <w:rsid w:val="00F05BD4"/>
    <w:rsid w:val="00F2404A"/>
    <w:rsid w:val="00F243BE"/>
    <w:rsid w:val="00F358D6"/>
    <w:rsid w:val="00F3630D"/>
    <w:rsid w:val="00F4677D"/>
    <w:rsid w:val="00F528B4"/>
    <w:rsid w:val="00F60D05"/>
    <w:rsid w:val="00F6155B"/>
    <w:rsid w:val="00F6469C"/>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50F7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CallChar">
    <w:name w:val="Call Char"/>
    <w:link w:val="Call"/>
    <w:rsid w:val="007E0B3A"/>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5395">
      <w:bodyDiv w:val="1"/>
      <w:marLeft w:val="0"/>
      <w:marRight w:val="0"/>
      <w:marTop w:val="0"/>
      <w:marBottom w:val="0"/>
      <w:divBdr>
        <w:top w:val="none" w:sz="0" w:space="0" w:color="auto"/>
        <w:left w:val="none" w:sz="0" w:space="0" w:color="auto"/>
        <w:bottom w:val="none" w:sz="0" w:space="0" w:color="auto"/>
        <w:right w:val="none" w:sz="0" w:space="0" w:color="auto"/>
      </w:divBdr>
    </w:div>
    <w:div w:id="57829957">
      <w:bodyDiv w:val="1"/>
      <w:marLeft w:val="0"/>
      <w:marRight w:val="0"/>
      <w:marTop w:val="0"/>
      <w:marBottom w:val="0"/>
      <w:divBdr>
        <w:top w:val="none" w:sz="0" w:space="0" w:color="auto"/>
        <w:left w:val="none" w:sz="0" w:space="0" w:color="auto"/>
        <w:bottom w:val="none" w:sz="0" w:space="0" w:color="auto"/>
        <w:right w:val="none" w:sz="0" w:space="0" w:color="auto"/>
      </w:divBdr>
    </w:div>
    <w:div w:id="359287421">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38945082">
      <w:bodyDiv w:val="1"/>
      <w:marLeft w:val="0"/>
      <w:marRight w:val="0"/>
      <w:marTop w:val="0"/>
      <w:marBottom w:val="0"/>
      <w:divBdr>
        <w:top w:val="none" w:sz="0" w:space="0" w:color="auto"/>
        <w:left w:val="none" w:sz="0" w:space="0" w:color="auto"/>
        <w:bottom w:val="none" w:sz="0" w:space="0" w:color="auto"/>
        <w:right w:val="none" w:sz="0" w:space="0" w:color="auto"/>
      </w:divBdr>
    </w:div>
    <w:div w:id="791437210">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61667938">
      <w:bodyDiv w:val="1"/>
      <w:marLeft w:val="0"/>
      <w:marRight w:val="0"/>
      <w:marTop w:val="0"/>
      <w:marBottom w:val="0"/>
      <w:divBdr>
        <w:top w:val="none" w:sz="0" w:space="0" w:color="auto"/>
        <w:left w:val="none" w:sz="0" w:space="0" w:color="auto"/>
        <w:bottom w:val="none" w:sz="0" w:space="0" w:color="auto"/>
        <w:right w:val="none" w:sz="0" w:space="0" w:color="auto"/>
      </w:divBdr>
    </w:div>
    <w:div w:id="136717263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744831388">
      <w:bodyDiv w:val="1"/>
      <w:marLeft w:val="0"/>
      <w:marRight w:val="0"/>
      <w:marTop w:val="0"/>
      <w:marBottom w:val="0"/>
      <w:divBdr>
        <w:top w:val="none" w:sz="0" w:space="0" w:color="auto"/>
        <w:left w:val="none" w:sz="0" w:space="0" w:color="auto"/>
        <w:bottom w:val="none" w:sz="0" w:space="0" w:color="auto"/>
        <w:right w:val="none" w:sz="0" w:space="0" w:color="auto"/>
      </w:divBdr>
    </w:div>
    <w:div w:id="1752194882">
      <w:bodyDiv w:val="1"/>
      <w:marLeft w:val="0"/>
      <w:marRight w:val="0"/>
      <w:marTop w:val="0"/>
      <w:marBottom w:val="0"/>
      <w:divBdr>
        <w:top w:val="none" w:sz="0" w:space="0" w:color="auto"/>
        <w:left w:val="none" w:sz="0" w:space="0" w:color="auto"/>
        <w:bottom w:val="none" w:sz="0" w:space="0" w:color="auto"/>
        <w:right w:val="none" w:sz="0" w:space="0" w:color="auto"/>
      </w:divBdr>
    </w:div>
    <w:div w:id="1802111146">
      <w:bodyDiv w:val="1"/>
      <w:marLeft w:val="0"/>
      <w:marRight w:val="0"/>
      <w:marTop w:val="0"/>
      <w:marBottom w:val="0"/>
      <w:divBdr>
        <w:top w:val="none" w:sz="0" w:space="0" w:color="auto"/>
        <w:left w:val="none" w:sz="0" w:space="0" w:color="auto"/>
        <w:bottom w:val="none" w:sz="0" w:space="0" w:color="auto"/>
        <w:right w:val="none" w:sz="0" w:space="0" w:color="auto"/>
      </w:divBdr>
    </w:div>
    <w:div w:id="1996490829">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ncentaffleck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8a9e3ac-7a04-4691-9dfe-e23f47e21cfa">DPM</DPM_x0020_Author>
    <DPM_x0020_File_x0020_name xmlns="b8a9e3ac-7a04-4691-9dfe-e23f47e21cfa">T22-WTSA.24-C-0038!A21!MSW-F</DPM_x0020_File_x0020_name>
    <DPM_x0020_Version xmlns="b8a9e3ac-7a04-4691-9dfe-e23f47e21cfa">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a9e3ac-7a04-4691-9dfe-e23f47e21cfa" targetNamespace="http://schemas.microsoft.com/office/2006/metadata/properties" ma:root="true" ma:fieldsID="d41af5c836d734370eb92e7ee5f83852" ns2:_="" ns3:_="">
    <xsd:import namespace="996b2e75-67fd-4955-a3b0-5ab9934cb50b"/>
    <xsd:import namespace="b8a9e3ac-7a04-4691-9dfe-e23f47e21c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a9e3ac-7a04-4691-9dfe-e23f47e21c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8a9e3ac-7a04-4691-9dfe-e23f47e21cfa"/>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a9e3ac-7a04-4691-9dfe-e23f47e21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1537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T22-WTSA.24-C-0038!A21!MSW-F</vt:lpstr>
    </vt:vector>
  </TitlesOfParts>
  <Manager>General Secretariat - Pool</Manager>
  <Company>International Telecommunication Union (ITU)</Company>
  <LinksUpToDate>false</LinksUpToDate>
  <CharactersWithSpaces>10568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2024-09-26T06:14:00Z</dcterms:created>
  <dcterms:modified xsi:type="dcterms:W3CDTF">2024-09-26T07:31:00Z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