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51D9C26" w14:textId="77777777" w:rsidTr="00DE1F2F">
        <w:trPr>
          <w:cantSplit/>
          <w:trHeight w:val="1132"/>
        </w:trPr>
        <w:tc>
          <w:tcPr>
            <w:tcW w:w="1290" w:type="dxa"/>
            <w:vAlign w:val="center"/>
          </w:tcPr>
          <w:p w14:paraId="1C3C8B44" w14:textId="77777777" w:rsidR="00D2023F" w:rsidRPr="0077349A" w:rsidRDefault="0018215C" w:rsidP="00C30155">
            <w:pPr>
              <w:spacing w:before="0"/>
            </w:pPr>
            <w:r w:rsidRPr="0077349A">
              <w:rPr>
                <w:noProof/>
              </w:rPr>
              <w:drawing>
                <wp:inline distT="0" distB="0" distL="0" distR="0" wp14:anchorId="009400ED" wp14:editId="48F42CB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9B769EC"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C6761BE" w14:textId="77777777" w:rsidR="00D2023F" w:rsidRPr="0077349A" w:rsidRDefault="00D2023F" w:rsidP="00C30155">
            <w:pPr>
              <w:spacing w:before="0"/>
            </w:pPr>
            <w:r w:rsidRPr="0077349A">
              <w:rPr>
                <w:noProof/>
                <w:lang w:eastAsia="zh-CN"/>
              </w:rPr>
              <w:drawing>
                <wp:inline distT="0" distB="0" distL="0" distR="0" wp14:anchorId="5A6406D4" wp14:editId="4A66C79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9426055" w14:textId="77777777" w:rsidTr="00DE1F2F">
        <w:trPr>
          <w:cantSplit/>
        </w:trPr>
        <w:tc>
          <w:tcPr>
            <w:tcW w:w="9811" w:type="dxa"/>
            <w:gridSpan w:val="4"/>
            <w:tcBorders>
              <w:bottom w:val="single" w:sz="12" w:space="0" w:color="auto"/>
            </w:tcBorders>
          </w:tcPr>
          <w:p w14:paraId="6BFC4DD2" w14:textId="77777777" w:rsidR="00D2023F" w:rsidRPr="0077349A" w:rsidRDefault="00D2023F" w:rsidP="00C30155">
            <w:pPr>
              <w:spacing w:before="0"/>
            </w:pPr>
          </w:p>
        </w:tc>
      </w:tr>
      <w:tr w:rsidR="00931298" w:rsidRPr="002D0535" w14:paraId="0946F86A" w14:textId="77777777" w:rsidTr="00DE1F2F">
        <w:trPr>
          <w:cantSplit/>
        </w:trPr>
        <w:tc>
          <w:tcPr>
            <w:tcW w:w="6237" w:type="dxa"/>
            <w:gridSpan w:val="2"/>
            <w:tcBorders>
              <w:top w:val="single" w:sz="12" w:space="0" w:color="auto"/>
            </w:tcBorders>
          </w:tcPr>
          <w:p w14:paraId="12767E37" w14:textId="77777777" w:rsidR="00931298" w:rsidRPr="002D0535" w:rsidRDefault="00931298" w:rsidP="00C30155">
            <w:pPr>
              <w:spacing w:before="0"/>
              <w:rPr>
                <w:sz w:val="20"/>
              </w:rPr>
            </w:pPr>
          </w:p>
        </w:tc>
        <w:tc>
          <w:tcPr>
            <w:tcW w:w="3574" w:type="dxa"/>
            <w:gridSpan w:val="2"/>
          </w:tcPr>
          <w:p w14:paraId="66D4B595" w14:textId="77777777" w:rsidR="00931298" w:rsidRPr="002D0535" w:rsidRDefault="00931298" w:rsidP="00C30155">
            <w:pPr>
              <w:spacing w:before="0"/>
              <w:rPr>
                <w:sz w:val="20"/>
              </w:rPr>
            </w:pPr>
          </w:p>
        </w:tc>
      </w:tr>
      <w:tr w:rsidR="00752D4D" w:rsidRPr="0077349A" w14:paraId="25391FFF" w14:textId="77777777" w:rsidTr="00DE1F2F">
        <w:trPr>
          <w:cantSplit/>
        </w:trPr>
        <w:tc>
          <w:tcPr>
            <w:tcW w:w="6237" w:type="dxa"/>
            <w:gridSpan w:val="2"/>
          </w:tcPr>
          <w:p w14:paraId="02B4A179" w14:textId="77777777" w:rsidR="00752D4D" w:rsidRPr="0077349A" w:rsidRDefault="00E83B2D" w:rsidP="00E83B2D">
            <w:pPr>
              <w:pStyle w:val="Committee"/>
            </w:pPr>
            <w:r w:rsidRPr="00E83B2D">
              <w:t>PLENARY MEETING</w:t>
            </w:r>
          </w:p>
        </w:tc>
        <w:tc>
          <w:tcPr>
            <w:tcW w:w="3574" w:type="dxa"/>
            <w:gridSpan w:val="2"/>
          </w:tcPr>
          <w:p w14:paraId="66A363D0" w14:textId="77777777" w:rsidR="00752D4D" w:rsidRPr="0077349A" w:rsidRDefault="00E83B2D" w:rsidP="00A52D1A">
            <w:pPr>
              <w:pStyle w:val="Docnumber"/>
            </w:pPr>
            <w:r>
              <w:t>Addendum 11 to</w:t>
            </w:r>
            <w:r>
              <w:br/>
              <w:t>Document 38</w:t>
            </w:r>
            <w:r w:rsidRPr="0056747D">
              <w:t>-</w:t>
            </w:r>
            <w:r w:rsidRPr="003251EA">
              <w:t>E</w:t>
            </w:r>
          </w:p>
        </w:tc>
      </w:tr>
      <w:tr w:rsidR="00931298" w:rsidRPr="0077349A" w14:paraId="4F696E5C" w14:textId="77777777" w:rsidTr="00DE1F2F">
        <w:trPr>
          <w:cantSplit/>
        </w:trPr>
        <w:tc>
          <w:tcPr>
            <w:tcW w:w="6237" w:type="dxa"/>
            <w:gridSpan w:val="2"/>
          </w:tcPr>
          <w:p w14:paraId="1B8D46AA" w14:textId="77777777" w:rsidR="00931298" w:rsidRPr="002D0535" w:rsidRDefault="00931298" w:rsidP="00C30155">
            <w:pPr>
              <w:spacing w:before="0"/>
              <w:rPr>
                <w:sz w:val="20"/>
              </w:rPr>
            </w:pPr>
          </w:p>
        </w:tc>
        <w:tc>
          <w:tcPr>
            <w:tcW w:w="3574" w:type="dxa"/>
            <w:gridSpan w:val="2"/>
          </w:tcPr>
          <w:p w14:paraId="15DCB71C"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031D23F4" w14:textId="77777777" w:rsidTr="00DE1F2F">
        <w:trPr>
          <w:cantSplit/>
        </w:trPr>
        <w:tc>
          <w:tcPr>
            <w:tcW w:w="6237" w:type="dxa"/>
            <w:gridSpan w:val="2"/>
          </w:tcPr>
          <w:p w14:paraId="1ABB9A50" w14:textId="77777777" w:rsidR="00931298" w:rsidRPr="002D0535" w:rsidRDefault="00931298" w:rsidP="00C30155">
            <w:pPr>
              <w:spacing w:before="0"/>
              <w:rPr>
                <w:sz w:val="20"/>
              </w:rPr>
            </w:pPr>
          </w:p>
        </w:tc>
        <w:tc>
          <w:tcPr>
            <w:tcW w:w="3574" w:type="dxa"/>
            <w:gridSpan w:val="2"/>
          </w:tcPr>
          <w:p w14:paraId="2A1BAF34"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CD22A90" w14:textId="77777777" w:rsidTr="00DE1F2F">
        <w:trPr>
          <w:cantSplit/>
        </w:trPr>
        <w:tc>
          <w:tcPr>
            <w:tcW w:w="9811" w:type="dxa"/>
            <w:gridSpan w:val="4"/>
          </w:tcPr>
          <w:p w14:paraId="0FF8F4C0" w14:textId="77777777" w:rsidR="00931298" w:rsidRPr="007D6EC2" w:rsidRDefault="00931298" w:rsidP="007D6EC2">
            <w:pPr>
              <w:spacing w:before="0"/>
              <w:rPr>
                <w:sz w:val="20"/>
              </w:rPr>
            </w:pPr>
          </w:p>
        </w:tc>
      </w:tr>
      <w:tr w:rsidR="00931298" w:rsidRPr="0077349A" w14:paraId="770F6A3F" w14:textId="77777777" w:rsidTr="00DE1F2F">
        <w:trPr>
          <w:cantSplit/>
        </w:trPr>
        <w:tc>
          <w:tcPr>
            <w:tcW w:w="9811" w:type="dxa"/>
            <w:gridSpan w:val="4"/>
          </w:tcPr>
          <w:p w14:paraId="05B7CBBB" w14:textId="77777777" w:rsidR="00931298" w:rsidRPr="0077349A" w:rsidRDefault="00E83B2D" w:rsidP="00C30155">
            <w:pPr>
              <w:pStyle w:val="Source"/>
            </w:pPr>
            <w:r>
              <w:t>Member States of European Conference of Postal and Telecommunications Administrations (CEPT)</w:t>
            </w:r>
          </w:p>
        </w:tc>
      </w:tr>
      <w:tr w:rsidR="00931298" w:rsidRPr="0077349A" w14:paraId="363A6F0E" w14:textId="77777777" w:rsidTr="00DE1F2F">
        <w:trPr>
          <w:cantSplit/>
        </w:trPr>
        <w:tc>
          <w:tcPr>
            <w:tcW w:w="9811" w:type="dxa"/>
            <w:gridSpan w:val="4"/>
          </w:tcPr>
          <w:p w14:paraId="256BDE43" w14:textId="77777777" w:rsidR="00931298" w:rsidRPr="0077349A" w:rsidRDefault="00E83B2D" w:rsidP="00C30155">
            <w:pPr>
              <w:pStyle w:val="Title1"/>
            </w:pPr>
            <w:r>
              <w:t>PROPOSED MODIFICATION TO RESOLUTION 99</w:t>
            </w:r>
          </w:p>
        </w:tc>
      </w:tr>
      <w:tr w:rsidR="00657CDA" w:rsidRPr="0077349A" w14:paraId="308F4492" w14:textId="77777777" w:rsidTr="00DE1F2F">
        <w:trPr>
          <w:cantSplit/>
          <w:trHeight w:hRule="exact" w:val="240"/>
        </w:trPr>
        <w:tc>
          <w:tcPr>
            <w:tcW w:w="9811" w:type="dxa"/>
            <w:gridSpan w:val="4"/>
          </w:tcPr>
          <w:p w14:paraId="7AC34732" w14:textId="77777777" w:rsidR="00657CDA" w:rsidRPr="0077349A" w:rsidRDefault="00657CDA" w:rsidP="0078695E">
            <w:pPr>
              <w:pStyle w:val="Title2"/>
              <w:spacing w:before="0"/>
            </w:pPr>
          </w:p>
        </w:tc>
      </w:tr>
      <w:tr w:rsidR="00657CDA" w:rsidRPr="0077349A" w14:paraId="4109F48C" w14:textId="77777777" w:rsidTr="00DE1F2F">
        <w:trPr>
          <w:cantSplit/>
          <w:trHeight w:hRule="exact" w:val="240"/>
        </w:trPr>
        <w:tc>
          <w:tcPr>
            <w:tcW w:w="9811" w:type="dxa"/>
            <w:gridSpan w:val="4"/>
          </w:tcPr>
          <w:p w14:paraId="0346752D" w14:textId="77777777" w:rsidR="00657CDA" w:rsidRPr="0077349A" w:rsidRDefault="00657CDA" w:rsidP="00293F9A">
            <w:pPr>
              <w:pStyle w:val="Agendaitem"/>
              <w:spacing w:before="0"/>
            </w:pPr>
          </w:p>
        </w:tc>
      </w:tr>
    </w:tbl>
    <w:p w14:paraId="35F7775A" w14:textId="77777777" w:rsidR="00931298" w:rsidRPr="0077349A" w:rsidRDefault="00931298" w:rsidP="00931298"/>
    <w:tbl>
      <w:tblPr>
        <w:tblW w:w="5000" w:type="pct"/>
        <w:tblLayout w:type="fixed"/>
        <w:tblLook w:val="0000" w:firstRow="0" w:lastRow="0" w:firstColumn="0" w:lastColumn="0" w:noHBand="0" w:noVBand="0"/>
      </w:tblPr>
      <w:tblGrid>
        <w:gridCol w:w="1560"/>
        <w:gridCol w:w="3827"/>
        <w:gridCol w:w="4252"/>
      </w:tblGrid>
      <w:tr w:rsidR="00931298" w:rsidRPr="0077349A" w14:paraId="1CEAC808" w14:textId="77777777" w:rsidTr="00C8560A">
        <w:trPr>
          <w:cantSplit/>
        </w:trPr>
        <w:tc>
          <w:tcPr>
            <w:tcW w:w="1560" w:type="dxa"/>
          </w:tcPr>
          <w:p w14:paraId="71AA9607" w14:textId="77777777" w:rsidR="00931298" w:rsidRPr="0077349A" w:rsidRDefault="00931298" w:rsidP="00C30155">
            <w:r w:rsidRPr="0077349A">
              <w:rPr>
                <w:b/>
                <w:bCs/>
              </w:rPr>
              <w:t>Abstract:</w:t>
            </w:r>
          </w:p>
        </w:tc>
        <w:tc>
          <w:tcPr>
            <w:tcW w:w="8079" w:type="dxa"/>
            <w:gridSpan w:val="2"/>
          </w:tcPr>
          <w:p w14:paraId="384A7EAF" w14:textId="79DDAD4B" w:rsidR="00931298" w:rsidRPr="0077349A" w:rsidRDefault="00D70BD2" w:rsidP="00C30155">
            <w:pPr>
              <w:pStyle w:val="Abstract"/>
              <w:rPr>
                <w:lang w:val="en-GB"/>
              </w:rPr>
            </w:pPr>
            <w:r w:rsidRPr="00176A3E">
              <w:rPr>
                <w:lang w:val="en-GB"/>
              </w:rPr>
              <w:t>This CEPT proposal seeks modifications to WTSA Resolution 99 to acknowledge the necessity for ITU-T to establish a systematic approach for guiding a comprehensive and evolutionary strategic reform of the sector.</w:t>
            </w:r>
          </w:p>
        </w:tc>
      </w:tr>
      <w:tr w:rsidR="00D70BD2" w:rsidRPr="0077349A" w14:paraId="0A092681" w14:textId="77777777" w:rsidTr="00C8560A">
        <w:trPr>
          <w:cantSplit/>
        </w:trPr>
        <w:tc>
          <w:tcPr>
            <w:tcW w:w="1560" w:type="dxa"/>
          </w:tcPr>
          <w:p w14:paraId="7608A72E" w14:textId="4D094627" w:rsidR="00D70BD2" w:rsidRPr="0077349A" w:rsidRDefault="00D70BD2" w:rsidP="00D70BD2">
            <w:pPr>
              <w:rPr>
                <w:b/>
                <w:bCs/>
                <w:szCs w:val="24"/>
              </w:rPr>
            </w:pPr>
            <w:r w:rsidRPr="0077349A">
              <w:rPr>
                <w:b/>
                <w:bCs/>
                <w:szCs w:val="24"/>
              </w:rPr>
              <w:t>Contact:</w:t>
            </w:r>
          </w:p>
        </w:tc>
        <w:tc>
          <w:tcPr>
            <w:tcW w:w="3827" w:type="dxa"/>
          </w:tcPr>
          <w:p w14:paraId="45028C77" w14:textId="45A16541" w:rsidR="00D70BD2" w:rsidRPr="0077349A" w:rsidRDefault="00D70BD2" w:rsidP="00D70BD2">
            <w:r w:rsidRPr="00E7148F">
              <w:t>Paul Redwin</w:t>
            </w:r>
            <w:r w:rsidRPr="0077349A">
              <w:br/>
            </w:r>
            <w:r w:rsidRPr="001238E5">
              <w:t>Department for Science, Innovation and Technology (DSIT)</w:t>
            </w:r>
            <w:r w:rsidRPr="0077349A">
              <w:br/>
            </w:r>
            <w:r>
              <w:t>United Kingdom</w:t>
            </w:r>
          </w:p>
        </w:tc>
        <w:tc>
          <w:tcPr>
            <w:tcW w:w="4252" w:type="dxa"/>
          </w:tcPr>
          <w:p w14:paraId="0DD39BB5" w14:textId="0D55EDD5" w:rsidR="00D70BD2" w:rsidRPr="0077349A" w:rsidRDefault="00D70BD2" w:rsidP="00D70BD2">
            <w:r w:rsidRPr="009809EC">
              <w:t>E-mail:</w:t>
            </w:r>
            <w:r w:rsidR="00C8560A">
              <w:t xml:space="preserve"> </w:t>
            </w:r>
            <w:hyperlink r:id="rId14" w:history="1">
              <w:r w:rsidRPr="00AB4CE5">
                <w:rPr>
                  <w:rStyle w:val="Hyperlink"/>
                </w:rPr>
                <w:t>paul.Redwin@dsit.gov.uk</w:t>
              </w:r>
            </w:hyperlink>
          </w:p>
        </w:tc>
      </w:tr>
      <w:tr w:rsidR="00D70BD2" w:rsidRPr="0077349A" w14:paraId="4B7F88B1" w14:textId="77777777" w:rsidTr="00C8560A">
        <w:trPr>
          <w:cantSplit/>
        </w:trPr>
        <w:tc>
          <w:tcPr>
            <w:tcW w:w="1560" w:type="dxa"/>
          </w:tcPr>
          <w:p w14:paraId="002207BB" w14:textId="756E11A9" w:rsidR="00D70BD2" w:rsidRPr="0077349A" w:rsidRDefault="00D70BD2" w:rsidP="00D70BD2">
            <w:pPr>
              <w:rPr>
                <w:b/>
                <w:bCs/>
                <w:szCs w:val="24"/>
              </w:rPr>
            </w:pPr>
            <w:r w:rsidRPr="0077349A">
              <w:rPr>
                <w:b/>
                <w:bCs/>
                <w:szCs w:val="24"/>
              </w:rPr>
              <w:t>Contact:</w:t>
            </w:r>
          </w:p>
        </w:tc>
        <w:tc>
          <w:tcPr>
            <w:tcW w:w="3827" w:type="dxa"/>
          </w:tcPr>
          <w:p w14:paraId="348F521F" w14:textId="1AA88518" w:rsidR="00D70BD2" w:rsidRPr="0077349A" w:rsidRDefault="00D70BD2" w:rsidP="00D70BD2">
            <w:r w:rsidRPr="001A6A58">
              <w:rPr>
                <w:lang w:val="da-DK"/>
              </w:rPr>
              <w:t>Louis Morilhat</w:t>
            </w:r>
            <w:r w:rsidRPr="001A6A58">
              <w:rPr>
                <w:lang w:val="da-DK"/>
              </w:rPr>
              <w:br/>
              <w:t>Ministère de l'Économie, des Finances et de la Souveraineté industrielle et numérique</w:t>
            </w:r>
            <w:r w:rsidRPr="001A6A58">
              <w:rPr>
                <w:lang w:val="da-DK"/>
              </w:rPr>
              <w:br/>
              <w:t>France</w:t>
            </w:r>
          </w:p>
        </w:tc>
        <w:tc>
          <w:tcPr>
            <w:tcW w:w="4252" w:type="dxa"/>
          </w:tcPr>
          <w:p w14:paraId="794E4A26" w14:textId="5606FBFA" w:rsidR="00D70BD2" w:rsidRPr="0077349A" w:rsidRDefault="00D70BD2" w:rsidP="00D70BD2">
            <w:r w:rsidRPr="000F2DFD">
              <w:rPr>
                <w:lang w:val="da-DK"/>
              </w:rPr>
              <w:t>E-mail:</w:t>
            </w:r>
            <w:r w:rsidR="00C8560A">
              <w:rPr>
                <w:lang w:val="da-DK"/>
              </w:rPr>
              <w:t xml:space="preserve"> </w:t>
            </w:r>
            <w:hyperlink r:id="rId15" w:history="1">
              <w:r w:rsidR="00C8560A" w:rsidRPr="00C40FB7">
                <w:rPr>
                  <w:rStyle w:val="Hyperlink"/>
                  <w:lang w:val="da-DK"/>
                </w:rPr>
                <w:t>louis.morilhat@finances.gouv.fr</w:t>
              </w:r>
            </w:hyperlink>
          </w:p>
        </w:tc>
      </w:tr>
    </w:tbl>
    <w:p w14:paraId="1C16DBBD" w14:textId="77777777" w:rsidR="00A52D1A" w:rsidRPr="0077349A" w:rsidRDefault="00A52D1A" w:rsidP="00A52D1A"/>
    <w:p w14:paraId="33F88FF8"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653EF1E6" w14:textId="77777777" w:rsidR="00DB7BF1" w:rsidRDefault="002E4377">
      <w:pPr>
        <w:pStyle w:val="Proposal"/>
      </w:pPr>
      <w:r>
        <w:lastRenderedPageBreak/>
        <w:t>MOD</w:t>
      </w:r>
      <w:r>
        <w:tab/>
        <w:t>ECP/38A11/1</w:t>
      </w:r>
    </w:p>
    <w:p w14:paraId="1F7B9761" w14:textId="77777777" w:rsidR="00D70BD2" w:rsidRPr="00380B40" w:rsidRDefault="00D70BD2" w:rsidP="00D70BD2">
      <w:pPr>
        <w:pStyle w:val="ResNo"/>
      </w:pPr>
      <w:bookmarkStart w:id="0" w:name="_Toc104459805"/>
      <w:bookmarkStart w:id="1" w:name="_Toc104476613"/>
      <w:bookmarkStart w:id="2" w:name="_Toc111636816"/>
      <w:bookmarkStart w:id="3" w:name="_Toc111638506"/>
      <w:r w:rsidRPr="00380B40">
        <w:t>RESOLUTION</w:t>
      </w:r>
      <w:r w:rsidRPr="00380B40">
        <w:t> </w:t>
      </w:r>
      <w:r w:rsidRPr="00380B40">
        <w:rPr>
          <w:rStyle w:val="href"/>
        </w:rPr>
        <w:t>99</w:t>
      </w:r>
      <w:r w:rsidRPr="00380B40">
        <w:t xml:space="preserve"> (</w:t>
      </w:r>
      <w:del w:id="4" w:author="TSB-AAM" w:date="2024-09-19T16:08:00Z" w16du:dateUtc="2024-09-19T14:08:00Z">
        <w:r w:rsidRPr="00380B40" w:rsidDel="00B91D0A">
          <w:delText>Geneva, 2022</w:delText>
        </w:r>
      </w:del>
      <w:ins w:id="5" w:author="TSB-AAM" w:date="2024-09-19T16:08:00Z" w16du:dateUtc="2024-09-19T14:08:00Z">
        <w:r>
          <w:t>New Delhi, 2024</w:t>
        </w:r>
      </w:ins>
      <w:r w:rsidRPr="00380B40">
        <w:t>)</w:t>
      </w:r>
      <w:bookmarkEnd w:id="0"/>
      <w:bookmarkEnd w:id="1"/>
      <w:bookmarkEnd w:id="2"/>
      <w:bookmarkEnd w:id="3"/>
    </w:p>
    <w:p w14:paraId="636B3349" w14:textId="77777777" w:rsidR="00D70BD2" w:rsidRPr="00380B40" w:rsidRDefault="00D70BD2" w:rsidP="00D70BD2">
      <w:pPr>
        <w:pStyle w:val="Restitle"/>
      </w:pPr>
      <w:bookmarkStart w:id="6" w:name="_Toc104459806"/>
      <w:bookmarkStart w:id="7" w:name="_Toc104476614"/>
      <w:bookmarkStart w:id="8" w:name="_Toc111638507"/>
      <w:del w:id="9" w:author="TSB-AAM" w:date="2024-09-19T16:08:00Z" w16du:dateUtc="2024-09-19T14:08:00Z">
        <w:r w:rsidRPr="00380B40" w:rsidDel="00B91D0A">
          <w:delText xml:space="preserve">Consideration of </w:delText>
        </w:r>
      </w:del>
      <w:ins w:id="10" w:author="TSB-AAM" w:date="2024-09-19T16:08:00Z" w16du:dateUtc="2024-09-19T14:08:00Z">
        <w:r>
          <w:t xml:space="preserve">Ongoing </w:t>
        </w:r>
      </w:ins>
      <w:r w:rsidRPr="00380B40">
        <w:t>organizational reform of the ITU</w:t>
      </w:r>
      <w:r w:rsidRPr="00380B40">
        <w:br/>
        <w:t>Telecommunication Standardization Sector study groups</w:t>
      </w:r>
      <w:bookmarkEnd w:id="6"/>
      <w:bookmarkEnd w:id="7"/>
      <w:bookmarkEnd w:id="8"/>
      <w:ins w:id="11" w:author="TSB-AAM" w:date="2024-09-19T16:08:00Z" w16du:dateUtc="2024-09-19T14:08:00Z">
        <w:r w:rsidRPr="00B91D0A">
          <w:t xml:space="preserve"> </w:t>
        </w:r>
        <w:r>
          <w:t>and input into the ITU strategic plan</w:t>
        </w:r>
      </w:ins>
    </w:p>
    <w:p w14:paraId="229B6990" w14:textId="77777777" w:rsidR="00D70BD2" w:rsidRPr="00380B40" w:rsidRDefault="00D70BD2" w:rsidP="00D70BD2">
      <w:pPr>
        <w:pStyle w:val="Resref"/>
      </w:pPr>
      <w:r w:rsidRPr="00380B40">
        <w:t>(Geneva, 2022</w:t>
      </w:r>
      <w:ins w:id="12" w:author="TSB-AAM" w:date="2024-09-19T16:08:00Z" w16du:dateUtc="2024-09-19T14:08:00Z">
        <w:r>
          <w:t>; New Delhi, 2024</w:t>
        </w:r>
      </w:ins>
      <w:r w:rsidRPr="00380B40">
        <w:t>)</w:t>
      </w:r>
    </w:p>
    <w:p w14:paraId="3F2D7E52" w14:textId="77777777" w:rsidR="00D70BD2" w:rsidRPr="00380B40" w:rsidRDefault="00D70BD2" w:rsidP="00D70BD2">
      <w:pPr>
        <w:pStyle w:val="Normalaftertitle0"/>
      </w:pPr>
      <w:r w:rsidRPr="00380B40">
        <w:t>The World Telecommunication Standardization Assembly (</w:t>
      </w:r>
      <w:del w:id="13" w:author="TSB-AAM" w:date="2024-09-19T16:08:00Z" w16du:dateUtc="2024-09-19T14:08:00Z">
        <w:r w:rsidRPr="00380B40" w:rsidDel="00B91D0A">
          <w:delText>Geneva, 2022</w:delText>
        </w:r>
      </w:del>
      <w:ins w:id="14" w:author="TSB-AAM" w:date="2024-09-19T16:08:00Z" w16du:dateUtc="2024-09-19T14:08:00Z">
        <w:r>
          <w:t>New Delhi, 2024</w:t>
        </w:r>
      </w:ins>
      <w:r w:rsidRPr="00380B40">
        <w:t>),</w:t>
      </w:r>
    </w:p>
    <w:p w14:paraId="4F53F4CB" w14:textId="77777777" w:rsidR="00D70BD2" w:rsidRPr="00380B40" w:rsidRDefault="00D70BD2" w:rsidP="00D70BD2">
      <w:pPr>
        <w:pStyle w:val="Call"/>
        <w:rPr>
          <w:lang w:bidi="ar-EG"/>
        </w:rPr>
      </w:pPr>
      <w:r w:rsidRPr="00380B40">
        <w:rPr>
          <w:lang w:bidi="ar-EG"/>
        </w:rPr>
        <w:t>recalling</w:t>
      </w:r>
    </w:p>
    <w:p w14:paraId="62E2E3E4" w14:textId="77777777" w:rsidR="00D70BD2" w:rsidRPr="00380B40" w:rsidRDefault="00D70BD2" w:rsidP="00D70BD2">
      <w:r w:rsidRPr="00380B40">
        <w:rPr>
          <w:i/>
          <w:iCs/>
        </w:rPr>
        <w:t>a)</w:t>
      </w:r>
      <w:r w:rsidRPr="00380B40">
        <w:tab/>
        <w:t xml:space="preserve">No. 105 of the ITU Constitution and </w:t>
      </w:r>
      <w:del w:id="15" w:author="TSB-AAM" w:date="2024-09-19T16:08:00Z" w16du:dateUtc="2024-09-19T14:08:00Z">
        <w:r w:rsidRPr="00380B40" w:rsidDel="00B91D0A">
          <w:delText xml:space="preserve">No. 197 </w:delText>
        </w:r>
      </w:del>
      <w:ins w:id="16" w:author="TSB-AAM" w:date="2024-09-19T16:08:00Z" w16du:dateUtc="2024-09-19T14:08:00Z">
        <w:r>
          <w:t xml:space="preserve">Article 14 </w:t>
        </w:r>
      </w:ins>
      <w:r w:rsidRPr="00380B40">
        <w:t>of the ITU Convention;</w:t>
      </w:r>
    </w:p>
    <w:p w14:paraId="354D7AFE" w14:textId="77777777" w:rsidR="00D70BD2" w:rsidRDefault="00D70BD2" w:rsidP="00D70BD2">
      <w:pPr>
        <w:rPr>
          <w:ins w:id="17" w:author="TSB-AAM" w:date="2024-09-19T16:09:00Z" w16du:dateUtc="2024-09-19T14:09:00Z"/>
        </w:rPr>
      </w:pPr>
      <w:r w:rsidRPr="00380B40">
        <w:rPr>
          <w:i/>
          <w:iCs/>
        </w:rPr>
        <w:t>b)</w:t>
      </w:r>
      <w:r w:rsidRPr="00380B40">
        <w:tab/>
        <w:t xml:space="preserve">Resolution 151 (Rev. </w:t>
      </w:r>
      <w:del w:id="18" w:author="TSB-AAM" w:date="2024-09-19T16:09:00Z" w16du:dateUtc="2024-09-19T14:09:00Z">
        <w:r w:rsidRPr="00380B40" w:rsidDel="00B91D0A">
          <w:delText>Dubai, 2018</w:delText>
        </w:r>
      </w:del>
      <w:ins w:id="19" w:author="TSB-AAM" w:date="2024-09-19T16:09:00Z" w16du:dateUtc="2024-09-19T14:09:00Z">
        <w:r>
          <w:t>Bucharest, 2022</w:t>
        </w:r>
      </w:ins>
      <w:r w:rsidRPr="00380B40">
        <w:t>) of the Plenipotentiary Conference, on improvement of results-based management in ITU</w:t>
      </w:r>
      <w:del w:id="20" w:author="TSB-AAM" w:date="2024-09-19T16:09:00Z" w16du:dateUtc="2024-09-19T14:09:00Z">
        <w:r w:rsidRPr="00380B40" w:rsidDel="00B91D0A">
          <w:delText>,</w:delText>
        </w:r>
      </w:del>
      <w:ins w:id="21" w:author="TSB-AAM" w:date="2024-09-19T16:09:00Z" w16du:dateUtc="2024-09-19T14:09:00Z">
        <w:r>
          <w:t>;</w:t>
        </w:r>
      </w:ins>
    </w:p>
    <w:p w14:paraId="787441F4" w14:textId="77777777" w:rsidR="00D70BD2" w:rsidRPr="00380B40" w:rsidRDefault="00D70BD2" w:rsidP="00D70BD2">
      <w:ins w:id="22" w:author="TSB-AAM" w:date="2024-09-19T16:09:00Z" w16du:dateUtc="2024-09-19T14:09:00Z">
        <w:r w:rsidRPr="00D22768">
          <w:rPr>
            <w:i/>
            <w:iCs/>
          </w:rPr>
          <w:t>c)</w:t>
        </w:r>
        <w:r>
          <w:tab/>
        </w:r>
        <w:r w:rsidRPr="00D2512D">
          <w:t>Decision 5 (Rev. Bucharest 2022) of the ITU Plenipotentiary Conference on measures to improving ITU’s efficiency and reducing its expenses</w:t>
        </w:r>
        <w:r>
          <w:t>,</w:t>
        </w:r>
      </w:ins>
    </w:p>
    <w:p w14:paraId="1F132C1F" w14:textId="77777777" w:rsidR="00D70BD2" w:rsidRPr="00380B40" w:rsidRDefault="00D70BD2" w:rsidP="00D70BD2">
      <w:pPr>
        <w:pStyle w:val="Call"/>
      </w:pPr>
      <w:r w:rsidRPr="00380B40">
        <w:rPr>
          <w:lang w:bidi="ar-EG"/>
        </w:rPr>
        <w:t>considering</w:t>
      </w:r>
    </w:p>
    <w:p w14:paraId="3D906C1E" w14:textId="77777777" w:rsidR="00D70BD2" w:rsidRPr="00380B40" w:rsidRDefault="00D70BD2" w:rsidP="00D70BD2">
      <w:r w:rsidRPr="00380B40">
        <w:rPr>
          <w:i/>
          <w:iCs/>
        </w:rPr>
        <w:t>a)</w:t>
      </w:r>
      <w:r w:rsidRPr="00380B40">
        <w:tab/>
        <w:t>the provisions of the Constitution and Convention related to strategic goals and objectives of the Union;</w:t>
      </w:r>
    </w:p>
    <w:p w14:paraId="68907FFB" w14:textId="77777777" w:rsidR="00D70BD2" w:rsidRPr="00380B40" w:rsidRDefault="00D70BD2" w:rsidP="00D70BD2">
      <w:r w:rsidRPr="00380B40">
        <w:rPr>
          <w:i/>
          <w:iCs/>
        </w:rPr>
        <w:t>b)</w:t>
      </w:r>
      <w:r w:rsidRPr="00380B40">
        <w:tab/>
        <w:t xml:space="preserve">the strategic </w:t>
      </w:r>
      <w:del w:id="23" w:author="TSB-AAM" w:date="2024-09-19T16:10:00Z" w16du:dateUtc="2024-09-19T14:10:00Z">
        <w:r w:rsidRPr="00380B40" w:rsidDel="00B91D0A">
          <w:delText xml:space="preserve">objectives and </w:delText>
        </w:r>
      </w:del>
      <w:r w:rsidRPr="00380B40">
        <w:t xml:space="preserve">goals </w:t>
      </w:r>
      <w:ins w:id="24" w:author="TSB-AAM" w:date="2024-09-19T16:10:00Z" w16du:dateUtc="2024-09-19T14:10:00Z">
        <w:r w:rsidRPr="00B91D0A">
          <w:t xml:space="preserve">and thematic priorities </w:t>
        </w:r>
      </w:ins>
      <w:r w:rsidRPr="00380B40">
        <w:t>of the ITU</w:t>
      </w:r>
      <w:del w:id="25" w:author="TSB-AAM" w:date="2024-09-19T16:10:00Z" w16du:dateUtc="2024-09-19T14:10:00Z">
        <w:r w:rsidRPr="00380B40" w:rsidDel="00B91D0A">
          <w:delText xml:space="preserve"> Telecommunication Standardization Sector (ITU-T) and their implementation criteria</w:delText>
        </w:r>
      </w:del>
      <w:r w:rsidRPr="00380B40">
        <w:t xml:space="preserve">, </w:t>
      </w:r>
      <w:ins w:id="26" w:author="TSB-AAM" w:date="2024-09-19T16:10:00Z" w16du:dateUtc="2024-09-19T14:10:00Z">
        <w:r>
          <w:t xml:space="preserve">as </w:t>
        </w:r>
      </w:ins>
      <w:r w:rsidRPr="00380B40">
        <w:t xml:space="preserve">set out </w:t>
      </w:r>
      <w:ins w:id="27" w:author="TSB-AAM" w:date="2024-09-19T16:10:00Z" w16du:dateUtc="2024-09-19T14:10:00Z">
        <w:r>
          <w:t xml:space="preserve">in the ITU strategic plan </w:t>
        </w:r>
      </w:ins>
      <w:r w:rsidRPr="00380B40">
        <w:t xml:space="preserve">in Annex 1 to Resolution 71 (Rev. </w:t>
      </w:r>
      <w:del w:id="28" w:author="TSB-AAM" w:date="2024-09-19T16:10:00Z" w16du:dateUtc="2024-09-19T14:10:00Z">
        <w:r w:rsidRPr="00380B40" w:rsidDel="00B91D0A">
          <w:delText>Dubai, 2018</w:delText>
        </w:r>
      </w:del>
      <w:ins w:id="29" w:author="TSB-AAM" w:date="2024-09-19T16:10:00Z" w16du:dateUtc="2024-09-19T14:10:00Z">
        <w:r>
          <w:t>Bucharest, 2022</w:t>
        </w:r>
      </w:ins>
      <w:r w:rsidRPr="00380B40">
        <w:t>) of the Plenipotentiary Conference;</w:t>
      </w:r>
    </w:p>
    <w:p w14:paraId="0A8AAC29" w14:textId="77777777" w:rsidR="00D70BD2" w:rsidRPr="00380B40" w:rsidRDefault="00D70BD2" w:rsidP="00D70BD2">
      <w:pPr>
        <w:rPr>
          <w:i/>
          <w:iCs/>
        </w:rPr>
      </w:pPr>
      <w:r w:rsidRPr="00380B40">
        <w:rPr>
          <w:i/>
          <w:iCs/>
        </w:rPr>
        <w:t>c)</w:t>
      </w:r>
      <w:r w:rsidRPr="00380B40">
        <w:tab/>
        <w:t>Resolution 122 (Rev. Guadalajara, 2010) of the Plenipotentiary Conference, on the evolving role of the World Telecommunication Standardization Assembly (WTSA);</w:t>
      </w:r>
      <w:r w:rsidRPr="00380B40">
        <w:rPr>
          <w:i/>
          <w:iCs/>
        </w:rPr>
        <w:t xml:space="preserve"> </w:t>
      </w:r>
    </w:p>
    <w:p w14:paraId="04FB4A8F" w14:textId="77777777" w:rsidR="00D70BD2" w:rsidRPr="00380B40" w:rsidRDefault="00D70BD2" w:rsidP="00D70BD2">
      <w:r w:rsidRPr="00380B40">
        <w:rPr>
          <w:i/>
          <w:iCs/>
        </w:rPr>
        <w:t>d)</w:t>
      </w:r>
      <w:r w:rsidRPr="00380B40">
        <w:tab/>
        <w:t xml:space="preserve">Resolution 2 (Rev. </w:t>
      </w:r>
      <w:del w:id="30" w:author="TSB-AAM" w:date="2024-09-19T16:10:00Z" w16du:dateUtc="2024-09-19T14:10:00Z">
        <w:r w:rsidRPr="00380B40" w:rsidDel="00B91D0A">
          <w:delText>Geneva, 2022</w:delText>
        </w:r>
      </w:del>
      <w:ins w:id="31" w:author="TSB-AAM" w:date="2024-09-19T16:10:00Z" w16du:dateUtc="2024-09-19T14:10:00Z">
        <w:r>
          <w:t>New Delh</w:t>
        </w:r>
      </w:ins>
      <w:ins w:id="32" w:author="TSB-AAM" w:date="2024-09-19T16:11:00Z" w16du:dateUtc="2024-09-19T14:11:00Z">
        <w:r>
          <w:t>i, 2024</w:t>
        </w:r>
      </w:ins>
      <w:r w:rsidRPr="00380B40">
        <w:t>) of this assembly, on ITU-T study group responsibilities and mandates;</w:t>
      </w:r>
    </w:p>
    <w:p w14:paraId="37680320" w14:textId="77777777" w:rsidR="00D70BD2" w:rsidRDefault="00D70BD2" w:rsidP="00D70BD2">
      <w:pPr>
        <w:rPr>
          <w:ins w:id="33" w:author="TSB-AAM" w:date="2024-09-19T16:11:00Z" w16du:dateUtc="2024-09-19T14:11:00Z"/>
        </w:rPr>
      </w:pPr>
      <w:r w:rsidRPr="00380B40">
        <w:rPr>
          <w:i/>
          <w:iCs/>
        </w:rPr>
        <w:t>e)</w:t>
      </w:r>
      <w:r w:rsidRPr="00380B40">
        <w:tab/>
        <w:t>§ 44 of the Declaration of Principles of the World Summit on the Information Society, emphasizing that standardization is one of the essential building blocks of the information society</w:t>
      </w:r>
      <w:del w:id="34" w:author="TSB-AAM" w:date="2024-09-19T16:11:00Z" w16du:dateUtc="2024-09-19T14:11:00Z">
        <w:r w:rsidRPr="00380B40" w:rsidDel="00B91D0A">
          <w:delText>,</w:delText>
        </w:r>
      </w:del>
      <w:ins w:id="35" w:author="TSB-AAM" w:date="2024-09-19T16:11:00Z" w16du:dateUtc="2024-09-19T14:11:00Z">
        <w:r>
          <w:t>;</w:t>
        </w:r>
      </w:ins>
    </w:p>
    <w:p w14:paraId="2C4CBECA" w14:textId="77777777" w:rsidR="00D70BD2" w:rsidRPr="00380B40" w:rsidRDefault="00D70BD2" w:rsidP="00D70BD2">
      <w:ins w:id="36" w:author="TSB-AAM" w:date="2024-09-19T16:11:00Z" w16du:dateUtc="2024-09-19T14:11:00Z">
        <w:r w:rsidRPr="00D22768">
          <w:rPr>
            <w:i/>
            <w:iCs/>
          </w:rPr>
          <w:t>f)</w:t>
        </w:r>
        <w:r>
          <w:tab/>
        </w:r>
        <w:r w:rsidRPr="00D22768">
          <w:t>Resolution 22 (Rev. Geneva 2022) of this assembly on the authorization for the Telecommunication Standardization Advisory Group to act between World Telecommunication Standardization Assemblies</w:t>
        </w:r>
        <w:r>
          <w:t>,</w:t>
        </w:r>
      </w:ins>
    </w:p>
    <w:p w14:paraId="17400EE5" w14:textId="77777777" w:rsidR="00D70BD2" w:rsidRPr="00380B40" w:rsidRDefault="00D70BD2" w:rsidP="00D70BD2">
      <w:pPr>
        <w:pStyle w:val="Call"/>
      </w:pPr>
      <w:r w:rsidRPr="00380B40">
        <w:rPr>
          <w:lang w:bidi="ar-EG"/>
        </w:rPr>
        <w:t>recognizing</w:t>
      </w:r>
      <w:r w:rsidRPr="00380B40">
        <w:t xml:space="preserve"> </w:t>
      </w:r>
    </w:p>
    <w:p w14:paraId="0F8833EC" w14:textId="77777777" w:rsidR="00D70BD2" w:rsidRPr="00380B40" w:rsidRDefault="00D70BD2" w:rsidP="00D70BD2">
      <w:r w:rsidRPr="00380B40">
        <w:rPr>
          <w:i/>
          <w:iCs/>
        </w:rPr>
        <w:t>a)</w:t>
      </w:r>
      <w:r w:rsidRPr="00380B40">
        <w:tab/>
        <w:t>that, since the standardization landscape</w:t>
      </w:r>
      <w:del w:id="37" w:author="TSB-AAM" w:date="2024-09-19T16:11:00Z" w16du:dateUtc="2024-09-19T14:11:00Z">
        <w:r w:rsidRPr="00380B40" w:rsidDel="00B91D0A">
          <w:delText xml:space="preserve"> has changed significantly</w:delText>
        </w:r>
      </w:del>
      <w:ins w:id="38" w:author="TSB-AAM" w:date="2024-09-19T16:12:00Z" w16du:dateUtc="2024-09-19T14:12:00Z">
        <w:r>
          <w:t xml:space="preserve"> </w:t>
        </w:r>
      </w:ins>
      <w:ins w:id="39" w:author="TSB-AAM" w:date="2024-09-19T16:11:00Z" w16du:dateUtc="2024-09-19T14:11:00Z">
        <w:r>
          <w:t>continues to evolve rapidly</w:t>
        </w:r>
      </w:ins>
      <w:r w:rsidRPr="00380B40">
        <w:t xml:space="preserve">, ITU-T should consider </w:t>
      </w:r>
      <w:del w:id="40" w:author="TSB-AAM" w:date="2024-09-19T16:12:00Z" w16du:dateUtc="2024-09-19T14:12:00Z">
        <w:r w:rsidRPr="00380B40" w:rsidDel="00CF303F">
          <w:delText xml:space="preserve">if and </w:delText>
        </w:r>
      </w:del>
      <w:r w:rsidRPr="00380B40">
        <w:t xml:space="preserve">how to adapt to the </w:t>
      </w:r>
      <w:del w:id="41" w:author="TSB-AAM" w:date="2024-09-19T16:12:00Z" w16du:dateUtc="2024-09-19T14:12:00Z">
        <w:r w:rsidRPr="00380B40" w:rsidDel="00CF303F">
          <w:delText xml:space="preserve">rapidly </w:delText>
        </w:r>
      </w:del>
      <w:r w:rsidRPr="00380B40">
        <w:t xml:space="preserve">changing circumstances in line with the expectations of public and private-sector participants through, among other aspects, </w:t>
      </w:r>
      <w:del w:id="42" w:author="TSB-AAM" w:date="2024-09-19T16:12:00Z" w16du:dateUtc="2024-09-19T14:12:00Z">
        <w:r w:rsidRPr="00380B40" w:rsidDel="00CF303F">
          <w:delText xml:space="preserve">a </w:delText>
        </w:r>
      </w:del>
      <w:ins w:id="43" w:author="TSB-AAM" w:date="2024-09-19T16:12:00Z" w16du:dateUtc="2024-09-19T14:12:00Z">
        <w:r>
          <w:t>an going reform</w:t>
        </w:r>
      </w:ins>
      <w:del w:id="44" w:author="TSB-AAM" w:date="2024-09-19T16:12:00Z" w16du:dateUtc="2024-09-19T14:12:00Z">
        <w:r w:rsidRPr="00380B40" w:rsidDel="00CF303F">
          <w:delText>review</w:delText>
        </w:r>
      </w:del>
      <w:r w:rsidRPr="00380B40">
        <w:t xml:space="preserve"> of the </w:t>
      </w:r>
      <w:ins w:id="45" w:author="TSB-AAM" w:date="2024-09-19T16:12:00Z" w16du:dateUtc="2024-09-19T14:12:00Z">
        <w:r>
          <w:t xml:space="preserve">ITU-T </w:t>
        </w:r>
      </w:ins>
      <w:r w:rsidRPr="00380B40">
        <w:t xml:space="preserve">study group structure </w:t>
      </w:r>
      <w:ins w:id="46" w:author="TSB-AAM" w:date="2024-09-19T16:12:00Z" w16du:dateUtc="2024-09-19T14:12:00Z">
        <w:r>
          <w:t xml:space="preserve">and by </w:t>
        </w:r>
      </w:ins>
      <w:ins w:id="47" w:author="TSB-AAM" w:date="2024-09-19T16:13:00Z" w16du:dateUtc="2024-09-19T14:13:00Z">
        <w:r>
          <w:t>planning</w:t>
        </w:r>
      </w:ins>
      <w:ins w:id="48" w:author="TSB-AAM" w:date="2024-09-19T16:12:00Z" w16du:dateUtc="2024-09-19T14:12:00Z">
        <w:r>
          <w:t xml:space="preserve"> its </w:t>
        </w:r>
      </w:ins>
      <w:ins w:id="49" w:author="TSB-AAM" w:date="2024-09-19T16:13:00Z" w16du:dateUtc="2024-09-19T14:13:00Z">
        <w:r>
          <w:t>strategic</w:t>
        </w:r>
      </w:ins>
      <w:ins w:id="50" w:author="TSB-AAM" w:date="2024-09-19T16:12:00Z" w16du:dateUtc="2024-09-19T14:12:00Z">
        <w:r>
          <w:t xml:space="preserve"> goals and </w:t>
        </w:r>
      </w:ins>
      <w:ins w:id="51" w:author="TSB-AAM" w:date="2024-09-19T16:13:00Z" w16du:dateUtc="2024-09-19T14:13:00Z">
        <w:r>
          <w:t>priorities</w:t>
        </w:r>
      </w:ins>
      <w:del w:id="52" w:author="TSB-AAM" w:date="2024-09-19T16:13:00Z" w16du:dateUtc="2024-09-19T14:13:00Z">
        <w:r w:rsidRPr="00380B40" w:rsidDel="00CF303F">
          <w:delText>and a thorough analysis of organizational reform of ITU-T study groups</w:delText>
        </w:r>
      </w:del>
      <w:r w:rsidRPr="00380B40">
        <w:t>;</w:t>
      </w:r>
    </w:p>
    <w:p w14:paraId="773C9835" w14:textId="77777777" w:rsidR="00D70BD2" w:rsidRDefault="00D70BD2" w:rsidP="00D70BD2">
      <w:pPr>
        <w:rPr>
          <w:ins w:id="53" w:author="TSB-AAM" w:date="2024-09-19T16:13:00Z" w16du:dateUtc="2024-09-19T14:13:00Z"/>
        </w:rPr>
      </w:pPr>
      <w:r w:rsidRPr="00380B40">
        <w:rPr>
          <w:i/>
          <w:iCs/>
        </w:rPr>
        <w:t>b)</w:t>
      </w:r>
      <w:r w:rsidRPr="00380B40">
        <w:tab/>
      </w:r>
      <w:ins w:id="54" w:author="TSB-AAM" w:date="2024-09-19T16:13:00Z" w16du:dateUtc="2024-09-19T14:13:00Z">
        <w:r w:rsidRPr="003719E1">
          <w:t>that there is an opportunity for ITU-T to input its goals and priorities into the ITU strategic plan as drafted by ITU Council ahead of the Plenipotentiary Conference, and this approach is already used in ITU-D by TDAG to ensure the plan reflects the views of the sector</w:t>
        </w:r>
        <w:r>
          <w:t>;</w:t>
        </w:r>
      </w:ins>
    </w:p>
    <w:p w14:paraId="6AA82149" w14:textId="77777777" w:rsidR="00D70BD2" w:rsidRPr="00380B40" w:rsidRDefault="00D70BD2" w:rsidP="00D70BD2">
      <w:ins w:id="55" w:author="TSB-AAM" w:date="2024-09-19T16:13:00Z" w16du:dateUtc="2024-09-19T14:13:00Z">
        <w:r w:rsidRPr="00CF303F">
          <w:rPr>
            <w:i/>
            <w:iCs/>
            <w:rPrChange w:id="56" w:author="TSB-AAM" w:date="2024-09-19T16:13:00Z" w16du:dateUtc="2024-09-19T14:13:00Z">
              <w:rPr/>
            </w:rPrChange>
          </w:rPr>
          <w:t>c)</w:t>
        </w:r>
        <w:r>
          <w:tab/>
        </w:r>
      </w:ins>
      <w:r w:rsidRPr="00380B40">
        <w:t>that reaching a re-engineered ITU-T study group structure requires that it be a consequence and the result of a clear and a thorough analysis that will allow mandates to address the evolution of telecommunications/information and communication technologies;</w:t>
      </w:r>
    </w:p>
    <w:p w14:paraId="4F11ED6C" w14:textId="77777777" w:rsidR="00D70BD2" w:rsidRPr="00380B40" w:rsidRDefault="00D70BD2" w:rsidP="00D70BD2">
      <w:del w:id="57" w:author="TSB-AAM" w:date="2024-09-19T16:13:00Z" w16du:dateUtc="2024-09-19T14:13:00Z">
        <w:r w:rsidRPr="00380B40" w:rsidDel="00CF303F">
          <w:rPr>
            <w:i/>
            <w:iCs/>
          </w:rPr>
          <w:lastRenderedPageBreak/>
          <w:delText>c</w:delText>
        </w:r>
      </w:del>
      <w:ins w:id="58" w:author="TSB-AAM" w:date="2024-09-19T16:13:00Z" w16du:dateUtc="2024-09-19T14:13:00Z">
        <w:r>
          <w:rPr>
            <w:i/>
            <w:iCs/>
          </w:rPr>
          <w:t>d</w:t>
        </w:r>
      </w:ins>
      <w:r w:rsidRPr="00380B40">
        <w:rPr>
          <w:i/>
          <w:iCs/>
        </w:rPr>
        <w:t>)</w:t>
      </w:r>
      <w:r w:rsidRPr="00380B40">
        <w:tab/>
        <w:t xml:space="preserve">that a re-engineered ITU-T study group structure needs to increase the efficiency </w:t>
      </w:r>
      <w:ins w:id="59" w:author="TSB-AAM" w:date="2024-09-19T16:13:00Z" w16du:dateUtc="2024-09-19T14:13:00Z">
        <w:r>
          <w:t xml:space="preserve">and </w:t>
        </w:r>
      </w:ins>
      <w:ins w:id="60" w:author="TSB-AAM" w:date="2024-09-19T16:14:00Z" w16du:dateUtc="2024-09-19T14:14:00Z">
        <w:r>
          <w:t xml:space="preserve">effectiveness of the IT as well as its </w:t>
        </w:r>
      </w:ins>
      <w:del w:id="61" w:author="TSB-AAM" w:date="2024-09-19T16:14:00Z" w16du:dateUtc="2024-09-19T14:14:00Z">
        <w:r w:rsidRPr="00380B40" w:rsidDel="00CF303F">
          <w:delText xml:space="preserve">of </w:delText>
        </w:r>
      </w:del>
      <w:r w:rsidRPr="00380B40">
        <w:t xml:space="preserve">collaboration </w:t>
      </w:r>
      <w:del w:id="62" w:author="TSB-AAM" w:date="2024-09-19T16:14:00Z" w16du:dateUtc="2024-09-19T14:14:00Z">
        <w:r w:rsidRPr="00380B40" w:rsidDel="00CF303F">
          <w:delText xml:space="preserve">within ITU and </w:delText>
        </w:r>
      </w:del>
      <w:r w:rsidRPr="00380B40">
        <w:t>with other organizations,</w:t>
      </w:r>
    </w:p>
    <w:p w14:paraId="7DCE2465" w14:textId="77777777" w:rsidR="00D70BD2" w:rsidRPr="00380B40" w:rsidRDefault="00D70BD2" w:rsidP="00D70BD2">
      <w:pPr>
        <w:pStyle w:val="Call"/>
      </w:pPr>
      <w:r w:rsidRPr="00380B40">
        <w:t>noting</w:t>
      </w:r>
    </w:p>
    <w:p w14:paraId="68572090" w14:textId="02504A6E" w:rsidR="00D70BD2" w:rsidRDefault="00D70BD2" w:rsidP="00D70BD2">
      <w:pPr>
        <w:rPr>
          <w:ins w:id="63" w:author="TSB-AAM" w:date="2024-09-19T16:15:00Z" w16du:dateUtc="2024-09-19T14:15:00Z"/>
        </w:rPr>
      </w:pPr>
      <w:ins w:id="64" w:author="TSB-AAM" w:date="2024-09-19T16:14:00Z" w16du:dateUtc="2024-09-19T14:14:00Z">
        <w:r w:rsidRPr="00CF303F">
          <w:rPr>
            <w:i/>
            <w:iCs/>
            <w:rPrChange w:id="65" w:author="TSB-AAM" w:date="2024-09-19T16:14:00Z" w16du:dateUtc="2024-09-19T14:14:00Z">
              <w:rPr/>
            </w:rPrChange>
          </w:rPr>
          <w:t>a)</w:t>
        </w:r>
        <w:r>
          <w:tab/>
        </w:r>
      </w:ins>
      <w:del w:id="66" w:author="TSB-AAM" w:date="2024-09-19T16:14:00Z" w16du:dateUtc="2024-09-19T14:14:00Z">
        <w:r w:rsidRPr="00380B40" w:rsidDel="00CF303F">
          <w:delText xml:space="preserve">the discussions in </w:delText>
        </w:r>
      </w:del>
      <w:ins w:id="67" w:author="TSB-AAM" w:date="2024-09-19T16:14:00Z" w16du:dateUtc="2024-09-19T14:14:00Z">
        <w:r>
          <w:t xml:space="preserve">that </w:t>
        </w:r>
      </w:ins>
      <w:r w:rsidRPr="00380B40">
        <w:t xml:space="preserve">the Telecommunication Standardization Advisory Group (TSAG) </w:t>
      </w:r>
      <w:del w:id="68" w:author="TSB-AAM" w:date="2024-09-19T16:14:00Z" w16du:dateUtc="2024-09-19T14:14:00Z">
        <w:r w:rsidRPr="00380B40" w:rsidDel="00CF303F">
          <w:delText xml:space="preserve">meetings that have resulted in </w:delText>
        </w:r>
      </w:del>
      <w:ins w:id="69" w:author="TSB-AAM" w:date="2024-09-19T16:14:00Z" w16du:dateUtc="2024-09-19T14:14:00Z">
        <w:r>
          <w:t>has progre</w:t>
        </w:r>
      </w:ins>
      <w:ins w:id="70" w:author="TSB-AAM" w:date="2024-09-19T16:15:00Z" w16du:dateUtc="2024-09-19T14:15:00Z">
        <w:r>
          <w:t xml:space="preserve">ssed </w:t>
        </w:r>
      </w:ins>
      <w:r w:rsidRPr="00380B40">
        <w:t xml:space="preserve">the action plan proposed to </w:t>
      </w:r>
      <w:del w:id="71" w:author="TSB-AAM" w:date="2024-09-19T16:15:00Z" w16du:dateUtc="2024-09-19T14:15:00Z">
        <w:r w:rsidRPr="00380B40" w:rsidDel="00CF303F">
          <w:delText xml:space="preserve">this assembly </w:delText>
        </w:r>
      </w:del>
      <w:ins w:id="72" w:author="TSB-AAM" w:date="2024-09-19T16:15:00Z" w16du:dateUtc="2024-09-19T14:15:00Z">
        <w:r>
          <w:t xml:space="preserve">WTSA-20 </w:t>
        </w:r>
      </w:ins>
      <w:r w:rsidRPr="00380B40">
        <w:t>by TSAG entitled "Draft action plan for the analysis of ITU-T study group restructuring"</w:t>
      </w:r>
      <w:del w:id="73" w:author="TSB-AAM" w:date="2024-09-19T16:15:00Z" w16du:dateUtc="2024-09-19T14:15:00Z">
        <w:r w:rsidRPr="00380B40" w:rsidDel="00CF303F">
          <w:delText>,</w:delText>
        </w:r>
      </w:del>
      <w:ins w:id="74" w:author="TSB-AAM" w:date="2024-09-19T16:15:00Z" w16du:dateUtc="2024-09-19T14:15:00Z">
        <w:r>
          <w:t>;</w:t>
        </w:r>
      </w:ins>
    </w:p>
    <w:p w14:paraId="71892779" w14:textId="77777777" w:rsidR="00D70BD2" w:rsidRPr="00380B40" w:rsidRDefault="00D70BD2" w:rsidP="00D70BD2">
      <w:ins w:id="75" w:author="TSB-AAM" w:date="2024-09-19T16:15:00Z" w16du:dateUtc="2024-09-19T14:15:00Z">
        <w:r w:rsidRPr="00CF303F">
          <w:rPr>
            <w:i/>
            <w:iCs/>
            <w:rPrChange w:id="76" w:author="TSB-AAM" w:date="2024-09-19T16:15:00Z" w16du:dateUtc="2024-09-19T14:15:00Z">
              <w:rPr/>
            </w:rPrChange>
          </w:rPr>
          <w:t>b)</w:t>
        </w:r>
        <w:r>
          <w:tab/>
        </w:r>
        <w:r w:rsidRPr="00B1068B">
          <w:rPr>
            <w:lang w:val="fr-FR"/>
          </w:rPr>
          <w:t>that TSAG has established several Rapporteur Groups to address important aspects related to ITU-T study group restructuring, working methods and industry engagement, and strategic and operational planning</w:t>
        </w:r>
        <w:r>
          <w:rPr>
            <w:lang w:val="fr-FR"/>
          </w:rPr>
          <w:t>,</w:t>
        </w:r>
      </w:ins>
    </w:p>
    <w:p w14:paraId="35BC5421" w14:textId="77777777" w:rsidR="00D70BD2" w:rsidRPr="00380B40" w:rsidRDefault="00D70BD2" w:rsidP="00D70BD2">
      <w:pPr>
        <w:pStyle w:val="Call"/>
      </w:pPr>
      <w:r w:rsidRPr="00380B40">
        <w:t>resolves</w:t>
      </w:r>
    </w:p>
    <w:p w14:paraId="14F4438B" w14:textId="77777777" w:rsidR="00D70BD2" w:rsidRPr="00380B40" w:rsidDel="00CF303F" w:rsidRDefault="00D70BD2" w:rsidP="00D70BD2">
      <w:pPr>
        <w:rPr>
          <w:del w:id="77" w:author="TSB-AAM" w:date="2024-09-19T16:15:00Z" w16du:dateUtc="2024-09-19T14:15:00Z"/>
        </w:rPr>
      </w:pPr>
      <w:del w:id="78" w:author="TSB-AAM" w:date="2024-09-19T16:15:00Z" w16du:dateUtc="2024-09-19T14:15:00Z">
        <w:r w:rsidRPr="00380B40" w:rsidDel="00CF303F">
          <w:delText>1</w:delText>
        </w:r>
        <w:r w:rsidRPr="00380B40" w:rsidDel="00CF303F">
          <w:tab/>
          <w:delText>to implement the action plan for the analysis of ITU-T study group restructuring that was produced by TSAG;</w:delText>
        </w:r>
      </w:del>
    </w:p>
    <w:p w14:paraId="79CFDEE5" w14:textId="77777777" w:rsidR="00D70BD2" w:rsidRPr="00380B40" w:rsidDel="00CF303F" w:rsidRDefault="00D70BD2" w:rsidP="00D70BD2">
      <w:pPr>
        <w:rPr>
          <w:del w:id="79" w:author="TSB-AAM" w:date="2024-09-19T16:15:00Z" w16du:dateUtc="2024-09-19T14:15:00Z"/>
        </w:rPr>
      </w:pPr>
      <w:del w:id="80" w:author="TSB-AAM" w:date="2024-09-19T16:15:00Z" w16du:dateUtc="2024-09-19T14:15:00Z">
        <w:r w:rsidRPr="00380B40" w:rsidDel="00CF303F">
          <w:delText>2</w:delText>
        </w:r>
        <w:r w:rsidRPr="00380B40" w:rsidDel="00CF303F">
          <w:tab/>
          <w:delText>that TSAG has the responsibility to manage the analysis of ITU-T study group restructuring based upon contributions to TSAG from Member States and ITU-T Sector Members;</w:delText>
        </w:r>
      </w:del>
    </w:p>
    <w:p w14:paraId="36A6E842" w14:textId="77777777" w:rsidR="00D70BD2" w:rsidDel="00CF303F" w:rsidRDefault="00D70BD2" w:rsidP="00D70BD2">
      <w:pPr>
        <w:rPr>
          <w:del w:id="81" w:author="TSB-AAM" w:date="2024-09-19T16:15:00Z" w16du:dateUtc="2024-09-19T14:15:00Z"/>
          <w:rFonts w:eastAsiaTheme="minorHAnsi"/>
        </w:rPr>
      </w:pPr>
      <w:del w:id="82" w:author="TSB-AAM" w:date="2024-09-19T16:15:00Z" w16du:dateUtc="2024-09-19T14:15:00Z">
        <w:r w:rsidRPr="00380B40" w:rsidDel="00CF303F">
          <w:rPr>
            <w:rFonts w:eastAsiaTheme="minorHAnsi"/>
          </w:rPr>
          <w:delText>3</w:delText>
        </w:r>
        <w:r w:rsidRPr="00380B40" w:rsidDel="00CF303F">
          <w:rPr>
            <w:rFonts w:eastAsiaTheme="minorHAnsi"/>
          </w:rPr>
          <w:tab/>
          <w:delText>that the output of the possible reform and review is guidance for the next WTSA and its implementation is not mandatory,</w:delText>
        </w:r>
      </w:del>
    </w:p>
    <w:p w14:paraId="3C290990" w14:textId="77777777" w:rsidR="00D70BD2" w:rsidRPr="00380B40" w:rsidRDefault="00D70BD2" w:rsidP="00D70BD2">
      <w:pPr>
        <w:rPr>
          <w:ins w:id="83" w:author="TSB-AAM" w:date="2024-09-19T16:15:00Z" w16du:dateUtc="2024-09-19T14:15:00Z"/>
          <w:rFonts w:eastAsiaTheme="minorHAnsi"/>
          <w:i/>
        </w:rPr>
      </w:pPr>
      <w:ins w:id="84" w:author="TSB-AAM" w:date="2024-09-19T16:15:00Z" w16du:dateUtc="2024-09-19T14:15:00Z">
        <w:r>
          <w:t>to develop a strategy for ongoing ITU-T reform, that is aligned with the ITU strategic plan, to ensure that ITU-T remains relevant and effective in an ever-changing telecommunications landscape,</w:t>
        </w:r>
      </w:ins>
    </w:p>
    <w:p w14:paraId="0D60AE22" w14:textId="77777777" w:rsidR="00D70BD2" w:rsidRPr="00380B40" w:rsidRDefault="00D70BD2" w:rsidP="00D70BD2">
      <w:pPr>
        <w:pStyle w:val="Call"/>
      </w:pPr>
      <w:r w:rsidRPr="00380B40">
        <w:t>instructs the Telecommunication Standardization Advisory Group</w:t>
      </w:r>
    </w:p>
    <w:p w14:paraId="51051981" w14:textId="77777777" w:rsidR="00D70BD2" w:rsidRDefault="00D70BD2" w:rsidP="00D70BD2">
      <w:pPr>
        <w:rPr>
          <w:ins w:id="85" w:author="TSB-AAM" w:date="2024-09-19T16:16:00Z" w16du:dateUtc="2024-09-19T14:16:00Z"/>
        </w:rPr>
      </w:pPr>
      <w:r w:rsidRPr="00380B40">
        <w:t>1</w:t>
      </w:r>
      <w:r w:rsidRPr="00380B40">
        <w:tab/>
      </w:r>
      <w:ins w:id="86" w:author="TSB-AAM" w:date="2024-09-19T16:16:00Z" w16du:dateUtc="2024-09-19T14:16:00Z">
        <w:r w:rsidRPr="006412E7">
          <w:t>to develop a strategic vision and action plan based on contributions to TSAG;</w:t>
        </w:r>
      </w:ins>
    </w:p>
    <w:p w14:paraId="4BB04AD2" w14:textId="77777777" w:rsidR="00D70BD2" w:rsidRPr="00380B40" w:rsidRDefault="00D70BD2" w:rsidP="00D70BD2">
      <w:ins w:id="87" w:author="TSB-AAM" w:date="2024-09-19T16:16:00Z" w16du:dateUtc="2024-09-19T14:16:00Z">
        <w:r>
          <w:t>2</w:t>
        </w:r>
        <w:r>
          <w:tab/>
        </w:r>
      </w:ins>
      <w:r w:rsidRPr="00380B40">
        <w:t xml:space="preserve">to undertake, monitor and guide the </w:t>
      </w:r>
      <w:ins w:id="88" w:author="TSB-AAM" w:date="2024-09-19T16:16:00Z" w16du:dateUtc="2024-09-19T14:16:00Z">
        <w:r>
          <w:t xml:space="preserve">ITU-T strategic reform </w:t>
        </w:r>
      </w:ins>
      <w:r w:rsidRPr="00380B40">
        <w:t xml:space="preserve">work through </w:t>
      </w:r>
      <w:del w:id="89" w:author="TSB-AAM" w:date="2024-09-19T16:16:00Z" w16du:dateUtc="2024-09-19T14:16:00Z">
        <w:r w:rsidRPr="00380B40" w:rsidDel="00CF303F">
          <w:delText xml:space="preserve">a </w:delText>
        </w:r>
      </w:del>
      <w:ins w:id="90" w:author="TSB-AAM" w:date="2024-09-19T16:16:00Z" w16du:dateUtc="2024-09-19T14:16:00Z">
        <w:r>
          <w:t xml:space="preserve">the </w:t>
        </w:r>
      </w:ins>
      <w:r w:rsidRPr="00380B40">
        <w:t xml:space="preserve">rapporteur group </w:t>
      </w:r>
      <w:ins w:id="91" w:author="TSB-AAM" w:date="2024-09-19T16:16:00Z" w16du:dateUtc="2024-09-19T14:16:00Z">
        <w:r>
          <w:t>on Strategic Operational Planning (RG-SOP) which sh</w:t>
        </w:r>
      </w:ins>
      <w:ins w:id="92" w:author="TSB-AAM" w:date="2024-09-19T16:17:00Z" w16du:dateUtc="2024-09-19T14:17:00Z">
        <w:r>
          <w:t xml:space="preserve">ould produce </w:t>
        </w:r>
      </w:ins>
      <w:del w:id="93" w:author="TSB-AAM" w:date="2024-09-19T16:17:00Z" w16du:dateUtc="2024-09-19T14:17:00Z">
        <w:r w:rsidRPr="00380B40" w:rsidDel="00CF303F">
          <w:delText xml:space="preserve">or other appropriate group, and make </w:delText>
        </w:r>
      </w:del>
      <w:r w:rsidRPr="00380B40">
        <w:t xml:space="preserve">a progress report </w:t>
      </w:r>
      <w:del w:id="94" w:author="TSB-AAM" w:date="2024-09-19T16:17:00Z" w16du:dateUtc="2024-09-19T14:17:00Z">
        <w:r w:rsidRPr="00380B40" w:rsidDel="00CF303F">
          <w:delText xml:space="preserve">on the analysis </w:delText>
        </w:r>
      </w:del>
      <w:r w:rsidRPr="00380B40">
        <w:t>at each TSAG meeting;</w:t>
      </w:r>
    </w:p>
    <w:p w14:paraId="453335C7" w14:textId="77777777" w:rsidR="00D70BD2" w:rsidRPr="00380B40" w:rsidDel="00CF303F" w:rsidRDefault="00D70BD2" w:rsidP="00D70BD2">
      <w:pPr>
        <w:rPr>
          <w:del w:id="95" w:author="TSB-AAM" w:date="2024-09-19T16:17:00Z" w16du:dateUtc="2024-09-19T14:17:00Z"/>
        </w:rPr>
      </w:pPr>
      <w:del w:id="96" w:author="TSB-AAM" w:date="2024-09-19T16:17:00Z" w16du:dateUtc="2024-09-19T14:17:00Z">
        <w:r w:rsidRPr="00380B40" w:rsidDel="00CF303F">
          <w:delText>2</w:delText>
        </w:r>
        <w:r w:rsidRPr="00380B40" w:rsidDel="00CF303F">
          <w:tab/>
          <w:delText>to provide a progress report on the analysis to the study groups after each TSAG meeting;</w:delText>
        </w:r>
      </w:del>
    </w:p>
    <w:p w14:paraId="58A2E4D0" w14:textId="77777777" w:rsidR="00D70BD2" w:rsidRDefault="00D70BD2" w:rsidP="00D70BD2">
      <w:pPr>
        <w:rPr>
          <w:ins w:id="97" w:author="TSB-AAM" w:date="2024-09-19T16:17:00Z" w16du:dateUtc="2024-09-19T14:17:00Z"/>
        </w:rPr>
      </w:pPr>
      <w:r w:rsidRPr="00380B40">
        <w:t>3</w:t>
      </w:r>
      <w:r w:rsidRPr="00380B40">
        <w:tab/>
      </w:r>
      <w:ins w:id="98" w:author="TSB-AAM" w:date="2024-09-19T16:17:00Z" w16du:dateUtc="2024-09-19T14:17:00Z">
        <w:r>
          <w:t>to encapsulate the strategic vision in proposed updates to the ITU-T related thematic priorities in the ITU strategic plan and input them for the consideration of the Council Working Group on the elaboration of the draft ITU strategic plan,</w:t>
        </w:r>
      </w:ins>
    </w:p>
    <w:p w14:paraId="7C30F160" w14:textId="77777777" w:rsidR="00D70BD2" w:rsidRPr="00380B40" w:rsidDel="00CF303F" w:rsidRDefault="00D70BD2" w:rsidP="00D70BD2">
      <w:pPr>
        <w:rPr>
          <w:del w:id="99" w:author="TSB-AAM" w:date="2024-09-19T16:17:00Z" w16du:dateUtc="2024-09-19T14:17:00Z"/>
        </w:rPr>
      </w:pPr>
      <w:del w:id="100" w:author="TSB-AAM" w:date="2024-09-19T16:17:00Z" w16du:dateUtc="2024-09-19T14:17:00Z">
        <w:r w:rsidRPr="00380B40" w:rsidDel="00CF303F">
          <w:delText>to submit a report with recommendations for consideration by the next WTSA,</w:delText>
        </w:r>
      </w:del>
    </w:p>
    <w:p w14:paraId="7CA8ECB4" w14:textId="77777777" w:rsidR="00D70BD2" w:rsidRPr="00380B40" w:rsidRDefault="00D70BD2" w:rsidP="00D70BD2">
      <w:pPr>
        <w:pStyle w:val="Call"/>
      </w:pPr>
      <w:r w:rsidRPr="00380B40">
        <w:t>instructs study groups</w:t>
      </w:r>
    </w:p>
    <w:p w14:paraId="778DA6E7" w14:textId="77777777" w:rsidR="00D70BD2" w:rsidRPr="00380B40" w:rsidDel="00CF303F" w:rsidRDefault="00D70BD2" w:rsidP="00D70BD2">
      <w:pPr>
        <w:rPr>
          <w:del w:id="101" w:author="TSB-AAM" w:date="2024-09-19T16:19:00Z" w16du:dateUtc="2024-09-19T14:19:00Z"/>
        </w:rPr>
      </w:pPr>
      <w:del w:id="102" w:author="TSB-AAM" w:date="2024-09-19T16:19:00Z" w16du:dateUtc="2024-09-19T14:19:00Z">
        <w:r w:rsidRPr="00380B40" w:rsidDel="00CF303F">
          <w:delText>1</w:delText>
        </w:r>
        <w:r w:rsidRPr="00380B40" w:rsidDel="00CF303F">
          <w:tab/>
          <w:delText>to consider the progress reports from TSAG;</w:delText>
        </w:r>
      </w:del>
    </w:p>
    <w:p w14:paraId="1048F351" w14:textId="77777777" w:rsidR="00D70BD2" w:rsidRPr="00380B40" w:rsidRDefault="00D70BD2" w:rsidP="00D70BD2">
      <w:del w:id="103" w:author="TSB-AAM" w:date="2024-09-19T16:19:00Z" w16du:dateUtc="2024-09-19T14:19:00Z">
        <w:r w:rsidRPr="00380B40" w:rsidDel="00CF303F">
          <w:delText>2</w:delText>
        </w:r>
        <w:r w:rsidRPr="00380B40" w:rsidDel="00CF303F">
          <w:tab/>
        </w:r>
      </w:del>
      <w:r w:rsidRPr="00380B40">
        <w:t>to review and share feedback,</w:t>
      </w:r>
      <w:del w:id="104" w:author="TSB-AAM" w:date="2024-09-19T16:19:00Z" w16du:dateUtc="2024-09-19T14:19:00Z">
        <w:r w:rsidRPr="00380B40" w:rsidDel="00CF303F">
          <w:delText xml:space="preserve"> as appropriate,</w:delText>
        </w:r>
      </w:del>
      <w:r w:rsidRPr="00380B40">
        <w:t xml:space="preserve"> on the progress reports to TSAG,</w:t>
      </w:r>
    </w:p>
    <w:p w14:paraId="59AB2698" w14:textId="77777777" w:rsidR="00D70BD2" w:rsidRPr="00380B40" w:rsidRDefault="00D70BD2" w:rsidP="00D70BD2">
      <w:pPr>
        <w:pStyle w:val="Call"/>
      </w:pPr>
      <w:r w:rsidRPr="00380B40">
        <w:t xml:space="preserve">instructs the Director of the Telecommunication Standardization Bureau </w:t>
      </w:r>
    </w:p>
    <w:p w14:paraId="15F46997" w14:textId="77777777" w:rsidR="00D70BD2" w:rsidRPr="00380B40" w:rsidRDefault="00D70BD2" w:rsidP="00D70BD2">
      <w:r w:rsidRPr="00380B40">
        <w:t>to provide the necessary assistance to TSAG in the implementation of this resolution,</w:t>
      </w:r>
    </w:p>
    <w:p w14:paraId="5C838D8F" w14:textId="77777777" w:rsidR="00D70BD2" w:rsidRPr="00380B40" w:rsidRDefault="00D70BD2" w:rsidP="00D70BD2">
      <w:pPr>
        <w:pStyle w:val="Call"/>
      </w:pPr>
      <w:r w:rsidRPr="00380B40">
        <w:t xml:space="preserve">invites ITU Member States and Sector Members </w:t>
      </w:r>
    </w:p>
    <w:p w14:paraId="3DDAA0A2" w14:textId="77777777" w:rsidR="00D70BD2" w:rsidRPr="00380B40" w:rsidRDefault="00D70BD2" w:rsidP="00D70BD2">
      <w:r w:rsidRPr="00380B40">
        <w:t>to participate in and contribute to the implementation of this resolution.</w:t>
      </w:r>
    </w:p>
    <w:p w14:paraId="0DA4A67F" w14:textId="1217E898" w:rsidR="00DB7BF1" w:rsidRPr="00B8692B" w:rsidRDefault="00D70BD2" w:rsidP="00B8692B">
      <w:pPr>
        <w:pStyle w:val="Reasons"/>
        <w:rPr>
          <w:szCs w:val="24"/>
        </w:rPr>
      </w:pPr>
      <w:r>
        <w:rPr>
          <w:b/>
        </w:rPr>
        <w:t>Reasons:</w:t>
      </w:r>
      <w:r>
        <w:rPr>
          <w:b/>
        </w:rPr>
        <w:tab/>
      </w:r>
      <w:r>
        <w:rPr>
          <w:bCs/>
          <w:szCs w:val="24"/>
        </w:rPr>
        <w:t>CEPTs proposal</w:t>
      </w:r>
      <w:r w:rsidRPr="00D528B1">
        <w:rPr>
          <w:bCs/>
          <w:szCs w:val="24"/>
        </w:rPr>
        <w:t xml:space="preserve"> encompasses more than just restructuring of study groups, altering working methods, and industry engagement. It also involves devising processes for assessing proposed work items. This way, ITU-T can effectively focus on activities and initiatives that will have the greatest impact and provide the most value, all while also meeting the needs of its membership. The modified text also recogni</w:t>
      </w:r>
      <w:r>
        <w:rPr>
          <w:bCs/>
          <w:szCs w:val="24"/>
        </w:rPr>
        <w:t>s</w:t>
      </w:r>
      <w:r w:rsidRPr="00D528B1">
        <w:rPr>
          <w:bCs/>
          <w:szCs w:val="24"/>
        </w:rPr>
        <w:t xml:space="preserve">es that the structure of </w:t>
      </w:r>
      <w:r w:rsidR="00C8560A">
        <w:rPr>
          <w:bCs/>
          <w:szCs w:val="24"/>
        </w:rPr>
        <w:t xml:space="preserve">the </w:t>
      </w:r>
      <w:r w:rsidRPr="00D528B1">
        <w:rPr>
          <w:bCs/>
          <w:szCs w:val="24"/>
        </w:rPr>
        <w:t>study group</w:t>
      </w:r>
      <w:r w:rsidR="00C8560A">
        <w:rPr>
          <w:bCs/>
          <w:szCs w:val="24"/>
        </w:rPr>
        <w:t>s</w:t>
      </w:r>
      <w:r w:rsidRPr="00D528B1">
        <w:rPr>
          <w:bCs/>
          <w:szCs w:val="24"/>
        </w:rPr>
        <w:t xml:space="preserve"> will continuously </w:t>
      </w:r>
      <w:r w:rsidRPr="00D528B1">
        <w:rPr>
          <w:bCs/>
          <w:szCs w:val="24"/>
        </w:rPr>
        <w:lastRenderedPageBreak/>
        <w:t>evolve and improve, regardless of study periods. This flexibility is crucial to adapt to the changing demands of technical standardi</w:t>
      </w:r>
      <w:r w:rsidR="00C8560A">
        <w:rPr>
          <w:bCs/>
          <w:szCs w:val="24"/>
        </w:rPr>
        <w:t>z</w:t>
      </w:r>
      <w:r w:rsidRPr="00D528B1">
        <w:rPr>
          <w:bCs/>
          <w:szCs w:val="24"/>
        </w:rPr>
        <w:t>ation work as it progresses over time.</w:t>
      </w:r>
    </w:p>
    <w:sectPr w:rsidR="00DB7BF1" w:rsidRPr="00B8692B">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D47C1" w14:textId="77777777" w:rsidR="00D17682" w:rsidRDefault="00D17682">
      <w:r>
        <w:separator/>
      </w:r>
    </w:p>
  </w:endnote>
  <w:endnote w:type="continuationSeparator" w:id="0">
    <w:p w14:paraId="72817A54" w14:textId="77777777" w:rsidR="00D17682" w:rsidRDefault="00D17682">
      <w:r>
        <w:continuationSeparator/>
      </w:r>
    </w:p>
  </w:endnote>
  <w:endnote w:type="continuationNotice" w:id="1">
    <w:p w14:paraId="426D43DF"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6380" w14:textId="77777777" w:rsidR="009D4900" w:rsidRDefault="009D4900">
    <w:pPr>
      <w:framePr w:wrap="around" w:vAnchor="text" w:hAnchor="margin" w:xAlign="right" w:y="1"/>
    </w:pPr>
    <w:r>
      <w:fldChar w:fldCharType="begin"/>
    </w:r>
    <w:r>
      <w:instrText xml:space="preserve">PAGE  </w:instrText>
    </w:r>
    <w:r>
      <w:fldChar w:fldCharType="end"/>
    </w:r>
  </w:p>
  <w:p w14:paraId="03A21479" w14:textId="35C69B8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8560A">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D65AF" w14:textId="77777777" w:rsidR="00D17682" w:rsidRDefault="00D17682">
      <w:r>
        <w:rPr>
          <w:b/>
        </w:rPr>
        <w:t>_______________</w:t>
      </w:r>
    </w:p>
  </w:footnote>
  <w:footnote w:type="continuationSeparator" w:id="0">
    <w:p w14:paraId="48DC244D"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6C7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71468754">
    <w:abstractNumId w:val="8"/>
  </w:num>
  <w:num w:numId="2" w16cid:durableId="72263174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26120534">
    <w:abstractNumId w:val="9"/>
  </w:num>
  <w:num w:numId="4" w16cid:durableId="1955287030">
    <w:abstractNumId w:val="7"/>
  </w:num>
  <w:num w:numId="5" w16cid:durableId="1806048144">
    <w:abstractNumId w:val="6"/>
  </w:num>
  <w:num w:numId="6" w16cid:durableId="692878326">
    <w:abstractNumId w:val="5"/>
  </w:num>
  <w:num w:numId="7" w16cid:durableId="880173188">
    <w:abstractNumId w:val="4"/>
  </w:num>
  <w:num w:numId="8" w16cid:durableId="1120343564">
    <w:abstractNumId w:val="3"/>
  </w:num>
  <w:num w:numId="9" w16cid:durableId="1613173691">
    <w:abstractNumId w:val="2"/>
  </w:num>
  <w:num w:numId="10" w16cid:durableId="1612735635">
    <w:abstractNumId w:val="1"/>
  </w:num>
  <w:num w:numId="11" w16cid:durableId="1252273491">
    <w:abstractNumId w:val="0"/>
  </w:num>
  <w:num w:numId="12" w16cid:durableId="73556843">
    <w:abstractNumId w:val="12"/>
  </w:num>
  <w:num w:numId="13" w16cid:durableId="5720124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AAM">
    <w15:presenceInfo w15:providerId="None" w15:userId="TSB-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4377"/>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77991"/>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3641"/>
    <w:rsid w:val="00B067BF"/>
    <w:rsid w:val="00B1550B"/>
    <w:rsid w:val="00B305D7"/>
    <w:rsid w:val="00B529AD"/>
    <w:rsid w:val="00B6324B"/>
    <w:rsid w:val="00B639E9"/>
    <w:rsid w:val="00B6617E"/>
    <w:rsid w:val="00B66385"/>
    <w:rsid w:val="00B66C2B"/>
    <w:rsid w:val="00B817CD"/>
    <w:rsid w:val="00B8692B"/>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560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0BD2"/>
    <w:rsid w:val="00D74898"/>
    <w:rsid w:val="00D801ED"/>
    <w:rsid w:val="00D87458"/>
    <w:rsid w:val="00D936BC"/>
    <w:rsid w:val="00D96530"/>
    <w:rsid w:val="00DA7E2F"/>
    <w:rsid w:val="00DB7BF1"/>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F0880"/>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B7F3E"/>
    <w:rsid w:val="00FC1DB9"/>
    <w:rsid w:val="00FD1104"/>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A39E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ouis.morilhat@finances.gouv.fr"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Redwin@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b263dab-b1da-411f-98fd-a3039d9c3bce" targetNamespace="http://schemas.microsoft.com/office/2006/metadata/properties" ma:root="true" ma:fieldsID="d41af5c836d734370eb92e7ee5f83852" ns2:_="" ns3:_="">
    <xsd:import namespace="996b2e75-67fd-4955-a3b0-5ab9934cb50b"/>
    <xsd:import namespace="ab263dab-b1da-411f-98fd-a3039d9c3b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b263dab-b1da-411f-98fd-a3039d9c3b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ab263dab-b1da-411f-98fd-a3039d9c3bce">DPM</DPM_x0020_Author>
    <DPM_x0020_File_x0020_name xmlns="ab263dab-b1da-411f-98fd-a3039d9c3bce">T22-WTSA.24-C-0038!A11!MSW-E</DPM_x0020_File_x0020_name>
    <DPM_x0020_Version xmlns="ab263dab-b1da-411f-98fd-a3039d9c3bce">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b263dab-b1da-411f-98fd-a3039d9c3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63dab-b1da-411f-98fd-a3039d9c3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830</Words>
  <Characters>6074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6891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T22-WTSA.24-C-0038!A11!MSW-E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4</cp:revision>
  <cp:lastPrinted>2016-06-06T07:49:00Z</cp:lastPrinted>
  <dcterms:created xsi:type="dcterms:W3CDTF">2024-09-19T14:37:00Z</dcterms:created>
  <dcterms:modified xsi:type="dcterms:W3CDTF">2024-09-20T07:03:00Z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