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6C4272F3" w14:textId="77777777" w:rsidTr="003C64ED">
        <w:trPr>
          <w:cantSplit/>
          <w:trHeight w:val="1132"/>
        </w:trPr>
        <w:tc>
          <w:tcPr>
            <w:tcW w:w="1290" w:type="dxa"/>
            <w:vAlign w:val="center"/>
          </w:tcPr>
          <w:p w14:paraId="28451605"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0DE64387" wp14:editId="55B94E8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D6A7A81"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78EAAC02"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5DD5C063"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4105C178" wp14:editId="14DBF62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6AC8CB06" w14:textId="77777777" w:rsidTr="003C64ED">
        <w:trPr>
          <w:cantSplit/>
        </w:trPr>
        <w:tc>
          <w:tcPr>
            <w:tcW w:w="9811" w:type="dxa"/>
            <w:gridSpan w:val="4"/>
            <w:tcBorders>
              <w:bottom w:val="single" w:sz="12" w:space="0" w:color="auto"/>
            </w:tcBorders>
          </w:tcPr>
          <w:p w14:paraId="4C40BE13" w14:textId="77777777" w:rsidR="00D2023F" w:rsidRPr="00B660EE" w:rsidRDefault="00D2023F" w:rsidP="00C30155">
            <w:pPr>
              <w:spacing w:before="0"/>
              <w:rPr>
                <w:lang w:eastAsia="zh-CN"/>
              </w:rPr>
            </w:pPr>
          </w:p>
        </w:tc>
      </w:tr>
      <w:tr w:rsidR="00931298" w:rsidRPr="007B28CB" w14:paraId="0DC97888" w14:textId="77777777" w:rsidTr="003C64ED">
        <w:trPr>
          <w:cantSplit/>
        </w:trPr>
        <w:tc>
          <w:tcPr>
            <w:tcW w:w="6237" w:type="dxa"/>
            <w:gridSpan w:val="2"/>
            <w:tcBorders>
              <w:top w:val="single" w:sz="12" w:space="0" w:color="auto"/>
            </w:tcBorders>
          </w:tcPr>
          <w:p w14:paraId="34218324" w14:textId="77777777" w:rsidR="00931298" w:rsidRPr="007B28CB" w:rsidRDefault="00931298" w:rsidP="007B28CB">
            <w:pPr>
              <w:spacing w:before="0"/>
              <w:rPr>
                <w:sz w:val="20"/>
                <w:lang w:eastAsia="zh-CN"/>
              </w:rPr>
            </w:pPr>
          </w:p>
        </w:tc>
        <w:tc>
          <w:tcPr>
            <w:tcW w:w="3574" w:type="dxa"/>
            <w:gridSpan w:val="2"/>
          </w:tcPr>
          <w:p w14:paraId="04B0CD87" w14:textId="77777777" w:rsidR="00931298" w:rsidRPr="007B28CB" w:rsidRDefault="00931298" w:rsidP="007B28CB">
            <w:pPr>
              <w:spacing w:before="0"/>
              <w:rPr>
                <w:sz w:val="20"/>
              </w:rPr>
            </w:pPr>
          </w:p>
        </w:tc>
      </w:tr>
      <w:tr w:rsidR="00752D4D" w:rsidRPr="00B660EE" w14:paraId="6F464739" w14:textId="77777777" w:rsidTr="003C64ED">
        <w:trPr>
          <w:cantSplit/>
        </w:trPr>
        <w:tc>
          <w:tcPr>
            <w:tcW w:w="6237" w:type="dxa"/>
            <w:gridSpan w:val="2"/>
          </w:tcPr>
          <w:p w14:paraId="0521ADA3"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780EEA7A" w14:textId="77777777" w:rsidR="00752D4D" w:rsidRPr="00B660EE" w:rsidRDefault="00774149" w:rsidP="00A52D1A">
            <w:pPr>
              <w:pStyle w:val="Docnumber"/>
              <w:rPr>
                <w:lang w:eastAsia="zh-CN"/>
              </w:rPr>
            </w:pPr>
            <w:proofErr w:type="spellStart"/>
            <w:r>
              <w:t>文件</w:t>
            </w:r>
            <w:proofErr w:type="spellEnd"/>
            <w:r>
              <w:t xml:space="preserve"> 38 (Add.1)-C</w:t>
            </w:r>
          </w:p>
        </w:tc>
      </w:tr>
      <w:tr w:rsidR="00931298" w:rsidRPr="00B660EE" w14:paraId="7E62E121" w14:textId="77777777" w:rsidTr="003C64ED">
        <w:trPr>
          <w:cantSplit/>
        </w:trPr>
        <w:tc>
          <w:tcPr>
            <w:tcW w:w="6237" w:type="dxa"/>
            <w:gridSpan w:val="2"/>
          </w:tcPr>
          <w:p w14:paraId="76274E1D" w14:textId="77777777" w:rsidR="00931298" w:rsidRPr="00B660EE" w:rsidRDefault="00931298" w:rsidP="00C30155">
            <w:pPr>
              <w:spacing w:before="0"/>
              <w:rPr>
                <w:lang w:eastAsia="zh-CN"/>
              </w:rPr>
            </w:pPr>
          </w:p>
        </w:tc>
        <w:tc>
          <w:tcPr>
            <w:tcW w:w="3574" w:type="dxa"/>
            <w:gridSpan w:val="2"/>
          </w:tcPr>
          <w:p w14:paraId="5CECAAD7"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16</w:t>
            </w:r>
            <w:r w:rsidRPr="0048422D">
              <w:rPr>
                <w:sz w:val="20"/>
                <w:szCs w:val="16"/>
              </w:rPr>
              <w:t>日</w:t>
            </w:r>
          </w:p>
        </w:tc>
      </w:tr>
      <w:tr w:rsidR="00931298" w:rsidRPr="00B660EE" w14:paraId="50A352C1" w14:textId="77777777" w:rsidTr="003C64ED">
        <w:trPr>
          <w:cantSplit/>
        </w:trPr>
        <w:tc>
          <w:tcPr>
            <w:tcW w:w="6237" w:type="dxa"/>
            <w:gridSpan w:val="2"/>
          </w:tcPr>
          <w:p w14:paraId="3263A5D3" w14:textId="77777777" w:rsidR="00931298" w:rsidRPr="00B660EE" w:rsidRDefault="00931298" w:rsidP="00C30155">
            <w:pPr>
              <w:spacing w:before="0"/>
              <w:rPr>
                <w:lang w:eastAsia="zh-CN"/>
              </w:rPr>
            </w:pPr>
          </w:p>
        </w:tc>
        <w:tc>
          <w:tcPr>
            <w:tcW w:w="3574" w:type="dxa"/>
            <w:gridSpan w:val="2"/>
          </w:tcPr>
          <w:p w14:paraId="33DD6CCA"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3FE283FC" w14:textId="77777777" w:rsidTr="003C64ED">
        <w:trPr>
          <w:cantSplit/>
        </w:trPr>
        <w:tc>
          <w:tcPr>
            <w:tcW w:w="9811" w:type="dxa"/>
            <w:gridSpan w:val="4"/>
          </w:tcPr>
          <w:p w14:paraId="24AA99FF" w14:textId="77777777" w:rsidR="00931298" w:rsidRPr="007B28CB" w:rsidRDefault="00931298" w:rsidP="007B28CB">
            <w:pPr>
              <w:spacing w:before="0"/>
              <w:rPr>
                <w:sz w:val="20"/>
                <w:szCs w:val="16"/>
                <w:lang w:eastAsia="zh-CN"/>
              </w:rPr>
            </w:pPr>
          </w:p>
        </w:tc>
      </w:tr>
      <w:tr w:rsidR="0048422D" w:rsidRPr="00B660EE" w14:paraId="1E06A68A" w14:textId="77777777" w:rsidTr="003C64ED">
        <w:trPr>
          <w:cantSplit/>
        </w:trPr>
        <w:tc>
          <w:tcPr>
            <w:tcW w:w="9811" w:type="dxa"/>
            <w:gridSpan w:val="4"/>
          </w:tcPr>
          <w:p w14:paraId="6FEE24CC" w14:textId="77777777" w:rsidR="0048422D" w:rsidRPr="00B660EE" w:rsidRDefault="0048422D" w:rsidP="0048422D">
            <w:pPr>
              <w:pStyle w:val="Source"/>
              <w:rPr>
                <w:lang w:eastAsia="zh-CN"/>
              </w:rPr>
            </w:pPr>
            <w:r w:rsidRPr="004856E3">
              <w:rPr>
                <w:lang w:eastAsia="zh-CN"/>
              </w:rPr>
              <w:t>欧洲邮电主管部门大会（</w:t>
            </w:r>
            <w:r w:rsidRPr="004856E3">
              <w:rPr>
                <w:lang w:eastAsia="zh-CN"/>
              </w:rPr>
              <w:t>CEPT</w:t>
            </w:r>
            <w:r w:rsidRPr="004856E3">
              <w:rPr>
                <w:lang w:eastAsia="zh-CN"/>
              </w:rPr>
              <w:t>）成员国</w:t>
            </w:r>
          </w:p>
        </w:tc>
      </w:tr>
      <w:tr w:rsidR="0048422D" w:rsidRPr="009D4900" w14:paraId="425F2F1A" w14:textId="77777777" w:rsidTr="003C64ED">
        <w:trPr>
          <w:cantSplit/>
        </w:trPr>
        <w:tc>
          <w:tcPr>
            <w:tcW w:w="9811" w:type="dxa"/>
            <w:gridSpan w:val="4"/>
          </w:tcPr>
          <w:p w14:paraId="002FBC80" w14:textId="18E57C33" w:rsidR="0048422D" w:rsidRPr="00B660EE" w:rsidRDefault="005452AF" w:rsidP="0048422D">
            <w:pPr>
              <w:pStyle w:val="Title1"/>
              <w:rPr>
                <w:lang w:eastAsia="zh-CN"/>
              </w:rPr>
            </w:pPr>
            <w:r w:rsidRPr="005452AF">
              <w:rPr>
                <w:rFonts w:hint="eastAsia"/>
                <w:lang w:eastAsia="zh-CN"/>
              </w:rPr>
              <w:t>国际电联的作用和我们对</w:t>
            </w:r>
            <w:r w:rsidRPr="005452AF">
              <w:rPr>
                <w:rFonts w:hint="eastAsia"/>
                <w:lang w:eastAsia="zh-CN"/>
              </w:rPr>
              <w:t>ITU-T</w:t>
            </w:r>
            <w:proofErr w:type="gramStart"/>
            <w:r w:rsidRPr="005452AF">
              <w:rPr>
                <w:rFonts w:hint="eastAsia"/>
                <w:lang w:eastAsia="zh-CN"/>
              </w:rPr>
              <w:t>的愿景</w:t>
            </w:r>
            <w:proofErr w:type="gramEnd"/>
          </w:p>
        </w:tc>
      </w:tr>
      <w:tr w:rsidR="00657CDA" w:rsidRPr="00426748" w14:paraId="5D277AE8" w14:textId="77777777" w:rsidTr="003C64ED">
        <w:trPr>
          <w:cantSplit/>
          <w:trHeight w:hRule="exact" w:val="240"/>
        </w:trPr>
        <w:tc>
          <w:tcPr>
            <w:tcW w:w="9811" w:type="dxa"/>
            <w:gridSpan w:val="4"/>
          </w:tcPr>
          <w:p w14:paraId="589EBF8D" w14:textId="77777777" w:rsidR="00657CDA" w:rsidRDefault="00657CDA" w:rsidP="0048422D">
            <w:pPr>
              <w:pStyle w:val="Title2"/>
              <w:spacing w:before="0"/>
              <w:rPr>
                <w:lang w:eastAsia="zh-CN"/>
              </w:rPr>
            </w:pPr>
          </w:p>
        </w:tc>
      </w:tr>
      <w:tr w:rsidR="00657CDA" w:rsidRPr="00426748" w14:paraId="60047757" w14:textId="77777777" w:rsidTr="003C64ED">
        <w:trPr>
          <w:cantSplit/>
          <w:trHeight w:hRule="exact" w:val="240"/>
        </w:trPr>
        <w:tc>
          <w:tcPr>
            <w:tcW w:w="9811" w:type="dxa"/>
            <w:gridSpan w:val="4"/>
          </w:tcPr>
          <w:p w14:paraId="4EA30BB1" w14:textId="77777777" w:rsidR="00657CDA" w:rsidRPr="00DB6F38" w:rsidRDefault="00657CDA" w:rsidP="00293F9A">
            <w:pPr>
              <w:pStyle w:val="Agendaitem"/>
              <w:spacing w:before="0"/>
              <w:rPr>
                <w:lang w:eastAsia="zh-CN"/>
              </w:rPr>
            </w:pPr>
          </w:p>
        </w:tc>
      </w:tr>
    </w:tbl>
    <w:p w14:paraId="26632FFB"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799D3345" w14:textId="77777777" w:rsidTr="003C64ED">
        <w:trPr>
          <w:cantSplit/>
        </w:trPr>
        <w:tc>
          <w:tcPr>
            <w:tcW w:w="1985" w:type="dxa"/>
          </w:tcPr>
          <w:p w14:paraId="46346ED3"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648C68CB" w14:textId="0CF9E9C9" w:rsidR="00931298" w:rsidRPr="00906526" w:rsidRDefault="005452AF" w:rsidP="00C30155">
            <w:pPr>
              <w:pStyle w:val="Abstract"/>
              <w:rPr>
                <w:rFonts w:ascii="SimSun" w:hAnsi="SimSun"/>
                <w:lang w:val="en-GB" w:eastAsia="zh-CN"/>
              </w:rPr>
            </w:pPr>
            <w:r>
              <w:rPr>
                <w:lang w:val="zh-CN" w:eastAsia="zh-CN"/>
              </w:rPr>
              <w:t>本文稿提供了欧洲对国际电</w:t>
            </w:r>
            <w:proofErr w:type="gramStart"/>
            <w:r>
              <w:rPr>
                <w:lang w:val="zh-CN" w:eastAsia="zh-CN"/>
              </w:rPr>
              <w:t>联作用</w:t>
            </w:r>
            <w:proofErr w:type="gramEnd"/>
            <w:r>
              <w:rPr>
                <w:lang w:val="zh-CN" w:eastAsia="zh-CN"/>
              </w:rPr>
              <w:t>的看法以及欧洲对</w:t>
            </w:r>
            <w:r>
              <w:rPr>
                <w:lang w:val="zh-CN" w:eastAsia="zh-CN"/>
              </w:rPr>
              <w:t>ITU-T</w:t>
            </w:r>
            <w:r>
              <w:rPr>
                <w:lang w:val="zh-CN" w:eastAsia="zh-CN"/>
              </w:rPr>
              <w:t>的愿景。</w:t>
            </w:r>
          </w:p>
        </w:tc>
      </w:tr>
      <w:tr w:rsidR="00931298" w:rsidRPr="009D4900" w14:paraId="1C1154A9" w14:textId="77777777" w:rsidTr="003C64ED">
        <w:trPr>
          <w:cantSplit/>
        </w:trPr>
        <w:tc>
          <w:tcPr>
            <w:tcW w:w="1985" w:type="dxa"/>
          </w:tcPr>
          <w:p w14:paraId="1EC4E41E"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027004BB" w14:textId="3466360B" w:rsidR="00FE5494" w:rsidRPr="00B660EE" w:rsidRDefault="005452AF" w:rsidP="00E6117A">
            <w:pPr>
              <w:rPr>
                <w:lang w:eastAsia="zh-CN"/>
              </w:rPr>
            </w:pPr>
            <w:r>
              <w:rPr>
                <w:lang w:val="zh-CN" w:eastAsia="zh-CN"/>
              </w:rPr>
              <w:t>罗马尼亚国家通信管理和监管局</w:t>
            </w:r>
            <w:r w:rsidR="00FA45E0" w:rsidRPr="00DA0B2D">
              <w:rPr>
                <w:lang w:eastAsia="zh-CN"/>
              </w:rPr>
              <w:t>Mihail Ion</w:t>
            </w:r>
          </w:p>
        </w:tc>
        <w:tc>
          <w:tcPr>
            <w:tcW w:w="3935" w:type="dxa"/>
          </w:tcPr>
          <w:p w14:paraId="1E722565" w14:textId="65204CA1"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FA45E0" w:rsidRPr="00FA45E0">
                <w:rPr>
                  <w:rStyle w:val="Hyperlink"/>
                </w:rPr>
                <w:t>mihail.ion@ancom.ro</w:t>
              </w:r>
            </w:hyperlink>
          </w:p>
        </w:tc>
      </w:tr>
    </w:tbl>
    <w:p w14:paraId="5FE98E04" w14:textId="77777777" w:rsidR="00A52D1A" w:rsidRPr="00A52D1A" w:rsidRDefault="00A52D1A" w:rsidP="00A52D1A">
      <w:pPr>
        <w:rPr>
          <w:lang w:eastAsia="zh-CN"/>
        </w:rPr>
      </w:pPr>
    </w:p>
    <w:p w14:paraId="1DFA1941"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1EA79860" w14:textId="77777777" w:rsidR="0055216A" w:rsidRDefault="001B762F">
      <w:pPr>
        <w:pStyle w:val="Proposal"/>
        <w:rPr>
          <w:lang w:eastAsia="zh-CN"/>
        </w:rPr>
      </w:pPr>
      <w:r>
        <w:lastRenderedPageBreak/>
        <w:tab/>
      </w:r>
      <w:r>
        <w:rPr>
          <w:lang w:eastAsia="zh-CN"/>
        </w:rPr>
        <w:t>ECP/38A1/1</w:t>
      </w:r>
    </w:p>
    <w:p w14:paraId="1E8D5279" w14:textId="77777777" w:rsidR="00F07AB6" w:rsidRPr="005B08F1" w:rsidRDefault="001B762F" w:rsidP="005B08F1">
      <w:pPr>
        <w:pStyle w:val="Volumetitle"/>
        <w:rPr>
          <w:lang w:eastAsia="zh-CN"/>
        </w:rPr>
      </w:pPr>
      <w:r>
        <w:rPr>
          <w:rFonts w:hint="eastAsia"/>
          <w:lang w:eastAsia="zh-CN"/>
        </w:rPr>
        <w:t>一般</w:t>
      </w:r>
      <w:r>
        <w:rPr>
          <w:lang w:eastAsia="zh-CN"/>
        </w:rPr>
        <w:t>事宜</w:t>
      </w:r>
    </w:p>
    <w:p w14:paraId="07C6E6DE" w14:textId="6767F8BA" w:rsidR="00FA45E0" w:rsidRPr="00986EFE" w:rsidRDefault="007B55E5" w:rsidP="00FA45E0">
      <w:pPr>
        <w:pStyle w:val="Headingb"/>
        <w:rPr>
          <w:lang w:val="en-US" w:eastAsia="zh-CN"/>
        </w:rPr>
      </w:pPr>
      <w:r>
        <w:rPr>
          <w:rFonts w:hint="eastAsia"/>
          <w:lang w:val="en-US" w:eastAsia="zh-CN"/>
        </w:rPr>
        <w:t>国际电联的背景作用</w:t>
      </w:r>
    </w:p>
    <w:p w14:paraId="74938286" w14:textId="6938ACF9" w:rsidR="00FA45E0" w:rsidRPr="00223942" w:rsidRDefault="00FA45E0" w:rsidP="00FA45E0">
      <w:pPr>
        <w:rPr>
          <w:iCs/>
          <w:lang w:val="en-US" w:eastAsia="zh-CN"/>
        </w:rPr>
      </w:pPr>
      <w:r>
        <w:rPr>
          <w:lang w:val="en-US" w:eastAsia="zh-CN"/>
        </w:rPr>
        <w:t>1</w:t>
      </w:r>
      <w:r>
        <w:rPr>
          <w:lang w:val="en-US" w:eastAsia="zh-CN"/>
        </w:rPr>
        <w:tab/>
      </w:r>
      <w:r w:rsidR="007B55E5">
        <w:rPr>
          <w:lang w:val="zh-CN" w:eastAsia="zh-CN"/>
        </w:rPr>
        <w:t>自</w:t>
      </w:r>
      <w:r w:rsidR="007B55E5">
        <w:rPr>
          <w:lang w:val="zh-CN" w:eastAsia="zh-CN"/>
        </w:rPr>
        <w:t>1865</w:t>
      </w:r>
      <w:r w:rsidR="007B55E5">
        <w:rPr>
          <w:lang w:val="zh-CN" w:eastAsia="zh-CN"/>
        </w:rPr>
        <w:t>年国际电联成立以来，世界电信技术发生了巨大的技术变革。技术变革的步伐</w:t>
      </w:r>
      <w:r w:rsidR="007B55E5">
        <w:rPr>
          <w:rFonts w:hint="eastAsia"/>
          <w:lang w:val="zh-CN" w:eastAsia="zh-CN"/>
        </w:rPr>
        <w:t>已在</w:t>
      </w:r>
      <w:r w:rsidR="007B55E5">
        <w:rPr>
          <w:lang w:val="zh-CN" w:eastAsia="zh-CN"/>
        </w:rPr>
        <w:t>加快，</w:t>
      </w:r>
      <w:r w:rsidR="007B55E5">
        <w:rPr>
          <w:lang w:val="zh-CN" w:eastAsia="zh-CN"/>
        </w:rPr>
        <w:t>ICT</w:t>
      </w:r>
      <w:r w:rsidR="007B55E5">
        <w:rPr>
          <w:lang w:val="zh-CN" w:eastAsia="zh-CN"/>
        </w:rPr>
        <w:t>现</w:t>
      </w:r>
      <w:r w:rsidR="007B55E5">
        <w:rPr>
          <w:rFonts w:hint="eastAsia"/>
          <w:lang w:val="zh-CN" w:eastAsia="zh-CN"/>
        </w:rPr>
        <w:t>已</w:t>
      </w:r>
      <w:r w:rsidR="007B55E5">
        <w:rPr>
          <w:lang w:val="zh-CN" w:eastAsia="zh-CN"/>
        </w:rPr>
        <w:t>成为每一项工业发展和各行各业的基础。</w:t>
      </w:r>
    </w:p>
    <w:p w14:paraId="5A035181" w14:textId="7AA14773" w:rsidR="00FA45E0" w:rsidRPr="00223942" w:rsidRDefault="00FA45E0" w:rsidP="00FA45E0">
      <w:pPr>
        <w:rPr>
          <w:iCs/>
          <w:lang w:val="en-US" w:eastAsia="zh-CN"/>
        </w:rPr>
      </w:pPr>
      <w:r>
        <w:rPr>
          <w:lang w:val="en-US" w:eastAsia="zh-CN"/>
        </w:rPr>
        <w:t>2</w:t>
      </w:r>
      <w:r>
        <w:rPr>
          <w:lang w:val="en-US" w:eastAsia="zh-CN"/>
        </w:rPr>
        <w:tab/>
      </w:r>
      <w:r w:rsidR="007B55E5">
        <w:rPr>
          <w:lang w:val="zh-CN" w:eastAsia="zh-CN"/>
        </w:rPr>
        <w:t>这带来了双重挑战：国际电联必须跟上数字革命的步伐，应对新的技术挑战，但</w:t>
      </w:r>
      <w:r w:rsidR="007B55E5">
        <w:rPr>
          <w:rFonts w:hint="eastAsia"/>
          <w:lang w:val="zh-CN" w:eastAsia="zh-CN"/>
        </w:rPr>
        <w:t>也</w:t>
      </w:r>
      <w:r w:rsidR="007B55E5">
        <w:rPr>
          <w:lang w:val="zh-CN" w:eastAsia="zh-CN"/>
        </w:rPr>
        <w:t>必须专注于自己的能力和</w:t>
      </w:r>
      <w:r w:rsidR="007B55E5">
        <w:rPr>
          <w:rFonts w:hint="eastAsia"/>
          <w:lang w:val="zh-CN" w:eastAsia="zh-CN"/>
        </w:rPr>
        <w:t>技术</w:t>
      </w:r>
      <w:r w:rsidR="007B55E5">
        <w:rPr>
          <w:lang w:val="zh-CN" w:eastAsia="zh-CN"/>
        </w:rPr>
        <w:t>专长，以便产生</w:t>
      </w:r>
      <w:r w:rsidR="007B55E5">
        <w:rPr>
          <w:rFonts w:hint="eastAsia"/>
          <w:lang w:val="zh-CN" w:eastAsia="zh-CN"/>
        </w:rPr>
        <w:t>实际</w:t>
      </w:r>
      <w:r w:rsidR="007B55E5">
        <w:rPr>
          <w:lang w:val="zh-CN" w:eastAsia="zh-CN"/>
        </w:rPr>
        <w:t>影响。</w:t>
      </w:r>
    </w:p>
    <w:p w14:paraId="4C5AA165" w14:textId="0619F316" w:rsidR="00FA45E0" w:rsidRPr="00223942" w:rsidRDefault="00FA45E0" w:rsidP="00FA45E0">
      <w:pPr>
        <w:rPr>
          <w:iCs/>
          <w:lang w:val="en-US" w:eastAsia="zh-CN"/>
        </w:rPr>
      </w:pPr>
      <w:r>
        <w:rPr>
          <w:iCs/>
          <w:lang w:val="en-US" w:eastAsia="zh-CN"/>
        </w:rPr>
        <w:t>3</w:t>
      </w:r>
      <w:r>
        <w:rPr>
          <w:iCs/>
          <w:lang w:val="en-US" w:eastAsia="zh-CN"/>
        </w:rPr>
        <w:tab/>
      </w:r>
      <w:r w:rsidR="007B55E5">
        <w:rPr>
          <w:lang w:val="zh-CN" w:eastAsia="zh-CN"/>
        </w:rPr>
        <w:t>考虑到国际电联的战略规划，国际电联的目标应为加强全球连通性，促进数字基础设施和技术的发展，弥合数字鸿沟，并为实现更广泛的目标，如</w:t>
      </w:r>
      <w:r w:rsidR="007B55E5">
        <w:rPr>
          <w:lang w:val="zh-CN" w:eastAsia="zh-CN"/>
        </w:rPr>
        <w:t>WSIS</w:t>
      </w:r>
      <w:r w:rsidR="007B55E5">
        <w:rPr>
          <w:lang w:val="zh-CN" w:eastAsia="zh-CN"/>
        </w:rPr>
        <w:t>行动方面和</w:t>
      </w:r>
      <w:r w:rsidR="007B55E5">
        <w:rPr>
          <w:lang w:val="zh-CN" w:eastAsia="zh-CN"/>
        </w:rPr>
        <w:t>SDG</w:t>
      </w:r>
      <w:r w:rsidR="007B55E5">
        <w:rPr>
          <w:lang w:val="zh-CN" w:eastAsia="zh-CN"/>
        </w:rPr>
        <w:t>贡献力量。国际电联应</w:t>
      </w:r>
      <w:r w:rsidR="007B55E5">
        <w:rPr>
          <w:rFonts w:hint="eastAsia"/>
          <w:lang w:val="zh-CN" w:eastAsia="zh-CN"/>
        </w:rPr>
        <w:t>兼顾</w:t>
      </w:r>
      <w:r w:rsidR="007B55E5">
        <w:rPr>
          <w:lang w:val="zh-CN" w:eastAsia="zh-CN"/>
        </w:rPr>
        <w:t>其他联合国机构和相关标准制定组织的工作，承认它们在数字领域所做的工作，并酌情寻求与</w:t>
      </w:r>
      <w:r w:rsidR="007B55E5">
        <w:rPr>
          <w:rFonts w:hint="eastAsia"/>
          <w:lang w:val="zh-CN" w:eastAsia="zh-CN"/>
        </w:rPr>
        <w:t>之</w:t>
      </w:r>
      <w:r w:rsidR="007B55E5">
        <w:rPr>
          <w:lang w:val="zh-CN" w:eastAsia="zh-CN"/>
        </w:rPr>
        <w:t>合作。</w:t>
      </w:r>
    </w:p>
    <w:p w14:paraId="4BEE903C" w14:textId="501EB48F" w:rsidR="00FA45E0" w:rsidRPr="00223942" w:rsidRDefault="00FA45E0" w:rsidP="00FA45E0">
      <w:pPr>
        <w:rPr>
          <w:iCs/>
          <w:lang w:val="en-US" w:eastAsia="zh-CN"/>
        </w:rPr>
      </w:pPr>
      <w:r>
        <w:rPr>
          <w:iCs/>
          <w:lang w:val="en-US" w:eastAsia="zh-CN"/>
        </w:rPr>
        <w:t>4</w:t>
      </w:r>
      <w:r>
        <w:rPr>
          <w:iCs/>
          <w:lang w:val="en-US" w:eastAsia="zh-CN"/>
        </w:rPr>
        <w:tab/>
      </w:r>
      <w:r w:rsidR="00593EA0">
        <w:rPr>
          <w:lang w:val="zh-CN" w:eastAsia="zh-CN"/>
        </w:rPr>
        <w:t>在实现其目标时，国际电联的工作应侧重于其三个部门的</w:t>
      </w:r>
      <w:r w:rsidR="00593EA0">
        <w:rPr>
          <w:rFonts w:hint="eastAsia"/>
          <w:lang w:val="zh-CN" w:eastAsia="zh-CN"/>
        </w:rPr>
        <w:t>专业技术</w:t>
      </w:r>
      <w:r w:rsidR="00593EA0">
        <w:rPr>
          <w:lang w:val="zh-CN" w:eastAsia="zh-CN"/>
        </w:rPr>
        <w:t>范围，即电信标准、无线电通信和对发展中国家的支持，</w:t>
      </w:r>
      <w:proofErr w:type="gramStart"/>
      <w:r w:rsidR="00593EA0">
        <w:rPr>
          <w:lang w:val="zh-CN" w:eastAsia="zh-CN"/>
        </w:rPr>
        <w:t>同时按照</w:t>
      </w:r>
      <w:r w:rsidR="00E020D9">
        <w:rPr>
          <w:rFonts w:hint="eastAsia"/>
          <w:lang w:val="zh-CN" w:eastAsia="zh-CN"/>
        </w:rPr>
        <w:t>“</w:t>
      </w:r>
      <w:proofErr w:type="gramEnd"/>
      <w:r w:rsidR="00593EA0">
        <w:rPr>
          <w:lang w:val="zh-CN" w:eastAsia="zh-CN"/>
        </w:rPr>
        <w:t>国际电联是一家</w:t>
      </w:r>
      <w:r w:rsidR="00E020D9">
        <w:rPr>
          <w:rFonts w:hint="eastAsia"/>
          <w:lang w:val="zh-CN" w:eastAsia="zh-CN"/>
        </w:rPr>
        <w:t>”</w:t>
      </w:r>
      <w:r w:rsidR="00593EA0">
        <w:rPr>
          <w:rFonts w:hint="eastAsia"/>
          <w:lang w:val="zh-CN" w:eastAsia="zh-CN"/>
        </w:rPr>
        <w:t>的方式</w:t>
      </w:r>
      <w:r w:rsidR="00593EA0">
        <w:rPr>
          <w:lang w:val="zh-CN" w:eastAsia="zh-CN"/>
        </w:rPr>
        <w:t>充分利用各部门之间的合力。国际电联更广泛的举措应侧重于加强国际和利益攸关多方的合作，承认并支持其他各方发挥的互补作用。</w:t>
      </w:r>
    </w:p>
    <w:p w14:paraId="1A2020E5" w14:textId="26157973" w:rsidR="00FA45E0" w:rsidRPr="00223942" w:rsidRDefault="00FA45E0" w:rsidP="00FA45E0">
      <w:pPr>
        <w:rPr>
          <w:iCs/>
          <w:lang w:val="en-US" w:eastAsia="zh-CN"/>
        </w:rPr>
      </w:pPr>
      <w:r>
        <w:rPr>
          <w:iCs/>
          <w:lang w:val="en-US" w:eastAsia="zh-CN"/>
        </w:rPr>
        <w:t>5</w:t>
      </w:r>
      <w:r>
        <w:rPr>
          <w:iCs/>
          <w:lang w:val="en-US" w:eastAsia="zh-CN"/>
        </w:rPr>
        <w:tab/>
      </w:r>
      <w:r w:rsidR="00593EA0">
        <w:rPr>
          <w:lang w:val="zh-CN" w:eastAsia="zh-CN"/>
        </w:rPr>
        <w:t>国际电联需要应对的关键技术变革是电信的持续数字化以及新的和新兴数字技术的发展，因为这</w:t>
      </w:r>
      <w:r w:rsidR="00593EA0">
        <w:rPr>
          <w:rFonts w:hint="eastAsia"/>
          <w:lang w:val="zh-CN" w:eastAsia="zh-CN"/>
        </w:rPr>
        <w:t>关乎</w:t>
      </w:r>
      <w:r w:rsidR="00593EA0">
        <w:rPr>
          <w:lang w:val="zh-CN" w:eastAsia="zh-CN"/>
        </w:rPr>
        <w:t>国际电联的核心工作。我们需要国际电联在这个不断变化的环境中发挥重要作用。根据具体的工作计划和三个部门的专业</w:t>
      </w:r>
      <w:r w:rsidR="00593EA0">
        <w:rPr>
          <w:rFonts w:hint="eastAsia"/>
          <w:lang w:val="zh-CN" w:eastAsia="zh-CN"/>
        </w:rPr>
        <w:t>技术</w:t>
      </w:r>
      <w:r w:rsidR="00593EA0">
        <w:rPr>
          <w:lang w:val="zh-CN" w:eastAsia="zh-CN"/>
        </w:rPr>
        <w:t>知识，对这一变化做出有重点的回应，国际电联在实现上述目标方面潜力巨大。</w:t>
      </w:r>
    </w:p>
    <w:p w14:paraId="5D9AB586" w14:textId="3224C73B" w:rsidR="00FA45E0" w:rsidRPr="00223942" w:rsidRDefault="00FA45E0" w:rsidP="00FA45E0">
      <w:pPr>
        <w:rPr>
          <w:iCs/>
          <w:lang w:val="en-US" w:eastAsia="zh-CN"/>
        </w:rPr>
      </w:pPr>
      <w:r>
        <w:rPr>
          <w:iCs/>
          <w:lang w:val="en-US" w:eastAsia="zh-CN"/>
        </w:rPr>
        <w:t>6</w:t>
      </w:r>
      <w:r>
        <w:rPr>
          <w:iCs/>
          <w:lang w:val="en-US" w:eastAsia="zh-CN"/>
        </w:rPr>
        <w:tab/>
      </w:r>
      <w:r w:rsidR="00593EA0">
        <w:rPr>
          <w:rFonts w:hint="eastAsia"/>
          <w:lang w:val="zh-CN" w:eastAsia="zh-CN"/>
        </w:rPr>
        <w:t>铭记上述考虑因素</w:t>
      </w:r>
      <w:r w:rsidR="00593EA0">
        <w:rPr>
          <w:lang w:val="zh-CN" w:eastAsia="zh-CN"/>
        </w:rPr>
        <w:t>，国际电联可作为一个有价值的讨论场所，确保利益攸关方有一个开放的场所，讨论具有挑战性的问题并协调相互竞争的优先事项。这样，国际电联可以寻求调动整个行业的能力，帮助应对发展中国家面临的挑战，并为所有人带来</w:t>
      </w:r>
      <w:r w:rsidR="00593EA0">
        <w:rPr>
          <w:lang w:val="zh-CN" w:eastAsia="zh-CN"/>
        </w:rPr>
        <w:t>ICT/</w:t>
      </w:r>
      <w:r w:rsidR="00593EA0">
        <w:rPr>
          <w:lang w:val="zh-CN" w:eastAsia="zh-CN"/>
        </w:rPr>
        <w:t>电信的经济和社会效益。</w:t>
      </w:r>
    </w:p>
    <w:p w14:paraId="1332C8B3" w14:textId="47FBEA97" w:rsidR="00FA45E0" w:rsidRPr="00986EFE" w:rsidRDefault="00FA45E0" w:rsidP="00FA45E0">
      <w:pPr>
        <w:pStyle w:val="Headingb"/>
        <w:rPr>
          <w:lang w:val="en-US" w:eastAsia="zh-CN"/>
        </w:rPr>
      </w:pPr>
      <w:r w:rsidRPr="00986EFE">
        <w:rPr>
          <w:lang w:val="en-US" w:eastAsia="zh-CN"/>
        </w:rPr>
        <w:t>ITU-T</w:t>
      </w:r>
      <w:r w:rsidR="00593EA0">
        <w:rPr>
          <w:rFonts w:hint="eastAsia"/>
          <w:lang w:val="en-US" w:eastAsia="zh-CN"/>
        </w:rPr>
        <w:t>的愿景</w:t>
      </w:r>
    </w:p>
    <w:p w14:paraId="1E4A278A" w14:textId="7FF7E6CF" w:rsidR="00FA45E0" w:rsidRPr="00223942" w:rsidRDefault="00FA45E0" w:rsidP="00FA45E0">
      <w:pPr>
        <w:rPr>
          <w:iCs/>
          <w:lang w:val="en-US" w:eastAsia="zh-CN"/>
        </w:rPr>
      </w:pPr>
      <w:r>
        <w:rPr>
          <w:lang w:val="en-US" w:eastAsia="zh-CN"/>
        </w:rPr>
        <w:t>7</w:t>
      </w:r>
      <w:r>
        <w:rPr>
          <w:lang w:val="en-US" w:eastAsia="zh-CN"/>
        </w:rPr>
        <w:tab/>
      </w:r>
      <w:r w:rsidR="00593EA0">
        <w:rPr>
          <w:lang w:val="zh-CN" w:eastAsia="zh-CN"/>
        </w:rPr>
        <w:t>电信</w:t>
      </w:r>
      <w:r w:rsidR="00593EA0">
        <w:rPr>
          <w:lang w:val="zh-CN" w:eastAsia="zh-CN"/>
        </w:rPr>
        <w:t>/ICT</w:t>
      </w:r>
      <w:r w:rsidR="00593EA0">
        <w:rPr>
          <w:lang w:val="zh-CN" w:eastAsia="zh-CN"/>
        </w:rPr>
        <w:t>领域的国际标准化工作至关重要。它有助于实现电信</w:t>
      </w:r>
      <w:r w:rsidR="00593EA0">
        <w:rPr>
          <w:lang w:val="zh-CN" w:eastAsia="zh-CN"/>
        </w:rPr>
        <w:t>/ICT</w:t>
      </w:r>
      <w:r w:rsidR="00593EA0">
        <w:rPr>
          <w:lang w:val="zh-CN" w:eastAsia="zh-CN"/>
        </w:rPr>
        <w:t>基础设施的全球互连，并避免为首选技术而进行的代价高昂的市场争夺战，从而支持创建</w:t>
      </w:r>
      <w:r w:rsidR="00593EA0">
        <w:rPr>
          <w:rFonts w:hint="eastAsia"/>
          <w:lang w:val="zh-CN" w:eastAsia="zh-CN"/>
        </w:rPr>
        <w:t>一个</w:t>
      </w:r>
      <w:r w:rsidR="00593EA0">
        <w:rPr>
          <w:lang w:val="zh-CN" w:eastAsia="zh-CN"/>
        </w:rPr>
        <w:t>无论基础技术如何，用户均可在世界范围内获得负担得起的服务的环境。</w:t>
      </w:r>
    </w:p>
    <w:p w14:paraId="1DDB8891" w14:textId="6FDD27FF" w:rsidR="00FA45E0" w:rsidRPr="00223942" w:rsidRDefault="00FA45E0" w:rsidP="00FA45E0">
      <w:pPr>
        <w:rPr>
          <w:iCs/>
          <w:lang w:val="en-US" w:eastAsia="zh-CN"/>
        </w:rPr>
      </w:pPr>
      <w:r>
        <w:rPr>
          <w:bCs/>
          <w:lang w:eastAsia="zh-CN"/>
        </w:rPr>
        <w:t>8</w:t>
      </w:r>
      <w:r>
        <w:rPr>
          <w:bCs/>
          <w:lang w:eastAsia="zh-CN"/>
        </w:rPr>
        <w:tab/>
      </w:r>
      <w:r w:rsidR="00593EA0">
        <w:rPr>
          <w:lang w:val="zh-CN" w:eastAsia="zh-CN"/>
        </w:rPr>
        <w:t>ICT</w:t>
      </w:r>
      <w:r w:rsidR="00593EA0">
        <w:rPr>
          <w:lang w:val="zh-CN" w:eastAsia="zh-CN"/>
        </w:rPr>
        <w:t>领域的标准化格局错综复杂。凭借与成员国，特别是发展中国家成员国的牢固关系，国际电联</w:t>
      </w:r>
      <w:r w:rsidR="00593EA0">
        <w:rPr>
          <w:rFonts w:hint="eastAsia"/>
          <w:lang w:val="zh-CN" w:eastAsia="zh-CN"/>
        </w:rPr>
        <w:t>可发挥</w:t>
      </w:r>
      <w:r w:rsidR="00593EA0">
        <w:rPr>
          <w:lang w:val="zh-CN" w:eastAsia="zh-CN"/>
        </w:rPr>
        <w:t>独特的作用。这需要成为一种战略作用，与其他标准制定组织一起增加价值，包括通过建立和加强伙伴关系以及调动整个部门的能力。只有吸引私营和公共</w:t>
      </w:r>
      <w:r w:rsidR="00593EA0">
        <w:rPr>
          <w:rFonts w:hint="eastAsia"/>
          <w:lang w:val="zh-CN" w:eastAsia="zh-CN"/>
        </w:rPr>
        <w:t>部门</w:t>
      </w:r>
      <w:r w:rsidR="00593EA0">
        <w:rPr>
          <w:lang w:val="zh-CN" w:eastAsia="zh-CN"/>
        </w:rPr>
        <w:t>的</w:t>
      </w:r>
      <w:r w:rsidR="00593EA0">
        <w:rPr>
          <w:rFonts w:hint="eastAsia"/>
          <w:lang w:val="zh-CN" w:eastAsia="zh-CN"/>
        </w:rPr>
        <w:t>专业技术能力</w:t>
      </w:r>
      <w:r w:rsidR="00593EA0">
        <w:rPr>
          <w:lang w:val="zh-CN" w:eastAsia="zh-CN"/>
        </w:rPr>
        <w:t>，其标准化工作才能保持世界一流水平。</w:t>
      </w:r>
    </w:p>
    <w:p w14:paraId="0A12D555" w14:textId="7299047B" w:rsidR="00FA45E0" w:rsidRPr="00223942" w:rsidRDefault="00FA45E0" w:rsidP="00FA45E0">
      <w:pPr>
        <w:rPr>
          <w:lang w:eastAsia="zh-CN"/>
        </w:rPr>
      </w:pPr>
      <w:r>
        <w:rPr>
          <w:iCs/>
          <w:lang w:val="en-US" w:eastAsia="zh-CN"/>
        </w:rPr>
        <w:t>9</w:t>
      </w:r>
      <w:r>
        <w:rPr>
          <w:iCs/>
          <w:lang w:val="en-US" w:eastAsia="zh-CN"/>
        </w:rPr>
        <w:tab/>
      </w:r>
      <w:r w:rsidR="003E3F92" w:rsidRPr="003E3F92">
        <w:rPr>
          <w:rFonts w:hint="eastAsia"/>
          <w:iCs/>
          <w:lang w:val="en-US" w:eastAsia="zh-CN"/>
        </w:rPr>
        <w:t>国际电联不仅可以通过制定自己的标准，还可以通过</w:t>
      </w:r>
      <w:r w:rsidR="003E3F92">
        <w:rPr>
          <w:rFonts w:hint="eastAsia"/>
          <w:iCs/>
          <w:lang w:val="en-US" w:eastAsia="zh-CN"/>
        </w:rPr>
        <w:t>增进</w:t>
      </w:r>
      <w:r w:rsidR="003E3F92" w:rsidRPr="003E3F92">
        <w:rPr>
          <w:rFonts w:hint="eastAsia"/>
          <w:iCs/>
          <w:lang w:val="en-US" w:eastAsia="zh-CN"/>
        </w:rPr>
        <w:t>对更广泛环境的了解，为成员提供信息和指导；通过提高对其他机构制定的国际公认标准以及自己的标准的认识；以及酌情向成员介绍其他相关组织，来发挥宝贵的作用。</w:t>
      </w:r>
    </w:p>
    <w:p w14:paraId="0F8EC944" w14:textId="404FF91D" w:rsidR="00FA45E0" w:rsidRPr="00223942" w:rsidRDefault="00FA45E0" w:rsidP="00FA45E0">
      <w:pPr>
        <w:rPr>
          <w:lang w:eastAsia="zh-CN"/>
        </w:rPr>
      </w:pPr>
      <w:r>
        <w:rPr>
          <w:lang w:eastAsia="zh-CN"/>
        </w:rPr>
        <w:t>10</w:t>
      </w:r>
      <w:r>
        <w:rPr>
          <w:lang w:eastAsia="zh-CN"/>
        </w:rPr>
        <w:tab/>
      </w:r>
      <w:r w:rsidR="003E3F92">
        <w:rPr>
          <w:lang w:val="zh-CN" w:eastAsia="zh-CN"/>
        </w:rPr>
        <w:t>ITU-T</w:t>
      </w:r>
      <w:r w:rsidR="003E3F92">
        <w:rPr>
          <w:lang w:val="zh-CN" w:eastAsia="zh-CN"/>
        </w:rPr>
        <w:t>在其工作方式中应加强与业界、学术界和非政府利益攸关方的合作，听取私营部门、民间团体和其成员以外的技术界的意见，以吸引新成员并由此加强其标准在世界范围内的传播。其进程应包括部门成员，以确保充分考虑运作专业知识和实际影响。</w:t>
      </w:r>
      <w:r w:rsidR="003E3F92">
        <w:rPr>
          <w:lang w:val="zh-CN" w:eastAsia="zh-CN"/>
        </w:rPr>
        <w:t>ITU-T</w:t>
      </w:r>
      <w:r w:rsidR="003E3F92">
        <w:rPr>
          <w:lang w:val="zh-CN" w:eastAsia="zh-CN"/>
        </w:rPr>
        <w:t>应与其他相关组织协作，认识到</w:t>
      </w:r>
      <w:r w:rsidR="003E3F92">
        <w:rPr>
          <w:rFonts w:hint="eastAsia"/>
          <w:lang w:val="zh-CN" w:eastAsia="zh-CN"/>
        </w:rPr>
        <w:t>其运作</w:t>
      </w:r>
      <w:r w:rsidR="003E3F92">
        <w:rPr>
          <w:lang w:val="zh-CN" w:eastAsia="zh-CN"/>
        </w:rPr>
        <w:t>所处的更广阔的</w:t>
      </w:r>
      <w:r w:rsidR="003E3F92">
        <w:rPr>
          <w:rFonts w:hint="eastAsia"/>
          <w:lang w:val="zh-CN" w:eastAsia="zh-CN"/>
        </w:rPr>
        <w:t>格局</w:t>
      </w:r>
      <w:r w:rsidR="003E3F92">
        <w:rPr>
          <w:lang w:val="zh-CN" w:eastAsia="zh-CN"/>
        </w:rPr>
        <w:t>和政策环境，了解可以在哪些方面增加价值，并与其他组织积极合作</w:t>
      </w:r>
      <w:r w:rsidR="003E3F92">
        <w:rPr>
          <w:rFonts w:hint="eastAsia"/>
          <w:lang w:val="zh-CN" w:eastAsia="zh-CN"/>
        </w:rPr>
        <w:t>，争取更大的益处</w:t>
      </w:r>
      <w:r w:rsidR="003E3F92">
        <w:rPr>
          <w:lang w:val="zh-CN" w:eastAsia="zh-CN"/>
        </w:rPr>
        <w:t>。</w:t>
      </w:r>
    </w:p>
    <w:p w14:paraId="73CBEFB2" w14:textId="67ADB3EF" w:rsidR="00FA45E0" w:rsidRPr="00223942" w:rsidRDefault="00FA45E0" w:rsidP="00FA45E0">
      <w:pPr>
        <w:rPr>
          <w:lang w:eastAsia="zh-CN"/>
        </w:rPr>
      </w:pPr>
      <w:r>
        <w:rPr>
          <w:lang w:eastAsia="zh-CN"/>
        </w:rPr>
        <w:lastRenderedPageBreak/>
        <w:t>11</w:t>
      </w:r>
      <w:r>
        <w:rPr>
          <w:lang w:eastAsia="zh-CN"/>
        </w:rPr>
        <w:tab/>
      </w:r>
      <w:r w:rsidR="00E22C3D">
        <w:rPr>
          <w:lang w:val="zh-CN" w:eastAsia="zh-CN"/>
        </w:rPr>
        <w:t>ITU-T</w:t>
      </w:r>
      <w:r w:rsidR="00E22C3D">
        <w:rPr>
          <w:lang w:val="zh-CN" w:eastAsia="zh-CN"/>
        </w:rPr>
        <w:t>应优先支持发展中国家，包括主动接触各国政府和其他利益攸关方，使他们能够参与，侧重于应对实际发展挑战的行动，并指引各国参加能够满足其需求的组织，包括为获</w:t>
      </w:r>
      <w:r w:rsidR="00E22C3D">
        <w:rPr>
          <w:rFonts w:hint="eastAsia"/>
          <w:lang w:val="zh-CN" w:eastAsia="zh-CN"/>
        </w:rPr>
        <w:t>取</w:t>
      </w:r>
      <w:r w:rsidR="00E22C3D">
        <w:rPr>
          <w:lang w:val="zh-CN" w:eastAsia="zh-CN"/>
        </w:rPr>
        <w:t>这些机构提供的具体资源提供便利。同时，标准化部门不应重复发展部门的工作，工作应在各部门之间进行适当分配，包括必要时重新分配，以便更有效地利用国际电联及其成员的有限资源。</w:t>
      </w:r>
      <w:r w:rsidR="00E22C3D">
        <w:rPr>
          <w:lang w:val="zh-CN" w:eastAsia="zh-CN"/>
        </w:rPr>
        <w:t>ITU-T</w:t>
      </w:r>
      <w:r w:rsidR="00E22C3D">
        <w:rPr>
          <w:lang w:val="zh-CN" w:eastAsia="zh-CN"/>
        </w:rPr>
        <w:t>的工作应保持技术性。成员国通过分享和讨论政策事项的最佳做法相互支持是合</w:t>
      </w:r>
      <w:r w:rsidR="00154C6F">
        <w:rPr>
          <w:rFonts w:hint="eastAsia"/>
          <w:lang w:val="zh-CN" w:eastAsia="zh-CN"/>
        </w:rPr>
        <w:t>理</w:t>
      </w:r>
      <w:r w:rsidR="00E22C3D">
        <w:rPr>
          <w:lang w:val="zh-CN" w:eastAsia="zh-CN"/>
        </w:rPr>
        <w:t>的，但发展部门有责任推动这项工作。</w:t>
      </w:r>
    </w:p>
    <w:p w14:paraId="2EA1BD41" w14:textId="04F95015" w:rsidR="0055216A" w:rsidRDefault="00FA45E0" w:rsidP="00FA45E0">
      <w:pPr>
        <w:rPr>
          <w:lang w:eastAsia="zh-CN"/>
        </w:rPr>
      </w:pPr>
      <w:r>
        <w:rPr>
          <w:lang w:eastAsia="zh-CN"/>
        </w:rPr>
        <w:t>12</w:t>
      </w:r>
      <w:r>
        <w:rPr>
          <w:lang w:eastAsia="zh-CN"/>
        </w:rPr>
        <w:tab/>
      </w:r>
      <w:r w:rsidR="00154C6F">
        <w:rPr>
          <w:lang w:val="zh-CN" w:eastAsia="zh-CN"/>
        </w:rPr>
        <w:t>ITU-T</w:t>
      </w:r>
      <w:r w:rsidR="00154C6F">
        <w:rPr>
          <w:lang w:val="zh-CN" w:eastAsia="zh-CN"/>
        </w:rPr>
        <w:t>的工作方式应更加开放和透明，促进</w:t>
      </w:r>
      <w:r w:rsidR="00154C6F">
        <w:rPr>
          <w:rFonts w:hint="eastAsia"/>
          <w:lang w:val="zh-CN" w:eastAsia="zh-CN"/>
        </w:rPr>
        <w:t>无障碍获取</w:t>
      </w:r>
      <w:r w:rsidR="00154C6F">
        <w:rPr>
          <w:lang w:val="zh-CN" w:eastAsia="zh-CN"/>
        </w:rPr>
        <w:t>、公平性和多样性。</w:t>
      </w:r>
      <w:r w:rsidR="00154C6F">
        <w:rPr>
          <w:lang w:val="zh-CN" w:eastAsia="zh-CN"/>
        </w:rPr>
        <w:t>ITU-T</w:t>
      </w:r>
      <w:r w:rsidR="00154C6F">
        <w:rPr>
          <w:lang w:val="zh-CN" w:eastAsia="zh-CN"/>
        </w:rPr>
        <w:t>应</w:t>
      </w:r>
      <w:r w:rsidR="00154C6F">
        <w:rPr>
          <w:rFonts w:hint="eastAsia"/>
          <w:lang w:val="zh-CN" w:eastAsia="zh-CN"/>
        </w:rPr>
        <w:t>在</w:t>
      </w:r>
      <w:r w:rsidR="00154C6F">
        <w:rPr>
          <w:lang w:val="zh-CN" w:eastAsia="zh-CN"/>
        </w:rPr>
        <w:t>证据和持久</w:t>
      </w:r>
      <w:r w:rsidR="00154C6F">
        <w:rPr>
          <w:rFonts w:hint="eastAsia"/>
          <w:lang w:val="zh-CN" w:eastAsia="zh-CN"/>
        </w:rPr>
        <w:t>协商一致的基础上</w:t>
      </w:r>
      <w:r w:rsidR="00154C6F">
        <w:rPr>
          <w:lang w:val="zh-CN" w:eastAsia="zh-CN"/>
        </w:rPr>
        <w:t>做出决定，并应监测其影响</w:t>
      </w:r>
      <w:r w:rsidR="00154C6F">
        <w:rPr>
          <w:rFonts w:hint="eastAsia"/>
          <w:lang w:val="zh-CN" w:eastAsia="zh-CN"/>
        </w:rPr>
        <w:t>，</w:t>
      </w:r>
      <w:r w:rsidR="00154C6F">
        <w:rPr>
          <w:lang w:val="zh-CN" w:eastAsia="zh-CN"/>
        </w:rPr>
        <w:t>以</w:t>
      </w:r>
      <w:r w:rsidR="00154C6F">
        <w:rPr>
          <w:rFonts w:hint="eastAsia"/>
          <w:lang w:val="zh-CN" w:eastAsia="zh-CN"/>
        </w:rPr>
        <w:t>便</w:t>
      </w:r>
      <w:r w:rsidR="00154C6F">
        <w:rPr>
          <w:lang w:val="zh-CN" w:eastAsia="zh-CN"/>
        </w:rPr>
        <w:t>从经验中吸取教训。只有以坚实的证据为基础的标准化工作才</w:t>
      </w:r>
      <w:r w:rsidR="00154C6F">
        <w:rPr>
          <w:rFonts w:hint="eastAsia"/>
          <w:lang w:val="zh-CN" w:eastAsia="zh-CN"/>
        </w:rPr>
        <w:t>具有现实意义</w:t>
      </w:r>
      <w:r w:rsidR="00154C6F">
        <w:rPr>
          <w:lang w:val="zh-CN" w:eastAsia="zh-CN"/>
        </w:rPr>
        <w:t>和价值。</w:t>
      </w:r>
    </w:p>
    <w:p w14:paraId="18C6F090" w14:textId="07565999" w:rsidR="001B762F" w:rsidRPr="001B762F" w:rsidRDefault="001B762F" w:rsidP="001B762F">
      <w:pPr>
        <w:pStyle w:val="Reasons"/>
        <w:tabs>
          <w:tab w:val="clear" w:pos="1701"/>
          <w:tab w:val="clear" w:pos="2495"/>
          <w:tab w:val="left" w:pos="1588"/>
          <w:tab w:val="left" w:pos="1985"/>
        </w:tabs>
        <w:rPr>
          <w:rFonts w:eastAsia="Times New Roman"/>
          <w:lang w:eastAsia="zh-CN"/>
        </w:rPr>
      </w:pPr>
    </w:p>
    <w:sectPr w:rsidR="001B762F" w:rsidRPr="001B762F">
      <w:headerReference w:type="default" r:id="rId15"/>
      <w:footerReference w:type="even"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ACE9A" w14:textId="77777777" w:rsidR="00D2765B" w:rsidRDefault="00D2765B">
      <w:r>
        <w:separator/>
      </w:r>
    </w:p>
  </w:endnote>
  <w:endnote w:type="continuationSeparator" w:id="0">
    <w:p w14:paraId="26FCCABE" w14:textId="77777777" w:rsidR="00D2765B" w:rsidRDefault="00D2765B">
      <w:r>
        <w:continuationSeparator/>
      </w:r>
    </w:p>
  </w:endnote>
  <w:endnote w:type="continuationNotice" w:id="1">
    <w:p w14:paraId="09CC2F94" w14:textId="77777777" w:rsidR="00D2765B" w:rsidRDefault="00D2765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FAD1" w14:textId="77777777" w:rsidR="009D4900" w:rsidRDefault="009D4900">
    <w:pPr>
      <w:framePr w:wrap="around" w:vAnchor="text" w:hAnchor="margin" w:xAlign="right" w:y="1"/>
    </w:pPr>
    <w:r>
      <w:fldChar w:fldCharType="begin"/>
    </w:r>
    <w:r>
      <w:instrText xml:space="preserve">PAGE  </w:instrText>
    </w:r>
    <w:r>
      <w:fldChar w:fldCharType="end"/>
    </w:r>
  </w:p>
  <w:p w14:paraId="3207FB71" w14:textId="3239AD9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E3651">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1E2B1" w14:textId="77777777" w:rsidR="00D2765B" w:rsidRDefault="00D2765B">
      <w:r>
        <w:rPr>
          <w:b/>
        </w:rPr>
        <w:t>_______________</w:t>
      </w:r>
    </w:p>
  </w:footnote>
  <w:footnote w:type="continuationSeparator" w:id="0">
    <w:p w14:paraId="76EA7E67" w14:textId="77777777" w:rsidR="00D2765B" w:rsidRDefault="00D27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DA82E"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38(Add.1)</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91501088">
    <w:abstractNumId w:val="8"/>
  </w:num>
  <w:num w:numId="2" w16cid:durableId="175554547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08573816">
    <w:abstractNumId w:val="9"/>
  </w:num>
  <w:num w:numId="4" w16cid:durableId="1901557858">
    <w:abstractNumId w:val="7"/>
  </w:num>
  <w:num w:numId="5" w16cid:durableId="90860540">
    <w:abstractNumId w:val="6"/>
  </w:num>
  <w:num w:numId="6" w16cid:durableId="1148864759">
    <w:abstractNumId w:val="5"/>
  </w:num>
  <w:num w:numId="7" w16cid:durableId="926958315">
    <w:abstractNumId w:val="4"/>
  </w:num>
  <w:num w:numId="8" w16cid:durableId="665860250">
    <w:abstractNumId w:val="3"/>
  </w:num>
  <w:num w:numId="9" w16cid:durableId="995648594">
    <w:abstractNumId w:val="2"/>
  </w:num>
  <w:num w:numId="10" w16cid:durableId="694573351">
    <w:abstractNumId w:val="1"/>
  </w:num>
  <w:num w:numId="11" w16cid:durableId="189339872">
    <w:abstractNumId w:val="0"/>
  </w:num>
  <w:num w:numId="12" w16cid:durableId="89593130">
    <w:abstractNumId w:val="12"/>
  </w:num>
  <w:num w:numId="13" w16cid:durableId="2514747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54C6F"/>
    <w:rsid w:val="00161472"/>
    <w:rsid w:val="00163E58"/>
    <w:rsid w:val="0017074E"/>
    <w:rsid w:val="00182117"/>
    <w:rsid w:val="0018215C"/>
    <w:rsid w:val="00187BD9"/>
    <w:rsid w:val="00190B55"/>
    <w:rsid w:val="00193C5E"/>
    <w:rsid w:val="001B762F"/>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2F4F11"/>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E3F92"/>
    <w:rsid w:val="003F020A"/>
    <w:rsid w:val="003F4EBA"/>
    <w:rsid w:val="0041348E"/>
    <w:rsid w:val="004142ED"/>
    <w:rsid w:val="00420EDB"/>
    <w:rsid w:val="00426B01"/>
    <w:rsid w:val="004324DF"/>
    <w:rsid w:val="004373CA"/>
    <w:rsid w:val="004420C9"/>
    <w:rsid w:val="00443CCE"/>
    <w:rsid w:val="00465799"/>
    <w:rsid w:val="00471EF9"/>
    <w:rsid w:val="0048422D"/>
    <w:rsid w:val="00492075"/>
    <w:rsid w:val="004969AD"/>
    <w:rsid w:val="004974D9"/>
    <w:rsid w:val="004A23F0"/>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452AF"/>
    <w:rsid w:val="0055140B"/>
    <w:rsid w:val="0055216A"/>
    <w:rsid w:val="00553247"/>
    <w:rsid w:val="0056747D"/>
    <w:rsid w:val="00581B01"/>
    <w:rsid w:val="00587F8C"/>
    <w:rsid w:val="00590744"/>
    <w:rsid w:val="00593EA0"/>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63A56"/>
    <w:rsid w:val="00664E45"/>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62A4"/>
    <w:rsid w:val="00777235"/>
    <w:rsid w:val="00785E1D"/>
    <w:rsid w:val="00790D70"/>
    <w:rsid w:val="0079139A"/>
    <w:rsid w:val="007965B5"/>
    <w:rsid w:val="00797C4B"/>
    <w:rsid w:val="007B28CB"/>
    <w:rsid w:val="007B55E5"/>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6387F"/>
    <w:rsid w:val="0096599B"/>
    <w:rsid w:val="009864F5"/>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1788"/>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67122"/>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65B"/>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0D9"/>
    <w:rsid w:val="00E0231F"/>
    <w:rsid w:val="00E03C94"/>
    <w:rsid w:val="00E2134A"/>
    <w:rsid w:val="00E22C3D"/>
    <w:rsid w:val="00E26226"/>
    <w:rsid w:val="00E3103C"/>
    <w:rsid w:val="00E368CA"/>
    <w:rsid w:val="00E379DC"/>
    <w:rsid w:val="00E45D05"/>
    <w:rsid w:val="00E505FB"/>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E3651"/>
    <w:rsid w:val="00EF2A81"/>
    <w:rsid w:val="00F00DDC"/>
    <w:rsid w:val="00F01223"/>
    <w:rsid w:val="00F02766"/>
    <w:rsid w:val="00F05BD4"/>
    <w:rsid w:val="00F07AB6"/>
    <w:rsid w:val="00F2404A"/>
    <w:rsid w:val="00F27D1D"/>
    <w:rsid w:val="00F3630D"/>
    <w:rsid w:val="00F4677D"/>
    <w:rsid w:val="00F528B4"/>
    <w:rsid w:val="00F60D05"/>
    <w:rsid w:val="00F6155B"/>
    <w:rsid w:val="00F65C19"/>
    <w:rsid w:val="00F7356B"/>
    <w:rsid w:val="00F762C9"/>
    <w:rsid w:val="00F80977"/>
    <w:rsid w:val="00F83F75"/>
    <w:rsid w:val="00F972D2"/>
    <w:rsid w:val="00FA45E0"/>
    <w:rsid w:val="00FC1DB9"/>
    <w:rsid w:val="00FD2546"/>
    <w:rsid w:val="00FD36AC"/>
    <w:rsid w:val="00FD772E"/>
    <w:rsid w:val="00FE0144"/>
    <w:rsid w:val="00FE1710"/>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6FC2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hail.ion@an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dc7c4e0-174d-4f4e-8f48-f3168f6387f7" targetNamespace="http://schemas.microsoft.com/office/2006/metadata/properties" ma:root="true" ma:fieldsID="d41af5c836d734370eb92e7ee5f83852" ns2:_="" ns3:_="">
    <xsd:import namespace="996b2e75-67fd-4955-a3b0-5ab9934cb50b"/>
    <xsd:import namespace="5dc7c4e0-174d-4f4e-8f48-f3168f6387f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dc7c4e0-174d-4f4e-8f48-f3168f6387f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5dc7c4e0-174d-4f4e-8f48-f3168f6387f7">DPM</DPM_x0020_Author>
    <DPM_x0020_File_x0020_name xmlns="5dc7c4e0-174d-4f4e-8f48-f3168f6387f7">T22-WTSA.24-C-0038!A1!MSW-C</DPM_x0020_File_x0020_name>
    <DPM_x0020_Version xmlns="5dc7c4e0-174d-4f4e-8f48-f3168f6387f7">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dc7c4e0-174d-4f4e-8f48-f3168f638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dc7c4e0-174d-4f4e-8f48-f3168f6387f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1625</Words>
  <Characters>240</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T22-WTSA.24-C-0038!A1!MSW-C</vt:lpstr>
    </vt:vector>
  </TitlesOfParts>
  <Manager>General Secretariat - Pool</Manager>
  <Company>International Telecommunication Union (ITU)</Company>
  <LinksUpToDate>false</LinksUpToDate>
  <CharactersWithSpaces>1862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T22-WTSA.24-C-0038!A1!MSW-C</dc:title>
  <dc:subject>World Telecommunication Standardization Assembly</dc:subject>
  <dc:creator>Documents Proposals Manager (DPM)</dc:creator>
  <cp:keywords>DPM_v2024.7.23.2_prod</cp:keywords>
  <dc:description>Template used by DPM and CPI for the WTSA-24</dc:description>
  <cp:lastModifiedBy>LING-C(KL)</cp:lastModifiedBy>
  <cp:revision>2</cp:revision>
  <cp:lastPrinted>2016-06-06T07:49:00Z</cp:lastPrinted>
  <dcterms:created xsi:type="dcterms:W3CDTF">2024-09-30T08:48:00Z</dcterms:created>
  <dcterms:modified xsi:type="dcterms:W3CDTF">2024-09-30T08:48:00Z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