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5DDAD48" w14:textId="77777777" w:rsidTr="001200A0">
        <w:trPr>
          <w:cantSplit/>
          <w:trHeight w:val="1132"/>
        </w:trPr>
        <w:tc>
          <w:tcPr>
            <w:tcW w:w="1270" w:type="dxa"/>
            <w:vAlign w:val="center"/>
          </w:tcPr>
          <w:p w14:paraId="556172A7" w14:textId="77777777" w:rsidR="00D2023F" w:rsidRPr="0077349A" w:rsidRDefault="0018215C" w:rsidP="00C30155">
            <w:pPr>
              <w:spacing w:before="0"/>
            </w:pPr>
            <w:r w:rsidRPr="0077349A">
              <w:rPr>
                <w:noProof/>
              </w:rPr>
              <w:drawing>
                <wp:inline distT="0" distB="0" distL="0" distR="0" wp14:anchorId="33ED50F1" wp14:editId="3247034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16785D7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22A66E2E" w14:textId="77777777" w:rsidR="00D2023F" w:rsidRPr="0077349A" w:rsidRDefault="00D2023F" w:rsidP="00C30155">
            <w:pPr>
              <w:spacing w:before="0"/>
            </w:pPr>
            <w:r w:rsidRPr="0077349A">
              <w:rPr>
                <w:noProof/>
                <w:lang w:eastAsia="zh-CN"/>
              </w:rPr>
              <w:drawing>
                <wp:inline distT="0" distB="0" distL="0" distR="0" wp14:anchorId="6956820A" wp14:editId="36C7B2C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CB84930" w14:textId="77777777" w:rsidTr="001200A0">
        <w:trPr>
          <w:cantSplit/>
        </w:trPr>
        <w:tc>
          <w:tcPr>
            <w:tcW w:w="9639" w:type="dxa"/>
            <w:gridSpan w:val="4"/>
            <w:tcBorders>
              <w:bottom w:val="single" w:sz="12" w:space="0" w:color="auto"/>
            </w:tcBorders>
          </w:tcPr>
          <w:p w14:paraId="044D8371" w14:textId="77777777" w:rsidR="00D2023F" w:rsidRPr="0077349A" w:rsidRDefault="00D2023F" w:rsidP="00C30155">
            <w:pPr>
              <w:spacing w:before="0"/>
            </w:pPr>
          </w:p>
        </w:tc>
      </w:tr>
      <w:tr w:rsidR="00931298" w:rsidRPr="002D0535" w14:paraId="124A4D9E" w14:textId="77777777" w:rsidTr="001200A0">
        <w:trPr>
          <w:cantSplit/>
        </w:trPr>
        <w:tc>
          <w:tcPr>
            <w:tcW w:w="6127" w:type="dxa"/>
            <w:gridSpan w:val="2"/>
            <w:tcBorders>
              <w:top w:val="single" w:sz="12" w:space="0" w:color="auto"/>
            </w:tcBorders>
          </w:tcPr>
          <w:p w14:paraId="34DC86B0" w14:textId="77777777" w:rsidR="00931298" w:rsidRPr="002D0535" w:rsidRDefault="00931298" w:rsidP="00C30155">
            <w:pPr>
              <w:spacing w:before="0"/>
              <w:rPr>
                <w:sz w:val="20"/>
              </w:rPr>
            </w:pPr>
          </w:p>
        </w:tc>
        <w:tc>
          <w:tcPr>
            <w:tcW w:w="3512" w:type="dxa"/>
            <w:gridSpan w:val="2"/>
          </w:tcPr>
          <w:p w14:paraId="0B27D606" w14:textId="77777777" w:rsidR="00931298" w:rsidRPr="002D0535" w:rsidRDefault="00931298" w:rsidP="00C30155">
            <w:pPr>
              <w:spacing w:before="0"/>
              <w:rPr>
                <w:sz w:val="20"/>
              </w:rPr>
            </w:pPr>
          </w:p>
        </w:tc>
      </w:tr>
      <w:tr w:rsidR="00752D4D" w:rsidRPr="0077349A" w14:paraId="2BA236B6" w14:textId="77777777" w:rsidTr="001200A0">
        <w:trPr>
          <w:cantSplit/>
        </w:trPr>
        <w:tc>
          <w:tcPr>
            <w:tcW w:w="6127" w:type="dxa"/>
            <w:gridSpan w:val="2"/>
          </w:tcPr>
          <w:p w14:paraId="47906B08" w14:textId="77777777" w:rsidR="00752D4D" w:rsidRPr="0077349A" w:rsidRDefault="00E83B2D" w:rsidP="00E83B2D">
            <w:pPr>
              <w:pStyle w:val="Committee"/>
            </w:pPr>
            <w:r w:rsidRPr="00E83B2D">
              <w:t>PLENARY MEETING</w:t>
            </w:r>
          </w:p>
        </w:tc>
        <w:tc>
          <w:tcPr>
            <w:tcW w:w="3512" w:type="dxa"/>
            <w:gridSpan w:val="2"/>
          </w:tcPr>
          <w:p w14:paraId="0A66FA6F" w14:textId="77777777" w:rsidR="00752D4D" w:rsidRPr="0077349A" w:rsidRDefault="00E83B2D" w:rsidP="00A52D1A">
            <w:pPr>
              <w:pStyle w:val="Docnumber"/>
            </w:pPr>
            <w:r>
              <w:t>Addendum 9 to</w:t>
            </w:r>
            <w:r>
              <w:br/>
              <w:t>Document 37</w:t>
            </w:r>
            <w:r w:rsidRPr="0056747D">
              <w:t>-</w:t>
            </w:r>
            <w:r w:rsidRPr="003251EA">
              <w:t>E</w:t>
            </w:r>
          </w:p>
        </w:tc>
      </w:tr>
      <w:tr w:rsidR="00931298" w:rsidRPr="0077349A" w14:paraId="59B982F4" w14:textId="77777777" w:rsidTr="001200A0">
        <w:trPr>
          <w:cantSplit/>
        </w:trPr>
        <w:tc>
          <w:tcPr>
            <w:tcW w:w="6127" w:type="dxa"/>
            <w:gridSpan w:val="2"/>
          </w:tcPr>
          <w:p w14:paraId="0919BB6A" w14:textId="77777777" w:rsidR="00931298" w:rsidRPr="002D0535" w:rsidRDefault="00931298" w:rsidP="00C30155">
            <w:pPr>
              <w:spacing w:before="0"/>
              <w:rPr>
                <w:sz w:val="20"/>
              </w:rPr>
            </w:pPr>
          </w:p>
        </w:tc>
        <w:tc>
          <w:tcPr>
            <w:tcW w:w="3512" w:type="dxa"/>
            <w:gridSpan w:val="2"/>
          </w:tcPr>
          <w:p w14:paraId="3B377613"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65A1DA00" w14:textId="77777777" w:rsidTr="001200A0">
        <w:trPr>
          <w:cantSplit/>
        </w:trPr>
        <w:tc>
          <w:tcPr>
            <w:tcW w:w="6127" w:type="dxa"/>
            <w:gridSpan w:val="2"/>
          </w:tcPr>
          <w:p w14:paraId="3CE1B27E" w14:textId="77777777" w:rsidR="00931298" w:rsidRPr="002D0535" w:rsidRDefault="00931298" w:rsidP="00C30155">
            <w:pPr>
              <w:spacing w:before="0"/>
              <w:rPr>
                <w:sz w:val="20"/>
              </w:rPr>
            </w:pPr>
          </w:p>
        </w:tc>
        <w:tc>
          <w:tcPr>
            <w:tcW w:w="3512" w:type="dxa"/>
            <w:gridSpan w:val="2"/>
          </w:tcPr>
          <w:p w14:paraId="39895C2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A16661E" w14:textId="77777777" w:rsidTr="001200A0">
        <w:trPr>
          <w:cantSplit/>
        </w:trPr>
        <w:tc>
          <w:tcPr>
            <w:tcW w:w="9639" w:type="dxa"/>
            <w:gridSpan w:val="4"/>
          </w:tcPr>
          <w:p w14:paraId="0D351FEC" w14:textId="77777777" w:rsidR="00931298" w:rsidRPr="007D6EC2" w:rsidRDefault="00931298" w:rsidP="007D6EC2">
            <w:pPr>
              <w:spacing w:before="0"/>
              <w:rPr>
                <w:sz w:val="20"/>
              </w:rPr>
            </w:pPr>
          </w:p>
        </w:tc>
      </w:tr>
      <w:tr w:rsidR="00931298" w:rsidRPr="0077349A" w14:paraId="538F6524" w14:textId="77777777" w:rsidTr="001200A0">
        <w:trPr>
          <w:cantSplit/>
        </w:trPr>
        <w:tc>
          <w:tcPr>
            <w:tcW w:w="9639" w:type="dxa"/>
            <w:gridSpan w:val="4"/>
          </w:tcPr>
          <w:p w14:paraId="58586E61" w14:textId="77777777" w:rsidR="00931298" w:rsidRPr="0077349A" w:rsidRDefault="00E83B2D" w:rsidP="00C30155">
            <w:pPr>
              <w:pStyle w:val="Source"/>
            </w:pPr>
            <w:r>
              <w:t>Asia-Pacific Telecommunity Member Administrations</w:t>
            </w:r>
          </w:p>
        </w:tc>
      </w:tr>
      <w:tr w:rsidR="00931298" w:rsidRPr="0077349A" w14:paraId="7A59D9F8" w14:textId="77777777" w:rsidTr="001200A0">
        <w:trPr>
          <w:cantSplit/>
        </w:trPr>
        <w:tc>
          <w:tcPr>
            <w:tcW w:w="9639" w:type="dxa"/>
            <w:gridSpan w:val="4"/>
          </w:tcPr>
          <w:p w14:paraId="3F27F11E" w14:textId="77777777" w:rsidR="00931298" w:rsidRPr="0077349A" w:rsidRDefault="00E83B2D" w:rsidP="00C30155">
            <w:pPr>
              <w:pStyle w:val="Title1"/>
            </w:pPr>
            <w:r>
              <w:t>PROPOSED SUPPRESSION OF RESOLUTION 47</w:t>
            </w:r>
          </w:p>
        </w:tc>
      </w:tr>
      <w:tr w:rsidR="00657CDA" w:rsidRPr="0077349A" w14:paraId="3CDA8682" w14:textId="77777777" w:rsidTr="001200A0">
        <w:trPr>
          <w:cantSplit/>
          <w:trHeight w:hRule="exact" w:val="240"/>
        </w:trPr>
        <w:tc>
          <w:tcPr>
            <w:tcW w:w="9639" w:type="dxa"/>
            <w:gridSpan w:val="4"/>
          </w:tcPr>
          <w:p w14:paraId="640C09A2" w14:textId="77777777" w:rsidR="00657CDA" w:rsidRPr="0077349A" w:rsidRDefault="00657CDA" w:rsidP="0078695E">
            <w:pPr>
              <w:pStyle w:val="Title2"/>
              <w:spacing w:before="0"/>
            </w:pPr>
          </w:p>
        </w:tc>
      </w:tr>
      <w:tr w:rsidR="00657CDA" w:rsidRPr="0077349A" w14:paraId="5AEA3DF5" w14:textId="77777777" w:rsidTr="001200A0">
        <w:trPr>
          <w:cantSplit/>
          <w:trHeight w:hRule="exact" w:val="240"/>
        </w:trPr>
        <w:tc>
          <w:tcPr>
            <w:tcW w:w="9639" w:type="dxa"/>
            <w:gridSpan w:val="4"/>
          </w:tcPr>
          <w:p w14:paraId="26671054" w14:textId="77777777" w:rsidR="00657CDA" w:rsidRPr="0077349A" w:rsidRDefault="00657CDA" w:rsidP="00293F9A">
            <w:pPr>
              <w:pStyle w:val="Agendaitem"/>
              <w:spacing w:before="0"/>
            </w:pPr>
          </w:p>
        </w:tc>
      </w:tr>
    </w:tbl>
    <w:p w14:paraId="54F520BB" w14:textId="77777777" w:rsidR="001200A0" w:rsidRPr="0077349A" w:rsidRDefault="001200A0" w:rsidP="001200A0"/>
    <w:tbl>
      <w:tblPr>
        <w:tblW w:w="5000" w:type="pct"/>
        <w:tblLayout w:type="fixed"/>
        <w:tblLook w:val="0000" w:firstRow="0" w:lastRow="0" w:firstColumn="0" w:lastColumn="0" w:noHBand="0" w:noVBand="0"/>
      </w:tblPr>
      <w:tblGrid>
        <w:gridCol w:w="1885"/>
        <w:gridCol w:w="3877"/>
        <w:gridCol w:w="3877"/>
      </w:tblGrid>
      <w:tr w:rsidR="001200A0" w:rsidRPr="0077349A" w14:paraId="0D0CC2D8" w14:textId="77777777" w:rsidTr="001E105C">
        <w:trPr>
          <w:cantSplit/>
        </w:trPr>
        <w:tc>
          <w:tcPr>
            <w:tcW w:w="1885" w:type="dxa"/>
          </w:tcPr>
          <w:p w14:paraId="5AF586F7" w14:textId="77777777" w:rsidR="001200A0" w:rsidRPr="0077349A" w:rsidRDefault="001200A0" w:rsidP="001E105C">
            <w:r w:rsidRPr="0077349A">
              <w:rPr>
                <w:b/>
                <w:bCs/>
              </w:rPr>
              <w:t>Abstract:</w:t>
            </w:r>
          </w:p>
        </w:tc>
        <w:tc>
          <w:tcPr>
            <w:tcW w:w="7754" w:type="dxa"/>
            <w:gridSpan w:val="2"/>
          </w:tcPr>
          <w:p w14:paraId="18479430" w14:textId="77777777" w:rsidR="001200A0" w:rsidRPr="0077349A" w:rsidRDefault="001200A0" w:rsidP="001E105C">
            <w:pPr>
              <w:pStyle w:val="Abstract"/>
              <w:rPr>
                <w:lang w:val="en-GB"/>
              </w:rPr>
            </w:pPr>
            <w:r>
              <w:t>This document contains the proposal for suppression of WTSA Resolution 47, “Country code top-level domain names”.</w:t>
            </w:r>
          </w:p>
        </w:tc>
      </w:tr>
      <w:tr w:rsidR="001200A0" w:rsidRPr="0077349A" w14:paraId="57437169" w14:textId="77777777" w:rsidTr="001E105C">
        <w:trPr>
          <w:cantSplit/>
        </w:trPr>
        <w:tc>
          <w:tcPr>
            <w:tcW w:w="1885" w:type="dxa"/>
          </w:tcPr>
          <w:p w14:paraId="3D9B7DEF" w14:textId="77777777" w:rsidR="001200A0" w:rsidRPr="0077349A" w:rsidRDefault="001200A0" w:rsidP="001E105C">
            <w:pPr>
              <w:rPr>
                <w:b/>
                <w:bCs/>
                <w:szCs w:val="24"/>
              </w:rPr>
            </w:pPr>
            <w:r w:rsidRPr="0077349A">
              <w:rPr>
                <w:b/>
                <w:bCs/>
                <w:szCs w:val="24"/>
              </w:rPr>
              <w:t>Contact:</w:t>
            </w:r>
          </w:p>
        </w:tc>
        <w:tc>
          <w:tcPr>
            <w:tcW w:w="3877" w:type="dxa"/>
          </w:tcPr>
          <w:p w14:paraId="113B0CC6" w14:textId="77777777" w:rsidR="001200A0" w:rsidRPr="0077349A" w:rsidRDefault="001200A0" w:rsidP="001E105C">
            <w:r>
              <w:t xml:space="preserve">Mr. Masanori Kondo </w:t>
            </w:r>
            <w:r>
              <w:br/>
              <w:t>Secretary General</w:t>
            </w:r>
            <w:r>
              <w:br/>
              <w:t xml:space="preserve">Asia-Pacific </w:t>
            </w:r>
            <w:proofErr w:type="spellStart"/>
            <w:r>
              <w:t>Telecommunity</w:t>
            </w:r>
            <w:proofErr w:type="spellEnd"/>
          </w:p>
        </w:tc>
        <w:tc>
          <w:tcPr>
            <w:tcW w:w="3877" w:type="dxa"/>
          </w:tcPr>
          <w:p w14:paraId="2165BE54" w14:textId="77777777" w:rsidR="001200A0" w:rsidRPr="0077349A" w:rsidRDefault="001200A0" w:rsidP="001E105C">
            <w:r w:rsidRPr="0077349A">
              <w:t>E-mail:</w:t>
            </w:r>
            <w:r>
              <w:tab/>
            </w:r>
            <w:hyperlink r:id="rId14" w:history="1">
              <w:r w:rsidRPr="0011070C">
                <w:rPr>
                  <w:rStyle w:val="Hyperlink"/>
                </w:rPr>
                <w:t>aptwtsa@apt.int</w:t>
              </w:r>
            </w:hyperlink>
            <w:r>
              <w:t xml:space="preserve"> </w:t>
            </w:r>
          </w:p>
        </w:tc>
      </w:tr>
    </w:tbl>
    <w:p w14:paraId="51629B44" w14:textId="77777777" w:rsidR="001200A0" w:rsidRPr="009520F0" w:rsidRDefault="001200A0" w:rsidP="001200A0">
      <w:pPr>
        <w:pStyle w:val="Headingb"/>
      </w:pPr>
      <w:r w:rsidRPr="009520F0">
        <w:t>Introduction</w:t>
      </w:r>
    </w:p>
    <w:p w14:paraId="4EEB5C8A" w14:textId="77777777" w:rsidR="001200A0" w:rsidRDefault="001200A0" w:rsidP="001200A0">
      <w:r>
        <w:t>A c</w:t>
      </w:r>
      <w:r w:rsidRPr="007614BE">
        <w:t>ountry code top-level domains (ccTLD) is a two-letter code at the end of a web address that identifies the country or territory where the website is registered.</w:t>
      </w:r>
      <w:r>
        <w:t xml:space="preserve"> </w:t>
      </w:r>
      <w:r w:rsidRPr="007614BE">
        <w:t>It</w:t>
      </w:r>
      <w:r>
        <w:t xml:space="preserve"> i</w:t>
      </w:r>
      <w:r w:rsidRPr="007614BE">
        <w:t>s like a digital flag, indicating the website's geographic origin</w:t>
      </w:r>
      <w:r>
        <w:t xml:space="preserve"> (.au –for Australia, .in –for India etc). </w:t>
      </w:r>
      <w:r w:rsidRPr="00597891">
        <w:t>Country Code Managers</w:t>
      </w:r>
      <w:r>
        <w:t xml:space="preserve"> in e</w:t>
      </w:r>
      <w:r w:rsidRPr="00597891">
        <w:t xml:space="preserve">ach country or territory </w:t>
      </w:r>
      <w:r>
        <w:t>are the</w:t>
      </w:r>
      <w:r w:rsidRPr="00597891">
        <w:t xml:space="preserve"> designated manager</w:t>
      </w:r>
      <w:r>
        <w:t>s</w:t>
      </w:r>
      <w:r w:rsidRPr="00597891">
        <w:t xml:space="preserve"> responsible for assigning ccTLDs within their region.</w:t>
      </w:r>
    </w:p>
    <w:p w14:paraId="3649F5FF" w14:textId="77777777" w:rsidR="001200A0" w:rsidRDefault="001200A0" w:rsidP="001200A0">
      <w:r>
        <w:t>R</w:t>
      </w:r>
      <w:r w:rsidRPr="003B09C5">
        <w:t>esolutio</w:t>
      </w:r>
      <w:r>
        <w:t xml:space="preserve">n 47, which was </w:t>
      </w:r>
      <w:r w:rsidRPr="003B09C5">
        <w:t>adopted by the World Telecommunication Standardization Assembly (WTSA) in Dubai, 2012, deals with the delegation and management of ccTLDs</w:t>
      </w:r>
      <w:r>
        <w:t>. It r</w:t>
      </w:r>
      <w:r w:rsidRPr="003B09C5">
        <w:t>ecognizes the importance of previous resolutions and outcomes related to ccTLDs, the evolving role of WTSA, and on</w:t>
      </w:r>
      <w:r>
        <w:t>-</w:t>
      </w:r>
      <w:r w:rsidRPr="003B09C5">
        <w:t>going challenges</w:t>
      </w:r>
      <w:r>
        <w:t xml:space="preserve">. The resolution </w:t>
      </w:r>
      <w:r w:rsidRPr="003B09C5">
        <w:t>c</w:t>
      </w:r>
      <w:r w:rsidRPr="003B09C5">
        <w:rPr>
          <w:bCs/>
        </w:rPr>
        <w:t>onsiders</w:t>
      </w:r>
      <w:r w:rsidRPr="003B09C5">
        <w:t> the role of Member States in representing their populations and avoiding interference in other countries' ccTLDs, as well as the facilitating roles of intergovernmental and international organizations.</w:t>
      </w:r>
      <w:r>
        <w:t xml:space="preserve"> </w:t>
      </w:r>
      <w:r w:rsidRPr="003B09C5">
        <w:rPr>
          <w:bCs/>
        </w:rPr>
        <w:t>Overall, this resolution aims to improve the governance and management of ccTLDs by encouraging collaboration, transparency, responsible national policies</w:t>
      </w:r>
      <w:r>
        <w:rPr>
          <w:bCs/>
        </w:rPr>
        <w:t>, e</w:t>
      </w:r>
      <w:r w:rsidRPr="007109E2">
        <w:rPr>
          <w:bCs/>
        </w:rPr>
        <w:t xml:space="preserve">nsuring transparency and fairness in ccTLD delegation, avoiding political interference or abuse of ccTLDs, and </w:t>
      </w:r>
      <w:r>
        <w:rPr>
          <w:bCs/>
        </w:rPr>
        <w:t>s</w:t>
      </w:r>
      <w:r w:rsidRPr="007109E2">
        <w:rPr>
          <w:bCs/>
        </w:rPr>
        <w:t>upporting Member States in effectively managing their ccTLDs</w:t>
      </w:r>
      <w:r w:rsidRPr="003B09C5">
        <w:rPr>
          <w:bCs/>
        </w:rPr>
        <w:t>.</w:t>
      </w:r>
    </w:p>
    <w:p w14:paraId="4E6F05A3" w14:textId="77777777" w:rsidR="001200A0" w:rsidRDefault="001200A0" w:rsidP="001200A0">
      <w:r w:rsidRPr="0062000A">
        <w:t>It appears that none of the APT Member Administrations propose to</w:t>
      </w:r>
      <w:r>
        <w:t xml:space="preserve"> work further on the resolution. Considering the ITU's enforcement limitations, Resolution 47 may have reached its natural conclusion.</w:t>
      </w:r>
    </w:p>
    <w:p w14:paraId="14381B6E" w14:textId="77777777" w:rsidR="001200A0" w:rsidRDefault="001200A0" w:rsidP="001200A0">
      <w:pPr>
        <w:pStyle w:val="Headingb"/>
      </w:pPr>
      <w:proofErr w:type="spellStart"/>
      <w:r w:rsidRPr="00F414D5">
        <w:t>Proposal</w:t>
      </w:r>
      <w:proofErr w:type="spellEnd"/>
    </w:p>
    <w:p w14:paraId="5A8795F3" w14:textId="77777777" w:rsidR="001200A0" w:rsidRDefault="001200A0" w:rsidP="001200A0">
      <w:pPr>
        <w:rPr>
          <w:rFonts w:eastAsia="Batang"/>
          <w:lang w:eastAsia="ko-KR"/>
        </w:rPr>
      </w:pPr>
      <w:r w:rsidRPr="5FD9BFF0">
        <w:rPr>
          <w:rFonts w:eastAsia="Batang"/>
          <w:lang w:eastAsia="ko-KR"/>
        </w:rPr>
        <w:t xml:space="preserve">Based on the background above, </w:t>
      </w:r>
      <w:r w:rsidRPr="5FD9BFF0">
        <w:t>APT Member Administrations</w:t>
      </w:r>
      <w:r>
        <w:t xml:space="preserve"> </w:t>
      </w:r>
      <w:r w:rsidRPr="5FD9BFF0">
        <w:rPr>
          <w:rFonts w:eastAsia="Batang"/>
          <w:lang w:eastAsia="ko-KR"/>
        </w:rPr>
        <w:t>propose to suppress Resolution 47.</w:t>
      </w:r>
    </w:p>
    <w:p w14:paraId="5E6DD0D5" w14:textId="056A4FE4" w:rsidR="00931298" w:rsidRPr="0077349A" w:rsidRDefault="00A8242E" w:rsidP="001200A0">
      <w:r w:rsidRPr="008D37A5">
        <w:br w:type="page"/>
      </w:r>
    </w:p>
    <w:p w14:paraId="35F17164" w14:textId="77777777" w:rsidR="00CF01F9" w:rsidRDefault="001200A0">
      <w:pPr>
        <w:pStyle w:val="Proposal"/>
      </w:pPr>
      <w:r>
        <w:lastRenderedPageBreak/>
        <w:t>SUP</w:t>
      </w:r>
      <w:r>
        <w:tab/>
        <w:t>APT/37A9/1</w:t>
      </w:r>
    </w:p>
    <w:p w14:paraId="1C849DF2" w14:textId="77777777" w:rsidR="001200A0" w:rsidRPr="00380B40" w:rsidRDefault="001200A0" w:rsidP="001200A0">
      <w:pPr>
        <w:pStyle w:val="ResNo"/>
      </w:pPr>
      <w:bookmarkStart w:id="0" w:name="_Toc104459721"/>
      <w:bookmarkStart w:id="1" w:name="_Toc104476529"/>
      <w:bookmarkStart w:id="2" w:name="_Toc111636772"/>
      <w:bookmarkStart w:id="3" w:name="_Toc111638422"/>
      <w:r w:rsidRPr="00380B40">
        <w:t xml:space="preserve">RESOLUTION </w:t>
      </w:r>
      <w:r w:rsidRPr="00380B40">
        <w:rPr>
          <w:rStyle w:val="href"/>
        </w:rPr>
        <w:t xml:space="preserve">47 </w:t>
      </w:r>
      <w:r w:rsidRPr="00380B40">
        <w:t>(Rev. Dubai, 2012)</w:t>
      </w:r>
      <w:bookmarkEnd w:id="0"/>
      <w:bookmarkEnd w:id="1"/>
      <w:bookmarkEnd w:id="2"/>
      <w:bookmarkEnd w:id="3"/>
    </w:p>
    <w:p w14:paraId="26AC1D50" w14:textId="77777777" w:rsidR="001200A0" w:rsidRPr="00380B40" w:rsidRDefault="001200A0" w:rsidP="001200A0">
      <w:pPr>
        <w:pStyle w:val="Restitle"/>
      </w:pPr>
      <w:bookmarkStart w:id="4" w:name="_Toc104459722"/>
      <w:bookmarkStart w:id="5" w:name="_Toc104476530"/>
      <w:bookmarkStart w:id="6" w:name="_Toc111638423"/>
      <w:r w:rsidRPr="00380B40">
        <w:t>Country code top-level domain names</w:t>
      </w:r>
      <w:bookmarkEnd w:id="4"/>
      <w:bookmarkEnd w:id="5"/>
      <w:bookmarkEnd w:id="6"/>
    </w:p>
    <w:p w14:paraId="33ED5C15" w14:textId="77777777" w:rsidR="001200A0" w:rsidRPr="00380B40" w:rsidRDefault="001200A0" w:rsidP="001200A0">
      <w:pPr>
        <w:pStyle w:val="Resref"/>
      </w:pPr>
      <w:r w:rsidRPr="00380B40">
        <w:t>(</w:t>
      </w:r>
      <w:proofErr w:type="spellStart"/>
      <w:r w:rsidRPr="00380B40">
        <w:t>Florianópolis</w:t>
      </w:r>
      <w:proofErr w:type="spellEnd"/>
      <w:r w:rsidRPr="00380B40">
        <w:t>, 2004; Johannesburg, 2008; Dubai, 2012)</w:t>
      </w:r>
    </w:p>
    <w:p w14:paraId="33F25930" w14:textId="77777777" w:rsidR="001200A0" w:rsidRPr="00380B40" w:rsidRDefault="001200A0" w:rsidP="001200A0">
      <w:pPr>
        <w:pStyle w:val="Normalaftertitle0"/>
      </w:pPr>
      <w:r w:rsidRPr="00380B40">
        <w:t>The World Telecommunication Standardization Assembly (Dubai, 2012),</w:t>
      </w:r>
    </w:p>
    <w:p w14:paraId="029F4A2D" w14:textId="73544BD1" w:rsidR="00CF01F9" w:rsidRDefault="001200A0" w:rsidP="001200A0">
      <w:pPr>
        <w:pStyle w:val="Reasons"/>
      </w:pPr>
      <w:r>
        <w:rPr>
          <w:b/>
        </w:rPr>
        <w:t>Reasons:</w:t>
      </w:r>
      <w:r>
        <w:tab/>
        <w:t>Resolution 47 was adopted long back by WTSA-12 in Dubai and since then no further study was submitted in subsequent WTSAs by any Member State. It appears that none of the Member State proposes to work further on the resolution.</w:t>
      </w:r>
      <w:r w:rsidRPr="5FD9BFF0">
        <w:rPr>
          <w:b/>
          <w:bCs/>
        </w:rPr>
        <w:t xml:space="preserve"> </w:t>
      </w:r>
      <w:r>
        <w:t xml:space="preserve">Considering the ITU's enforcement limitations, Resolution 47 may have reached its natural conclusion. </w:t>
      </w:r>
      <w:r>
        <w:rPr>
          <w:rFonts w:hint="eastAsia"/>
          <w:lang w:eastAsia="ko-KR"/>
        </w:rPr>
        <w:t>It is</w:t>
      </w:r>
      <w:r>
        <w:t xml:space="preserve"> propose</w:t>
      </w:r>
      <w:r>
        <w:rPr>
          <w:rFonts w:hint="eastAsia"/>
          <w:lang w:eastAsia="ko-KR"/>
        </w:rPr>
        <w:t>d to have</w:t>
      </w:r>
      <w:r>
        <w:t xml:space="preserve"> collaborative efforts to determine the most effective way forward for ccTLD governance. </w:t>
      </w:r>
      <w:r w:rsidRPr="5FD9BFF0">
        <w:t xml:space="preserve">APT Member Administrations </w:t>
      </w:r>
      <w:r>
        <w:t>therefore propose the suppression of Resolution 47.</w:t>
      </w:r>
    </w:p>
    <w:sectPr w:rsidR="00CF01F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80CD" w14:textId="77777777" w:rsidR="00D17682" w:rsidRDefault="00D17682">
      <w:r>
        <w:separator/>
      </w:r>
    </w:p>
  </w:endnote>
  <w:endnote w:type="continuationSeparator" w:id="0">
    <w:p w14:paraId="16389A38" w14:textId="77777777" w:rsidR="00D17682" w:rsidRDefault="00D17682">
      <w:r>
        <w:continuationSeparator/>
      </w:r>
    </w:p>
  </w:endnote>
  <w:endnote w:type="continuationNotice" w:id="1">
    <w:p w14:paraId="3668233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0CE7" w14:textId="77777777" w:rsidR="009D4900" w:rsidRDefault="009D4900">
    <w:pPr>
      <w:framePr w:wrap="around" w:vAnchor="text" w:hAnchor="margin" w:xAlign="right" w:y="1"/>
    </w:pPr>
    <w:r>
      <w:fldChar w:fldCharType="begin"/>
    </w:r>
    <w:r>
      <w:instrText xml:space="preserve">PAGE  </w:instrText>
    </w:r>
    <w:r>
      <w:fldChar w:fldCharType="end"/>
    </w:r>
  </w:p>
  <w:p w14:paraId="36E1EBE3"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200A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CA690" w14:textId="77777777" w:rsidR="00D17682" w:rsidRDefault="00D17682">
      <w:r>
        <w:rPr>
          <w:b/>
        </w:rPr>
        <w:t>_______________</w:t>
      </w:r>
    </w:p>
  </w:footnote>
  <w:footnote w:type="continuationSeparator" w:id="0">
    <w:p w14:paraId="2FC0E126"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FF2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11461318">
    <w:abstractNumId w:val="8"/>
  </w:num>
  <w:num w:numId="2" w16cid:durableId="5119926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5610696">
    <w:abstractNumId w:val="9"/>
  </w:num>
  <w:num w:numId="4" w16cid:durableId="587272355">
    <w:abstractNumId w:val="7"/>
  </w:num>
  <w:num w:numId="5" w16cid:durableId="205216908">
    <w:abstractNumId w:val="6"/>
  </w:num>
  <w:num w:numId="6" w16cid:durableId="892042524">
    <w:abstractNumId w:val="5"/>
  </w:num>
  <w:num w:numId="7" w16cid:durableId="662784996">
    <w:abstractNumId w:val="4"/>
  </w:num>
  <w:num w:numId="8" w16cid:durableId="896891443">
    <w:abstractNumId w:val="3"/>
  </w:num>
  <w:num w:numId="9" w16cid:durableId="1328822996">
    <w:abstractNumId w:val="2"/>
  </w:num>
  <w:num w:numId="10" w16cid:durableId="1645045997">
    <w:abstractNumId w:val="1"/>
  </w:num>
  <w:num w:numId="11" w16cid:durableId="1590196457">
    <w:abstractNumId w:val="0"/>
  </w:num>
  <w:num w:numId="12" w16cid:durableId="782769665">
    <w:abstractNumId w:val="12"/>
  </w:num>
  <w:num w:numId="13" w16cid:durableId="430783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00A0"/>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1F9"/>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B9F7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1e79d3-3231-414a-97d4-f012e8b589fc" targetNamespace="http://schemas.microsoft.com/office/2006/metadata/properties" ma:root="true" ma:fieldsID="d41af5c836d734370eb92e7ee5f83852" ns2:_="" ns3:_="">
    <xsd:import namespace="996b2e75-67fd-4955-a3b0-5ab9934cb50b"/>
    <xsd:import namespace="511e79d3-3231-414a-97d4-f012e8b589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1e79d3-3231-414a-97d4-f012e8b589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511e79d3-3231-414a-97d4-f012e8b589fc">DPM</DPM_x0020_Author>
    <DPM_x0020_File_x0020_name xmlns="511e79d3-3231-414a-97d4-f012e8b589fc">T22-WTSA.24-C-0037!A9!MSW-E</DPM_x0020_File_x0020_name>
    <DPM_x0020_Version xmlns="511e79d3-3231-414a-97d4-f012e8b589fc">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1e79d3-3231-414a-97d4-f012e8b58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79d3-3231-414a-97d4-f012e8b58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T22-WTSA.24-C-0037!A9!MSW-E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2024-09-25T11:55:00Z</dcterms:created>
  <dcterms:modified xsi:type="dcterms:W3CDTF">2024-09-25T11:55:00Z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