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4A0" w:firstRow="1" w:lastRow="0" w:firstColumn="1" w:lastColumn="0" w:noHBand="0" w:noVBand="1"/>
      </w:tblPr>
      <w:tblGrid>
        <w:gridCol w:w="1270"/>
        <w:gridCol w:w="4857"/>
        <w:gridCol w:w="2226"/>
        <w:gridCol w:w="1286"/>
      </w:tblGrid>
      <w:tr w:rsidR="009E3497" w14:paraId="6F6ED70A" w14:textId="77777777">
        <w:trPr>
          <w:cantSplit/>
          <w:trHeight w:val="1132"/>
        </w:trPr>
        <w:tc>
          <w:tcPr>
            <w:tcW w:w="1290" w:type="dxa"/>
            <w:vAlign w:val="center"/>
          </w:tcPr>
          <w:p w14:paraId="193E34C2" w14:textId="77777777" w:rsidR="009E3497" w:rsidRDefault="000F1838">
            <w:pPr>
              <w:spacing w:before="0"/>
              <w:rPr>
                <w:lang w:eastAsia="zh-CN"/>
              </w:rPr>
            </w:pPr>
            <w:r>
              <w:rPr>
                <w:rFonts w:hint="eastAsia"/>
                <w:noProof/>
                <w:lang w:eastAsia="zh-CN"/>
              </w:rPr>
              <w:drawing>
                <wp:inline distT="0" distB="0" distL="0" distR="0" wp14:anchorId="7BA633C9" wp14:editId="321DA6E6">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Picture 1"/>
                          <pic:cNvPicPr>
                            <a:picLocks noChangeAspect="1"/>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27AB6C5" w14:textId="77777777" w:rsidR="009E3497" w:rsidRDefault="000F1838">
            <w:pPr>
              <w:rPr>
                <w:rFonts w:ascii="SimSun" w:hAnsi="SimSun" w:cs="Times New Roman Bold"/>
                <w:b/>
                <w:bCs/>
                <w:sz w:val="28"/>
                <w:szCs w:val="28"/>
                <w:lang w:eastAsia="zh-CN"/>
              </w:rPr>
            </w:pPr>
            <w:r>
              <w:rPr>
                <w:rFonts w:ascii="SimSun" w:hAnsi="SimSun" w:cs="MS Gothic" w:hint="eastAsia"/>
                <w:b/>
                <w:bCs/>
                <w:sz w:val="28"/>
                <w:szCs w:val="28"/>
                <w:lang w:eastAsia="zh-CN"/>
              </w:rPr>
              <w:t>世界</w:t>
            </w:r>
            <w:r>
              <w:rPr>
                <w:rFonts w:ascii="SimSun" w:hAnsi="SimSun" w:cs="Microsoft JhengHei" w:hint="eastAsia"/>
                <w:b/>
                <w:bCs/>
                <w:sz w:val="28"/>
                <w:szCs w:val="28"/>
                <w:lang w:eastAsia="zh-CN"/>
              </w:rPr>
              <w:t>电信标准化全会</w:t>
            </w:r>
            <w:r>
              <w:rPr>
                <w:rFonts w:ascii="Verdana" w:hAnsi="Verdana" w:cs="MS Gothic" w:hint="eastAsia"/>
                <w:b/>
                <w:bCs/>
                <w:szCs w:val="24"/>
                <w:lang w:eastAsia="zh-CN"/>
              </w:rPr>
              <w:t>（</w:t>
            </w:r>
            <w:r>
              <w:rPr>
                <w:rFonts w:ascii="Verdana" w:hAnsi="Verdana" w:cs="Times New Roman Bold" w:hint="eastAsia"/>
                <w:b/>
                <w:bCs/>
                <w:szCs w:val="24"/>
                <w:lang w:eastAsia="zh-CN"/>
              </w:rPr>
              <w:t>WTSA-24</w:t>
            </w:r>
            <w:r>
              <w:rPr>
                <w:rFonts w:ascii="Verdana" w:hAnsi="Verdana" w:cs="MS Gothic" w:hint="eastAsia"/>
                <w:b/>
                <w:bCs/>
                <w:szCs w:val="24"/>
                <w:lang w:eastAsia="zh-CN"/>
              </w:rPr>
              <w:t>）</w:t>
            </w:r>
          </w:p>
          <w:p w14:paraId="38C25133" w14:textId="77777777" w:rsidR="009E3497" w:rsidRDefault="000F1838">
            <w:pPr>
              <w:pStyle w:val="TopHeader"/>
              <w:spacing w:before="0"/>
              <w:rPr>
                <w:sz w:val="20"/>
                <w:szCs w:val="20"/>
                <w:lang w:eastAsia="zh-CN"/>
              </w:rPr>
            </w:pPr>
            <w:r>
              <w:rPr>
                <w:rFonts w:cstheme="minorHAnsi"/>
                <w:sz w:val="20"/>
                <w:szCs w:val="20"/>
                <w:lang w:eastAsia="zh-CN"/>
              </w:rPr>
              <w:t>2024</w:t>
            </w:r>
            <w:r>
              <w:rPr>
                <w:rFonts w:cstheme="minorHAnsi"/>
                <w:sz w:val="20"/>
                <w:szCs w:val="20"/>
                <w:lang w:eastAsia="zh-CN"/>
              </w:rPr>
              <w:t>年</w:t>
            </w:r>
            <w:r>
              <w:rPr>
                <w:rFonts w:cstheme="minorHAnsi"/>
                <w:sz w:val="20"/>
                <w:szCs w:val="20"/>
                <w:lang w:eastAsia="zh-CN"/>
              </w:rPr>
              <w:t>10</w:t>
            </w:r>
            <w:r>
              <w:rPr>
                <w:rFonts w:cstheme="minorHAnsi"/>
                <w:sz w:val="20"/>
                <w:szCs w:val="20"/>
                <w:lang w:eastAsia="zh-CN"/>
              </w:rPr>
              <w:t>月</w:t>
            </w:r>
            <w:r>
              <w:rPr>
                <w:rFonts w:cstheme="minorHAnsi"/>
                <w:sz w:val="20"/>
                <w:szCs w:val="20"/>
                <w:lang w:eastAsia="zh-CN"/>
              </w:rPr>
              <w:t>15-24</w:t>
            </w:r>
            <w:r>
              <w:rPr>
                <w:rFonts w:cstheme="minorHAnsi"/>
                <w:sz w:val="20"/>
                <w:szCs w:val="20"/>
                <w:lang w:eastAsia="zh-CN"/>
              </w:rPr>
              <w:t>日</w:t>
            </w:r>
            <w:bookmarkStart w:id="0" w:name="_Hlk53061815"/>
            <w:r>
              <w:rPr>
                <w:rFonts w:cstheme="minorHAnsi"/>
                <w:smallCaps/>
                <w:sz w:val="20"/>
                <w:szCs w:val="20"/>
                <w:lang w:eastAsia="zh-CN"/>
              </w:rPr>
              <w:t>，</w:t>
            </w:r>
            <w:bookmarkEnd w:id="0"/>
            <w:r>
              <w:rPr>
                <w:rFonts w:cstheme="minorHAnsi"/>
                <w:smallCaps/>
                <w:sz w:val="20"/>
                <w:szCs w:val="20"/>
                <w:lang w:eastAsia="zh-CN"/>
              </w:rPr>
              <w:t>新德里</w:t>
            </w:r>
          </w:p>
        </w:tc>
        <w:tc>
          <w:tcPr>
            <w:tcW w:w="1306" w:type="dxa"/>
            <w:tcBorders>
              <w:left w:val="nil"/>
            </w:tcBorders>
            <w:vAlign w:val="center"/>
          </w:tcPr>
          <w:p w14:paraId="11B1DCC3" w14:textId="77777777" w:rsidR="009E3497" w:rsidRDefault="000F1838">
            <w:pPr>
              <w:spacing w:before="0"/>
              <w:rPr>
                <w:lang w:eastAsia="zh-CN"/>
              </w:rPr>
            </w:pPr>
            <w:r>
              <w:rPr>
                <w:rFonts w:hint="eastAsia"/>
                <w:noProof/>
                <w:lang w:eastAsia="zh-CN"/>
              </w:rPr>
              <w:drawing>
                <wp:inline distT="0" distB="0" distL="0" distR="0" wp14:anchorId="36988937" wp14:editId="14D4DDA6">
                  <wp:extent cx="669290"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9E3497" w14:paraId="50522968" w14:textId="77777777">
        <w:trPr>
          <w:cantSplit/>
        </w:trPr>
        <w:tc>
          <w:tcPr>
            <w:tcW w:w="9811" w:type="dxa"/>
            <w:gridSpan w:val="4"/>
            <w:tcBorders>
              <w:bottom w:val="single" w:sz="12" w:space="0" w:color="auto"/>
            </w:tcBorders>
          </w:tcPr>
          <w:p w14:paraId="0A3C8F4D" w14:textId="77777777" w:rsidR="009E3497" w:rsidRDefault="009E3497">
            <w:pPr>
              <w:spacing w:before="0"/>
              <w:rPr>
                <w:lang w:eastAsia="zh-CN"/>
              </w:rPr>
            </w:pPr>
          </w:p>
        </w:tc>
      </w:tr>
      <w:tr w:rsidR="009E3497" w14:paraId="3A6592DD" w14:textId="77777777">
        <w:trPr>
          <w:cantSplit/>
        </w:trPr>
        <w:tc>
          <w:tcPr>
            <w:tcW w:w="6237" w:type="dxa"/>
            <w:gridSpan w:val="2"/>
            <w:tcBorders>
              <w:top w:val="single" w:sz="12" w:space="0" w:color="auto"/>
            </w:tcBorders>
          </w:tcPr>
          <w:p w14:paraId="7B0B499A" w14:textId="77777777" w:rsidR="009E3497" w:rsidRDefault="009E3497">
            <w:pPr>
              <w:spacing w:before="0"/>
              <w:rPr>
                <w:sz w:val="20"/>
                <w:lang w:eastAsia="zh-CN"/>
              </w:rPr>
            </w:pPr>
          </w:p>
        </w:tc>
        <w:tc>
          <w:tcPr>
            <w:tcW w:w="3574" w:type="dxa"/>
            <w:gridSpan w:val="2"/>
          </w:tcPr>
          <w:p w14:paraId="7B139C71" w14:textId="77777777" w:rsidR="009E3497" w:rsidRDefault="009E3497">
            <w:pPr>
              <w:spacing w:before="0"/>
              <w:rPr>
                <w:sz w:val="20"/>
              </w:rPr>
            </w:pPr>
          </w:p>
        </w:tc>
      </w:tr>
      <w:tr w:rsidR="009E3497" w14:paraId="5AEA5F0D" w14:textId="77777777">
        <w:trPr>
          <w:cantSplit/>
        </w:trPr>
        <w:tc>
          <w:tcPr>
            <w:tcW w:w="6237" w:type="dxa"/>
            <w:gridSpan w:val="2"/>
          </w:tcPr>
          <w:p w14:paraId="65BFECD8" w14:textId="77777777" w:rsidR="009E3497" w:rsidRDefault="000F1838">
            <w:pPr>
              <w:pStyle w:val="Committee"/>
              <w:rPr>
                <w:lang w:eastAsia="zh-CN"/>
              </w:rPr>
            </w:pPr>
            <w:proofErr w:type="spellStart"/>
            <w:r>
              <w:t>全体会议</w:t>
            </w:r>
            <w:proofErr w:type="spellEnd"/>
          </w:p>
        </w:tc>
        <w:tc>
          <w:tcPr>
            <w:tcW w:w="3574" w:type="dxa"/>
            <w:gridSpan w:val="2"/>
          </w:tcPr>
          <w:p w14:paraId="0EEDFC07" w14:textId="77777777" w:rsidR="009E3497" w:rsidRDefault="000F1838">
            <w:pPr>
              <w:pStyle w:val="Docnumber"/>
              <w:rPr>
                <w:lang w:eastAsia="zh-CN"/>
              </w:rPr>
            </w:pPr>
            <w:proofErr w:type="spellStart"/>
            <w:r>
              <w:t>文件</w:t>
            </w:r>
            <w:proofErr w:type="spellEnd"/>
            <w:r>
              <w:t xml:space="preserve"> 37 (Add.8)-C</w:t>
            </w:r>
          </w:p>
        </w:tc>
      </w:tr>
      <w:tr w:rsidR="009E3497" w14:paraId="51FB3346" w14:textId="77777777">
        <w:trPr>
          <w:cantSplit/>
        </w:trPr>
        <w:tc>
          <w:tcPr>
            <w:tcW w:w="6237" w:type="dxa"/>
            <w:gridSpan w:val="2"/>
          </w:tcPr>
          <w:p w14:paraId="6C4D4CA3" w14:textId="77777777" w:rsidR="009E3497" w:rsidRDefault="009E3497">
            <w:pPr>
              <w:spacing w:before="0"/>
              <w:rPr>
                <w:lang w:eastAsia="zh-CN"/>
              </w:rPr>
            </w:pPr>
          </w:p>
        </w:tc>
        <w:tc>
          <w:tcPr>
            <w:tcW w:w="3574" w:type="dxa"/>
            <w:gridSpan w:val="2"/>
          </w:tcPr>
          <w:p w14:paraId="6C81FE07" w14:textId="77777777" w:rsidR="009E3497" w:rsidRDefault="000F1838">
            <w:pPr>
              <w:pStyle w:val="TopHeader"/>
              <w:spacing w:before="0"/>
              <w:rPr>
                <w:sz w:val="20"/>
                <w:szCs w:val="20"/>
                <w:lang w:eastAsia="zh-CN"/>
              </w:rPr>
            </w:pPr>
            <w:r>
              <w:rPr>
                <w:sz w:val="20"/>
                <w:szCs w:val="16"/>
              </w:rPr>
              <w:t>2024</w:t>
            </w:r>
            <w:r>
              <w:rPr>
                <w:sz w:val="20"/>
                <w:szCs w:val="16"/>
              </w:rPr>
              <w:t>年</w:t>
            </w:r>
            <w:r>
              <w:rPr>
                <w:sz w:val="20"/>
                <w:szCs w:val="16"/>
              </w:rPr>
              <w:t>9</w:t>
            </w:r>
            <w:r>
              <w:rPr>
                <w:sz w:val="20"/>
                <w:szCs w:val="16"/>
              </w:rPr>
              <w:t>月</w:t>
            </w:r>
            <w:r>
              <w:rPr>
                <w:sz w:val="20"/>
                <w:szCs w:val="16"/>
              </w:rPr>
              <w:t>22</w:t>
            </w:r>
            <w:r>
              <w:rPr>
                <w:sz w:val="20"/>
                <w:szCs w:val="16"/>
              </w:rPr>
              <w:t>日</w:t>
            </w:r>
          </w:p>
        </w:tc>
      </w:tr>
      <w:tr w:rsidR="009E3497" w14:paraId="753AE60E" w14:textId="77777777">
        <w:trPr>
          <w:cantSplit/>
        </w:trPr>
        <w:tc>
          <w:tcPr>
            <w:tcW w:w="6237" w:type="dxa"/>
            <w:gridSpan w:val="2"/>
          </w:tcPr>
          <w:p w14:paraId="2CEAF174" w14:textId="77777777" w:rsidR="009E3497" w:rsidRDefault="009E3497">
            <w:pPr>
              <w:spacing w:before="0"/>
              <w:rPr>
                <w:lang w:eastAsia="zh-CN"/>
              </w:rPr>
            </w:pPr>
          </w:p>
        </w:tc>
        <w:tc>
          <w:tcPr>
            <w:tcW w:w="3574" w:type="dxa"/>
            <w:gridSpan w:val="2"/>
          </w:tcPr>
          <w:p w14:paraId="4C3DADA1" w14:textId="77777777" w:rsidR="009E3497" w:rsidRDefault="000F1838">
            <w:pPr>
              <w:pStyle w:val="TopHeader"/>
              <w:spacing w:before="0"/>
              <w:rPr>
                <w:sz w:val="20"/>
                <w:szCs w:val="20"/>
                <w:lang w:eastAsia="zh-CN"/>
              </w:rPr>
            </w:pPr>
            <w:proofErr w:type="spellStart"/>
            <w:r>
              <w:rPr>
                <w:sz w:val="20"/>
                <w:szCs w:val="16"/>
              </w:rPr>
              <w:t>原文：英文</w:t>
            </w:r>
            <w:proofErr w:type="spellEnd"/>
          </w:p>
        </w:tc>
      </w:tr>
      <w:tr w:rsidR="009E3497" w14:paraId="4F78E67E" w14:textId="77777777">
        <w:trPr>
          <w:cantSplit/>
        </w:trPr>
        <w:tc>
          <w:tcPr>
            <w:tcW w:w="9811" w:type="dxa"/>
            <w:gridSpan w:val="4"/>
          </w:tcPr>
          <w:p w14:paraId="6F98AEDA" w14:textId="77777777" w:rsidR="009E3497" w:rsidRDefault="009E3497">
            <w:pPr>
              <w:spacing w:before="0"/>
              <w:rPr>
                <w:sz w:val="20"/>
                <w:szCs w:val="16"/>
                <w:lang w:eastAsia="zh-CN"/>
              </w:rPr>
            </w:pPr>
          </w:p>
        </w:tc>
      </w:tr>
      <w:tr w:rsidR="009E3497" w14:paraId="6DF6D465" w14:textId="77777777">
        <w:trPr>
          <w:cantSplit/>
        </w:trPr>
        <w:tc>
          <w:tcPr>
            <w:tcW w:w="9811" w:type="dxa"/>
            <w:gridSpan w:val="4"/>
          </w:tcPr>
          <w:p w14:paraId="6C2F4F01" w14:textId="77777777" w:rsidR="009E3497" w:rsidRDefault="000F1838">
            <w:pPr>
              <w:pStyle w:val="Source"/>
              <w:rPr>
                <w:lang w:eastAsia="zh-CN"/>
              </w:rPr>
            </w:pPr>
            <w:r>
              <w:rPr>
                <w:lang w:eastAsia="zh-CN"/>
              </w:rPr>
              <w:t>亚太电信组织各成员国主管部门</w:t>
            </w:r>
          </w:p>
        </w:tc>
      </w:tr>
      <w:tr w:rsidR="009E3497" w14:paraId="5A7FA215" w14:textId="77777777">
        <w:trPr>
          <w:cantSplit/>
        </w:trPr>
        <w:tc>
          <w:tcPr>
            <w:tcW w:w="9811" w:type="dxa"/>
            <w:gridSpan w:val="4"/>
          </w:tcPr>
          <w:p w14:paraId="313F0A6C" w14:textId="77777777" w:rsidR="009E3497" w:rsidRDefault="000F1838">
            <w:pPr>
              <w:pStyle w:val="Title1"/>
              <w:rPr>
                <w:lang w:eastAsia="zh-CN"/>
              </w:rPr>
            </w:pPr>
            <w:r>
              <w:rPr>
                <w:lang w:val="zh-CN"/>
              </w:rPr>
              <w:t>第</w:t>
            </w:r>
            <w:r>
              <w:rPr>
                <w:lang w:val="zh-CN"/>
              </w:rPr>
              <w:t>44</w:t>
            </w:r>
            <w:proofErr w:type="spellStart"/>
            <w:r>
              <w:rPr>
                <w:lang w:val="zh-CN"/>
              </w:rPr>
              <w:t>号决议的拟议修改</w:t>
            </w:r>
            <w:proofErr w:type="spellEnd"/>
          </w:p>
        </w:tc>
      </w:tr>
      <w:tr w:rsidR="009E3497" w14:paraId="768A42E9" w14:textId="77777777">
        <w:trPr>
          <w:cantSplit/>
          <w:trHeight w:hRule="exact" w:val="240"/>
        </w:trPr>
        <w:tc>
          <w:tcPr>
            <w:tcW w:w="9811" w:type="dxa"/>
            <w:gridSpan w:val="4"/>
          </w:tcPr>
          <w:p w14:paraId="6D79D917" w14:textId="77777777" w:rsidR="009E3497" w:rsidRDefault="009E3497">
            <w:pPr>
              <w:pStyle w:val="Title2"/>
              <w:spacing w:before="0"/>
              <w:rPr>
                <w:lang w:eastAsia="zh-CN"/>
              </w:rPr>
            </w:pPr>
          </w:p>
        </w:tc>
      </w:tr>
      <w:tr w:rsidR="009E3497" w14:paraId="78E189DF" w14:textId="77777777">
        <w:trPr>
          <w:cantSplit/>
          <w:trHeight w:hRule="exact" w:val="240"/>
        </w:trPr>
        <w:tc>
          <w:tcPr>
            <w:tcW w:w="9811" w:type="dxa"/>
            <w:gridSpan w:val="4"/>
          </w:tcPr>
          <w:p w14:paraId="3135D2B7" w14:textId="77777777" w:rsidR="009E3497" w:rsidRDefault="009E3497">
            <w:pPr>
              <w:pStyle w:val="Agendaitem"/>
              <w:spacing w:before="0"/>
              <w:rPr>
                <w:lang w:eastAsia="zh-CN"/>
              </w:rPr>
            </w:pPr>
          </w:p>
        </w:tc>
      </w:tr>
    </w:tbl>
    <w:p w14:paraId="7F733694" w14:textId="77777777" w:rsidR="009E3497" w:rsidRDefault="009E3497">
      <w:pPr>
        <w:rPr>
          <w:lang w:eastAsia="zh-CN"/>
        </w:rPr>
      </w:pPr>
    </w:p>
    <w:tbl>
      <w:tblPr>
        <w:tblW w:w="5000" w:type="pct"/>
        <w:tblLayout w:type="fixed"/>
        <w:tblLook w:val="04A0" w:firstRow="1" w:lastRow="0" w:firstColumn="1" w:lastColumn="0" w:noHBand="0" w:noVBand="1"/>
      </w:tblPr>
      <w:tblGrid>
        <w:gridCol w:w="1957"/>
        <w:gridCol w:w="3805"/>
        <w:gridCol w:w="3877"/>
      </w:tblGrid>
      <w:tr w:rsidR="009E3497" w14:paraId="3AC6A5C8" w14:textId="77777777">
        <w:trPr>
          <w:cantSplit/>
        </w:trPr>
        <w:tc>
          <w:tcPr>
            <w:tcW w:w="1957" w:type="dxa"/>
          </w:tcPr>
          <w:p w14:paraId="0201D4AA" w14:textId="77777777" w:rsidR="009E3497" w:rsidRDefault="000F1838">
            <w:pPr>
              <w:rPr>
                <w:rFonts w:ascii="SimSun" w:hAnsi="SimSun"/>
                <w:lang w:eastAsia="zh-CN"/>
              </w:rPr>
            </w:pPr>
            <w:r>
              <w:rPr>
                <w:rFonts w:ascii="SimSun" w:hAnsi="SimSun" w:cs="MS Mincho" w:hint="eastAsia"/>
                <w:b/>
                <w:bCs/>
                <w:lang w:eastAsia="zh-CN"/>
              </w:rPr>
              <w:t>摘要</w:t>
            </w:r>
            <w:r>
              <w:rPr>
                <w:rFonts w:asciiTheme="minorEastAsia" w:hAnsiTheme="minorEastAsia" w:hint="eastAsia"/>
                <w:b/>
                <w:bCs/>
                <w:szCs w:val="22"/>
                <w:lang w:eastAsia="zh-CN"/>
              </w:rPr>
              <w:t>：</w:t>
            </w:r>
          </w:p>
        </w:tc>
        <w:tc>
          <w:tcPr>
            <w:tcW w:w="7682" w:type="dxa"/>
            <w:gridSpan w:val="2"/>
          </w:tcPr>
          <w:p w14:paraId="1B482BD7" w14:textId="77777777" w:rsidR="009E3497" w:rsidRDefault="000F1838">
            <w:pPr>
              <w:pStyle w:val="Abstract"/>
              <w:rPr>
                <w:rFonts w:ascii="SimSun" w:hAnsi="SimSun"/>
                <w:lang w:val="en-GB" w:eastAsia="zh-CN"/>
              </w:rPr>
            </w:pPr>
            <w:r>
              <w:rPr>
                <w:lang w:val="zh-CN" w:eastAsia="zh-CN"/>
              </w:rPr>
              <w:t>本文件包含有关修改</w:t>
            </w:r>
            <w:r>
              <w:rPr>
                <w:lang w:val="zh-CN" w:eastAsia="zh-CN"/>
              </w:rPr>
              <w:t>WTSA</w:t>
            </w:r>
            <w:r>
              <w:rPr>
                <w:lang w:val="zh-CN" w:eastAsia="zh-CN"/>
              </w:rPr>
              <w:t>第</w:t>
            </w:r>
            <w:r>
              <w:rPr>
                <w:lang w:val="zh-CN" w:eastAsia="zh-CN"/>
              </w:rPr>
              <w:t>44</w:t>
            </w:r>
            <w:r>
              <w:rPr>
                <w:lang w:val="zh-CN" w:eastAsia="zh-CN"/>
              </w:rPr>
              <w:t>号决议</w:t>
            </w:r>
            <w:r>
              <w:rPr>
                <w:rFonts w:hint="eastAsia"/>
                <w:lang w:val="zh-CN" w:eastAsia="zh-CN"/>
              </w:rPr>
              <w:t>“</w:t>
            </w:r>
            <w:r>
              <w:rPr>
                <w:lang w:val="zh-CN" w:eastAsia="zh-CN"/>
              </w:rPr>
              <w:t>缩小标准化工作差距</w:t>
            </w:r>
            <w:r>
              <w:rPr>
                <w:rFonts w:hint="eastAsia"/>
                <w:lang w:val="zh-CN" w:eastAsia="zh-CN"/>
              </w:rPr>
              <w:t>”</w:t>
            </w:r>
            <w:r>
              <w:rPr>
                <w:lang w:val="zh-CN" w:eastAsia="zh-CN"/>
              </w:rPr>
              <w:t>的提案。</w:t>
            </w:r>
          </w:p>
        </w:tc>
      </w:tr>
      <w:tr w:rsidR="009E3497" w14:paraId="6DE5D668" w14:textId="77777777">
        <w:trPr>
          <w:cantSplit/>
        </w:trPr>
        <w:tc>
          <w:tcPr>
            <w:tcW w:w="1957" w:type="dxa"/>
          </w:tcPr>
          <w:p w14:paraId="71D2CFDB" w14:textId="77777777" w:rsidR="009E3497" w:rsidRDefault="000F1838">
            <w:pPr>
              <w:rPr>
                <w:rFonts w:ascii="SimSun" w:hAnsi="SimSun"/>
                <w:b/>
                <w:bCs/>
                <w:szCs w:val="24"/>
                <w:lang w:eastAsia="zh-CN"/>
              </w:rPr>
            </w:pPr>
            <w:r>
              <w:rPr>
                <w:rFonts w:ascii="SimSun" w:hAnsi="SimSun" w:cs="SimSun" w:hint="eastAsia"/>
                <w:b/>
                <w:bCs/>
                <w:lang w:eastAsia="zh-CN"/>
              </w:rPr>
              <w:t>联系人</w:t>
            </w:r>
            <w:r>
              <w:rPr>
                <w:rFonts w:asciiTheme="minorEastAsia" w:hAnsiTheme="minorEastAsia" w:hint="eastAsia"/>
                <w:b/>
                <w:bCs/>
                <w:lang w:eastAsia="zh-CN"/>
              </w:rPr>
              <w:t>：</w:t>
            </w:r>
          </w:p>
        </w:tc>
        <w:tc>
          <w:tcPr>
            <w:tcW w:w="3805" w:type="dxa"/>
          </w:tcPr>
          <w:p w14:paraId="3F7CFB78" w14:textId="77777777" w:rsidR="009E3497" w:rsidRDefault="000F1838">
            <w:pPr>
              <w:rPr>
                <w:lang w:eastAsia="zh-CN"/>
              </w:rPr>
            </w:pPr>
            <w:r>
              <w:rPr>
                <w:lang w:val="zh-CN" w:eastAsia="zh-CN"/>
              </w:rPr>
              <w:t>亚太电信组织秘书长</w:t>
            </w:r>
            <w:r>
              <w:rPr>
                <w:lang w:val="zh-CN" w:eastAsia="zh-CN"/>
              </w:rPr>
              <w:br/>
            </w:r>
            <w:r>
              <w:rPr>
                <w:lang w:eastAsia="zh-CN"/>
              </w:rPr>
              <w:t>Masanori Kondo</w:t>
            </w:r>
            <w:r>
              <w:rPr>
                <w:rFonts w:hint="eastAsia"/>
                <w:lang w:val="en-US" w:eastAsia="zh-CN"/>
              </w:rPr>
              <w:t>先生</w:t>
            </w:r>
          </w:p>
        </w:tc>
        <w:tc>
          <w:tcPr>
            <w:tcW w:w="3877" w:type="dxa"/>
          </w:tcPr>
          <w:p w14:paraId="38C80EA0" w14:textId="77777777" w:rsidR="009E3497" w:rsidRDefault="000F1838">
            <w:pPr>
              <w:rPr>
                <w:lang w:eastAsia="zh-CN"/>
              </w:rPr>
            </w:pPr>
            <w:r>
              <w:rPr>
                <w:rFonts w:ascii="SimSun" w:hAnsi="SimSun" w:cs="SimSun" w:hint="eastAsia"/>
                <w:lang w:eastAsia="zh-CN"/>
              </w:rPr>
              <w:t>电子邮件：</w:t>
            </w:r>
            <w:r>
              <w:fldChar w:fldCharType="begin"/>
            </w:r>
            <w:r>
              <w:instrText xml:space="preserve"> HYPERLINK "mailto:aptwtsa@apt.int" </w:instrText>
            </w:r>
            <w:r>
              <w:fldChar w:fldCharType="separate"/>
            </w:r>
            <w:r>
              <w:rPr>
                <w:rStyle w:val="Hyperlink"/>
              </w:rPr>
              <w:t>aptwtsa@apt.int</w:t>
            </w:r>
            <w:r>
              <w:rPr>
                <w:rStyle w:val="Hyperlink"/>
              </w:rPr>
              <w:fldChar w:fldCharType="end"/>
            </w:r>
          </w:p>
        </w:tc>
      </w:tr>
    </w:tbl>
    <w:p w14:paraId="255F3C29" w14:textId="77777777" w:rsidR="009E3497" w:rsidRDefault="000F1838">
      <w:pPr>
        <w:pStyle w:val="Headingb"/>
        <w:rPr>
          <w:lang w:val="en-GB" w:eastAsia="zh-CN"/>
        </w:rPr>
      </w:pPr>
      <w:r>
        <w:rPr>
          <w:rFonts w:hint="eastAsia"/>
          <w:lang w:val="en-US" w:eastAsia="zh-CN"/>
        </w:rPr>
        <w:t>引言</w:t>
      </w:r>
    </w:p>
    <w:p w14:paraId="5193A56B" w14:textId="77777777" w:rsidR="009E3497" w:rsidRDefault="000F1838">
      <w:pPr>
        <w:tabs>
          <w:tab w:val="clear" w:pos="1701"/>
          <w:tab w:val="clear" w:pos="2495"/>
          <w:tab w:val="left" w:pos="1871"/>
          <w:tab w:val="left" w:pos="2268"/>
        </w:tabs>
        <w:ind w:firstLineChars="200" w:firstLine="480"/>
        <w:rPr>
          <w:rFonts w:eastAsia="Batang"/>
          <w:lang w:eastAsia="zh-CN"/>
        </w:rPr>
      </w:pPr>
      <w:r>
        <w:rPr>
          <w:rFonts w:hint="eastAsia"/>
          <w:lang w:val="en-US" w:eastAsia="zh-CN"/>
        </w:rPr>
        <w:t>本</w:t>
      </w:r>
      <w:r>
        <w:rPr>
          <w:lang w:val="zh-CN" w:eastAsia="zh-CN"/>
        </w:rPr>
        <w:t>决议阐述了</w:t>
      </w:r>
      <w:r>
        <w:rPr>
          <w:lang w:val="zh-CN" w:eastAsia="zh-CN"/>
        </w:rPr>
        <w:t>ITU-T</w:t>
      </w:r>
      <w:r>
        <w:rPr>
          <w:lang w:val="zh-CN" w:eastAsia="zh-CN"/>
        </w:rPr>
        <w:t>在缩小发展中国家与发达国家之间标准化工</w:t>
      </w:r>
      <w:proofErr w:type="gramStart"/>
      <w:r>
        <w:rPr>
          <w:lang w:val="zh-CN" w:eastAsia="zh-CN"/>
        </w:rPr>
        <w:t>作差距</w:t>
      </w:r>
      <w:proofErr w:type="gramEnd"/>
      <w:r>
        <w:rPr>
          <w:lang w:val="zh-CN" w:eastAsia="zh-CN"/>
        </w:rPr>
        <w:t>方面的作用。这些差距可能源于多种因素，包括发展中国家缺乏该领域的技术专长，以及对</w:t>
      </w:r>
      <w:r>
        <w:rPr>
          <w:rFonts w:hint="eastAsia"/>
          <w:lang w:val="en-US" w:eastAsia="zh-CN"/>
        </w:rPr>
        <w:t>信息通信技术（</w:t>
      </w:r>
      <w:r>
        <w:rPr>
          <w:lang w:val="zh-CN" w:eastAsia="zh-CN"/>
        </w:rPr>
        <w:t>ICT</w:t>
      </w:r>
      <w:r>
        <w:rPr>
          <w:rFonts w:hint="eastAsia"/>
          <w:lang w:val="zh-CN" w:eastAsia="zh-CN"/>
        </w:rPr>
        <w:t>）</w:t>
      </w:r>
      <w:r>
        <w:rPr>
          <w:lang w:val="zh-CN" w:eastAsia="zh-CN"/>
        </w:rPr>
        <w:t>领域标准化进程重要性和</w:t>
      </w:r>
      <w:r>
        <w:rPr>
          <w:rFonts w:hint="eastAsia"/>
          <w:lang w:val="en-US" w:eastAsia="zh-CN"/>
        </w:rPr>
        <w:t>益处的</w:t>
      </w:r>
      <w:r>
        <w:rPr>
          <w:lang w:val="zh-CN" w:eastAsia="zh-CN"/>
        </w:rPr>
        <w:t>认识和理解有限。</w:t>
      </w:r>
    </w:p>
    <w:p w14:paraId="283DE060" w14:textId="77777777" w:rsidR="009E3497" w:rsidRDefault="000F1838">
      <w:pPr>
        <w:tabs>
          <w:tab w:val="clear" w:pos="1701"/>
          <w:tab w:val="clear" w:pos="2495"/>
          <w:tab w:val="left" w:pos="1871"/>
          <w:tab w:val="left" w:pos="2268"/>
        </w:tabs>
        <w:ind w:firstLineChars="200" w:firstLine="480"/>
        <w:rPr>
          <w:lang w:val="zh-CN" w:eastAsia="zh-CN"/>
        </w:rPr>
      </w:pPr>
      <w:r>
        <w:rPr>
          <w:lang w:val="zh-CN" w:eastAsia="zh-CN"/>
        </w:rPr>
        <w:t>为了促进</w:t>
      </w:r>
      <w:r>
        <w:rPr>
          <w:rFonts w:hint="eastAsia"/>
          <w:lang w:val="en-US" w:eastAsia="zh-CN"/>
        </w:rPr>
        <w:t>缩小</w:t>
      </w:r>
      <w:r>
        <w:rPr>
          <w:lang w:val="zh-CN" w:eastAsia="zh-CN"/>
        </w:rPr>
        <w:t>标准化</w:t>
      </w:r>
      <w:r>
        <w:rPr>
          <w:rFonts w:hint="eastAsia"/>
          <w:lang w:val="en-US" w:eastAsia="zh-CN"/>
        </w:rPr>
        <w:t>工作差距</w:t>
      </w:r>
      <w:r>
        <w:rPr>
          <w:lang w:val="zh-CN" w:eastAsia="zh-CN"/>
        </w:rPr>
        <w:t>，</w:t>
      </w:r>
      <w:r>
        <w:rPr>
          <w:rFonts w:hint="eastAsia"/>
          <w:lang w:val="zh-CN" w:eastAsia="zh-CN"/>
        </w:rPr>
        <w:t>有必要让包括下一代</w:t>
      </w:r>
      <w:r>
        <w:rPr>
          <w:rFonts w:hint="eastAsia"/>
          <w:lang w:val="en-US" w:eastAsia="zh-CN"/>
        </w:rPr>
        <w:t>人</w:t>
      </w:r>
      <w:r>
        <w:rPr>
          <w:rFonts w:hint="eastAsia"/>
          <w:lang w:val="zh-CN" w:eastAsia="zh-CN"/>
        </w:rPr>
        <w:t>在内的</w:t>
      </w:r>
      <w:r>
        <w:rPr>
          <w:lang w:val="zh-CN" w:eastAsia="zh-CN"/>
        </w:rPr>
        <w:t>各代人都</w:t>
      </w:r>
      <w:r>
        <w:rPr>
          <w:rFonts w:hint="eastAsia"/>
          <w:lang w:val="en-US" w:eastAsia="zh-CN"/>
        </w:rPr>
        <w:t>掌握</w:t>
      </w:r>
      <w:r>
        <w:rPr>
          <w:lang w:val="zh-CN" w:eastAsia="zh-CN"/>
        </w:rPr>
        <w:t>更多的标准化专业知识。他们参与</w:t>
      </w:r>
      <w:r>
        <w:rPr>
          <w:rFonts w:hint="eastAsia"/>
          <w:lang w:val="en-US" w:eastAsia="zh-CN"/>
        </w:rPr>
        <w:t>这方面工作有助于促进</w:t>
      </w:r>
      <w:r>
        <w:rPr>
          <w:lang w:val="zh-CN" w:eastAsia="zh-CN"/>
        </w:rPr>
        <w:t>可持续发展和</w:t>
      </w:r>
      <w:r>
        <w:rPr>
          <w:rFonts w:hint="eastAsia"/>
          <w:lang w:val="en-US" w:eastAsia="zh-CN"/>
        </w:rPr>
        <w:t>提高</w:t>
      </w:r>
      <w:r>
        <w:rPr>
          <w:lang w:val="zh-CN" w:eastAsia="zh-CN"/>
        </w:rPr>
        <w:t>全球竞争力</w:t>
      </w:r>
      <w:r>
        <w:rPr>
          <w:rFonts w:hint="eastAsia"/>
          <w:lang w:val="zh-CN" w:eastAsia="zh-CN"/>
        </w:rPr>
        <w:t>，</w:t>
      </w:r>
      <w:r>
        <w:rPr>
          <w:rFonts w:hint="eastAsia"/>
          <w:lang w:val="en-US" w:eastAsia="zh-CN"/>
        </w:rPr>
        <w:t>在</w:t>
      </w:r>
      <w:r>
        <w:rPr>
          <w:lang w:val="zh-CN" w:eastAsia="zh-CN"/>
        </w:rPr>
        <w:t>特别是</w:t>
      </w:r>
      <w:r>
        <w:rPr>
          <w:rFonts w:hint="eastAsia"/>
          <w:lang w:val="en-US" w:eastAsia="zh-CN"/>
        </w:rPr>
        <w:t>在</w:t>
      </w:r>
      <w:r>
        <w:rPr>
          <w:lang w:val="zh-CN" w:eastAsia="zh-CN"/>
        </w:rPr>
        <w:t>发展中国家</w:t>
      </w:r>
      <w:r>
        <w:rPr>
          <w:rFonts w:hint="eastAsia"/>
          <w:lang w:val="en-US" w:eastAsia="zh-CN"/>
        </w:rPr>
        <w:t>尤其如此</w:t>
      </w:r>
      <w:r>
        <w:rPr>
          <w:lang w:val="zh-CN" w:eastAsia="zh-CN"/>
        </w:rPr>
        <w:t>。随着新兴趋势</w:t>
      </w:r>
      <w:r>
        <w:rPr>
          <w:rFonts w:hint="eastAsia"/>
          <w:lang w:val="en-US" w:eastAsia="zh-CN"/>
        </w:rPr>
        <w:t>的出现，</w:t>
      </w:r>
      <w:r>
        <w:rPr>
          <w:lang w:val="zh-CN" w:eastAsia="zh-CN"/>
        </w:rPr>
        <w:t>下一代</w:t>
      </w:r>
      <w:r>
        <w:rPr>
          <w:rFonts w:hint="eastAsia"/>
          <w:lang w:val="en-US" w:eastAsia="zh-CN"/>
        </w:rPr>
        <w:t>人</w:t>
      </w:r>
      <w:r>
        <w:rPr>
          <w:rFonts w:hint="eastAsia"/>
          <w:lang w:val="zh-CN" w:eastAsia="zh-CN"/>
        </w:rPr>
        <w:t>最</w:t>
      </w:r>
      <w:r>
        <w:rPr>
          <w:lang w:val="zh-CN" w:eastAsia="zh-CN"/>
        </w:rPr>
        <w:t>有可能为电信</w:t>
      </w:r>
      <w:r>
        <w:rPr>
          <w:lang w:val="zh-CN" w:eastAsia="zh-CN"/>
        </w:rPr>
        <w:t>/ICT</w:t>
      </w:r>
      <w:r>
        <w:rPr>
          <w:lang w:val="zh-CN" w:eastAsia="zh-CN"/>
        </w:rPr>
        <w:t>标准化进程带来创新</w:t>
      </w:r>
      <w:r>
        <w:rPr>
          <w:rFonts w:hint="eastAsia"/>
          <w:lang w:val="zh-CN" w:eastAsia="zh-CN"/>
        </w:rPr>
        <w:t>理念</w:t>
      </w:r>
      <w:r>
        <w:rPr>
          <w:lang w:val="zh-CN" w:eastAsia="zh-CN"/>
        </w:rPr>
        <w:t>和观点。此外，让下一代</w:t>
      </w:r>
      <w:r>
        <w:rPr>
          <w:rFonts w:hint="eastAsia"/>
          <w:lang w:val="en-US" w:eastAsia="zh-CN"/>
        </w:rPr>
        <w:t>人</w:t>
      </w:r>
      <w:r>
        <w:rPr>
          <w:lang w:val="zh-CN" w:eastAsia="zh-CN"/>
        </w:rPr>
        <w:t>参与</w:t>
      </w:r>
      <w:r>
        <w:rPr>
          <w:rFonts w:hint="eastAsia"/>
          <w:lang w:val="zh-CN" w:eastAsia="zh-CN"/>
        </w:rPr>
        <w:t>进来</w:t>
      </w:r>
      <w:r>
        <w:rPr>
          <w:lang w:val="zh-CN" w:eastAsia="zh-CN"/>
        </w:rPr>
        <w:t>可确保</w:t>
      </w:r>
      <w:r>
        <w:rPr>
          <w:lang w:val="zh-CN" w:eastAsia="zh-CN"/>
        </w:rPr>
        <w:t>ICT</w:t>
      </w:r>
      <w:r>
        <w:rPr>
          <w:lang w:val="zh-CN" w:eastAsia="zh-CN"/>
        </w:rPr>
        <w:t>标准以用户为中心，并对</w:t>
      </w:r>
      <w:r>
        <w:rPr>
          <w:rFonts w:hint="eastAsia"/>
          <w:lang w:val="zh-CN" w:eastAsia="zh-CN"/>
        </w:rPr>
        <w:t>数字原生代</w:t>
      </w:r>
      <w:r>
        <w:rPr>
          <w:lang w:val="zh-CN" w:eastAsia="zh-CN"/>
        </w:rPr>
        <w:t>的需求做出响应。</w:t>
      </w:r>
    </w:p>
    <w:p w14:paraId="68D588EE" w14:textId="77777777" w:rsidR="009E3497" w:rsidRDefault="000F1838">
      <w:pPr>
        <w:tabs>
          <w:tab w:val="clear" w:pos="1701"/>
          <w:tab w:val="clear" w:pos="2495"/>
          <w:tab w:val="left" w:pos="1871"/>
          <w:tab w:val="left" w:pos="2268"/>
        </w:tabs>
        <w:ind w:firstLineChars="200" w:firstLine="480"/>
        <w:rPr>
          <w:lang w:val="zh-CN" w:eastAsia="zh-CN"/>
        </w:rPr>
      </w:pPr>
      <w:r>
        <w:rPr>
          <w:lang w:val="zh-CN" w:eastAsia="zh-CN"/>
        </w:rPr>
        <w:t>为</w:t>
      </w:r>
      <w:r>
        <w:rPr>
          <w:rFonts w:hint="eastAsia"/>
          <w:lang w:val="zh-CN" w:eastAsia="zh-CN"/>
        </w:rPr>
        <w:t>了</w:t>
      </w:r>
      <w:r>
        <w:rPr>
          <w:lang w:val="zh-CN" w:eastAsia="zh-CN"/>
        </w:rPr>
        <w:t>支持下一代人积极参与标准化工作，</w:t>
      </w:r>
      <w:r>
        <w:rPr>
          <w:lang w:val="zh-CN" w:eastAsia="zh-CN"/>
        </w:rPr>
        <w:t>ITU-T</w:t>
      </w:r>
      <w:r>
        <w:rPr>
          <w:lang w:val="zh-CN" w:eastAsia="zh-CN"/>
        </w:rPr>
        <w:t>需要</w:t>
      </w:r>
      <w:r>
        <w:rPr>
          <w:rFonts w:hint="eastAsia"/>
          <w:lang w:val="zh-CN" w:eastAsia="zh-CN"/>
        </w:rPr>
        <w:t>解决</w:t>
      </w:r>
      <w:r>
        <w:rPr>
          <w:lang w:val="zh-CN" w:eastAsia="zh-CN"/>
        </w:rPr>
        <w:t>下一代</w:t>
      </w:r>
      <w:r>
        <w:rPr>
          <w:rFonts w:hint="eastAsia"/>
          <w:lang w:val="zh-CN" w:eastAsia="zh-CN"/>
        </w:rPr>
        <w:t>人</w:t>
      </w:r>
      <w:r>
        <w:rPr>
          <w:lang w:val="zh-CN" w:eastAsia="zh-CN"/>
        </w:rPr>
        <w:t>可能面临的挑战，</w:t>
      </w:r>
      <w:r>
        <w:rPr>
          <w:rFonts w:hint="eastAsia"/>
          <w:lang w:val="zh-CN" w:eastAsia="zh-CN"/>
        </w:rPr>
        <w:t>例</w:t>
      </w:r>
      <w:r>
        <w:rPr>
          <w:lang w:val="zh-CN" w:eastAsia="zh-CN"/>
        </w:rPr>
        <w:t>如缺乏</w:t>
      </w:r>
      <w:r>
        <w:rPr>
          <w:rFonts w:hint="eastAsia"/>
          <w:lang w:val="en-US" w:eastAsia="zh-CN"/>
        </w:rPr>
        <w:t>相关</w:t>
      </w:r>
      <w:r>
        <w:rPr>
          <w:lang w:val="zh-CN" w:eastAsia="zh-CN"/>
        </w:rPr>
        <w:t>认识</w:t>
      </w:r>
      <w:r>
        <w:rPr>
          <w:rFonts w:hint="eastAsia"/>
          <w:lang w:val="en-US" w:eastAsia="zh-CN"/>
        </w:rPr>
        <w:t>以及</w:t>
      </w:r>
      <w:r>
        <w:rPr>
          <w:lang w:val="zh-CN" w:eastAsia="zh-CN"/>
        </w:rPr>
        <w:t>参与国际标准化论坛和组织的机会有限。这些挑战</w:t>
      </w:r>
      <w:r>
        <w:rPr>
          <w:rFonts w:hint="eastAsia"/>
          <w:lang w:val="en-US" w:eastAsia="zh-CN"/>
        </w:rPr>
        <w:t>会桎梏</w:t>
      </w:r>
      <w:r>
        <w:rPr>
          <w:lang w:val="zh-CN" w:eastAsia="zh-CN"/>
        </w:rPr>
        <w:t>发展中国家</w:t>
      </w:r>
      <w:r>
        <w:rPr>
          <w:rFonts w:hint="eastAsia"/>
          <w:lang w:val="en-US" w:eastAsia="zh-CN"/>
        </w:rPr>
        <w:t>的</w:t>
      </w:r>
      <w:r>
        <w:rPr>
          <w:lang w:val="zh-CN" w:eastAsia="zh-CN"/>
        </w:rPr>
        <w:t>下一代</w:t>
      </w:r>
      <w:r>
        <w:rPr>
          <w:rFonts w:hint="eastAsia"/>
          <w:lang w:val="en-US" w:eastAsia="zh-CN"/>
        </w:rPr>
        <w:t>人</w:t>
      </w:r>
      <w:r>
        <w:rPr>
          <w:lang w:val="zh-CN" w:eastAsia="zh-CN"/>
        </w:rPr>
        <w:t>参与标准制定进程的能力。因此，</w:t>
      </w:r>
      <w:r>
        <w:rPr>
          <w:lang w:val="zh-CN" w:eastAsia="zh-CN"/>
        </w:rPr>
        <w:t>ITU-T</w:t>
      </w:r>
      <w:r>
        <w:rPr>
          <w:lang w:val="zh-CN" w:eastAsia="zh-CN"/>
        </w:rPr>
        <w:t>应努力消除</w:t>
      </w:r>
      <w:r>
        <w:rPr>
          <w:rFonts w:hint="eastAsia"/>
          <w:lang w:val="zh-CN" w:eastAsia="zh-CN"/>
        </w:rPr>
        <w:t>这些障碍，促进标准化活动</w:t>
      </w:r>
      <w:r>
        <w:rPr>
          <w:rFonts w:hint="eastAsia"/>
          <w:lang w:val="en-US" w:eastAsia="zh-CN"/>
        </w:rPr>
        <w:t>的开展</w:t>
      </w:r>
      <w:r>
        <w:rPr>
          <w:rFonts w:hint="eastAsia"/>
          <w:lang w:val="zh-CN" w:eastAsia="zh-CN"/>
        </w:rPr>
        <w:t>，以缩小差距。</w:t>
      </w:r>
    </w:p>
    <w:p w14:paraId="62F30C4B" w14:textId="77777777" w:rsidR="009E3497" w:rsidRDefault="000F1838">
      <w:pPr>
        <w:tabs>
          <w:tab w:val="clear" w:pos="1701"/>
          <w:tab w:val="clear" w:pos="2495"/>
          <w:tab w:val="left" w:pos="1871"/>
          <w:tab w:val="left" w:pos="2268"/>
        </w:tabs>
        <w:ind w:firstLineChars="200" w:firstLine="480"/>
        <w:rPr>
          <w:lang w:val="zh-CN" w:eastAsia="zh-CN"/>
        </w:rPr>
      </w:pPr>
      <w:r>
        <w:rPr>
          <w:rFonts w:hint="eastAsia"/>
          <w:lang w:val="en-US" w:eastAsia="zh-CN"/>
        </w:rPr>
        <w:t>各方已</w:t>
      </w:r>
      <w:r>
        <w:rPr>
          <w:lang w:val="zh-CN" w:eastAsia="zh-CN"/>
        </w:rPr>
        <w:t>认识到，</w:t>
      </w:r>
      <w:r>
        <w:rPr>
          <w:lang w:val="zh-CN" w:eastAsia="zh-CN"/>
        </w:rPr>
        <w:t>ITU-T</w:t>
      </w:r>
      <w:r>
        <w:rPr>
          <w:lang w:val="zh-CN" w:eastAsia="zh-CN"/>
        </w:rPr>
        <w:t>必须加强与其他相关标准制定组织（</w:t>
      </w:r>
      <w:r>
        <w:rPr>
          <w:lang w:val="zh-CN" w:eastAsia="zh-CN"/>
        </w:rPr>
        <w:t>SDO</w:t>
      </w:r>
      <w:r>
        <w:rPr>
          <w:lang w:val="zh-CN" w:eastAsia="zh-CN"/>
        </w:rPr>
        <w:t>）和区域性电信组织（</w:t>
      </w:r>
      <w:r>
        <w:rPr>
          <w:lang w:val="zh-CN" w:eastAsia="zh-CN"/>
        </w:rPr>
        <w:t>RTO</w:t>
      </w:r>
      <w:r>
        <w:rPr>
          <w:lang w:val="zh-CN" w:eastAsia="zh-CN"/>
        </w:rPr>
        <w:t>）的</w:t>
      </w:r>
      <w:r>
        <w:rPr>
          <w:rFonts w:hint="eastAsia"/>
          <w:lang w:val="en-US" w:eastAsia="zh-CN"/>
        </w:rPr>
        <w:t>协作</w:t>
      </w:r>
      <w:r>
        <w:rPr>
          <w:lang w:val="zh-CN" w:eastAsia="zh-CN"/>
        </w:rPr>
        <w:t>，以满足发展中国家在标准制定工作中的需求。汇集</w:t>
      </w:r>
      <w:r>
        <w:rPr>
          <w:rFonts w:hint="eastAsia"/>
          <w:lang w:val="zh-CN" w:eastAsia="zh-CN"/>
        </w:rPr>
        <w:t>SDO</w:t>
      </w:r>
      <w:r>
        <w:rPr>
          <w:lang w:val="zh-CN" w:eastAsia="zh-CN"/>
        </w:rPr>
        <w:t>的不同观点和见解并与</w:t>
      </w:r>
      <w:r>
        <w:rPr>
          <w:lang w:val="zh-CN" w:eastAsia="zh-CN"/>
        </w:rPr>
        <w:t>RTO</w:t>
      </w:r>
      <w:r>
        <w:rPr>
          <w:rFonts w:hint="eastAsia"/>
          <w:lang w:val="en-US" w:eastAsia="zh-CN"/>
        </w:rPr>
        <w:t>协作</w:t>
      </w:r>
      <w:r>
        <w:rPr>
          <w:lang w:val="zh-CN" w:eastAsia="zh-CN"/>
        </w:rPr>
        <w:t>将有助于</w:t>
      </w:r>
      <w:r>
        <w:rPr>
          <w:lang w:val="zh-CN" w:eastAsia="zh-CN"/>
        </w:rPr>
        <w:t>ITU-T</w:t>
      </w:r>
      <w:r>
        <w:rPr>
          <w:lang w:val="zh-CN" w:eastAsia="zh-CN"/>
        </w:rPr>
        <w:t>确定新兴趋势</w:t>
      </w:r>
      <w:r>
        <w:rPr>
          <w:rFonts w:hint="eastAsia"/>
          <w:lang w:val="zh-CN" w:eastAsia="zh-CN"/>
        </w:rPr>
        <w:t>、</w:t>
      </w:r>
      <w:r>
        <w:rPr>
          <w:lang w:val="zh-CN" w:eastAsia="zh-CN"/>
        </w:rPr>
        <w:t>应对不断变化的挑战并制定最新的解决方案</w:t>
      </w:r>
      <w:r>
        <w:rPr>
          <w:rFonts w:hint="eastAsia"/>
          <w:lang w:val="zh-CN" w:eastAsia="zh-CN"/>
        </w:rPr>
        <w:t>，</w:t>
      </w:r>
      <w:r>
        <w:rPr>
          <w:rFonts w:hint="eastAsia"/>
          <w:lang w:val="en-US" w:eastAsia="zh-CN"/>
        </w:rPr>
        <w:t>以缩小</w:t>
      </w:r>
      <w:r>
        <w:rPr>
          <w:lang w:val="zh-CN" w:eastAsia="zh-CN"/>
        </w:rPr>
        <w:t>发达国家和发展中国家之间的标准化</w:t>
      </w:r>
      <w:r>
        <w:rPr>
          <w:rFonts w:hint="eastAsia"/>
          <w:lang w:val="en-US" w:eastAsia="zh-CN"/>
        </w:rPr>
        <w:t>工作</w:t>
      </w:r>
      <w:r>
        <w:rPr>
          <w:lang w:val="zh-CN" w:eastAsia="zh-CN"/>
        </w:rPr>
        <w:t>差距。</w:t>
      </w:r>
    </w:p>
    <w:p w14:paraId="212B806D" w14:textId="77777777" w:rsidR="009E3497" w:rsidRDefault="000F1838">
      <w:pPr>
        <w:ind w:firstLineChars="200" w:firstLine="480"/>
        <w:rPr>
          <w:rFonts w:eastAsia="Batang"/>
          <w:lang w:eastAsia="zh-CN"/>
        </w:rPr>
      </w:pPr>
      <w:r>
        <w:rPr>
          <w:lang w:val="zh-CN" w:eastAsia="zh-CN"/>
        </w:rPr>
        <w:t>此外，发展中国家在理解和应用</w:t>
      </w:r>
      <w:r>
        <w:rPr>
          <w:lang w:val="zh-CN" w:eastAsia="zh-CN"/>
        </w:rPr>
        <w:t>ITU-T</w:t>
      </w:r>
      <w:r>
        <w:rPr>
          <w:lang w:val="zh-CN" w:eastAsia="zh-CN"/>
        </w:rPr>
        <w:t>建议书和其他</w:t>
      </w:r>
      <w:r>
        <w:rPr>
          <w:rFonts w:hint="eastAsia"/>
          <w:lang w:val="zh-CN" w:eastAsia="zh-CN"/>
        </w:rPr>
        <w:t>SDO</w:t>
      </w:r>
      <w:r>
        <w:rPr>
          <w:lang w:val="zh-CN" w:eastAsia="zh-CN"/>
        </w:rPr>
        <w:t>关于新的和新兴技术专题领域的标准方面仍然存在障碍，例如国际移动通信（</w:t>
      </w:r>
      <w:r>
        <w:rPr>
          <w:lang w:val="zh-CN" w:eastAsia="zh-CN"/>
        </w:rPr>
        <w:t>IMT</w:t>
      </w:r>
      <w:r>
        <w:rPr>
          <w:lang w:val="zh-CN" w:eastAsia="zh-CN"/>
        </w:rPr>
        <w:t>）</w:t>
      </w:r>
      <w:r>
        <w:rPr>
          <w:lang w:val="zh-CN" w:eastAsia="zh-CN"/>
        </w:rPr>
        <w:t>-2020</w:t>
      </w:r>
      <w:r>
        <w:rPr>
          <w:lang w:val="zh-CN" w:eastAsia="zh-CN"/>
        </w:rPr>
        <w:t>、</w:t>
      </w:r>
      <w:r>
        <w:rPr>
          <w:lang w:val="zh-CN" w:eastAsia="zh-CN"/>
        </w:rPr>
        <w:t>IMT-2030</w:t>
      </w:r>
      <w:r>
        <w:rPr>
          <w:lang w:val="zh-CN" w:eastAsia="zh-CN"/>
        </w:rPr>
        <w:t>及之后</w:t>
      </w:r>
      <w:r>
        <w:rPr>
          <w:rFonts w:hint="eastAsia"/>
          <w:lang w:val="en-US" w:eastAsia="zh-CN"/>
        </w:rPr>
        <w:t>的网络</w:t>
      </w:r>
      <w:r>
        <w:rPr>
          <w:lang w:val="zh-CN" w:eastAsia="zh-CN"/>
        </w:rPr>
        <w:t>、网络安全、云计算、区块链</w:t>
      </w:r>
      <w:r>
        <w:rPr>
          <w:rFonts w:hint="eastAsia"/>
          <w:lang w:val="zh-CN" w:eastAsia="zh-CN"/>
        </w:rPr>
        <w:t>、</w:t>
      </w:r>
      <w:r>
        <w:rPr>
          <w:lang w:val="zh-CN" w:eastAsia="zh-CN"/>
        </w:rPr>
        <w:t>元宇宙、分布式账本技术（</w:t>
      </w:r>
      <w:r>
        <w:rPr>
          <w:lang w:val="zh-CN" w:eastAsia="zh-CN"/>
        </w:rPr>
        <w:t>DLT</w:t>
      </w:r>
      <w:r>
        <w:rPr>
          <w:lang w:val="zh-CN" w:eastAsia="zh-CN"/>
        </w:rPr>
        <w:t>）、量子密钥分发（</w:t>
      </w:r>
      <w:r>
        <w:rPr>
          <w:lang w:val="zh-CN" w:eastAsia="zh-CN"/>
        </w:rPr>
        <w:t>QKD</w:t>
      </w:r>
      <w:r>
        <w:rPr>
          <w:lang w:val="zh-CN" w:eastAsia="zh-CN"/>
        </w:rPr>
        <w:t>）、人工智能应用等。</w:t>
      </w:r>
    </w:p>
    <w:p w14:paraId="1CEA8DA6" w14:textId="77777777" w:rsidR="009E3497" w:rsidRDefault="000F1838">
      <w:pPr>
        <w:pStyle w:val="Headingb"/>
        <w:rPr>
          <w:lang w:val="en-GB" w:eastAsia="zh-CN"/>
        </w:rPr>
      </w:pPr>
      <w:r>
        <w:rPr>
          <w:rFonts w:hint="eastAsia"/>
          <w:lang w:val="en-US" w:eastAsia="zh-CN"/>
        </w:rPr>
        <w:lastRenderedPageBreak/>
        <w:t>提案</w:t>
      </w:r>
    </w:p>
    <w:p w14:paraId="6D48C7AF" w14:textId="77777777" w:rsidR="009E3497" w:rsidRDefault="000F1838">
      <w:pPr>
        <w:ind w:firstLineChars="200" w:firstLine="480"/>
        <w:rPr>
          <w:rFonts w:eastAsia="Batang"/>
          <w:lang w:eastAsia="zh-CN"/>
        </w:rPr>
      </w:pPr>
      <w:r>
        <w:rPr>
          <w:lang w:val="zh-CN" w:eastAsia="zh-CN"/>
        </w:rPr>
        <w:t>亚太电信组织各成员国主管部门建议修改</w:t>
      </w:r>
      <w:r>
        <w:rPr>
          <w:lang w:val="zh-CN" w:eastAsia="zh-CN"/>
        </w:rPr>
        <w:t>WTSA</w:t>
      </w:r>
      <w:r>
        <w:rPr>
          <w:lang w:val="zh-CN" w:eastAsia="zh-CN"/>
        </w:rPr>
        <w:t>第</w:t>
      </w:r>
      <w:r>
        <w:rPr>
          <w:lang w:val="zh-CN" w:eastAsia="zh-CN"/>
        </w:rPr>
        <w:t>44</w:t>
      </w:r>
      <w:r>
        <w:rPr>
          <w:lang w:val="zh-CN" w:eastAsia="zh-CN"/>
        </w:rPr>
        <w:t>号决议，以支持促进下一代</w:t>
      </w:r>
      <w:r>
        <w:rPr>
          <w:rFonts w:hint="eastAsia"/>
          <w:lang w:val="en-US" w:eastAsia="zh-CN"/>
        </w:rPr>
        <w:t>人</w:t>
      </w:r>
      <w:r>
        <w:rPr>
          <w:lang w:val="zh-CN" w:eastAsia="zh-CN"/>
        </w:rPr>
        <w:t>积极参与</w:t>
      </w:r>
      <w:r>
        <w:rPr>
          <w:lang w:val="zh-CN" w:eastAsia="zh-CN"/>
        </w:rPr>
        <w:t>ITU-T</w:t>
      </w:r>
      <w:r>
        <w:rPr>
          <w:lang w:val="zh-CN" w:eastAsia="zh-CN"/>
        </w:rPr>
        <w:t>标准化</w:t>
      </w:r>
      <w:r>
        <w:rPr>
          <w:rFonts w:hint="eastAsia"/>
          <w:lang w:val="en-US" w:eastAsia="zh-CN"/>
        </w:rPr>
        <w:t>活动</w:t>
      </w:r>
      <w:r>
        <w:rPr>
          <w:rFonts w:hint="eastAsia"/>
          <w:lang w:val="zh-CN" w:eastAsia="zh-CN"/>
        </w:rPr>
        <w:t>，</w:t>
      </w:r>
      <w:r>
        <w:rPr>
          <w:rFonts w:hint="eastAsia"/>
          <w:lang w:val="en-US" w:eastAsia="zh-CN"/>
        </w:rPr>
        <w:t>从而</w:t>
      </w:r>
      <w:r>
        <w:rPr>
          <w:lang w:val="zh-CN" w:eastAsia="zh-CN"/>
        </w:rPr>
        <w:t>为缩小标准化工</w:t>
      </w:r>
      <w:proofErr w:type="gramStart"/>
      <w:r>
        <w:rPr>
          <w:lang w:val="zh-CN" w:eastAsia="zh-CN"/>
        </w:rPr>
        <w:t>作差距</w:t>
      </w:r>
      <w:proofErr w:type="gramEnd"/>
      <w:r>
        <w:rPr>
          <w:lang w:val="zh-CN" w:eastAsia="zh-CN"/>
        </w:rPr>
        <w:t>做出贡献，同时鼓励</w:t>
      </w:r>
      <w:r>
        <w:rPr>
          <w:lang w:val="zh-CN" w:eastAsia="zh-CN"/>
        </w:rPr>
        <w:t>ITU-T</w:t>
      </w:r>
      <w:r>
        <w:rPr>
          <w:lang w:val="zh-CN" w:eastAsia="zh-CN"/>
        </w:rPr>
        <w:t>与其他</w:t>
      </w:r>
      <w:r>
        <w:rPr>
          <w:lang w:val="zh-CN" w:eastAsia="zh-CN"/>
        </w:rPr>
        <w:t>SDO</w:t>
      </w:r>
      <w:r>
        <w:rPr>
          <w:lang w:val="zh-CN" w:eastAsia="zh-CN"/>
        </w:rPr>
        <w:t>和区域</w:t>
      </w:r>
      <w:r>
        <w:rPr>
          <w:rFonts w:hint="eastAsia"/>
          <w:lang w:val="en-US" w:eastAsia="zh-CN"/>
        </w:rPr>
        <w:t>性</w:t>
      </w:r>
      <w:r>
        <w:rPr>
          <w:lang w:val="zh-CN" w:eastAsia="zh-CN"/>
        </w:rPr>
        <w:t>电信组织协作制定战略、最佳做法和</w:t>
      </w:r>
      <w:proofErr w:type="gramStart"/>
      <w:r>
        <w:rPr>
          <w:lang w:val="zh-CN" w:eastAsia="zh-CN"/>
        </w:rPr>
        <w:t>导则</w:t>
      </w:r>
      <w:proofErr w:type="gramEnd"/>
      <w:r>
        <w:rPr>
          <w:lang w:val="zh-CN" w:eastAsia="zh-CN"/>
        </w:rPr>
        <w:t>，以促进</w:t>
      </w:r>
      <w:r>
        <w:rPr>
          <w:lang w:val="zh-CN" w:eastAsia="zh-CN"/>
        </w:rPr>
        <w:t>ITU-T</w:t>
      </w:r>
      <w:r>
        <w:rPr>
          <w:lang w:val="zh-CN" w:eastAsia="zh-CN"/>
        </w:rPr>
        <w:t>建议书</w:t>
      </w:r>
      <w:r>
        <w:rPr>
          <w:rFonts w:hint="eastAsia"/>
          <w:lang w:val="zh-CN" w:eastAsia="zh-CN"/>
        </w:rPr>
        <w:t>和其他相关</w:t>
      </w:r>
      <w:r>
        <w:rPr>
          <w:rFonts w:hint="eastAsia"/>
          <w:lang w:val="zh-CN" w:eastAsia="zh-CN"/>
        </w:rPr>
        <w:t>SDO</w:t>
      </w:r>
      <w:r>
        <w:rPr>
          <w:rFonts w:hint="eastAsia"/>
          <w:lang w:val="zh-CN" w:eastAsia="zh-CN"/>
        </w:rPr>
        <w:t>标准</w:t>
      </w:r>
      <w:r>
        <w:rPr>
          <w:lang w:val="zh-CN" w:eastAsia="zh-CN"/>
        </w:rPr>
        <w:t>的应用，并加强电信标准化局</w:t>
      </w:r>
      <w:r>
        <w:rPr>
          <w:rFonts w:hint="eastAsia"/>
          <w:lang w:val="zh-CN" w:eastAsia="zh-CN"/>
        </w:rPr>
        <w:t>（</w:t>
      </w:r>
      <w:r>
        <w:rPr>
          <w:rFonts w:eastAsia="Batang"/>
          <w:lang w:eastAsia="zh-CN"/>
        </w:rPr>
        <w:t>TSB</w:t>
      </w:r>
      <w:r>
        <w:rPr>
          <w:rFonts w:hint="eastAsia"/>
          <w:lang w:val="zh-CN" w:eastAsia="zh-CN"/>
        </w:rPr>
        <w:t>）</w:t>
      </w:r>
      <w:r>
        <w:rPr>
          <w:rFonts w:hint="eastAsia"/>
          <w:lang w:val="en-US" w:eastAsia="zh-CN"/>
        </w:rPr>
        <w:t>和</w:t>
      </w:r>
      <w:r>
        <w:rPr>
          <w:lang w:val="zh-CN" w:eastAsia="zh-CN"/>
        </w:rPr>
        <w:t>电信发展局</w:t>
      </w:r>
      <w:r>
        <w:rPr>
          <w:rFonts w:hint="eastAsia"/>
          <w:lang w:val="zh-CN" w:eastAsia="zh-CN"/>
        </w:rPr>
        <w:t>（</w:t>
      </w:r>
      <w:r>
        <w:rPr>
          <w:rFonts w:eastAsia="Batang"/>
          <w:lang w:eastAsia="zh-CN"/>
        </w:rPr>
        <w:t>BDT</w:t>
      </w:r>
      <w:r>
        <w:rPr>
          <w:rFonts w:hint="eastAsia"/>
          <w:lang w:val="zh-CN" w:eastAsia="zh-CN"/>
        </w:rPr>
        <w:t>）</w:t>
      </w:r>
      <w:r>
        <w:rPr>
          <w:rFonts w:hint="eastAsia"/>
          <w:lang w:val="en-US" w:eastAsia="zh-CN"/>
        </w:rPr>
        <w:t>在汇总并</w:t>
      </w:r>
      <w:r>
        <w:rPr>
          <w:lang w:val="zh-CN" w:eastAsia="zh-CN"/>
        </w:rPr>
        <w:t>维护</w:t>
      </w:r>
      <w:r>
        <w:rPr>
          <w:lang w:val="zh-CN" w:eastAsia="zh-CN"/>
        </w:rPr>
        <w:t>ITU-T</w:t>
      </w:r>
      <w:r>
        <w:rPr>
          <w:lang w:val="zh-CN" w:eastAsia="zh-CN"/>
        </w:rPr>
        <w:t>建议书数据库</w:t>
      </w:r>
      <w:r>
        <w:rPr>
          <w:rFonts w:hint="eastAsia"/>
          <w:lang w:val="zh-CN" w:eastAsia="zh-CN"/>
        </w:rPr>
        <w:t>以及其他相关标准</w:t>
      </w:r>
      <w:r>
        <w:rPr>
          <w:lang w:val="zh-CN" w:eastAsia="zh-CN"/>
        </w:rPr>
        <w:t>方面将</w:t>
      </w:r>
      <w:r>
        <w:rPr>
          <w:rFonts w:hint="eastAsia"/>
          <w:lang w:val="en-US" w:eastAsia="zh-CN"/>
        </w:rPr>
        <w:t>要合作</w:t>
      </w:r>
      <w:r>
        <w:rPr>
          <w:lang w:val="zh-CN" w:eastAsia="zh-CN"/>
        </w:rPr>
        <w:t>采取的行动</w:t>
      </w:r>
      <w:r>
        <w:rPr>
          <w:rFonts w:hint="eastAsia"/>
          <w:lang w:val="zh-CN" w:eastAsia="zh-CN"/>
        </w:rPr>
        <w:t>，特别是在专题领域和新兴技术方面。</w:t>
      </w:r>
    </w:p>
    <w:p w14:paraId="1C216F20" w14:textId="77777777" w:rsidR="009E3497" w:rsidRDefault="000F1838">
      <w:pPr>
        <w:rPr>
          <w:lang w:eastAsia="zh-CN"/>
        </w:rPr>
      </w:pPr>
      <w:r>
        <w:rPr>
          <w:lang w:eastAsia="zh-CN"/>
        </w:rPr>
        <w:br w:type="page"/>
      </w:r>
    </w:p>
    <w:p w14:paraId="49B0DD7D" w14:textId="77777777" w:rsidR="009E3497" w:rsidRDefault="000F1838">
      <w:pPr>
        <w:pStyle w:val="Proposal"/>
        <w:rPr>
          <w:lang w:eastAsia="zh-CN"/>
        </w:rPr>
      </w:pPr>
      <w:r>
        <w:rPr>
          <w:lang w:eastAsia="zh-CN"/>
        </w:rPr>
        <w:lastRenderedPageBreak/>
        <w:t>MOD</w:t>
      </w:r>
      <w:r>
        <w:rPr>
          <w:lang w:eastAsia="zh-CN"/>
        </w:rPr>
        <w:tab/>
        <w:t>APT/37A8/1</w:t>
      </w:r>
    </w:p>
    <w:p w14:paraId="212DED76" w14:textId="1B446B29" w:rsidR="009E3497" w:rsidRDefault="000F1838">
      <w:pPr>
        <w:pStyle w:val="ResNo"/>
        <w:rPr>
          <w:lang w:eastAsia="zh-CN"/>
        </w:rPr>
      </w:pPr>
      <w:bookmarkStart w:id="1" w:name="_Toc114651315"/>
      <w:r>
        <w:rPr>
          <w:rStyle w:val="href"/>
          <w:rFonts w:hint="eastAsia"/>
          <w:lang w:eastAsia="zh-CN"/>
        </w:rPr>
        <w:t>第</w:t>
      </w:r>
      <w:r>
        <w:rPr>
          <w:rStyle w:val="href"/>
          <w:rFonts w:hint="eastAsia"/>
          <w:lang w:eastAsia="zh-CN"/>
        </w:rPr>
        <w:t>44</w:t>
      </w:r>
      <w:r>
        <w:rPr>
          <w:rStyle w:val="href"/>
          <w:rFonts w:hint="eastAsia"/>
          <w:lang w:eastAsia="zh-CN"/>
        </w:rPr>
        <w:t>号决议</w:t>
      </w:r>
      <w:r>
        <w:rPr>
          <w:rFonts w:hint="eastAsia"/>
          <w:lang w:eastAsia="zh-CN"/>
        </w:rPr>
        <w:t>（</w:t>
      </w:r>
      <w:del w:id="2" w:author="LING-C(JL)" w:date="2024-09-30T10:52:00Z" w16du:dateUtc="2024-09-30T08:52:00Z">
        <w:r w:rsidDel="009E0DEE">
          <w:rPr>
            <w:rFonts w:hint="eastAsia"/>
            <w:lang w:eastAsia="zh-CN"/>
          </w:rPr>
          <w:delText>2022</w:delText>
        </w:r>
        <w:r w:rsidDel="009E0DEE">
          <w:rPr>
            <w:rFonts w:hint="eastAsia"/>
            <w:lang w:eastAsia="zh-CN"/>
          </w:rPr>
          <w:delText>年，日内瓦</w:delText>
        </w:r>
      </w:del>
      <w:ins w:id="3" w:author="LING-C(JL)" w:date="2024-09-30T10:52:00Z" w16du:dateUtc="2024-09-30T08:52:00Z">
        <w:r w:rsidR="009E0DEE">
          <w:rPr>
            <w:lang w:val="en-US" w:eastAsia="zh-CN"/>
          </w:rPr>
          <w:t>2024</w:t>
        </w:r>
        <w:r w:rsidR="009E0DEE">
          <w:rPr>
            <w:rFonts w:hint="eastAsia"/>
            <w:lang w:eastAsia="zh-CN"/>
          </w:rPr>
          <w:t>年，新德里</w:t>
        </w:r>
      </w:ins>
      <w:r>
        <w:rPr>
          <w:rFonts w:hint="eastAsia"/>
          <w:lang w:eastAsia="zh-CN"/>
        </w:rPr>
        <w:t>，修订版）</w:t>
      </w:r>
      <w:bookmarkEnd w:id="1"/>
    </w:p>
    <w:p w14:paraId="79FB94AA" w14:textId="77777777" w:rsidR="009E3497" w:rsidRDefault="000F1838">
      <w:pPr>
        <w:pStyle w:val="Restitle"/>
        <w:rPr>
          <w:lang w:eastAsia="zh-CN"/>
        </w:rPr>
      </w:pPr>
      <w:bookmarkStart w:id="4" w:name="_Toc114651316"/>
      <w:r>
        <w:rPr>
          <w:rFonts w:hint="eastAsia"/>
          <w:lang w:eastAsia="zh-CN"/>
        </w:rPr>
        <w:t>缩小发展中国家</w:t>
      </w:r>
      <w:r>
        <w:rPr>
          <w:rStyle w:val="FootnoteReference"/>
          <w:lang w:eastAsia="zh-CN"/>
        </w:rPr>
        <w:footnoteReference w:customMarkFollows="1" w:id="1"/>
        <w:t>1</w:t>
      </w:r>
      <w:r>
        <w:rPr>
          <w:rFonts w:hint="eastAsia"/>
          <w:lang w:eastAsia="zh-CN"/>
        </w:rPr>
        <w:t>与发达国家之间的标准化工作差距</w:t>
      </w:r>
      <w:bookmarkEnd w:id="4"/>
    </w:p>
    <w:p w14:paraId="438344EE" w14:textId="1DFE4AC5" w:rsidR="009E3497" w:rsidRDefault="000F1838">
      <w:pPr>
        <w:pStyle w:val="Resref"/>
        <w:rPr>
          <w:i w:val="0"/>
          <w:lang w:eastAsia="zh-CN"/>
        </w:rPr>
      </w:pPr>
      <w:r>
        <w:rPr>
          <w:rFonts w:hint="eastAsia"/>
          <w:i w:val="0"/>
          <w:lang w:eastAsia="zh-CN"/>
        </w:rPr>
        <w:t>（</w:t>
      </w:r>
      <w:r>
        <w:rPr>
          <w:rStyle w:val="Italic"/>
          <w:i w:val="0"/>
          <w:lang w:eastAsia="zh-CN"/>
        </w:rPr>
        <w:t>2004</w:t>
      </w:r>
      <w:r>
        <w:rPr>
          <w:rStyle w:val="Italic"/>
          <w:rFonts w:hint="eastAsia"/>
          <w:i w:val="0"/>
          <w:lang w:eastAsia="zh-CN"/>
        </w:rPr>
        <w:t>年，弗洛里亚诺波利斯；</w:t>
      </w:r>
      <w:r>
        <w:rPr>
          <w:rStyle w:val="Italic"/>
          <w:i w:val="0"/>
          <w:lang w:eastAsia="zh-CN"/>
        </w:rPr>
        <w:t>2008</w:t>
      </w:r>
      <w:r>
        <w:rPr>
          <w:rStyle w:val="Italic"/>
          <w:rFonts w:hint="eastAsia"/>
          <w:i w:val="0"/>
          <w:lang w:eastAsia="zh-CN"/>
        </w:rPr>
        <w:t>年，约翰内斯堡；</w:t>
      </w:r>
      <w:r>
        <w:rPr>
          <w:rStyle w:val="Italic"/>
          <w:i w:val="0"/>
          <w:lang w:eastAsia="zh-CN"/>
        </w:rPr>
        <w:t>2012</w:t>
      </w:r>
      <w:r>
        <w:rPr>
          <w:rStyle w:val="Italic"/>
          <w:rFonts w:hint="eastAsia"/>
          <w:i w:val="0"/>
          <w:lang w:eastAsia="zh-CN"/>
        </w:rPr>
        <w:t>年，迪拜；</w:t>
      </w:r>
      <w:r>
        <w:rPr>
          <w:rStyle w:val="Italic"/>
          <w:i w:val="0"/>
          <w:lang w:eastAsia="zh-CN"/>
        </w:rPr>
        <w:br/>
      </w:r>
      <w:r>
        <w:rPr>
          <w:rStyle w:val="Italic"/>
          <w:rFonts w:hint="eastAsia"/>
          <w:i w:val="0"/>
          <w:lang w:eastAsia="zh-CN"/>
        </w:rPr>
        <w:t>2016</w:t>
      </w:r>
      <w:r>
        <w:rPr>
          <w:rStyle w:val="Italic"/>
          <w:rFonts w:hint="eastAsia"/>
          <w:i w:val="0"/>
          <w:lang w:eastAsia="zh-CN"/>
        </w:rPr>
        <w:t>年</w:t>
      </w:r>
      <w:r>
        <w:rPr>
          <w:rStyle w:val="Italic"/>
          <w:i w:val="0"/>
          <w:lang w:eastAsia="zh-CN"/>
        </w:rPr>
        <w:t>，哈马马特</w:t>
      </w:r>
      <w:r>
        <w:rPr>
          <w:rStyle w:val="Italic"/>
          <w:rFonts w:hint="eastAsia"/>
          <w:i w:val="0"/>
          <w:lang w:eastAsia="zh-CN"/>
        </w:rPr>
        <w:t>；</w:t>
      </w:r>
      <w:r>
        <w:rPr>
          <w:rStyle w:val="Italic"/>
          <w:rFonts w:hint="eastAsia"/>
          <w:i w:val="0"/>
          <w:lang w:eastAsia="zh-CN"/>
        </w:rPr>
        <w:t>2022</w:t>
      </w:r>
      <w:r>
        <w:rPr>
          <w:rStyle w:val="Italic"/>
          <w:rFonts w:hint="eastAsia"/>
          <w:i w:val="0"/>
          <w:lang w:eastAsia="zh-CN"/>
        </w:rPr>
        <w:t>年，日内瓦</w:t>
      </w:r>
      <w:ins w:id="5" w:author="LING-C(JL)" w:date="2024-09-30T10:52:00Z" w16du:dateUtc="2024-09-30T08:52:00Z">
        <w:r w:rsidR="009E0DEE">
          <w:rPr>
            <w:rStyle w:val="Italic"/>
            <w:rFonts w:hint="eastAsia"/>
            <w:i w:val="0"/>
            <w:lang w:eastAsia="zh-CN"/>
          </w:rPr>
          <w:t>；</w:t>
        </w:r>
        <w:r w:rsidR="009E0DEE">
          <w:rPr>
            <w:rStyle w:val="Italic"/>
            <w:rFonts w:hint="eastAsia"/>
            <w:i w:val="0"/>
            <w:lang w:eastAsia="zh-CN"/>
          </w:rPr>
          <w:t>2024</w:t>
        </w:r>
        <w:r w:rsidR="009E0DEE">
          <w:rPr>
            <w:rStyle w:val="Italic"/>
            <w:rFonts w:hint="eastAsia"/>
            <w:i w:val="0"/>
            <w:lang w:eastAsia="zh-CN"/>
          </w:rPr>
          <w:t>年，新德里</w:t>
        </w:r>
      </w:ins>
      <w:r>
        <w:rPr>
          <w:rFonts w:hint="eastAsia"/>
          <w:i w:val="0"/>
          <w:lang w:eastAsia="zh-CN"/>
        </w:rPr>
        <w:t>）</w:t>
      </w:r>
    </w:p>
    <w:p w14:paraId="1DF82C04" w14:textId="5592E339" w:rsidR="009E3497" w:rsidRDefault="000F1838">
      <w:pPr>
        <w:pStyle w:val="Normalnoindent"/>
        <w:rPr>
          <w:lang w:eastAsia="zh-CN"/>
        </w:rPr>
      </w:pPr>
      <w:r>
        <w:rPr>
          <w:rFonts w:hint="eastAsia"/>
          <w:lang w:eastAsia="zh-CN"/>
        </w:rPr>
        <w:t>世界电信标准化全会（</w:t>
      </w:r>
      <w:del w:id="6" w:author="Li, Jianying" w:date="2024-09-25T15:27:00Z">
        <w:r>
          <w:rPr>
            <w:rFonts w:hint="eastAsia"/>
            <w:lang w:eastAsia="zh-CN"/>
          </w:rPr>
          <w:delText>2022</w:delText>
        </w:r>
        <w:r>
          <w:rPr>
            <w:rFonts w:hint="eastAsia"/>
            <w:lang w:eastAsia="zh-CN"/>
          </w:rPr>
          <w:delText>年，日内瓦</w:delText>
        </w:r>
      </w:del>
      <w:ins w:id="7" w:author="LING-C(JL)" w:date="2024-09-30T10:52:00Z" w16du:dateUtc="2024-09-30T08:52:00Z">
        <w:r w:rsidR="009E0DEE">
          <w:rPr>
            <w:rFonts w:hint="eastAsia"/>
            <w:lang w:eastAsia="zh-CN"/>
          </w:rPr>
          <w:t>2024</w:t>
        </w:r>
        <w:r w:rsidR="009E0DEE">
          <w:rPr>
            <w:rFonts w:hint="eastAsia"/>
            <w:lang w:eastAsia="zh-CN"/>
          </w:rPr>
          <w:t>年，新德里</w:t>
        </w:r>
      </w:ins>
      <w:r>
        <w:rPr>
          <w:rFonts w:hint="eastAsia"/>
          <w:lang w:eastAsia="zh-CN"/>
        </w:rPr>
        <w:t>），</w:t>
      </w:r>
    </w:p>
    <w:p w14:paraId="54BD48DA" w14:textId="77777777" w:rsidR="009E3497" w:rsidRDefault="000F1838">
      <w:pPr>
        <w:pStyle w:val="Call"/>
        <w:rPr>
          <w:rStyle w:val="Italic"/>
          <w:lang w:eastAsia="zh-CN"/>
        </w:rPr>
      </w:pPr>
      <w:r>
        <w:rPr>
          <w:rFonts w:hint="eastAsia"/>
          <w:lang w:eastAsia="zh-CN"/>
        </w:rPr>
        <w:t>考虑到</w:t>
      </w:r>
    </w:p>
    <w:p w14:paraId="7CA0C442" w14:textId="77777777" w:rsidR="009E3497" w:rsidRDefault="000F1838">
      <w:pPr>
        <w:pStyle w:val="Normalnoindent"/>
        <w:rPr>
          <w:lang w:eastAsia="zh-CN"/>
        </w:rPr>
      </w:pPr>
      <w:r>
        <w:rPr>
          <w:i/>
          <w:iCs/>
          <w:lang w:eastAsia="zh-CN"/>
        </w:rPr>
        <w:t>a)</w:t>
      </w:r>
      <w:r>
        <w:rPr>
          <w:rFonts w:hint="eastAsia"/>
          <w:lang w:eastAsia="zh-CN"/>
        </w:rPr>
        <w:tab/>
      </w:r>
      <w:r>
        <w:rPr>
          <w:rFonts w:hint="eastAsia"/>
          <w:lang w:eastAsia="zh-CN"/>
        </w:rPr>
        <w:t>全权代表大会第</w:t>
      </w:r>
      <w:r>
        <w:rPr>
          <w:rFonts w:hint="eastAsia"/>
          <w:lang w:eastAsia="zh-CN"/>
        </w:rPr>
        <w:t>71</w:t>
      </w:r>
      <w:r>
        <w:rPr>
          <w:rFonts w:hint="eastAsia"/>
          <w:lang w:eastAsia="zh-CN"/>
        </w:rPr>
        <w:t>号决议（</w:t>
      </w:r>
      <w:del w:id="8" w:author="TSB(RC)" w:date="2024-09-27T16:56:00Z">
        <w:r>
          <w:rPr>
            <w:rFonts w:hint="eastAsia"/>
            <w:lang w:eastAsia="zh-CN"/>
          </w:rPr>
          <w:delText>2018</w:delText>
        </w:r>
        <w:r>
          <w:rPr>
            <w:rFonts w:hint="eastAsia"/>
            <w:lang w:eastAsia="zh-CN"/>
          </w:rPr>
          <w:delText>年，迪拜</w:delText>
        </w:r>
      </w:del>
      <w:ins w:id="9" w:author="TSB(RC)" w:date="2024-09-27T16:56:00Z">
        <w:r>
          <w:rPr>
            <w:rFonts w:hint="eastAsia"/>
            <w:lang w:val="en-US" w:eastAsia="zh-CN"/>
          </w:rPr>
          <w:t>2022</w:t>
        </w:r>
        <w:r>
          <w:rPr>
            <w:rFonts w:hint="eastAsia"/>
            <w:lang w:val="en-US" w:eastAsia="zh-CN"/>
          </w:rPr>
          <w:t>年，布加勒斯特</w:t>
        </w:r>
      </w:ins>
      <w:r>
        <w:rPr>
          <w:rFonts w:hint="eastAsia"/>
          <w:lang w:eastAsia="zh-CN"/>
        </w:rPr>
        <w:t>，修订版）关于国际电联电信标准化部门（</w:t>
      </w:r>
      <w:r>
        <w:rPr>
          <w:lang w:eastAsia="zh-CN"/>
        </w:rPr>
        <w:t>ITU-T</w:t>
      </w:r>
      <w:r>
        <w:rPr>
          <w:rFonts w:hint="eastAsia"/>
          <w:lang w:eastAsia="zh-CN"/>
        </w:rPr>
        <w:t>）部门目标的内容包括促进成员，特别是发展中国家积极参与制定和通过非歧视性国际标准（</w:t>
      </w:r>
      <w:r>
        <w:rPr>
          <w:lang w:eastAsia="zh-CN"/>
        </w:rPr>
        <w:t>ITU-T</w:t>
      </w:r>
      <w:r>
        <w:rPr>
          <w:rFonts w:hint="eastAsia"/>
          <w:lang w:eastAsia="zh-CN"/>
        </w:rPr>
        <w:t>建议书），</w:t>
      </w:r>
      <w:proofErr w:type="gramStart"/>
      <w:r>
        <w:rPr>
          <w:rFonts w:hint="eastAsia"/>
          <w:lang w:eastAsia="zh-CN"/>
        </w:rPr>
        <w:t>以缩小标准化工作差距；</w:t>
      </w:r>
      <w:proofErr w:type="gramEnd"/>
    </w:p>
    <w:p w14:paraId="3E961BDA" w14:textId="77777777" w:rsidR="009E3497" w:rsidRDefault="000F1838">
      <w:pPr>
        <w:pStyle w:val="Normalnoindent"/>
        <w:rPr>
          <w:lang w:eastAsia="zh-CN"/>
        </w:rPr>
      </w:pPr>
      <w:r>
        <w:rPr>
          <w:i/>
          <w:iCs/>
          <w:lang w:eastAsia="zh-CN"/>
        </w:rPr>
        <w:t>b)</w:t>
      </w:r>
      <w:r>
        <w:rPr>
          <w:rFonts w:hint="eastAsia"/>
          <w:lang w:eastAsia="zh-CN"/>
        </w:rPr>
        <w:tab/>
      </w:r>
      <w:r>
        <w:rPr>
          <w:rFonts w:hint="eastAsia"/>
          <w:lang w:eastAsia="zh-CN"/>
        </w:rPr>
        <w:t>有关缩小发展中国家和发达国家之间标准化差距的全权代表大会第</w:t>
      </w:r>
      <w:r>
        <w:rPr>
          <w:lang w:eastAsia="zh-CN"/>
        </w:rPr>
        <w:t>123</w:t>
      </w:r>
      <w:r>
        <w:rPr>
          <w:rFonts w:hint="eastAsia"/>
          <w:lang w:eastAsia="zh-CN"/>
        </w:rPr>
        <w:t>号决议（</w:t>
      </w:r>
      <w:del w:id="10" w:author="TSB(RC)" w:date="2024-09-27T16:56:00Z">
        <w:r>
          <w:rPr>
            <w:rFonts w:hint="eastAsia"/>
            <w:lang w:eastAsia="zh-CN"/>
          </w:rPr>
          <w:delText>20</w:delText>
        </w:r>
        <w:r>
          <w:rPr>
            <w:lang w:eastAsia="zh-CN"/>
          </w:rPr>
          <w:delText>18</w:delText>
        </w:r>
        <w:r>
          <w:rPr>
            <w:rFonts w:hint="eastAsia"/>
            <w:lang w:eastAsia="zh-CN"/>
          </w:rPr>
          <w:delText>年，迪拜</w:delText>
        </w:r>
      </w:del>
      <w:ins w:id="11" w:author="TSB(RC)" w:date="2024-09-27T16:56:00Z">
        <w:r>
          <w:rPr>
            <w:rFonts w:hint="eastAsia"/>
            <w:lang w:val="en-US" w:eastAsia="zh-CN"/>
          </w:rPr>
          <w:t>2022</w:t>
        </w:r>
        <w:r>
          <w:rPr>
            <w:rFonts w:hint="eastAsia"/>
            <w:lang w:val="en-US" w:eastAsia="zh-CN"/>
          </w:rPr>
          <w:t>年，布加勒斯特</w:t>
        </w:r>
      </w:ins>
      <w:r>
        <w:rPr>
          <w:rFonts w:hint="eastAsia"/>
          <w:lang w:eastAsia="zh-CN"/>
        </w:rPr>
        <w:t>，修订版</w:t>
      </w:r>
      <w:proofErr w:type="gramStart"/>
      <w:r>
        <w:rPr>
          <w:rFonts w:hint="eastAsia"/>
          <w:lang w:eastAsia="zh-CN"/>
        </w:rPr>
        <w:t>）；</w:t>
      </w:r>
      <w:proofErr w:type="gramEnd"/>
    </w:p>
    <w:p w14:paraId="1FB7480C" w14:textId="77777777" w:rsidR="009E3497" w:rsidRDefault="000F1838">
      <w:pPr>
        <w:pStyle w:val="Normalnoindent"/>
        <w:rPr>
          <w:lang w:eastAsia="zh-CN"/>
        </w:rPr>
      </w:pPr>
      <w:r>
        <w:rPr>
          <w:rFonts w:hint="eastAsia"/>
          <w:i/>
          <w:iCs/>
          <w:lang w:eastAsia="zh-CN"/>
        </w:rPr>
        <w:t>c</w:t>
      </w:r>
      <w:r>
        <w:rPr>
          <w:i/>
          <w:iCs/>
          <w:lang w:eastAsia="zh-CN"/>
        </w:rPr>
        <w:t>)</w:t>
      </w:r>
      <w:r>
        <w:rPr>
          <w:rFonts w:hint="eastAsia"/>
          <w:lang w:eastAsia="zh-CN"/>
        </w:rPr>
        <w:tab/>
      </w:r>
      <w:r>
        <w:rPr>
          <w:rFonts w:hint="eastAsia"/>
          <w:lang w:eastAsia="zh-CN"/>
        </w:rPr>
        <w:t>全权代表大会第</w:t>
      </w:r>
      <w:r>
        <w:rPr>
          <w:rFonts w:hint="eastAsia"/>
          <w:lang w:eastAsia="zh-CN"/>
        </w:rPr>
        <w:t>139</w:t>
      </w:r>
      <w:r>
        <w:rPr>
          <w:rFonts w:hint="eastAsia"/>
          <w:lang w:eastAsia="zh-CN"/>
        </w:rPr>
        <w:t>号决议（</w:t>
      </w:r>
      <w:del w:id="12" w:author="TSB(RC)" w:date="2024-09-27T16:56:00Z">
        <w:r>
          <w:rPr>
            <w:rFonts w:hint="eastAsia"/>
            <w:lang w:eastAsia="zh-CN"/>
          </w:rPr>
          <w:delText>20</w:delText>
        </w:r>
        <w:r>
          <w:rPr>
            <w:lang w:eastAsia="zh-CN"/>
          </w:rPr>
          <w:delText>18</w:delText>
        </w:r>
        <w:r>
          <w:rPr>
            <w:rFonts w:hint="eastAsia"/>
            <w:lang w:eastAsia="zh-CN"/>
          </w:rPr>
          <w:delText>年，迪拜</w:delText>
        </w:r>
      </w:del>
      <w:ins w:id="13" w:author="TSB(RC)" w:date="2024-09-27T16:56:00Z">
        <w:r>
          <w:rPr>
            <w:rFonts w:hint="eastAsia"/>
            <w:lang w:val="en-US" w:eastAsia="zh-CN"/>
          </w:rPr>
          <w:t>2022</w:t>
        </w:r>
        <w:r>
          <w:rPr>
            <w:rFonts w:hint="eastAsia"/>
            <w:lang w:val="en-US" w:eastAsia="zh-CN"/>
          </w:rPr>
          <w:t>年，布加勒斯特</w:t>
        </w:r>
      </w:ins>
      <w:r>
        <w:rPr>
          <w:rFonts w:hint="eastAsia"/>
          <w:lang w:eastAsia="zh-CN"/>
        </w:rPr>
        <w:t>，修订版）涉及利用电信</w:t>
      </w:r>
      <w:r>
        <w:rPr>
          <w:rFonts w:hint="eastAsia"/>
          <w:lang w:eastAsia="zh-CN"/>
        </w:rPr>
        <w:t>/</w:t>
      </w:r>
      <w:r>
        <w:rPr>
          <w:rFonts w:hint="eastAsia"/>
          <w:lang w:eastAsia="zh-CN"/>
        </w:rPr>
        <w:t>信息通信技术（</w:t>
      </w:r>
      <w:r>
        <w:rPr>
          <w:rFonts w:hint="eastAsia"/>
          <w:lang w:eastAsia="zh-CN"/>
        </w:rPr>
        <w:t>ICT</w:t>
      </w:r>
      <w:r>
        <w:rPr>
          <w:rFonts w:hint="eastAsia"/>
          <w:lang w:eastAsia="zh-CN"/>
        </w:rPr>
        <w:t>）</w:t>
      </w:r>
      <w:proofErr w:type="gramStart"/>
      <w:r>
        <w:rPr>
          <w:rFonts w:hint="eastAsia"/>
          <w:lang w:eastAsia="zh-CN"/>
        </w:rPr>
        <w:t>弥合数字鸿沟并建设包容性信息社会；</w:t>
      </w:r>
      <w:proofErr w:type="gramEnd"/>
    </w:p>
    <w:p w14:paraId="5553C3A2" w14:textId="77777777" w:rsidR="009E3497" w:rsidRDefault="000F1838">
      <w:pPr>
        <w:pStyle w:val="Normalnoindent"/>
        <w:rPr>
          <w:lang w:eastAsia="zh-CN"/>
        </w:rPr>
      </w:pPr>
      <w:r>
        <w:rPr>
          <w:i/>
          <w:iCs/>
          <w:lang w:eastAsia="zh-CN"/>
        </w:rPr>
        <w:t>d)</w:t>
      </w:r>
      <w:r>
        <w:rPr>
          <w:rFonts w:hint="eastAsia"/>
          <w:lang w:eastAsia="zh-CN"/>
        </w:rPr>
        <w:tab/>
      </w:r>
      <w:r>
        <w:rPr>
          <w:rFonts w:hint="eastAsia"/>
          <w:lang w:eastAsia="zh-CN"/>
        </w:rPr>
        <w:t>全权代表大会第</w:t>
      </w:r>
      <w:r>
        <w:rPr>
          <w:rFonts w:hint="eastAsia"/>
          <w:lang w:eastAsia="zh-CN"/>
        </w:rPr>
        <w:t>154</w:t>
      </w:r>
      <w:r>
        <w:rPr>
          <w:rFonts w:hint="eastAsia"/>
          <w:lang w:eastAsia="zh-CN"/>
        </w:rPr>
        <w:t>号决议（</w:t>
      </w:r>
      <w:del w:id="14" w:author="TSB(RC)" w:date="2024-09-27T16:56:00Z">
        <w:r>
          <w:rPr>
            <w:rFonts w:hint="eastAsia"/>
            <w:lang w:eastAsia="zh-CN"/>
          </w:rPr>
          <w:delText>20</w:delText>
        </w:r>
        <w:r>
          <w:rPr>
            <w:lang w:eastAsia="zh-CN"/>
          </w:rPr>
          <w:delText>18</w:delText>
        </w:r>
        <w:r>
          <w:rPr>
            <w:rFonts w:hint="eastAsia"/>
            <w:lang w:eastAsia="zh-CN"/>
          </w:rPr>
          <w:delText>年，迪拜</w:delText>
        </w:r>
      </w:del>
      <w:ins w:id="15" w:author="TSB(RC)" w:date="2024-09-27T16:56:00Z">
        <w:r>
          <w:rPr>
            <w:rFonts w:hint="eastAsia"/>
            <w:lang w:val="en-US" w:eastAsia="zh-CN"/>
          </w:rPr>
          <w:t>2022</w:t>
        </w:r>
        <w:r>
          <w:rPr>
            <w:rFonts w:hint="eastAsia"/>
            <w:lang w:val="en-US" w:eastAsia="zh-CN"/>
          </w:rPr>
          <w:t>年，布加勒斯特</w:t>
        </w:r>
      </w:ins>
      <w:r>
        <w:rPr>
          <w:rFonts w:hint="eastAsia"/>
          <w:lang w:eastAsia="zh-CN"/>
        </w:rPr>
        <w:t>，修订版）</w:t>
      </w:r>
      <w:proofErr w:type="gramStart"/>
      <w:r>
        <w:rPr>
          <w:rFonts w:hint="eastAsia"/>
          <w:lang w:eastAsia="zh-CN"/>
        </w:rPr>
        <w:t>涉及</w:t>
      </w:r>
      <w:r>
        <w:rPr>
          <w:rFonts w:hint="eastAsia"/>
          <w:spacing w:val="-2"/>
          <w:lang w:eastAsia="zh-CN"/>
        </w:rPr>
        <w:t>在同等地位上使用国际电联的六种正式语文；</w:t>
      </w:r>
      <w:proofErr w:type="gramEnd"/>
    </w:p>
    <w:p w14:paraId="0984FE70" w14:textId="77777777" w:rsidR="009E3497" w:rsidRDefault="000F1838">
      <w:pPr>
        <w:pStyle w:val="Normalnoindent"/>
        <w:rPr>
          <w:lang w:eastAsia="zh-CN"/>
        </w:rPr>
      </w:pPr>
      <w:r>
        <w:rPr>
          <w:i/>
          <w:iCs/>
          <w:lang w:eastAsia="zh-CN"/>
        </w:rPr>
        <w:t>e)</w:t>
      </w:r>
      <w:r>
        <w:rPr>
          <w:lang w:eastAsia="zh-CN"/>
        </w:rPr>
        <w:tab/>
      </w:r>
      <w:r>
        <w:rPr>
          <w:rFonts w:hint="eastAsia"/>
          <w:lang w:eastAsia="zh-CN"/>
        </w:rPr>
        <w:t>全权代表大会第</w:t>
      </w:r>
      <w:r>
        <w:rPr>
          <w:lang w:eastAsia="zh-CN"/>
        </w:rPr>
        <w:t>169</w:t>
      </w:r>
      <w:r>
        <w:rPr>
          <w:rFonts w:hint="eastAsia"/>
          <w:lang w:eastAsia="zh-CN"/>
        </w:rPr>
        <w:t>号决议（</w:t>
      </w:r>
      <w:del w:id="16" w:author="TSB(RC)" w:date="2024-09-27T16:56:00Z">
        <w:r>
          <w:rPr>
            <w:lang w:eastAsia="zh-CN"/>
          </w:rPr>
          <w:delText>2018</w:delText>
        </w:r>
        <w:r>
          <w:rPr>
            <w:rFonts w:hint="eastAsia"/>
            <w:lang w:eastAsia="zh-CN"/>
          </w:rPr>
          <w:delText>年，迪拜</w:delText>
        </w:r>
      </w:del>
      <w:ins w:id="17" w:author="TSB(RC)" w:date="2024-09-27T16:56:00Z">
        <w:r>
          <w:rPr>
            <w:rFonts w:hint="eastAsia"/>
            <w:lang w:val="en-US" w:eastAsia="zh-CN"/>
          </w:rPr>
          <w:t>2022</w:t>
        </w:r>
        <w:r>
          <w:rPr>
            <w:rFonts w:hint="eastAsia"/>
            <w:lang w:val="en-US" w:eastAsia="zh-CN"/>
          </w:rPr>
          <w:t>年，布加勒斯特</w:t>
        </w:r>
      </w:ins>
      <w:r>
        <w:rPr>
          <w:rFonts w:hint="eastAsia"/>
          <w:lang w:eastAsia="zh-CN"/>
        </w:rPr>
        <w:t>，修订版）</w:t>
      </w:r>
      <w:proofErr w:type="gramStart"/>
      <w:r>
        <w:rPr>
          <w:rFonts w:hint="eastAsia"/>
          <w:lang w:eastAsia="zh-CN"/>
        </w:rPr>
        <w:t>涉及接纳学术成员参加国际电联的工作；</w:t>
      </w:r>
      <w:proofErr w:type="gramEnd"/>
    </w:p>
    <w:p w14:paraId="4E21C755" w14:textId="77777777" w:rsidR="009E3497" w:rsidRDefault="000F1838">
      <w:pPr>
        <w:pStyle w:val="Normalnoindent"/>
        <w:rPr>
          <w:caps/>
          <w:kern w:val="2"/>
          <w:szCs w:val="24"/>
          <w:lang w:eastAsia="zh-CN"/>
        </w:rPr>
      </w:pPr>
      <w:r>
        <w:rPr>
          <w:rFonts w:hint="eastAsia"/>
          <w:i/>
          <w:iCs/>
          <w:lang w:eastAsia="zh-CN"/>
        </w:rPr>
        <w:t>f</w:t>
      </w:r>
      <w:r>
        <w:rPr>
          <w:i/>
          <w:iCs/>
          <w:lang w:eastAsia="zh-CN"/>
        </w:rPr>
        <w:t>)</w:t>
      </w:r>
      <w:r>
        <w:rPr>
          <w:i/>
          <w:iCs/>
          <w:lang w:eastAsia="zh-CN"/>
        </w:rPr>
        <w:tab/>
      </w:r>
      <w:r>
        <w:rPr>
          <w:rFonts w:hint="eastAsia"/>
          <w:caps/>
          <w:kern w:val="2"/>
          <w:szCs w:val="24"/>
          <w:lang w:eastAsia="zh-CN"/>
        </w:rPr>
        <w:t>全权代表大会第</w:t>
      </w:r>
      <w:r>
        <w:rPr>
          <w:caps/>
          <w:kern w:val="2"/>
          <w:szCs w:val="24"/>
          <w:lang w:eastAsia="zh-CN"/>
        </w:rPr>
        <w:t>191</w:t>
      </w:r>
      <w:r>
        <w:rPr>
          <w:rFonts w:hint="eastAsia"/>
          <w:caps/>
          <w:kern w:val="2"/>
          <w:szCs w:val="24"/>
          <w:lang w:eastAsia="zh-CN"/>
        </w:rPr>
        <w:t>号决议（</w:t>
      </w:r>
      <w:del w:id="18" w:author="TSB(RC)" w:date="2024-09-27T16:57:00Z">
        <w:r>
          <w:rPr>
            <w:caps/>
            <w:kern w:val="2"/>
            <w:szCs w:val="24"/>
            <w:lang w:eastAsia="zh-CN"/>
          </w:rPr>
          <w:delText>2018</w:delText>
        </w:r>
        <w:r>
          <w:rPr>
            <w:rFonts w:hint="eastAsia"/>
            <w:caps/>
            <w:kern w:val="2"/>
            <w:szCs w:val="24"/>
            <w:lang w:eastAsia="zh-CN"/>
          </w:rPr>
          <w:delText>年，迪拜</w:delText>
        </w:r>
      </w:del>
      <w:ins w:id="19" w:author="TSB(RC)" w:date="2024-09-27T16:57:00Z">
        <w:r>
          <w:rPr>
            <w:rFonts w:hint="eastAsia"/>
            <w:lang w:val="en-US" w:eastAsia="zh-CN"/>
          </w:rPr>
          <w:t>2022</w:t>
        </w:r>
        <w:r>
          <w:rPr>
            <w:rFonts w:hint="eastAsia"/>
            <w:lang w:val="en-US" w:eastAsia="zh-CN"/>
          </w:rPr>
          <w:t>年，布加勒斯特</w:t>
        </w:r>
      </w:ins>
      <w:r>
        <w:rPr>
          <w:rFonts w:hint="eastAsia"/>
          <w:caps/>
          <w:kern w:val="2"/>
          <w:szCs w:val="24"/>
          <w:lang w:eastAsia="zh-CN"/>
        </w:rPr>
        <w:t>，修订版）</w:t>
      </w:r>
      <w:proofErr w:type="gramStart"/>
      <w:r>
        <w:rPr>
          <w:rFonts w:hint="eastAsia"/>
          <w:caps/>
          <w:kern w:val="2"/>
          <w:szCs w:val="24"/>
          <w:lang w:eastAsia="zh-CN"/>
        </w:rPr>
        <w:t>涉及国际电联三个部门之间开展工作协调的战略；</w:t>
      </w:r>
      <w:proofErr w:type="gramEnd"/>
    </w:p>
    <w:p w14:paraId="00E8EE03" w14:textId="77777777" w:rsidR="009E3497" w:rsidRDefault="000F1838">
      <w:pPr>
        <w:pStyle w:val="Normalnoindent"/>
        <w:rPr>
          <w:i/>
          <w:iCs/>
          <w:lang w:eastAsia="zh-CN"/>
        </w:rPr>
      </w:pPr>
      <w:r>
        <w:rPr>
          <w:i/>
          <w:iCs/>
          <w:lang w:eastAsia="zh-CN"/>
        </w:rPr>
        <w:t>g)</w:t>
      </w:r>
      <w:r>
        <w:rPr>
          <w:i/>
          <w:iCs/>
          <w:lang w:eastAsia="zh-CN"/>
        </w:rPr>
        <w:tab/>
      </w:r>
      <w:r>
        <w:rPr>
          <w:caps/>
          <w:kern w:val="2"/>
          <w:szCs w:val="24"/>
          <w:lang w:eastAsia="zh-CN"/>
        </w:rPr>
        <w:t>全权代表大会第</w:t>
      </w:r>
      <w:r>
        <w:rPr>
          <w:caps/>
          <w:kern w:val="2"/>
          <w:szCs w:val="24"/>
          <w:lang w:eastAsia="zh-CN"/>
        </w:rPr>
        <w:t>195</w:t>
      </w:r>
      <w:r>
        <w:rPr>
          <w:caps/>
          <w:kern w:val="2"/>
          <w:szCs w:val="24"/>
          <w:lang w:eastAsia="zh-CN"/>
        </w:rPr>
        <w:t>号决议（</w:t>
      </w:r>
      <w:r>
        <w:rPr>
          <w:caps/>
          <w:kern w:val="2"/>
          <w:szCs w:val="24"/>
          <w:lang w:eastAsia="zh-CN"/>
        </w:rPr>
        <w:t>2014</w:t>
      </w:r>
      <w:r>
        <w:rPr>
          <w:caps/>
          <w:kern w:val="2"/>
          <w:szCs w:val="24"/>
          <w:lang w:eastAsia="zh-CN"/>
        </w:rPr>
        <w:t>年，釜山）</w:t>
      </w:r>
      <w:r>
        <w:rPr>
          <w:rFonts w:hint="eastAsia"/>
          <w:caps/>
          <w:kern w:val="2"/>
          <w:szCs w:val="24"/>
          <w:lang w:eastAsia="zh-CN"/>
        </w:rPr>
        <w:t>涉及</w:t>
      </w:r>
      <w:r>
        <w:rPr>
          <w:lang w:eastAsia="zh-CN"/>
        </w:rPr>
        <w:t>《智慧非洲宣言》</w:t>
      </w:r>
      <w:proofErr w:type="gramStart"/>
      <w:r>
        <w:rPr>
          <w:lang w:eastAsia="zh-CN"/>
        </w:rPr>
        <w:t>的实施</w:t>
      </w:r>
      <w:r>
        <w:rPr>
          <w:caps/>
          <w:kern w:val="2"/>
          <w:szCs w:val="24"/>
          <w:lang w:eastAsia="zh-CN"/>
        </w:rPr>
        <w:t>；</w:t>
      </w:r>
      <w:proofErr w:type="gramEnd"/>
    </w:p>
    <w:p w14:paraId="02FF8C4F" w14:textId="77777777" w:rsidR="009E3497" w:rsidRDefault="000F1838">
      <w:pPr>
        <w:pStyle w:val="Normalnoindent"/>
        <w:rPr>
          <w:i/>
          <w:iCs/>
          <w:lang w:eastAsia="zh-CN"/>
        </w:rPr>
      </w:pPr>
      <w:r>
        <w:rPr>
          <w:i/>
          <w:iCs/>
          <w:lang w:eastAsia="zh-CN"/>
        </w:rPr>
        <w:t>h)</w:t>
      </w:r>
      <w:r>
        <w:rPr>
          <w:lang w:eastAsia="zh-CN"/>
        </w:rPr>
        <w:tab/>
      </w:r>
      <w:r>
        <w:rPr>
          <w:rFonts w:hint="eastAsia"/>
          <w:lang w:eastAsia="zh-CN"/>
        </w:rPr>
        <w:t>全权</w:t>
      </w:r>
      <w:r>
        <w:rPr>
          <w:lang w:eastAsia="zh-CN"/>
        </w:rPr>
        <w:t>代表大会第</w:t>
      </w:r>
      <w:r>
        <w:rPr>
          <w:lang w:eastAsia="zh-CN"/>
        </w:rPr>
        <w:t>197</w:t>
      </w:r>
      <w:r>
        <w:rPr>
          <w:lang w:eastAsia="zh-CN"/>
        </w:rPr>
        <w:t>号决议（</w:t>
      </w:r>
      <w:del w:id="20" w:author="TSB(RC)" w:date="2024-09-27T16:57:00Z">
        <w:r>
          <w:rPr>
            <w:rFonts w:hint="eastAsia"/>
            <w:lang w:eastAsia="zh-CN"/>
          </w:rPr>
          <w:delText>2018</w:delText>
        </w:r>
        <w:r>
          <w:rPr>
            <w:rFonts w:hint="eastAsia"/>
            <w:lang w:eastAsia="zh-CN"/>
          </w:rPr>
          <w:delText>年，迪拜</w:delText>
        </w:r>
      </w:del>
      <w:ins w:id="21" w:author="TSB(RC)" w:date="2024-09-27T16:57:00Z">
        <w:r>
          <w:rPr>
            <w:rFonts w:hint="eastAsia"/>
            <w:lang w:val="en-US" w:eastAsia="zh-CN"/>
          </w:rPr>
          <w:t>2022</w:t>
        </w:r>
        <w:r>
          <w:rPr>
            <w:rFonts w:hint="eastAsia"/>
            <w:lang w:val="en-US" w:eastAsia="zh-CN"/>
          </w:rPr>
          <w:t>年，布加勒斯特</w:t>
        </w:r>
      </w:ins>
      <w:r>
        <w:rPr>
          <w:rFonts w:hint="eastAsia"/>
          <w:lang w:eastAsia="zh-CN"/>
        </w:rPr>
        <w:t>，修订版</w:t>
      </w:r>
      <w:r>
        <w:rPr>
          <w:lang w:eastAsia="zh-CN"/>
        </w:rPr>
        <w:t>）</w:t>
      </w:r>
      <w:proofErr w:type="gramStart"/>
      <w:r>
        <w:rPr>
          <w:rFonts w:hint="eastAsia"/>
          <w:lang w:eastAsia="zh-CN"/>
        </w:rPr>
        <w:t>涉及推动物联网及可持续智慧城市和社区的发展；</w:t>
      </w:r>
      <w:proofErr w:type="gramEnd"/>
    </w:p>
    <w:p w14:paraId="20B6746A" w14:textId="77777777" w:rsidR="009E3497" w:rsidRDefault="000F1838">
      <w:pPr>
        <w:rPr>
          <w:ins w:id="22" w:author="Li, Jianying" w:date="2024-09-25T15:28:00Z"/>
          <w:i/>
          <w:iCs/>
          <w:szCs w:val="24"/>
          <w:lang w:eastAsia="zh-CN"/>
        </w:rPr>
      </w:pPr>
      <w:proofErr w:type="spellStart"/>
      <w:r>
        <w:rPr>
          <w:rFonts w:eastAsia="Times New Roman"/>
          <w:i/>
          <w:iCs/>
          <w:lang w:eastAsia="zh-CN"/>
        </w:rPr>
        <w:t>i</w:t>
      </w:r>
      <w:proofErr w:type="spellEnd"/>
      <w:r>
        <w:rPr>
          <w:rFonts w:eastAsia="Times New Roman"/>
          <w:i/>
          <w:iCs/>
          <w:lang w:eastAsia="zh-CN"/>
        </w:rPr>
        <w:t>)</w:t>
      </w:r>
      <w:r>
        <w:rPr>
          <w:rFonts w:eastAsia="Times New Roman"/>
          <w:i/>
          <w:iCs/>
          <w:lang w:eastAsia="zh-CN"/>
        </w:rPr>
        <w:tab/>
      </w:r>
      <w:ins w:id="23" w:author="TSB(RC)" w:date="2024-09-27T16:58:00Z">
        <w:r>
          <w:rPr>
            <w:lang w:val="zh-CN" w:eastAsia="zh-CN"/>
          </w:rPr>
          <w:t>世界电信发展大会（</w:t>
        </w:r>
        <w:r>
          <w:rPr>
            <w:lang w:val="zh-CN" w:eastAsia="zh-CN"/>
          </w:rPr>
          <w:t>WTDC</w:t>
        </w:r>
        <w:r>
          <w:rPr>
            <w:lang w:val="zh-CN" w:eastAsia="zh-CN"/>
          </w:rPr>
          <w:t>）</w:t>
        </w:r>
      </w:ins>
      <w:ins w:id="24" w:author="TSB(RC)" w:date="2024-09-27T17:00:00Z">
        <w:r>
          <w:rPr>
            <w:rFonts w:hint="eastAsia"/>
            <w:lang w:val="en-US" w:eastAsia="zh-CN"/>
          </w:rPr>
          <w:t>有关</w:t>
        </w:r>
      </w:ins>
      <w:ins w:id="25" w:author="TSB(RC)" w:date="2024-09-27T16:58:00Z">
        <w:r>
          <w:rPr>
            <w:lang w:val="zh-CN" w:eastAsia="zh-CN"/>
          </w:rPr>
          <w:t>加强发展中国家对国际电联活动的参与的第</w:t>
        </w:r>
        <w:r>
          <w:rPr>
            <w:lang w:val="zh-CN" w:eastAsia="zh-CN"/>
          </w:rPr>
          <w:t>5</w:t>
        </w:r>
        <w:r>
          <w:rPr>
            <w:lang w:val="zh-CN" w:eastAsia="zh-CN"/>
          </w:rPr>
          <w:t>号决议（</w:t>
        </w:r>
        <w:r>
          <w:rPr>
            <w:lang w:val="zh-CN" w:eastAsia="zh-CN"/>
          </w:rPr>
          <w:t>2022</w:t>
        </w:r>
        <w:r>
          <w:rPr>
            <w:lang w:val="zh-CN" w:eastAsia="zh-CN"/>
          </w:rPr>
          <w:t>年，基加利，修订版</w:t>
        </w:r>
        <w:proofErr w:type="gramStart"/>
        <w:r>
          <w:rPr>
            <w:lang w:val="zh-CN" w:eastAsia="zh-CN"/>
          </w:rPr>
          <w:t>）</w:t>
        </w:r>
        <w:r>
          <w:rPr>
            <w:rFonts w:hint="eastAsia"/>
            <w:lang w:val="zh-CN" w:eastAsia="zh-CN"/>
          </w:rPr>
          <w:t>；</w:t>
        </w:r>
      </w:ins>
      <w:proofErr w:type="gramEnd"/>
    </w:p>
    <w:p w14:paraId="129CD0F3" w14:textId="77777777" w:rsidR="009E3497" w:rsidRDefault="000F1838">
      <w:pPr>
        <w:pStyle w:val="Normalnoindent"/>
        <w:rPr>
          <w:rFonts w:eastAsia="Times New Roman"/>
          <w:lang w:eastAsia="zh-CN"/>
        </w:rPr>
      </w:pPr>
      <w:ins w:id="26" w:author="Li, Jianying" w:date="2024-09-25T15:28:00Z">
        <w:r>
          <w:rPr>
            <w:i/>
            <w:iCs/>
            <w:lang w:eastAsia="zh-CN"/>
            <w:rPrChange w:id="27" w:author="TSB (AAM)" w:date="2024-09-23T16:04:00Z">
              <w:rPr/>
            </w:rPrChange>
          </w:rPr>
          <w:t>j)</w:t>
        </w:r>
        <w:r>
          <w:rPr>
            <w:lang w:eastAsia="zh-CN"/>
          </w:rPr>
          <w:tab/>
        </w:r>
      </w:ins>
      <w:r>
        <w:rPr>
          <w:rFonts w:hint="eastAsia"/>
          <w:lang w:eastAsia="zh-CN"/>
        </w:rPr>
        <w:t>本届全会第</w:t>
      </w:r>
      <w:r>
        <w:rPr>
          <w:rFonts w:hint="eastAsia"/>
          <w:lang w:eastAsia="zh-CN"/>
        </w:rPr>
        <w:t>3</w:t>
      </w:r>
      <w:r>
        <w:rPr>
          <w:lang w:eastAsia="zh-CN"/>
        </w:rPr>
        <w:t>4</w:t>
      </w:r>
      <w:r>
        <w:rPr>
          <w:rFonts w:hint="eastAsia"/>
          <w:lang w:eastAsia="zh-CN"/>
        </w:rPr>
        <w:t>号决议（</w:t>
      </w:r>
      <w:r>
        <w:rPr>
          <w:rFonts w:hint="eastAsia"/>
          <w:lang w:eastAsia="zh-CN"/>
        </w:rPr>
        <w:t>2022</w:t>
      </w:r>
      <w:r>
        <w:rPr>
          <w:rFonts w:hint="eastAsia"/>
          <w:lang w:eastAsia="zh-CN"/>
        </w:rPr>
        <w:t>年，日内瓦，修订版）</w:t>
      </w:r>
      <w:proofErr w:type="gramStart"/>
      <w:r>
        <w:rPr>
          <w:rFonts w:hint="eastAsia"/>
          <w:lang w:eastAsia="zh-CN"/>
        </w:rPr>
        <w:t>涉及自愿捐款；</w:t>
      </w:r>
      <w:proofErr w:type="gramEnd"/>
    </w:p>
    <w:p w14:paraId="2508BB94" w14:textId="77777777" w:rsidR="009E3497" w:rsidRDefault="000F1838">
      <w:pPr>
        <w:pStyle w:val="Normalnoindent"/>
        <w:rPr>
          <w:ins w:id="28" w:author="Li, Jianying" w:date="2024-09-25T15:28:00Z"/>
          <w:lang w:eastAsia="zh-CN"/>
        </w:rPr>
      </w:pPr>
      <w:del w:id="29" w:author="TSB (AAM)" w:date="2024-09-23T16:04:00Z">
        <w:r>
          <w:rPr>
            <w:i/>
            <w:iCs/>
            <w:lang w:eastAsia="zh-CN"/>
          </w:rPr>
          <w:delText>j</w:delText>
        </w:r>
      </w:del>
      <w:ins w:id="30" w:author="TSB (AAM)" w:date="2024-09-23T16:04:00Z">
        <w:r>
          <w:rPr>
            <w:i/>
            <w:iCs/>
            <w:lang w:eastAsia="zh-CN"/>
          </w:rPr>
          <w:t>k</w:t>
        </w:r>
      </w:ins>
      <w:r>
        <w:rPr>
          <w:i/>
          <w:iCs/>
          <w:lang w:eastAsia="zh-CN"/>
        </w:rPr>
        <w:t>)</w:t>
      </w:r>
      <w:r>
        <w:rPr>
          <w:lang w:eastAsia="zh-CN"/>
        </w:rPr>
        <w:tab/>
      </w:r>
      <w:r>
        <w:rPr>
          <w:rFonts w:hint="eastAsia"/>
          <w:lang w:eastAsia="zh-CN"/>
        </w:rPr>
        <w:t>本届全会第</w:t>
      </w:r>
      <w:r>
        <w:rPr>
          <w:lang w:eastAsia="zh-CN"/>
        </w:rPr>
        <w:t>67</w:t>
      </w:r>
      <w:r>
        <w:rPr>
          <w:rFonts w:hint="eastAsia"/>
          <w:lang w:eastAsia="zh-CN"/>
        </w:rPr>
        <w:t>号决议（</w:t>
      </w:r>
      <w:r>
        <w:rPr>
          <w:rFonts w:hint="eastAsia"/>
          <w:lang w:eastAsia="zh-CN"/>
        </w:rPr>
        <w:t>2022</w:t>
      </w:r>
      <w:r>
        <w:rPr>
          <w:rFonts w:hint="eastAsia"/>
          <w:lang w:eastAsia="zh-CN"/>
        </w:rPr>
        <w:t>年，日内瓦，修订版）涉及</w:t>
      </w:r>
      <w:r>
        <w:rPr>
          <w:rFonts w:hint="eastAsia"/>
          <w:lang w:eastAsia="zh-CN"/>
        </w:rPr>
        <w:t>ITU-T</w:t>
      </w:r>
      <w:r>
        <w:rPr>
          <w:rFonts w:hint="eastAsia"/>
          <w:lang w:eastAsia="zh-CN"/>
        </w:rPr>
        <w:t>在同等地位上使用国际电联的各种正式语文</w:t>
      </w:r>
      <w:del w:id="31" w:author="Li, Jianying" w:date="2024-09-25T15:28:00Z">
        <w:r>
          <w:rPr>
            <w:rFonts w:hint="eastAsia"/>
            <w:lang w:eastAsia="zh-CN"/>
          </w:rPr>
          <w:delText>，</w:delText>
        </w:r>
      </w:del>
      <w:ins w:id="32" w:author="Li, Jianying" w:date="2024-09-25T15:28:00Z">
        <w:r>
          <w:rPr>
            <w:rFonts w:hint="eastAsia"/>
            <w:lang w:eastAsia="zh-CN"/>
          </w:rPr>
          <w:t>；</w:t>
        </w:r>
      </w:ins>
    </w:p>
    <w:p w14:paraId="5B10EEEC" w14:textId="77777777" w:rsidR="009E3497" w:rsidRDefault="000F1838">
      <w:pPr>
        <w:pStyle w:val="Normalnoindent"/>
        <w:rPr>
          <w:color w:val="000000"/>
          <w:lang w:eastAsia="zh-CN"/>
        </w:rPr>
      </w:pPr>
      <w:ins w:id="33" w:author="Li, Jianying" w:date="2024-09-25T15:29:00Z">
        <w:r>
          <w:rPr>
            <w:i/>
            <w:iCs/>
            <w:lang w:eastAsia="zh-CN"/>
            <w:rPrChange w:id="34" w:author="TSB (AAM)" w:date="2024-09-23T16:04:00Z">
              <w:rPr/>
            </w:rPrChange>
          </w:rPr>
          <w:t>l)</w:t>
        </w:r>
        <w:r>
          <w:rPr>
            <w:i/>
            <w:iCs/>
            <w:lang w:eastAsia="zh-CN"/>
            <w:rPrChange w:id="35" w:author="TSB (AAM)" w:date="2024-09-23T16:04:00Z">
              <w:rPr/>
            </w:rPrChange>
          </w:rPr>
          <w:tab/>
        </w:r>
      </w:ins>
      <w:ins w:id="36" w:author="TSB(RC)" w:date="2024-09-27T17:01:00Z">
        <w:r>
          <w:rPr>
            <w:lang w:val="zh-CN" w:eastAsia="zh-CN"/>
          </w:rPr>
          <w:t>本届全会有关加强部门成员参与的第</w:t>
        </w:r>
        <w:r>
          <w:rPr>
            <w:lang w:val="zh-CN" w:eastAsia="zh-CN"/>
          </w:rPr>
          <w:t>74</w:t>
        </w:r>
        <w:r>
          <w:rPr>
            <w:lang w:val="zh-CN" w:eastAsia="zh-CN"/>
          </w:rPr>
          <w:t>号决议（</w:t>
        </w:r>
        <w:r>
          <w:rPr>
            <w:lang w:val="zh-CN" w:eastAsia="zh-CN"/>
          </w:rPr>
          <w:t>2022</w:t>
        </w:r>
        <w:r>
          <w:rPr>
            <w:lang w:val="zh-CN" w:eastAsia="zh-CN"/>
          </w:rPr>
          <w:t>年，日内瓦，修订版），</w:t>
        </w:r>
      </w:ins>
    </w:p>
    <w:p w14:paraId="33AAC73D" w14:textId="77777777" w:rsidR="009E3497" w:rsidRDefault="000F1838">
      <w:pPr>
        <w:pStyle w:val="Call"/>
        <w:rPr>
          <w:rStyle w:val="Italic"/>
          <w:lang w:eastAsia="zh-CN"/>
        </w:rPr>
      </w:pPr>
      <w:r>
        <w:rPr>
          <w:rFonts w:hint="eastAsia"/>
          <w:lang w:eastAsia="zh-CN"/>
        </w:rPr>
        <w:t>认识到</w:t>
      </w:r>
    </w:p>
    <w:p w14:paraId="39AA35BE" w14:textId="77777777" w:rsidR="009E3497" w:rsidRDefault="000F1838">
      <w:pPr>
        <w:pStyle w:val="Normalnoindent"/>
        <w:rPr>
          <w:lang w:eastAsia="zh-CN"/>
        </w:rPr>
      </w:pPr>
      <w:r>
        <w:rPr>
          <w:i/>
          <w:iCs/>
          <w:lang w:eastAsia="zh-CN"/>
        </w:rPr>
        <w:t>a)</w:t>
      </w:r>
      <w:r>
        <w:rPr>
          <w:lang w:eastAsia="zh-CN"/>
        </w:rPr>
        <w:tab/>
      </w:r>
      <w:proofErr w:type="gramStart"/>
      <w:r>
        <w:rPr>
          <w:rFonts w:hint="eastAsia"/>
          <w:lang w:eastAsia="zh-CN"/>
        </w:rPr>
        <w:t>全球电信设施的和谐与均衡发展对于发展中国家和发达国家均有益；</w:t>
      </w:r>
      <w:proofErr w:type="gramEnd"/>
    </w:p>
    <w:p w14:paraId="51DC97E8" w14:textId="77777777" w:rsidR="009E3497" w:rsidRDefault="000F1838">
      <w:pPr>
        <w:pStyle w:val="Normalnoindent"/>
        <w:rPr>
          <w:lang w:eastAsia="zh-CN"/>
        </w:rPr>
      </w:pPr>
      <w:r>
        <w:rPr>
          <w:i/>
          <w:iCs/>
          <w:lang w:eastAsia="zh-CN"/>
        </w:rPr>
        <w:t>b)</w:t>
      </w:r>
      <w:r>
        <w:rPr>
          <w:lang w:eastAsia="zh-CN"/>
        </w:rPr>
        <w:tab/>
      </w:r>
      <w:proofErr w:type="gramStart"/>
      <w:r>
        <w:rPr>
          <w:rFonts w:hint="eastAsia"/>
          <w:lang w:eastAsia="zh-CN"/>
        </w:rPr>
        <w:t>有必要根据发展中国家的需求和要求降低设备成本和网络及设施的部署费用；</w:t>
      </w:r>
      <w:proofErr w:type="gramEnd"/>
    </w:p>
    <w:p w14:paraId="16BC8FFA" w14:textId="77777777" w:rsidR="009E3497" w:rsidRDefault="000F1838">
      <w:pPr>
        <w:pStyle w:val="Normalnoindent"/>
        <w:rPr>
          <w:lang w:eastAsia="zh-CN"/>
        </w:rPr>
      </w:pPr>
      <w:r>
        <w:rPr>
          <w:i/>
          <w:iCs/>
          <w:lang w:eastAsia="zh-CN"/>
        </w:rPr>
        <w:lastRenderedPageBreak/>
        <w:t>c)</w:t>
      </w:r>
      <w:r>
        <w:rPr>
          <w:lang w:eastAsia="zh-CN"/>
        </w:rPr>
        <w:tab/>
      </w:r>
      <w:r>
        <w:rPr>
          <w:rFonts w:hint="eastAsia"/>
          <w:lang w:eastAsia="zh-CN"/>
        </w:rPr>
        <w:t>在发展中国家和发达国家之间的标准化差异由以下五个部分构成：自愿标准化的差异，强制性技术规则的差异，合规性评估的差异，标准化领域技能娴熟人力资源的差异和有效参与</w:t>
      </w:r>
      <w:r>
        <w:rPr>
          <w:rFonts w:hint="eastAsia"/>
          <w:lang w:eastAsia="zh-CN"/>
        </w:rPr>
        <w:t>ITU-</w:t>
      </w:r>
      <w:proofErr w:type="gramStart"/>
      <w:r>
        <w:rPr>
          <w:rFonts w:hint="eastAsia"/>
          <w:lang w:eastAsia="zh-CN"/>
        </w:rPr>
        <w:t>T</w:t>
      </w:r>
      <w:r>
        <w:rPr>
          <w:rFonts w:hint="eastAsia"/>
          <w:lang w:eastAsia="zh-CN"/>
        </w:rPr>
        <w:t>活动的差异；</w:t>
      </w:r>
      <w:proofErr w:type="gramEnd"/>
    </w:p>
    <w:p w14:paraId="5AEC247D" w14:textId="77777777" w:rsidR="009E3497" w:rsidRDefault="000F1838">
      <w:pPr>
        <w:pStyle w:val="Normalnoindent"/>
        <w:rPr>
          <w:lang w:eastAsia="zh-CN"/>
        </w:rPr>
      </w:pPr>
      <w:r>
        <w:rPr>
          <w:i/>
          <w:iCs/>
          <w:lang w:eastAsia="zh-CN"/>
        </w:rPr>
        <w:t>d)</w:t>
      </w:r>
      <w:r>
        <w:rPr>
          <w:rFonts w:hint="eastAsia"/>
          <w:i/>
          <w:iCs/>
          <w:lang w:eastAsia="zh-CN"/>
        </w:rPr>
        <w:tab/>
      </w:r>
      <w:r>
        <w:rPr>
          <w:rFonts w:hint="eastAsia"/>
          <w:lang w:eastAsia="zh-CN"/>
        </w:rPr>
        <w:t>发展中国家加强参与制定和推广使用电信标准以</w:t>
      </w:r>
      <w:r>
        <w:rPr>
          <w:lang w:eastAsia="zh-CN"/>
        </w:rPr>
        <w:t>及</w:t>
      </w:r>
      <w:r>
        <w:rPr>
          <w:rFonts w:hint="eastAsia"/>
          <w:lang w:eastAsia="zh-CN"/>
        </w:rPr>
        <w:t>加大对</w:t>
      </w:r>
      <w:r>
        <w:rPr>
          <w:lang w:eastAsia="zh-CN"/>
        </w:rPr>
        <w:t>ITU-</w:t>
      </w:r>
      <w:proofErr w:type="gramStart"/>
      <w:r>
        <w:rPr>
          <w:lang w:eastAsia="zh-CN"/>
        </w:rPr>
        <w:t>T</w:t>
      </w:r>
      <w:r>
        <w:rPr>
          <w:rFonts w:hint="eastAsia"/>
          <w:lang w:eastAsia="zh-CN"/>
        </w:rPr>
        <w:t>研究组的贡献力度至关重要；</w:t>
      </w:r>
      <w:proofErr w:type="gramEnd"/>
    </w:p>
    <w:p w14:paraId="3040B1DE" w14:textId="77777777" w:rsidR="009E3497" w:rsidRDefault="000F1838">
      <w:pPr>
        <w:pStyle w:val="Normalnoindent"/>
        <w:rPr>
          <w:lang w:eastAsia="zh-CN"/>
        </w:rPr>
      </w:pPr>
      <w:r>
        <w:rPr>
          <w:i/>
          <w:iCs/>
          <w:lang w:eastAsia="zh-CN"/>
        </w:rPr>
        <w:t>e)</w:t>
      </w:r>
      <w:r>
        <w:rPr>
          <w:lang w:eastAsia="zh-CN"/>
        </w:rPr>
        <w:tab/>
      </w:r>
      <w:r>
        <w:rPr>
          <w:rFonts w:hint="eastAsia"/>
          <w:lang w:eastAsia="zh-CN"/>
        </w:rPr>
        <w:t>发展中国家可从其运营商有效参与</w:t>
      </w:r>
      <w:r>
        <w:rPr>
          <w:rFonts w:hint="eastAsia"/>
          <w:lang w:eastAsia="zh-CN"/>
        </w:rPr>
        <w:t>ITU-T</w:t>
      </w:r>
      <w:r>
        <w:rPr>
          <w:rFonts w:hint="eastAsia"/>
          <w:lang w:eastAsia="zh-CN"/>
        </w:rPr>
        <w:t>活动中受益，这些运营商的参与将有助于改善发展中国家的能力建设，</w:t>
      </w:r>
      <w:proofErr w:type="gramStart"/>
      <w:r>
        <w:rPr>
          <w:rFonts w:hint="eastAsia"/>
          <w:lang w:eastAsia="zh-CN"/>
        </w:rPr>
        <w:t>提高其竞争力并支持发展中国家的市场创新；</w:t>
      </w:r>
      <w:proofErr w:type="gramEnd"/>
    </w:p>
    <w:p w14:paraId="3CF45F0D" w14:textId="77777777" w:rsidR="009E3497" w:rsidRDefault="000F1838">
      <w:pPr>
        <w:pStyle w:val="Normalnoindent"/>
        <w:rPr>
          <w:lang w:eastAsia="zh-CN"/>
        </w:rPr>
      </w:pPr>
      <w:r>
        <w:rPr>
          <w:rFonts w:eastAsia="Times New Roman"/>
          <w:i/>
          <w:iCs/>
          <w:lang w:eastAsia="zh-CN"/>
        </w:rPr>
        <w:t>f)</w:t>
      </w:r>
      <w:r>
        <w:rPr>
          <w:rFonts w:eastAsia="Times New Roman"/>
          <w:i/>
          <w:iCs/>
          <w:lang w:eastAsia="zh-CN"/>
        </w:rPr>
        <w:tab/>
      </w:r>
      <w:r>
        <w:rPr>
          <w:rFonts w:hint="eastAsia"/>
          <w:lang w:eastAsia="zh-CN"/>
        </w:rPr>
        <w:t>在</w:t>
      </w:r>
      <w:r>
        <w:rPr>
          <w:lang w:eastAsia="zh-CN"/>
        </w:rPr>
        <w:t>许多</w:t>
      </w:r>
      <w:r>
        <w:rPr>
          <w:rFonts w:hint="eastAsia"/>
          <w:lang w:eastAsia="zh-CN"/>
        </w:rPr>
        <w:t>发展中国家，</w:t>
      </w:r>
      <w:r>
        <w:rPr>
          <w:lang w:eastAsia="zh-CN"/>
        </w:rPr>
        <w:t>需要在国家</w:t>
      </w:r>
      <w:r>
        <w:rPr>
          <w:rFonts w:hint="eastAsia"/>
          <w:lang w:eastAsia="zh-CN"/>
        </w:rPr>
        <w:t>层面更多地对</w:t>
      </w:r>
      <w:r>
        <w:rPr>
          <w:lang w:eastAsia="zh-CN"/>
        </w:rPr>
        <w:t>ICT</w:t>
      </w:r>
      <w:r>
        <w:rPr>
          <w:rFonts w:hint="eastAsia"/>
          <w:lang w:eastAsia="zh-CN"/>
        </w:rPr>
        <w:t>标准化活动进行协调，以便对</w:t>
      </w:r>
      <w:r>
        <w:rPr>
          <w:lang w:eastAsia="zh-CN"/>
        </w:rPr>
        <w:t>ITU</w:t>
      </w:r>
      <w:r>
        <w:rPr>
          <w:lang w:eastAsia="zh-CN"/>
        </w:rPr>
        <w:noBreakHyphen/>
        <w:t>T</w:t>
      </w:r>
      <w:r>
        <w:rPr>
          <w:rFonts w:hint="eastAsia"/>
          <w:lang w:eastAsia="zh-CN"/>
        </w:rPr>
        <w:t>以及</w:t>
      </w:r>
      <w:r>
        <w:rPr>
          <w:lang w:eastAsia="zh-CN"/>
        </w:rPr>
        <w:t>ITU</w:t>
      </w:r>
      <w:r>
        <w:rPr>
          <w:lang w:eastAsia="zh-CN"/>
        </w:rPr>
        <w:noBreakHyphen/>
      </w:r>
      <w:proofErr w:type="gramStart"/>
      <w:r>
        <w:rPr>
          <w:lang w:eastAsia="zh-CN"/>
        </w:rPr>
        <w:t>T</w:t>
      </w:r>
      <w:r>
        <w:rPr>
          <w:rFonts w:hint="eastAsia"/>
          <w:lang w:eastAsia="zh-CN"/>
        </w:rPr>
        <w:t>研究组的区域组的工作做出贡献；</w:t>
      </w:r>
      <w:proofErr w:type="gramEnd"/>
    </w:p>
    <w:p w14:paraId="05EF418E" w14:textId="77777777" w:rsidR="009E3497" w:rsidRDefault="000F1838">
      <w:pPr>
        <w:pStyle w:val="Normalnoindent"/>
        <w:rPr>
          <w:lang w:eastAsia="zh-CN"/>
        </w:rPr>
      </w:pPr>
      <w:r>
        <w:rPr>
          <w:i/>
          <w:iCs/>
          <w:lang w:eastAsia="zh-CN"/>
        </w:rPr>
        <w:t>g)</w:t>
      </w:r>
      <w:r>
        <w:rPr>
          <w:lang w:eastAsia="zh-CN"/>
        </w:rPr>
        <w:tab/>
      </w:r>
      <w:r>
        <w:rPr>
          <w:rFonts w:hint="eastAsia"/>
          <w:lang w:eastAsia="zh-CN"/>
        </w:rPr>
        <w:t>制定导则并成立国家标准化秘书处可强化国家层面的标准化活动、加大发展中国家对</w:t>
      </w:r>
      <w:r>
        <w:rPr>
          <w:lang w:eastAsia="zh-CN"/>
        </w:rPr>
        <w:t>ITU-</w:t>
      </w:r>
      <w:proofErr w:type="gramStart"/>
      <w:r>
        <w:rPr>
          <w:lang w:eastAsia="zh-CN"/>
        </w:rPr>
        <w:t>T</w:t>
      </w:r>
      <w:r>
        <w:rPr>
          <w:rFonts w:hint="eastAsia"/>
          <w:lang w:eastAsia="zh-CN"/>
        </w:rPr>
        <w:t>研究组的参与和贡献；</w:t>
      </w:r>
      <w:proofErr w:type="gramEnd"/>
    </w:p>
    <w:p w14:paraId="46B2912B" w14:textId="77777777" w:rsidR="009E3497" w:rsidRDefault="000F1838">
      <w:pPr>
        <w:pStyle w:val="Normalnoindent"/>
        <w:rPr>
          <w:lang w:eastAsia="zh-CN"/>
        </w:rPr>
      </w:pPr>
      <w:r>
        <w:rPr>
          <w:i/>
          <w:iCs/>
          <w:lang w:eastAsia="zh-CN"/>
        </w:rPr>
        <w:t>h)</w:t>
      </w:r>
      <w:r>
        <w:rPr>
          <w:i/>
          <w:iCs/>
          <w:lang w:eastAsia="zh-CN"/>
        </w:rPr>
        <w:tab/>
      </w:r>
      <w:r>
        <w:rPr>
          <w:rFonts w:hint="eastAsia"/>
          <w:lang w:eastAsia="zh-CN"/>
        </w:rPr>
        <w:t>发展中国家将受益于新兴关键性技术催生的数字化转型所带来的新业务和新应用，</w:t>
      </w:r>
      <w:proofErr w:type="gramStart"/>
      <w:r>
        <w:rPr>
          <w:rFonts w:hint="eastAsia"/>
          <w:lang w:eastAsia="zh-CN"/>
        </w:rPr>
        <w:t>以及信息社会的建设和可持续发展的推进；</w:t>
      </w:r>
      <w:proofErr w:type="gramEnd"/>
    </w:p>
    <w:p w14:paraId="4B77FB62" w14:textId="77777777" w:rsidR="009E3497" w:rsidRDefault="000F1838">
      <w:pPr>
        <w:pStyle w:val="Normalnoindent"/>
        <w:rPr>
          <w:lang w:eastAsia="zh-CN"/>
        </w:rPr>
      </w:pPr>
      <w:proofErr w:type="spellStart"/>
      <w:r>
        <w:rPr>
          <w:i/>
          <w:iCs/>
          <w:lang w:eastAsia="zh-CN"/>
        </w:rPr>
        <w:t>i</w:t>
      </w:r>
      <w:proofErr w:type="spellEnd"/>
      <w:r>
        <w:rPr>
          <w:rFonts w:hint="eastAsia"/>
          <w:i/>
          <w:iCs/>
          <w:lang w:eastAsia="zh-CN"/>
        </w:rPr>
        <w:t>)</w:t>
      </w:r>
      <w:r>
        <w:rPr>
          <w:rFonts w:hint="eastAsia"/>
          <w:lang w:eastAsia="zh-CN"/>
        </w:rPr>
        <w:tab/>
      </w:r>
      <w:r>
        <w:rPr>
          <w:rFonts w:hint="eastAsia"/>
          <w:lang w:eastAsia="zh-CN"/>
        </w:rPr>
        <w:t>有必要为一些</w:t>
      </w:r>
      <w:r>
        <w:rPr>
          <w:rFonts w:eastAsia="Times New Roman"/>
          <w:lang w:eastAsia="zh-CN"/>
        </w:rPr>
        <w:t>ITU-T</w:t>
      </w:r>
      <w:r>
        <w:rPr>
          <w:rFonts w:hint="eastAsia"/>
          <w:lang w:eastAsia="zh-CN"/>
        </w:rPr>
        <w:t>会议提供口译服务以便为缩小标准化工作差距做出贡献并在最大程度上确保所有代表，尤其是发展中国家代表的参与并帮助他们充分了解和参与</w:t>
      </w:r>
      <w:r>
        <w:rPr>
          <w:rFonts w:hint="eastAsia"/>
          <w:lang w:eastAsia="zh-CN"/>
        </w:rPr>
        <w:t>ITU</w:t>
      </w:r>
      <w:r>
        <w:rPr>
          <w:lang w:eastAsia="zh-CN"/>
        </w:rPr>
        <w:t>-</w:t>
      </w:r>
      <w:r>
        <w:rPr>
          <w:rFonts w:hint="eastAsia"/>
          <w:lang w:eastAsia="zh-CN"/>
        </w:rPr>
        <w:t>T</w:t>
      </w:r>
      <w:r>
        <w:rPr>
          <w:rFonts w:hint="eastAsia"/>
          <w:lang w:eastAsia="zh-CN"/>
        </w:rPr>
        <w:t>会议做出的标准化决定，</w:t>
      </w:r>
    </w:p>
    <w:p w14:paraId="54F3B37F" w14:textId="77777777" w:rsidR="009E3497" w:rsidRDefault="000F1838">
      <w:pPr>
        <w:pStyle w:val="Call"/>
        <w:rPr>
          <w:rStyle w:val="Italic"/>
          <w:lang w:eastAsia="zh-CN"/>
        </w:rPr>
      </w:pPr>
      <w:r>
        <w:rPr>
          <w:rFonts w:hint="eastAsia"/>
          <w:lang w:eastAsia="zh-CN"/>
        </w:rPr>
        <w:t>进一步认识到</w:t>
      </w:r>
    </w:p>
    <w:p w14:paraId="2439E143" w14:textId="77777777" w:rsidR="009E3497" w:rsidRDefault="000F1838">
      <w:pPr>
        <w:pStyle w:val="Normalnoindent"/>
        <w:rPr>
          <w:lang w:eastAsia="zh-CN"/>
        </w:rPr>
      </w:pPr>
      <w:r>
        <w:rPr>
          <w:rFonts w:asciiTheme="majorBidi" w:hAnsiTheme="majorBidi" w:cstheme="majorBidi" w:hint="eastAsia"/>
          <w:i/>
          <w:iCs/>
          <w:lang w:eastAsia="zh-CN"/>
        </w:rPr>
        <w:t>a</w:t>
      </w:r>
      <w:r>
        <w:rPr>
          <w:rFonts w:asciiTheme="majorBidi" w:hAnsiTheme="majorBidi" w:cstheme="majorBidi"/>
          <w:i/>
          <w:iCs/>
          <w:lang w:eastAsia="zh-CN"/>
        </w:rPr>
        <w:t>)</w:t>
      </w:r>
      <w:r>
        <w:rPr>
          <w:rFonts w:hint="eastAsia"/>
          <w:lang w:eastAsia="zh-CN"/>
        </w:rPr>
        <w:tab/>
      </w:r>
      <w:r>
        <w:rPr>
          <w:lang w:eastAsia="zh-CN"/>
        </w:rPr>
        <w:t>ITU-T</w:t>
      </w:r>
      <w:r>
        <w:rPr>
          <w:rFonts w:hint="eastAsia"/>
          <w:lang w:eastAsia="zh-CN"/>
        </w:rPr>
        <w:t>在变革性数字技术的标准化方面所取得的成就将为《</w:t>
      </w:r>
      <w:r>
        <w:rPr>
          <w:rFonts w:hint="eastAsia"/>
          <w:lang w:eastAsia="zh-CN"/>
        </w:rPr>
        <w:t>2030</w:t>
      </w:r>
      <w:r>
        <w:rPr>
          <w:rFonts w:hint="eastAsia"/>
          <w:lang w:eastAsia="zh-CN"/>
        </w:rPr>
        <w:t>年可持续发展议程》</w:t>
      </w:r>
      <w:proofErr w:type="gramStart"/>
      <w:r>
        <w:rPr>
          <w:rFonts w:hint="eastAsia"/>
          <w:lang w:eastAsia="zh-CN"/>
        </w:rPr>
        <w:t>的实现做出贡献；</w:t>
      </w:r>
      <w:proofErr w:type="gramEnd"/>
    </w:p>
    <w:p w14:paraId="5B837DD0" w14:textId="77777777" w:rsidR="009E3497" w:rsidRDefault="000F1838">
      <w:pPr>
        <w:pStyle w:val="Normalnoindent"/>
        <w:rPr>
          <w:lang w:eastAsia="zh-CN"/>
        </w:rPr>
      </w:pPr>
      <w:r>
        <w:rPr>
          <w:i/>
          <w:iCs/>
          <w:lang w:eastAsia="zh-CN"/>
        </w:rPr>
        <w:t>b</w:t>
      </w:r>
      <w:r>
        <w:rPr>
          <w:rFonts w:asciiTheme="majorBidi" w:hAnsiTheme="majorBidi" w:cstheme="majorBidi"/>
          <w:i/>
          <w:iCs/>
          <w:lang w:eastAsia="zh-CN"/>
        </w:rPr>
        <w:t>)</w:t>
      </w:r>
      <w:r>
        <w:rPr>
          <w:rFonts w:asciiTheme="majorBidi" w:hAnsiTheme="majorBidi" w:cstheme="majorBidi"/>
          <w:i/>
          <w:iCs/>
          <w:lang w:eastAsia="zh-CN"/>
        </w:rPr>
        <w:tab/>
      </w:r>
      <w:r>
        <w:rPr>
          <w:rFonts w:hint="eastAsia"/>
          <w:lang w:eastAsia="zh-CN"/>
        </w:rPr>
        <w:t>尽管</w:t>
      </w:r>
      <w:r>
        <w:rPr>
          <w:color w:val="000000"/>
          <w:lang w:eastAsia="zh-CN"/>
        </w:rPr>
        <w:t>国际电联在确定</w:t>
      </w:r>
      <w:r>
        <w:rPr>
          <w:rFonts w:hint="eastAsia"/>
          <w:color w:val="000000"/>
          <w:lang w:eastAsia="zh-CN"/>
        </w:rPr>
        <w:t>和缩小</w:t>
      </w:r>
      <w:r>
        <w:rPr>
          <w:color w:val="000000"/>
          <w:lang w:eastAsia="zh-CN"/>
        </w:rPr>
        <w:t>标准化</w:t>
      </w:r>
      <w:r>
        <w:rPr>
          <w:rFonts w:hint="eastAsia"/>
          <w:color w:val="000000"/>
          <w:lang w:eastAsia="zh-CN"/>
        </w:rPr>
        <w:t>工作</w:t>
      </w:r>
      <w:r>
        <w:rPr>
          <w:color w:val="000000"/>
          <w:lang w:eastAsia="zh-CN"/>
        </w:rPr>
        <w:t>差距方面取得</w:t>
      </w:r>
      <w:r>
        <w:rPr>
          <w:rFonts w:hint="eastAsia"/>
          <w:color w:val="000000"/>
          <w:lang w:eastAsia="zh-CN"/>
        </w:rPr>
        <w:t>了重大</w:t>
      </w:r>
      <w:r>
        <w:rPr>
          <w:color w:val="000000"/>
          <w:lang w:eastAsia="zh-CN"/>
        </w:rPr>
        <w:t>进展</w:t>
      </w:r>
      <w:r>
        <w:rPr>
          <w:rFonts w:ascii="SimSun" w:hAnsi="SimSun" w:cs="SimSun" w:hint="eastAsia"/>
          <w:color w:val="000000"/>
          <w:lang w:eastAsia="zh-CN"/>
        </w:rPr>
        <w:t>，但发展中国家在确保高效参与</w:t>
      </w:r>
      <w:r>
        <w:rPr>
          <w:rFonts w:asciiTheme="majorBidi" w:hAnsiTheme="majorBidi" w:cstheme="majorBidi"/>
          <w:color w:val="000000"/>
          <w:lang w:eastAsia="zh-CN"/>
        </w:rPr>
        <w:t>ITU-T</w:t>
      </w:r>
      <w:r>
        <w:rPr>
          <w:rFonts w:asciiTheme="majorBidi" w:hAnsiTheme="majorBidi" w:cstheme="majorBidi" w:hint="eastAsia"/>
          <w:color w:val="000000"/>
          <w:lang w:eastAsia="zh-CN"/>
        </w:rPr>
        <w:t>工作方面依然面临各种困难，特别是在参与和跟进</w:t>
      </w:r>
      <w:r>
        <w:rPr>
          <w:rFonts w:asciiTheme="majorBidi" w:hAnsiTheme="majorBidi" w:cstheme="majorBidi" w:hint="eastAsia"/>
          <w:color w:val="000000"/>
          <w:lang w:eastAsia="zh-CN"/>
        </w:rPr>
        <w:t>ITU-T</w:t>
      </w:r>
      <w:r>
        <w:rPr>
          <w:rFonts w:asciiTheme="majorBidi" w:hAnsiTheme="majorBidi" w:cstheme="majorBidi" w:hint="eastAsia"/>
          <w:color w:val="000000"/>
          <w:lang w:eastAsia="zh-CN"/>
        </w:rPr>
        <w:t>研究组工作方面，</w:t>
      </w:r>
      <w:proofErr w:type="gramStart"/>
      <w:r>
        <w:rPr>
          <w:rFonts w:hint="eastAsia"/>
          <w:lang w:eastAsia="zh-CN"/>
        </w:rPr>
        <w:t>尤其考虑</w:t>
      </w:r>
      <w:r>
        <w:rPr>
          <w:lang w:eastAsia="zh-CN"/>
        </w:rPr>
        <w:t>到存在</w:t>
      </w:r>
      <w:r>
        <w:rPr>
          <w:rFonts w:hint="eastAsia"/>
          <w:lang w:eastAsia="zh-CN"/>
        </w:rPr>
        <w:t>预算限制；</w:t>
      </w:r>
      <w:proofErr w:type="gramEnd"/>
    </w:p>
    <w:p w14:paraId="5E7E706C" w14:textId="77777777" w:rsidR="009E3497" w:rsidRDefault="000F1838">
      <w:pPr>
        <w:pStyle w:val="Normalnoindent"/>
        <w:rPr>
          <w:lang w:eastAsia="zh-CN"/>
        </w:rPr>
      </w:pPr>
      <w:r>
        <w:rPr>
          <w:i/>
          <w:iCs/>
          <w:lang w:eastAsia="zh-CN"/>
        </w:rPr>
        <w:t>c)</w:t>
      </w:r>
      <w:r>
        <w:rPr>
          <w:lang w:eastAsia="zh-CN"/>
        </w:rPr>
        <w:tab/>
      </w:r>
      <w:r>
        <w:rPr>
          <w:rFonts w:hint="eastAsia"/>
          <w:lang w:eastAsia="zh-CN"/>
        </w:rPr>
        <w:t>发展中国家对</w:t>
      </w:r>
      <w:r>
        <w:rPr>
          <w:rFonts w:hint="eastAsia"/>
          <w:lang w:eastAsia="zh-CN"/>
        </w:rPr>
        <w:t>ITU</w:t>
      </w:r>
      <w:r>
        <w:rPr>
          <w:lang w:eastAsia="zh-CN"/>
        </w:rPr>
        <w:t>-</w:t>
      </w:r>
      <w:r>
        <w:rPr>
          <w:rFonts w:hint="eastAsia"/>
          <w:lang w:eastAsia="zh-CN"/>
        </w:rPr>
        <w:t>T</w:t>
      </w:r>
      <w:r>
        <w:rPr>
          <w:rFonts w:hint="eastAsia"/>
          <w:lang w:eastAsia="zh-CN"/>
        </w:rPr>
        <w:t>研究组活动的实际参与逐渐增加，但也局限于最终批准和实施阶段，</w:t>
      </w:r>
      <w:proofErr w:type="gramStart"/>
      <w:r>
        <w:rPr>
          <w:rFonts w:hint="eastAsia"/>
          <w:lang w:eastAsia="zh-CN"/>
        </w:rPr>
        <w:t>而非各工作组拟定提案的准备阶段；</w:t>
      </w:r>
      <w:proofErr w:type="gramEnd"/>
    </w:p>
    <w:p w14:paraId="33ABD399" w14:textId="77777777" w:rsidR="009E3497" w:rsidRDefault="000F1838">
      <w:pPr>
        <w:pStyle w:val="Normalnoindent"/>
        <w:rPr>
          <w:lang w:eastAsia="zh-CN"/>
        </w:rPr>
      </w:pPr>
      <w:r>
        <w:rPr>
          <w:i/>
          <w:iCs/>
          <w:lang w:eastAsia="zh-CN"/>
        </w:rPr>
        <w:t>d)</w:t>
      </w:r>
      <w:r>
        <w:rPr>
          <w:lang w:eastAsia="zh-CN"/>
        </w:rPr>
        <w:tab/>
      </w:r>
      <w:r>
        <w:rPr>
          <w:rFonts w:hint="eastAsia"/>
          <w:lang w:eastAsia="zh-CN"/>
        </w:rPr>
        <w:t>在</w:t>
      </w:r>
      <w:r>
        <w:rPr>
          <w:lang w:eastAsia="zh-CN"/>
        </w:rPr>
        <w:t>许多</w:t>
      </w:r>
      <w:r>
        <w:rPr>
          <w:rFonts w:hint="eastAsia"/>
          <w:lang w:eastAsia="zh-CN"/>
        </w:rPr>
        <w:t>发展中国家，</w:t>
      </w:r>
      <w:r>
        <w:rPr>
          <w:lang w:eastAsia="zh-CN"/>
        </w:rPr>
        <w:t>需要</w:t>
      </w:r>
      <w:r>
        <w:rPr>
          <w:rFonts w:hint="eastAsia"/>
          <w:lang w:eastAsia="zh-CN"/>
        </w:rPr>
        <w:t>在国家层面完善对</w:t>
      </w:r>
      <w:r>
        <w:rPr>
          <w:lang w:eastAsia="zh-CN"/>
        </w:rPr>
        <w:t>ICT</w:t>
      </w:r>
      <w:r>
        <w:rPr>
          <w:rFonts w:hint="eastAsia"/>
          <w:lang w:eastAsia="zh-CN"/>
        </w:rPr>
        <w:t>标准化活动的协调，以加大对</w:t>
      </w:r>
      <w:r>
        <w:rPr>
          <w:lang w:eastAsia="zh-CN"/>
        </w:rPr>
        <w:t>ITU-</w:t>
      </w:r>
      <w:proofErr w:type="gramStart"/>
      <w:r>
        <w:rPr>
          <w:lang w:eastAsia="zh-CN"/>
        </w:rPr>
        <w:t>T</w:t>
      </w:r>
      <w:r>
        <w:rPr>
          <w:rFonts w:hint="eastAsia"/>
          <w:lang w:eastAsia="zh-CN"/>
        </w:rPr>
        <w:t>工作的贡献力度；</w:t>
      </w:r>
      <w:proofErr w:type="gramEnd"/>
    </w:p>
    <w:p w14:paraId="61E171CB" w14:textId="77777777" w:rsidR="009E3497" w:rsidRDefault="000F1838">
      <w:pPr>
        <w:pStyle w:val="Normalnoindent"/>
        <w:rPr>
          <w:lang w:eastAsia="zh-CN"/>
        </w:rPr>
      </w:pPr>
      <w:r>
        <w:rPr>
          <w:i/>
          <w:iCs/>
          <w:lang w:eastAsia="zh-CN"/>
        </w:rPr>
        <w:t>e</w:t>
      </w:r>
      <w:r>
        <w:rPr>
          <w:rFonts w:hint="eastAsia"/>
          <w:i/>
          <w:iCs/>
          <w:lang w:eastAsia="zh-CN"/>
        </w:rPr>
        <w:t>)</w:t>
      </w:r>
      <w:r>
        <w:rPr>
          <w:rFonts w:hint="eastAsia"/>
          <w:lang w:eastAsia="zh-CN"/>
        </w:rPr>
        <w:tab/>
      </w:r>
      <w:r>
        <w:rPr>
          <w:rFonts w:hint="eastAsia"/>
          <w:lang w:eastAsia="zh-CN"/>
        </w:rPr>
        <w:t>双年度预算结构包括缩小标准化工作差距方面的单项支出，但同时提倡为这些活动进行自愿捐款，且电信标准化局（</w:t>
      </w:r>
      <w:r>
        <w:rPr>
          <w:rFonts w:hint="eastAsia"/>
          <w:lang w:eastAsia="zh-CN"/>
        </w:rPr>
        <w:t>TSB</w:t>
      </w:r>
      <w:r>
        <w:rPr>
          <w:rFonts w:hint="eastAsia"/>
          <w:lang w:eastAsia="zh-CN"/>
        </w:rPr>
        <w:t>）与电信发展局（</w:t>
      </w:r>
      <w:r>
        <w:rPr>
          <w:rFonts w:hint="eastAsia"/>
          <w:lang w:eastAsia="zh-CN"/>
        </w:rPr>
        <w:t>BDT</w:t>
      </w:r>
      <w:r>
        <w:rPr>
          <w:rFonts w:hint="eastAsia"/>
          <w:lang w:eastAsia="zh-CN"/>
        </w:rPr>
        <w:t>）紧密协调、</w:t>
      </w:r>
      <w:proofErr w:type="gramStart"/>
      <w:r>
        <w:rPr>
          <w:rFonts w:hint="eastAsia"/>
          <w:lang w:eastAsia="zh-CN"/>
        </w:rPr>
        <w:t>落实了该单项支出的管理机制；</w:t>
      </w:r>
      <w:proofErr w:type="gramEnd"/>
    </w:p>
    <w:p w14:paraId="20D75117" w14:textId="77777777" w:rsidR="009E3497" w:rsidRDefault="000F1838">
      <w:pPr>
        <w:pStyle w:val="Normalnoindent"/>
        <w:rPr>
          <w:lang w:eastAsia="zh-CN"/>
        </w:rPr>
      </w:pPr>
      <w:r>
        <w:rPr>
          <w:rFonts w:asciiTheme="majorBidi" w:hAnsiTheme="majorBidi" w:cstheme="majorBidi"/>
          <w:i/>
          <w:iCs/>
          <w:lang w:eastAsia="zh-CN"/>
        </w:rPr>
        <w:t>f)</w:t>
      </w:r>
      <w:r>
        <w:rPr>
          <w:rFonts w:hint="eastAsia"/>
          <w:lang w:eastAsia="zh-CN"/>
        </w:rPr>
        <w:tab/>
      </w:r>
      <w:r>
        <w:rPr>
          <w:rFonts w:hint="eastAsia"/>
          <w:lang w:eastAsia="zh-CN"/>
        </w:rPr>
        <w:t>国际电联有关在</w:t>
      </w:r>
      <w:r>
        <w:rPr>
          <w:rFonts w:hint="eastAsia"/>
          <w:lang w:eastAsia="zh-CN"/>
        </w:rPr>
        <w:t>ITU-T</w:t>
      </w:r>
      <w:r>
        <w:rPr>
          <w:rFonts w:hint="eastAsia"/>
          <w:lang w:eastAsia="zh-CN"/>
        </w:rPr>
        <w:t>的领导下培育伙伴关系的计划，继续强化并扩展国际电联向其成员，</w:t>
      </w:r>
      <w:proofErr w:type="gramStart"/>
      <w:r>
        <w:rPr>
          <w:rFonts w:hint="eastAsia"/>
          <w:lang w:eastAsia="zh-CN"/>
        </w:rPr>
        <w:t>特别是发展中国家提供的援助；</w:t>
      </w:r>
      <w:proofErr w:type="gramEnd"/>
    </w:p>
    <w:p w14:paraId="7F4E98BF" w14:textId="77777777" w:rsidR="009E3497" w:rsidRDefault="000F1838">
      <w:pPr>
        <w:pStyle w:val="Normalnoindent"/>
        <w:rPr>
          <w:lang w:eastAsia="zh-CN"/>
        </w:rPr>
      </w:pPr>
      <w:r>
        <w:rPr>
          <w:i/>
          <w:iCs/>
          <w:lang w:eastAsia="zh-CN"/>
        </w:rPr>
        <w:t>g)</w:t>
      </w:r>
      <w:r>
        <w:rPr>
          <w:lang w:eastAsia="zh-CN"/>
        </w:rPr>
        <w:tab/>
      </w:r>
      <w:r>
        <w:rPr>
          <w:rFonts w:hint="eastAsia"/>
          <w:lang w:eastAsia="zh-CN"/>
        </w:rPr>
        <w:t>发展中国家</w:t>
      </w:r>
      <w:r>
        <w:rPr>
          <w:lang w:eastAsia="zh-CN"/>
        </w:rPr>
        <w:t>在制定和</w:t>
      </w:r>
      <w:r>
        <w:rPr>
          <w:rFonts w:hint="eastAsia"/>
          <w:lang w:eastAsia="zh-CN"/>
        </w:rPr>
        <w:t>研究</w:t>
      </w:r>
      <w:r>
        <w:rPr>
          <w:lang w:eastAsia="zh-CN"/>
        </w:rPr>
        <w:t>课题、</w:t>
      </w:r>
      <w:r>
        <w:rPr>
          <w:rFonts w:hint="eastAsia"/>
          <w:lang w:eastAsia="zh-CN"/>
        </w:rPr>
        <w:t>起草</w:t>
      </w:r>
      <w:r>
        <w:rPr>
          <w:lang w:eastAsia="zh-CN"/>
        </w:rPr>
        <w:t>文稿和能力建设方面，</w:t>
      </w:r>
      <w:proofErr w:type="gramStart"/>
      <w:r>
        <w:rPr>
          <w:lang w:eastAsia="zh-CN"/>
        </w:rPr>
        <w:t>采用适当磋商框架</w:t>
      </w:r>
      <w:r>
        <w:rPr>
          <w:rFonts w:hint="eastAsia"/>
          <w:lang w:eastAsia="zh-CN"/>
        </w:rPr>
        <w:t>的</w:t>
      </w:r>
      <w:r>
        <w:rPr>
          <w:lang w:eastAsia="zh-CN"/>
        </w:rPr>
        <w:t>重要</w:t>
      </w:r>
      <w:r>
        <w:rPr>
          <w:rFonts w:hint="eastAsia"/>
          <w:lang w:eastAsia="zh-CN"/>
        </w:rPr>
        <w:t>性</w:t>
      </w:r>
      <w:r>
        <w:rPr>
          <w:lang w:eastAsia="zh-CN"/>
        </w:rPr>
        <w:t>；</w:t>
      </w:r>
      <w:proofErr w:type="gramEnd"/>
    </w:p>
    <w:p w14:paraId="0546DCD7" w14:textId="77777777" w:rsidR="009E3497" w:rsidRDefault="000F1838">
      <w:pPr>
        <w:pStyle w:val="Normalnoindent"/>
        <w:rPr>
          <w:lang w:eastAsia="zh-CN"/>
        </w:rPr>
      </w:pPr>
      <w:r>
        <w:rPr>
          <w:i/>
          <w:iCs/>
          <w:lang w:eastAsia="zh-CN"/>
        </w:rPr>
        <w:t>h)</w:t>
      </w:r>
      <w:r>
        <w:rPr>
          <w:lang w:eastAsia="zh-CN"/>
        </w:rPr>
        <w:tab/>
        <w:t>ITU-</w:t>
      </w:r>
      <w:proofErr w:type="gramStart"/>
      <w:r>
        <w:rPr>
          <w:lang w:eastAsia="zh-CN"/>
        </w:rPr>
        <w:t>T</w:t>
      </w:r>
      <w:r>
        <w:rPr>
          <w:rFonts w:hint="eastAsia"/>
          <w:lang w:eastAsia="zh-CN"/>
        </w:rPr>
        <w:t>研究组的组织结构和工作方法有助于提高发展中国家参与标准化活动的程度；</w:t>
      </w:r>
      <w:proofErr w:type="gramEnd"/>
    </w:p>
    <w:p w14:paraId="0A92C48E" w14:textId="77777777" w:rsidR="009E3497" w:rsidRDefault="000F1838">
      <w:pPr>
        <w:pStyle w:val="Normalnoindent"/>
        <w:rPr>
          <w:lang w:eastAsia="zh-CN"/>
        </w:rPr>
      </w:pPr>
      <w:proofErr w:type="spellStart"/>
      <w:r>
        <w:rPr>
          <w:i/>
          <w:iCs/>
          <w:lang w:eastAsia="zh-CN"/>
        </w:rPr>
        <w:t>i</w:t>
      </w:r>
      <w:proofErr w:type="spellEnd"/>
      <w:r>
        <w:rPr>
          <w:i/>
          <w:iCs/>
          <w:lang w:eastAsia="zh-CN"/>
        </w:rPr>
        <w:t>)</w:t>
      </w:r>
      <w:r>
        <w:rPr>
          <w:lang w:eastAsia="zh-CN"/>
        </w:rPr>
        <w:tab/>
      </w:r>
      <w:r>
        <w:rPr>
          <w:rFonts w:hint="eastAsia"/>
          <w:lang w:eastAsia="zh-CN"/>
        </w:rPr>
        <w:t>ITU-T</w:t>
      </w:r>
      <w:r>
        <w:rPr>
          <w:rFonts w:hint="eastAsia"/>
          <w:lang w:eastAsia="zh-CN"/>
        </w:rPr>
        <w:t>不同研究组区域组的联合会议，尤其结合区域性标准化机构的区域性讲习班和</w:t>
      </w:r>
      <w:r>
        <w:rPr>
          <w:rFonts w:hint="eastAsia"/>
          <w:lang w:eastAsia="zh-CN"/>
        </w:rPr>
        <w:t>/</w:t>
      </w:r>
      <w:r>
        <w:rPr>
          <w:rFonts w:hint="eastAsia"/>
          <w:lang w:eastAsia="zh-CN"/>
        </w:rPr>
        <w:t>或会议，以及国际电联区域性对应方，如、美洲国家电信委员会（</w:t>
      </w:r>
      <w:r>
        <w:rPr>
          <w:rFonts w:hint="eastAsia"/>
          <w:lang w:eastAsia="zh-CN"/>
        </w:rPr>
        <w:t>CITEL</w:t>
      </w:r>
      <w:r>
        <w:rPr>
          <w:rFonts w:hint="eastAsia"/>
          <w:lang w:eastAsia="zh-CN"/>
        </w:rPr>
        <w:t>）、区域通信联合体（</w:t>
      </w:r>
      <w:r>
        <w:rPr>
          <w:rFonts w:hint="eastAsia"/>
          <w:lang w:eastAsia="zh-CN"/>
        </w:rPr>
        <w:t>RCC</w:t>
      </w:r>
      <w:r>
        <w:rPr>
          <w:rFonts w:hint="eastAsia"/>
          <w:lang w:eastAsia="zh-CN"/>
        </w:rPr>
        <w:t>）、非洲电信联盟（</w:t>
      </w:r>
      <w:r>
        <w:rPr>
          <w:rFonts w:hint="eastAsia"/>
          <w:lang w:eastAsia="zh-CN"/>
        </w:rPr>
        <w:t>ATU</w:t>
      </w:r>
      <w:r>
        <w:rPr>
          <w:rFonts w:hint="eastAsia"/>
          <w:lang w:eastAsia="zh-CN"/>
        </w:rPr>
        <w:t>）、由阿拉伯国家联盟（</w:t>
      </w:r>
      <w:r>
        <w:rPr>
          <w:rFonts w:hint="eastAsia"/>
          <w:lang w:eastAsia="zh-CN"/>
        </w:rPr>
        <w:t>LAS</w:t>
      </w:r>
      <w:r>
        <w:rPr>
          <w:rFonts w:hint="eastAsia"/>
          <w:lang w:eastAsia="zh-CN"/>
        </w:rPr>
        <w:t>）秘书处所代表的阿拉伯电信和信息部长理事会、亚太电信组织（</w:t>
      </w:r>
      <w:r>
        <w:rPr>
          <w:lang w:eastAsia="zh-CN"/>
        </w:rPr>
        <w:t>APT</w:t>
      </w:r>
      <w:r>
        <w:rPr>
          <w:rFonts w:hint="eastAsia"/>
          <w:lang w:eastAsia="zh-CN"/>
        </w:rPr>
        <w:t>）、欧洲邮电主管部门大会（</w:t>
      </w:r>
      <w:r>
        <w:rPr>
          <w:rFonts w:hint="eastAsia"/>
          <w:lang w:eastAsia="zh-CN"/>
        </w:rPr>
        <w:t>CEPT</w:t>
      </w:r>
      <w:r>
        <w:rPr>
          <w:rFonts w:hint="eastAsia"/>
          <w:lang w:eastAsia="zh-CN"/>
        </w:rPr>
        <w:t>）的会议，</w:t>
      </w:r>
      <w:proofErr w:type="gramStart"/>
      <w:r>
        <w:rPr>
          <w:rFonts w:hint="eastAsia"/>
          <w:lang w:eastAsia="zh-CN"/>
        </w:rPr>
        <w:t>将有助于鼓励发展中国家参与这些会议并提高这些会议的有效性；</w:t>
      </w:r>
      <w:proofErr w:type="gramEnd"/>
    </w:p>
    <w:p w14:paraId="3B8B21A6" w14:textId="77777777" w:rsidR="009E3497" w:rsidRDefault="000F1838">
      <w:pPr>
        <w:pStyle w:val="Normalnoindent"/>
        <w:rPr>
          <w:lang w:eastAsia="zh-CN"/>
        </w:rPr>
      </w:pPr>
      <w:r>
        <w:rPr>
          <w:rFonts w:hint="eastAsia"/>
          <w:i/>
          <w:iCs/>
          <w:lang w:eastAsia="zh-CN"/>
        </w:rPr>
        <w:lastRenderedPageBreak/>
        <w:t>j</w:t>
      </w:r>
      <w:r>
        <w:rPr>
          <w:i/>
          <w:iCs/>
          <w:lang w:eastAsia="zh-CN"/>
        </w:rPr>
        <w:t>)</w:t>
      </w:r>
      <w:r>
        <w:rPr>
          <w:lang w:eastAsia="zh-CN"/>
        </w:rPr>
        <w:tab/>
      </w:r>
      <w:r>
        <w:rPr>
          <w:rFonts w:ascii="SimSun" w:hAnsi="SimSun" w:cs="SimSun" w:hint="eastAsia"/>
          <w:lang w:eastAsia="zh-CN"/>
        </w:rPr>
        <w:t>在发展中国家举办</w:t>
      </w:r>
      <w:r>
        <w:rPr>
          <w:rFonts w:eastAsia="Times New Roman" w:hint="eastAsia"/>
          <w:lang w:eastAsia="zh-CN"/>
        </w:rPr>
        <w:t>ITU-T</w:t>
      </w:r>
      <w:r>
        <w:rPr>
          <w:rFonts w:ascii="SimSun" w:hAnsi="SimSun" w:cs="SimSun" w:hint="eastAsia"/>
          <w:lang w:eastAsia="zh-CN"/>
        </w:rPr>
        <w:t>研究组会议，已展示出增加该区域</w:t>
      </w:r>
      <w:r>
        <w:rPr>
          <w:rFonts w:eastAsia="Times New Roman" w:hint="eastAsia"/>
          <w:lang w:eastAsia="zh-CN"/>
        </w:rPr>
        <w:t>ITU-</w:t>
      </w:r>
      <w:proofErr w:type="gramStart"/>
      <w:r>
        <w:rPr>
          <w:rFonts w:eastAsia="Times New Roman" w:hint="eastAsia"/>
          <w:lang w:eastAsia="zh-CN"/>
        </w:rPr>
        <w:t>T</w:t>
      </w:r>
      <w:r>
        <w:rPr>
          <w:rFonts w:ascii="SimSun" w:hAnsi="SimSun" w:cs="SimSun" w:hint="eastAsia"/>
          <w:lang w:eastAsia="zh-CN"/>
        </w:rPr>
        <w:t>成员参与这些会议的潜力；</w:t>
      </w:r>
      <w:proofErr w:type="gramEnd"/>
    </w:p>
    <w:p w14:paraId="6396C1A2" w14:textId="77777777" w:rsidR="009E3497" w:rsidRDefault="000F1838">
      <w:pPr>
        <w:pStyle w:val="Normalnoindent"/>
        <w:rPr>
          <w:lang w:eastAsia="zh-CN"/>
        </w:rPr>
      </w:pPr>
      <w:r>
        <w:rPr>
          <w:i/>
          <w:iCs/>
          <w:lang w:eastAsia="zh-CN"/>
        </w:rPr>
        <w:t>k</w:t>
      </w:r>
      <w:r>
        <w:rPr>
          <w:rFonts w:hint="eastAsia"/>
          <w:i/>
          <w:iCs/>
          <w:lang w:eastAsia="zh-CN"/>
        </w:rPr>
        <w:t>)</w:t>
      </w:r>
      <w:r>
        <w:rPr>
          <w:rFonts w:hint="eastAsia"/>
          <w:lang w:eastAsia="zh-CN"/>
        </w:rPr>
        <w:tab/>
      </w:r>
      <w:r>
        <w:rPr>
          <w:rFonts w:hint="eastAsia"/>
          <w:lang w:eastAsia="zh-CN"/>
        </w:rPr>
        <w:t>国际电联可以通过电信标准化顾问组（</w:t>
      </w:r>
      <w:r>
        <w:rPr>
          <w:rFonts w:eastAsia="Times New Roman"/>
          <w:lang w:eastAsia="zh-CN"/>
        </w:rPr>
        <w:t>TSAG</w:t>
      </w:r>
      <w:r>
        <w:rPr>
          <w:rFonts w:ascii="SimSun" w:hAnsi="SimSun" w:cs="SimSun" w:hint="eastAsia"/>
          <w:lang w:eastAsia="zh-CN"/>
        </w:rPr>
        <w:t>）</w:t>
      </w:r>
      <w:r>
        <w:rPr>
          <w:rFonts w:eastAsiaTheme="minorEastAsia" w:hint="eastAsia"/>
          <w:lang w:eastAsia="zh-CN"/>
        </w:rPr>
        <w:t>和根据区域代表性任命并可委以具体责任的</w:t>
      </w:r>
      <w:r>
        <w:rPr>
          <w:rFonts w:eastAsia="Times New Roman"/>
          <w:lang w:eastAsia="zh-CN"/>
        </w:rPr>
        <w:t>ITU-T</w:t>
      </w:r>
      <w:r>
        <w:rPr>
          <w:rFonts w:eastAsiaTheme="minorEastAsia" w:hint="eastAsia"/>
          <w:lang w:eastAsia="zh-CN"/>
        </w:rPr>
        <w:t>研究组正副</w:t>
      </w:r>
      <w:r>
        <w:rPr>
          <w:rFonts w:hint="eastAsia"/>
          <w:lang w:eastAsia="zh-CN"/>
        </w:rPr>
        <w:t>主席发挥作用，进一步提高发展中国家积极参与</w:t>
      </w:r>
      <w:r>
        <w:rPr>
          <w:rFonts w:eastAsia="Times New Roman"/>
          <w:lang w:eastAsia="zh-CN"/>
        </w:rPr>
        <w:t>ITU-</w:t>
      </w:r>
      <w:proofErr w:type="gramStart"/>
      <w:r>
        <w:rPr>
          <w:rFonts w:eastAsia="Times New Roman"/>
          <w:lang w:eastAsia="zh-CN"/>
        </w:rPr>
        <w:t>T</w:t>
      </w:r>
      <w:r>
        <w:rPr>
          <w:rFonts w:hint="eastAsia"/>
          <w:lang w:eastAsia="zh-CN"/>
        </w:rPr>
        <w:t>标准化工作的质量并增加数量；</w:t>
      </w:r>
      <w:proofErr w:type="gramEnd"/>
    </w:p>
    <w:p w14:paraId="298F4602" w14:textId="77777777" w:rsidR="009E3497" w:rsidRDefault="000F1838">
      <w:pPr>
        <w:pStyle w:val="Normalnoindent"/>
        <w:rPr>
          <w:color w:val="000000"/>
          <w:lang w:eastAsia="zh-CN"/>
        </w:rPr>
      </w:pPr>
      <w:r>
        <w:rPr>
          <w:i/>
          <w:iCs/>
          <w:lang w:eastAsia="zh-CN"/>
        </w:rPr>
        <w:t>l)</w:t>
      </w:r>
      <w:r>
        <w:rPr>
          <w:lang w:eastAsia="zh-CN"/>
        </w:rPr>
        <w:tab/>
      </w:r>
      <w:r>
        <w:rPr>
          <w:rFonts w:hint="eastAsia"/>
          <w:color w:val="000000"/>
          <w:lang w:eastAsia="zh-CN"/>
        </w:rPr>
        <w:t>TSAG</w:t>
      </w:r>
      <w:r>
        <w:rPr>
          <w:rFonts w:hint="eastAsia"/>
          <w:color w:val="000000"/>
          <w:lang w:eastAsia="zh-CN"/>
        </w:rPr>
        <w:t>在</w:t>
      </w:r>
      <w:r>
        <w:rPr>
          <w:rFonts w:hint="eastAsia"/>
          <w:color w:val="000000"/>
          <w:lang w:eastAsia="zh-CN"/>
        </w:rPr>
        <w:t>ITU-T</w:t>
      </w:r>
      <w:r>
        <w:rPr>
          <w:rFonts w:hint="eastAsia"/>
          <w:color w:val="000000"/>
          <w:lang w:eastAsia="zh-CN"/>
        </w:rPr>
        <w:t>研究组中设立了导师角色，负责与来自发达国家和发展中国家的代表进行协调，目的是分享有关</w:t>
      </w:r>
      <w:r>
        <w:rPr>
          <w:rFonts w:hint="eastAsia"/>
          <w:color w:val="000000"/>
          <w:lang w:eastAsia="zh-CN"/>
        </w:rPr>
        <w:t>ITU-T</w:t>
      </w:r>
      <w:r>
        <w:rPr>
          <w:rFonts w:hint="eastAsia"/>
          <w:color w:val="000000"/>
          <w:lang w:eastAsia="zh-CN"/>
        </w:rPr>
        <w:t>建议书应用的信息和最佳做法，加强发展中国家和区域性集团的标准化活动，</w:t>
      </w:r>
    </w:p>
    <w:p w14:paraId="787D929D" w14:textId="77777777" w:rsidR="009E3497" w:rsidRDefault="000F1838">
      <w:pPr>
        <w:pStyle w:val="Call"/>
        <w:rPr>
          <w:rStyle w:val="Italic"/>
          <w:lang w:eastAsia="zh-CN"/>
        </w:rPr>
      </w:pPr>
      <w:r>
        <w:rPr>
          <w:rFonts w:hint="eastAsia"/>
          <w:lang w:eastAsia="zh-CN"/>
        </w:rPr>
        <w:t>忆及</w:t>
      </w:r>
    </w:p>
    <w:p w14:paraId="046E93B7" w14:textId="77777777" w:rsidR="009E3497" w:rsidRDefault="000F1838">
      <w:pPr>
        <w:pStyle w:val="Normalnoindent"/>
        <w:rPr>
          <w:lang w:eastAsia="zh-CN"/>
        </w:rPr>
      </w:pPr>
      <w:r>
        <w:rPr>
          <w:i/>
          <w:iCs/>
          <w:lang w:eastAsia="zh-CN"/>
        </w:rPr>
        <w:t>a)</w:t>
      </w:r>
      <w:r>
        <w:rPr>
          <w:i/>
          <w:iCs/>
          <w:lang w:eastAsia="zh-CN"/>
        </w:rPr>
        <w:tab/>
      </w:r>
      <w:r>
        <w:rPr>
          <w:rFonts w:hint="eastAsia"/>
          <w:lang w:eastAsia="zh-CN"/>
        </w:rPr>
        <w:t>国际电联理事会第</w:t>
      </w:r>
      <w:r>
        <w:rPr>
          <w:lang w:eastAsia="zh-CN"/>
        </w:rPr>
        <w:t>1353</w:t>
      </w:r>
      <w:r>
        <w:rPr>
          <w:rFonts w:hint="eastAsia"/>
          <w:lang w:eastAsia="zh-CN"/>
        </w:rPr>
        <w:t>号决议认识到，电信</w:t>
      </w:r>
      <w:r>
        <w:rPr>
          <w:rFonts w:hint="eastAsia"/>
          <w:lang w:eastAsia="zh-CN"/>
        </w:rPr>
        <w:t>/</w:t>
      </w:r>
      <w:r>
        <w:rPr>
          <w:lang w:eastAsia="zh-CN"/>
        </w:rPr>
        <w:t>ICT</w:t>
      </w:r>
      <w:r>
        <w:rPr>
          <w:rFonts w:hint="eastAsia"/>
          <w:lang w:eastAsia="zh-CN"/>
        </w:rPr>
        <w:t>是发达国家和发展中国家实现可持续发展的重要组成部分，责成秘书长与各局主任开展协作，明确国际电联应开展的新活动，</w:t>
      </w:r>
      <w:proofErr w:type="gramStart"/>
      <w:r>
        <w:rPr>
          <w:rFonts w:hint="eastAsia"/>
          <w:lang w:eastAsia="zh-CN"/>
        </w:rPr>
        <w:t>以便为发展中国家通过电信和</w:t>
      </w:r>
      <w:proofErr w:type="spellStart"/>
      <w:r>
        <w:rPr>
          <w:lang w:eastAsia="zh-CN"/>
        </w:rPr>
        <w:t>ICT</w:t>
      </w:r>
      <w:proofErr w:type="spellEnd"/>
      <w:r>
        <w:rPr>
          <w:rFonts w:hint="eastAsia"/>
          <w:lang w:eastAsia="zh-CN"/>
        </w:rPr>
        <w:t>实现可持续发展提供支持；</w:t>
      </w:r>
      <w:proofErr w:type="gramEnd"/>
    </w:p>
    <w:p w14:paraId="21257E91" w14:textId="77777777" w:rsidR="009E3497" w:rsidRDefault="000F1838">
      <w:pPr>
        <w:pStyle w:val="Normalnoindent"/>
        <w:rPr>
          <w:lang w:eastAsia="zh-CN"/>
        </w:rPr>
      </w:pPr>
      <w:r>
        <w:rPr>
          <w:i/>
          <w:iCs/>
          <w:color w:val="000000"/>
          <w:lang w:eastAsia="zh-CN"/>
        </w:rPr>
        <w:t>b)</w:t>
      </w:r>
      <w:r>
        <w:rPr>
          <w:i/>
          <w:iCs/>
          <w:color w:val="000000"/>
          <w:lang w:eastAsia="zh-CN"/>
        </w:rPr>
        <w:tab/>
      </w:r>
      <w:proofErr w:type="gramStart"/>
      <w:r>
        <w:rPr>
          <w:rFonts w:hint="eastAsia"/>
          <w:lang w:eastAsia="zh-CN"/>
        </w:rPr>
        <w:t>全球标准专题研讨会的相关结论；</w:t>
      </w:r>
      <w:proofErr w:type="gramEnd"/>
    </w:p>
    <w:p w14:paraId="36754529" w14:textId="77777777" w:rsidR="009E3497" w:rsidRDefault="000F1838">
      <w:pPr>
        <w:pStyle w:val="Normalnoindent"/>
        <w:rPr>
          <w:rFonts w:eastAsia="Times New Roman"/>
          <w:lang w:eastAsia="zh-CN"/>
        </w:rPr>
      </w:pPr>
      <w:r>
        <w:rPr>
          <w:rFonts w:eastAsia="Times New Roman"/>
          <w:i/>
          <w:iCs/>
          <w:lang w:eastAsia="zh-CN"/>
        </w:rPr>
        <w:t>c)</w:t>
      </w:r>
      <w:r>
        <w:rPr>
          <w:rFonts w:eastAsia="Times New Roman"/>
          <w:lang w:eastAsia="zh-CN"/>
        </w:rPr>
        <w:tab/>
      </w:r>
      <w:proofErr w:type="gramStart"/>
      <w:r>
        <w:rPr>
          <w:rFonts w:ascii="SimSun" w:hAnsi="SimSun" w:cs="SimSun" w:hint="eastAsia"/>
          <w:lang w:eastAsia="zh-CN"/>
        </w:rPr>
        <w:t>在某些区域有从事标准化工作的区域性机构或组织；</w:t>
      </w:r>
      <w:proofErr w:type="gramEnd"/>
    </w:p>
    <w:p w14:paraId="4BEB107C" w14:textId="77777777" w:rsidR="009E3497" w:rsidRDefault="000F1838">
      <w:pPr>
        <w:pStyle w:val="Normalnoindent"/>
        <w:rPr>
          <w:lang w:eastAsia="zh-CN"/>
        </w:rPr>
      </w:pPr>
      <w:r>
        <w:rPr>
          <w:rFonts w:eastAsia="Times New Roman"/>
          <w:i/>
          <w:iCs/>
          <w:lang w:eastAsia="zh-CN"/>
        </w:rPr>
        <w:t>d)</w:t>
      </w:r>
      <w:r>
        <w:rPr>
          <w:rFonts w:eastAsia="Times New Roman"/>
          <w:lang w:eastAsia="zh-CN"/>
        </w:rPr>
        <w:tab/>
      </w:r>
      <w:r>
        <w:rPr>
          <w:rFonts w:ascii="SimSun" w:hAnsi="SimSun" w:cs="SimSun" w:hint="eastAsia"/>
          <w:lang w:eastAsia="zh-CN"/>
        </w:rPr>
        <w:t>一些发展中国家无法参与区域性标准化组织的工作，</w:t>
      </w:r>
    </w:p>
    <w:p w14:paraId="13E42FAE" w14:textId="77777777" w:rsidR="009E3497" w:rsidRDefault="000F1838">
      <w:pPr>
        <w:pStyle w:val="Call"/>
        <w:rPr>
          <w:rStyle w:val="Italic"/>
          <w:lang w:eastAsia="zh-CN"/>
        </w:rPr>
      </w:pPr>
      <w:r>
        <w:rPr>
          <w:rFonts w:hint="eastAsia"/>
          <w:lang w:eastAsia="zh-CN"/>
        </w:rPr>
        <w:t>做出决议</w:t>
      </w:r>
    </w:p>
    <w:p w14:paraId="3405D664" w14:textId="77777777" w:rsidR="009E3497" w:rsidRDefault="000F1838">
      <w:pPr>
        <w:pStyle w:val="Normalnoindent"/>
        <w:rPr>
          <w:lang w:eastAsia="zh-CN"/>
        </w:rPr>
      </w:pPr>
      <w:r>
        <w:rPr>
          <w:lang w:eastAsia="zh-CN"/>
        </w:rPr>
        <w:t>1</w:t>
      </w:r>
      <w:r>
        <w:rPr>
          <w:rFonts w:hint="eastAsia"/>
          <w:lang w:eastAsia="zh-CN"/>
        </w:rPr>
        <w:tab/>
      </w:r>
      <w:r>
        <w:rPr>
          <w:rFonts w:hint="eastAsia"/>
          <w:lang w:eastAsia="zh-CN"/>
        </w:rPr>
        <w:t>附于本决议之后的行动计划的目标是缩小发达国家与发展中国家之间的标准化工作差距，应予以继续且每年予以审议，</w:t>
      </w:r>
      <w:proofErr w:type="gramStart"/>
      <w:r>
        <w:rPr>
          <w:rFonts w:hint="eastAsia"/>
          <w:lang w:eastAsia="zh-CN"/>
        </w:rPr>
        <w:t>以考虑到发展中国家的需求；</w:t>
      </w:r>
      <w:proofErr w:type="gramEnd"/>
    </w:p>
    <w:p w14:paraId="5EFE8C4C" w14:textId="77777777" w:rsidR="009E3497" w:rsidRDefault="000F1838">
      <w:pPr>
        <w:pStyle w:val="Normalnoindent"/>
        <w:rPr>
          <w:lang w:eastAsia="zh-CN"/>
        </w:rPr>
      </w:pPr>
      <w:r>
        <w:rPr>
          <w:rFonts w:hint="eastAsia"/>
          <w:lang w:eastAsia="zh-CN"/>
        </w:rPr>
        <w:t>2</w:t>
      </w:r>
      <w:r>
        <w:rPr>
          <w:lang w:eastAsia="zh-CN"/>
        </w:rPr>
        <w:tab/>
      </w:r>
      <w:r>
        <w:rPr>
          <w:rFonts w:hint="eastAsia"/>
          <w:lang w:eastAsia="zh-CN"/>
        </w:rPr>
        <w:t>ITU-T</w:t>
      </w:r>
      <w:r>
        <w:rPr>
          <w:rFonts w:hint="eastAsia"/>
          <w:lang w:eastAsia="zh-CN"/>
        </w:rPr>
        <w:t>须酌情与其它部门（特别是国际</w:t>
      </w:r>
      <w:r>
        <w:rPr>
          <w:lang w:eastAsia="zh-CN"/>
        </w:rPr>
        <w:t>电联电信发展</w:t>
      </w:r>
      <w:r>
        <w:rPr>
          <w:rFonts w:hint="eastAsia"/>
          <w:lang w:eastAsia="zh-CN"/>
        </w:rPr>
        <w:t>部门</w:t>
      </w:r>
      <w:r>
        <w:rPr>
          <w:lang w:eastAsia="zh-CN"/>
        </w:rPr>
        <w:t>（</w:t>
      </w:r>
      <w:r>
        <w:rPr>
          <w:rFonts w:hint="eastAsia"/>
          <w:lang w:eastAsia="zh-CN"/>
        </w:rPr>
        <w:t>ITU-D</w:t>
      </w:r>
      <w:r>
        <w:rPr>
          <w:rFonts w:hint="eastAsia"/>
          <w:lang w:eastAsia="zh-CN"/>
        </w:rPr>
        <w:t>）</w:t>
      </w:r>
      <w:r>
        <w:rPr>
          <w:lang w:eastAsia="zh-CN"/>
        </w:rPr>
        <w:t>）</w:t>
      </w:r>
      <w:r>
        <w:rPr>
          <w:rFonts w:hint="eastAsia"/>
          <w:lang w:eastAsia="zh-CN"/>
        </w:rPr>
        <w:t>协作起草一份计划，以便：</w:t>
      </w:r>
    </w:p>
    <w:p w14:paraId="665934DF" w14:textId="77777777" w:rsidR="009E3497" w:rsidRDefault="000F1838">
      <w:pPr>
        <w:pStyle w:val="enumlev1"/>
        <w:rPr>
          <w:lang w:eastAsia="zh-CN"/>
        </w:rPr>
      </w:pPr>
      <w:proofErr w:type="spellStart"/>
      <w:r>
        <w:rPr>
          <w:lang w:eastAsia="zh-CN"/>
        </w:rPr>
        <w:t>i</w:t>
      </w:r>
      <w:proofErr w:type="spellEnd"/>
      <w:r>
        <w:rPr>
          <w:lang w:eastAsia="zh-CN"/>
        </w:rPr>
        <w:t>)</w:t>
      </w:r>
      <w:r>
        <w:rPr>
          <w:lang w:eastAsia="zh-CN"/>
        </w:rPr>
        <w:tab/>
      </w:r>
      <w:r>
        <w:rPr>
          <w:rFonts w:hint="eastAsia"/>
          <w:lang w:eastAsia="zh-CN"/>
        </w:rPr>
        <w:t>协助发展中国家制定推动将其面临的挑战和创新与标准化进程挂钩的战略和方法，</w:t>
      </w:r>
      <w:proofErr w:type="gramStart"/>
      <w:r>
        <w:rPr>
          <w:rFonts w:hint="eastAsia"/>
          <w:lang w:eastAsia="zh-CN"/>
        </w:rPr>
        <w:t>以支持社会的数字化转型；</w:t>
      </w:r>
      <w:proofErr w:type="gramEnd"/>
    </w:p>
    <w:p w14:paraId="074E331F" w14:textId="77777777" w:rsidR="009E3497" w:rsidRDefault="000F1838">
      <w:pPr>
        <w:pStyle w:val="enumlev1"/>
        <w:rPr>
          <w:lang w:eastAsia="zh-CN"/>
        </w:rPr>
      </w:pPr>
      <w:r>
        <w:rPr>
          <w:lang w:eastAsia="zh-CN"/>
        </w:rPr>
        <w:t>ii)</w:t>
      </w:r>
      <w:r>
        <w:rPr>
          <w:lang w:eastAsia="zh-CN"/>
        </w:rPr>
        <w:tab/>
      </w:r>
      <w:r>
        <w:rPr>
          <w:rFonts w:hint="eastAsia"/>
          <w:lang w:eastAsia="zh-CN"/>
        </w:rPr>
        <w:t>协助发展中国家制定可协调各国行业与创新战略的手段，</w:t>
      </w:r>
      <w:proofErr w:type="gramStart"/>
      <w:r>
        <w:rPr>
          <w:rFonts w:hint="eastAsia"/>
          <w:lang w:eastAsia="zh-CN"/>
        </w:rPr>
        <w:t>以实现最大限度影响其社会经济生态系统的目标；</w:t>
      </w:r>
      <w:proofErr w:type="gramEnd"/>
    </w:p>
    <w:p w14:paraId="5E0BD326" w14:textId="77777777" w:rsidR="009E3497" w:rsidRDefault="000F1838">
      <w:pPr>
        <w:pStyle w:val="enumlev1"/>
        <w:rPr>
          <w:ins w:id="37" w:author="TSB (AAM)" w:date="2024-09-23T16:05:00Z"/>
          <w:lang w:eastAsia="zh-CN"/>
        </w:rPr>
      </w:pPr>
      <w:r>
        <w:rPr>
          <w:lang w:eastAsia="zh-CN"/>
        </w:rPr>
        <w:t>iii)</w:t>
      </w:r>
      <w:r>
        <w:rPr>
          <w:lang w:eastAsia="zh-CN"/>
        </w:rPr>
        <w:tab/>
      </w:r>
      <w:r>
        <w:rPr>
          <w:rFonts w:hint="eastAsia"/>
          <w:caps/>
          <w:kern w:val="2"/>
          <w:szCs w:val="24"/>
          <w:lang w:eastAsia="zh-CN"/>
        </w:rPr>
        <w:t>协助发展中国家制定建立国家、</w:t>
      </w:r>
      <w:proofErr w:type="gramStart"/>
      <w:r>
        <w:rPr>
          <w:rFonts w:hint="eastAsia"/>
          <w:caps/>
          <w:kern w:val="2"/>
          <w:szCs w:val="24"/>
          <w:lang w:eastAsia="zh-CN"/>
        </w:rPr>
        <w:t>区域和国际认可的新兴技术测试实验室的战略；</w:t>
      </w:r>
      <w:proofErr w:type="gramEnd"/>
    </w:p>
    <w:p w14:paraId="06B03D10" w14:textId="77777777" w:rsidR="009E3497" w:rsidRDefault="000F1838">
      <w:pPr>
        <w:pStyle w:val="enumlev1"/>
        <w:rPr>
          <w:lang w:eastAsia="zh-CN"/>
        </w:rPr>
      </w:pPr>
      <w:ins w:id="38" w:author="TSB (AAM)" w:date="2024-09-23T16:05:00Z">
        <w:r>
          <w:rPr>
            <w:lang w:eastAsia="zh-CN"/>
          </w:rPr>
          <w:t>iv)</w:t>
        </w:r>
        <w:r>
          <w:rPr>
            <w:lang w:eastAsia="zh-CN"/>
          </w:rPr>
          <w:tab/>
        </w:r>
      </w:ins>
      <w:ins w:id="39" w:author="TSB(RC)" w:date="2024-09-27T17:01:00Z">
        <w:r>
          <w:rPr>
            <w:lang w:val="zh-CN" w:eastAsia="zh-CN"/>
          </w:rPr>
          <w:t>帮助发展中国家制定鼓励下一代人积极参与标准化活动的战略，从而增加为标准化举措做出贡献并从中受益的机会</w:t>
        </w:r>
        <w:r>
          <w:rPr>
            <w:rFonts w:hint="eastAsia"/>
            <w:lang w:val="zh-CN" w:eastAsia="zh-CN"/>
          </w:rPr>
          <w:t>，</w:t>
        </w:r>
      </w:ins>
    </w:p>
    <w:p w14:paraId="322343A3" w14:textId="77777777" w:rsidR="009E3497" w:rsidRDefault="000F1838">
      <w:pPr>
        <w:pStyle w:val="Normalnoindent"/>
        <w:rPr>
          <w:lang w:eastAsia="zh-CN"/>
        </w:rPr>
      </w:pPr>
      <w:r>
        <w:rPr>
          <w:lang w:eastAsia="zh-CN"/>
        </w:rPr>
        <w:t>3</w:t>
      </w:r>
      <w:r>
        <w:rPr>
          <w:lang w:eastAsia="zh-CN"/>
        </w:rPr>
        <w:tab/>
      </w:r>
      <w:r>
        <w:rPr>
          <w:rFonts w:hint="eastAsia"/>
          <w:lang w:eastAsia="zh-CN"/>
        </w:rPr>
        <w:t>在理事会批准的前提下，应免费在线提供国际电联的应用手册、手册、指导文件和与理解和实施</w:t>
      </w:r>
      <w:r>
        <w:rPr>
          <w:lang w:eastAsia="zh-CN"/>
        </w:rPr>
        <w:t>ITU-T</w:t>
      </w:r>
      <w:r>
        <w:rPr>
          <w:rFonts w:hint="eastAsia"/>
          <w:lang w:eastAsia="zh-CN"/>
        </w:rPr>
        <w:t>建议书相关、特别是与电信设备和网络规划、</w:t>
      </w:r>
      <w:proofErr w:type="gramStart"/>
      <w:r>
        <w:rPr>
          <w:rFonts w:hint="eastAsia"/>
          <w:lang w:eastAsia="zh-CN"/>
        </w:rPr>
        <w:t>运营和维护发展</w:t>
      </w:r>
      <w:ins w:id="40" w:author="TSB(RC)" w:date="2024-09-27T17:03:00Z">
        <w:r>
          <w:rPr>
            <w:lang w:val="zh-CN" w:eastAsia="zh-CN"/>
          </w:rPr>
          <w:t>以及新</w:t>
        </w:r>
        <w:r>
          <w:rPr>
            <w:rFonts w:hint="eastAsia"/>
            <w:lang w:val="en-US" w:eastAsia="zh-CN"/>
          </w:rPr>
          <w:t>的和新</w:t>
        </w:r>
        <w:r>
          <w:rPr>
            <w:lang w:val="zh-CN" w:eastAsia="zh-CN"/>
          </w:rPr>
          <w:t>兴技术专题领域</w:t>
        </w:r>
      </w:ins>
      <w:r>
        <w:rPr>
          <w:rFonts w:hint="eastAsia"/>
          <w:lang w:eastAsia="zh-CN"/>
        </w:rPr>
        <w:t>有关的国际电联其它文件；</w:t>
      </w:r>
      <w:proofErr w:type="gramEnd"/>
    </w:p>
    <w:p w14:paraId="0DE6A03B" w14:textId="77777777" w:rsidR="009E3497" w:rsidRDefault="000F1838">
      <w:pPr>
        <w:pStyle w:val="Normalnoindent"/>
        <w:rPr>
          <w:lang w:eastAsia="zh-CN"/>
        </w:rPr>
      </w:pPr>
      <w:r>
        <w:rPr>
          <w:lang w:eastAsia="zh-CN"/>
        </w:rPr>
        <w:t>4</w:t>
      </w:r>
      <w:r>
        <w:rPr>
          <w:lang w:eastAsia="zh-CN"/>
        </w:rPr>
        <w:tab/>
      </w:r>
      <w:r>
        <w:rPr>
          <w:rFonts w:hint="eastAsia"/>
          <w:lang w:eastAsia="zh-CN"/>
        </w:rPr>
        <w:t>支持在现有资源或捐赠资源范围内，经批准或根据第</w:t>
      </w:r>
      <w:r>
        <w:rPr>
          <w:rFonts w:hint="eastAsia"/>
          <w:lang w:eastAsia="zh-CN"/>
        </w:rPr>
        <w:t>5</w:t>
      </w:r>
      <w:r>
        <w:rPr>
          <w:lang w:eastAsia="zh-CN"/>
        </w:rPr>
        <w:t>4</w:t>
      </w:r>
      <w:r>
        <w:rPr>
          <w:rFonts w:hint="eastAsia"/>
          <w:lang w:eastAsia="zh-CN"/>
        </w:rPr>
        <w:t>号决议（</w:t>
      </w:r>
      <w:r>
        <w:rPr>
          <w:rFonts w:hint="eastAsia"/>
          <w:lang w:eastAsia="zh-CN"/>
        </w:rPr>
        <w:t>2022</w:t>
      </w:r>
      <w:r>
        <w:rPr>
          <w:rFonts w:hint="eastAsia"/>
          <w:lang w:eastAsia="zh-CN"/>
        </w:rPr>
        <w:t>年，日内瓦，修订版）规定的程序，视具体情况协调创建</w:t>
      </w:r>
      <w:r>
        <w:rPr>
          <w:rFonts w:hint="eastAsia"/>
          <w:lang w:eastAsia="zh-CN"/>
        </w:rPr>
        <w:t>ITU-T</w:t>
      </w:r>
      <w:r>
        <w:rPr>
          <w:rFonts w:hint="eastAsia"/>
          <w:lang w:eastAsia="zh-CN"/>
        </w:rPr>
        <w:t>研究组的区域组，</w:t>
      </w:r>
      <w:proofErr w:type="gramStart"/>
      <w:r>
        <w:rPr>
          <w:rFonts w:hint="eastAsia"/>
          <w:lang w:eastAsia="zh-CN"/>
        </w:rPr>
        <w:t>并鼓励这些组与其他区域性标准化实体开展合作与协作；</w:t>
      </w:r>
      <w:proofErr w:type="gramEnd"/>
    </w:p>
    <w:p w14:paraId="639DAD01" w14:textId="77777777" w:rsidR="009E3497" w:rsidRDefault="000F1838">
      <w:pPr>
        <w:pStyle w:val="Normalnoindent"/>
        <w:rPr>
          <w:lang w:eastAsia="zh-CN"/>
        </w:rPr>
      </w:pPr>
      <w:r>
        <w:rPr>
          <w:rFonts w:hint="eastAsia"/>
          <w:lang w:eastAsia="zh-CN"/>
        </w:rPr>
        <w:t>5</w:t>
      </w:r>
      <w:r>
        <w:rPr>
          <w:lang w:eastAsia="zh-CN"/>
        </w:rPr>
        <w:tab/>
      </w:r>
      <w:r>
        <w:rPr>
          <w:rFonts w:hint="eastAsia"/>
          <w:lang w:eastAsia="zh-CN"/>
        </w:rPr>
        <w:t>在国际电联年度预算中保留一项专门针对缩小标准化工作差距活动的单项支出，</w:t>
      </w:r>
      <w:proofErr w:type="gramStart"/>
      <w:r>
        <w:rPr>
          <w:rFonts w:hint="eastAsia"/>
          <w:lang w:eastAsia="zh-CN"/>
        </w:rPr>
        <w:t>同时应进一步鼓励进行自愿捐款；</w:t>
      </w:r>
      <w:proofErr w:type="gramEnd"/>
    </w:p>
    <w:p w14:paraId="3302FAB2" w14:textId="77777777" w:rsidR="009E3497" w:rsidRDefault="000F1838">
      <w:pPr>
        <w:pStyle w:val="Normalnoindent"/>
        <w:rPr>
          <w:lang w:eastAsia="zh-CN"/>
        </w:rPr>
      </w:pPr>
      <w:r>
        <w:rPr>
          <w:rFonts w:hint="eastAsia"/>
          <w:lang w:eastAsia="zh-CN"/>
        </w:rPr>
        <w:t>6</w:t>
      </w:r>
      <w:r>
        <w:rPr>
          <w:lang w:eastAsia="zh-CN"/>
        </w:rPr>
        <w:tab/>
      </w:r>
      <w:r>
        <w:rPr>
          <w:rFonts w:hint="eastAsia"/>
          <w:lang w:eastAsia="zh-CN"/>
        </w:rPr>
        <w:t>须按照与会者的要求，在研究组和</w:t>
      </w:r>
      <w:r>
        <w:rPr>
          <w:lang w:eastAsia="zh-CN"/>
        </w:rPr>
        <w:t>工作组的所有</w:t>
      </w:r>
      <w:r>
        <w:rPr>
          <w:rFonts w:hint="eastAsia"/>
          <w:lang w:eastAsia="zh-CN"/>
        </w:rPr>
        <w:t>全体会议、</w:t>
      </w:r>
      <w:proofErr w:type="gramStart"/>
      <w:r>
        <w:rPr>
          <w:rFonts w:hint="eastAsia"/>
          <w:lang w:eastAsia="zh-CN"/>
        </w:rPr>
        <w:t>以及</w:t>
      </w:r>
      <w:r>
        <w:rPr>
          <w:lang w:eastAsia="zh-CN"/>
        </w:rPr>
        <w:t>TSAG</w:t>
      </w:r>
      <w:r>
        <w:rPr>
          <w:rFonts w:hint="eastAsia"/>
          <w:lang w:eastAsia="zh-CN"/>
        </w:rPr>
        <w:t>整个会议期间提供口译；</w:t>
      </w:r>
      <w:proofErr w:type="gramEnd"/>
    </w:p>
    <w:p w14:paraId="145857C2" w14:textId="77777777" w:rsidR="009E3497" w:rsidRDefault="000F1838">
      <w:pPr>
        <w:pStyle w:val="Normalnoindent"/>
        <w:rPr>
          <w:rFonts w:eastAsia="Times New Roman"/>
          <w:lang w:eastAsia="zh-CN"/>
        </w:rPr>
      </w:pPr>
      <w:r>
        <w:rPr>
          <w:rFonts w:hint="eastAsia"/>
          <w:lang w:eastAsia="zh-CN"/>
        </w:rPr>
        <w:t>7</w:t>
      </w:r>
      <w:r>
        <w:rPr>
          <w:lang w:eastAsia="zh-CN"/>
        </w:rPr>
        <w:tab/>
      </w:r>
      <w:r>
        <w:rPr>
          <w:rFonts w:ascii="SimSun" w:hAnsi="SimSun" w:cs="SimSun" w:hint="eastAsia"/>
          <w:lang w:eastAsia="zh-CN"/>
        </w:rPr>
        <w:t>鼓励来自发展中国家的成员，特别是学术成员参与</w:t>
      </w:r>
      <w:r>
        <w:rPr>
          <w:rFonts w:eastAsia="Times New Roman" w:hint="eastAsia"/>
          <w:lang w:eastAsia="zh-CN"/>
        </w:rPr>
        <w:t>ITU-T</w:t>
      </w:r>
      <w:r>
        <w:rPr>
          <w:rFonts w:ascii="SimSun" w:hAnsi="SimSun" w:cs="SimSun" w:hint="eastAsia"/>
          <w:lang w:eastAsia="zh-CN"/>
        </w:rPr>
        <w:t>的标准化活动，</w:t>
      </w:r>
    </w:p>
    <w:p w14:paraId="1C2B5FD5" w14:textId="77777777" w:rsidR="009E3497" w:rsidRDefault="000F1838">
      <w:pPr>
        <w:pStyle w:val="Call"/>
        <w:rPr>
          <w:rStyle w:val="Italic"/>
          <w:lang w:eastAsia="zh-CN"/>
        </w:rPr>
      </w:pPr>
      <w:r>
        <w:rPr>
          <w:rFonts w:hint="eastAsia"/>
          <w:lang w:eastAsia="zh-CN"/>
        </w:rPr>
        <w:lastRenderedPageBreak/>
        <w:t>进一步做出决议，国际电</w:t>
      </w:r>
      <w:proofErr w:type="gramStart"/>
      <w:r>
        <w:rPr>
          <w:rFonts w:hint="eastAsia"/>
          <w:lang w:eastAsia="zh-CN"/>
        </w:rPr>
        <w:t>联区域</w:t>
      </w:r>
      <w:proofErr w:type="gramEnd"/>
      <w:r>
        <w:rPr>
          <w:rFonts w:hint="eastAsia"/>
          <w:lang w:eastAsia="zh-CN"/>
        </w:rPr>
        <w:t>代表处</w:t>
      </w:r>
    </w:p>
    <w:p w14:paraId="47082441" w14:textId="77777777" w:rsidR="009E3497" w:rsidRDefault="000F1838">
      <w:pPr>
        <w:pStyle w:val="Normalnoindent"/>
        <w:rPr>
          <w:rFonts w:eastAsia="Times New Roman"/>
          <w:lang w:eastAsia="zh-CN"/>
        </w:rPr>
      </w:pPr>
      <w:r>
        <w:rPr>
          <w:rFonts w:eastAsia="Times New Roman"/>
          <w:lang w:eastAsia="zh-CN"/>
        </w:rPr>
        <w:t>1</w:t>
      </w:r>
      <w:r>
        <w:rPr>
          <w:rFonts w:eastAsia="Times New Roman"/>
          <w:lang w:eastAsia="zh-CN"/>
        </w:rPr>
        <w:tab/>
      </w:r>
      <w:r>
        <w:rPr>
          <w:rFonts w:eastAsiaTheme="minorEastAsia" w:hint="eastAsia"/>
          <w:lang w:eastAsia="zh-CN"/>
        </w:rPr>
        <w:t>参与</w:t>
      </w:r>
      <w:r>
        <w:rPr>
          <w:rFonts w:eastAsiaTheme="minorEastAsia" w:hint="eastAsia"/>
          <w:lang w:eastAsia="zh-CN"/>
        </w:rPr>
        <w:t>TSAG</w:t>
      </w:r>
      <w:r>
        <w:rPr>
          <w:rFonts w:eastAsiaTheme="minorEastAsia" w:hint="eastAsia"/>
          <w:lang w:eastAsia="zh-CN"/>
        </w:rPr>
        <w:t>分配的活动，以便进一步强化本决议附件中的行动计划的落实工作、促进和协调各自区域的标准化活动，包括提高来自发展中国家的潜在部门成员、部门准成员和学术成员的认识，并向</w:t>
      </w:r>
      <w:r>
        <w:rPr>
          <w:rFonts w:eastAsiaTheme="minorEastAsia" w:hint="eastAsia"/>
          <w:lang w:eastAsia="zh-CN"/>
        </w:rPr>
        <w:t>ITU-</w:t>
      </w:r>
      <w:proofErr w:type="gramStart"/>
      <w:r>
        <w:rPr>
          <w:rFonts w:eastAsiaTheme="minorEastAsia" w:hint="eastAsia"/>
          <w:lang w:eastAsia="zh-CN"/>
        </w:rPr>
        <w:t>T</w:t>
      </w:r>
      <w:r>
        <w:rPr>
          <w:rFonts w:eastAsiaTheme="minorEastAsia" w:hint="eastAsia"/>
          <w:lang w:eastAsia="zh-CN"/>
        </w:rPr>
        <w:t>各研究组的区域组提供必要协助；</w:t>
      </w:r>
      <w:proofErr w:type="gramEnd"/>
    </w:p>
    <w:p w14:paraId="1E639C18" w14:textId="77777777" w:rsidR="009E3497" w:rsidRDefault="000F1838">
      <w:pPr>
        <w:pStyle w:val="Normalnoindent"/>
        <w:rPr>
          <w:rFonts w:asciiTheme="minorEastAsia" w:eastAsiaTheme="minorEastAsia" w:hAnsiTheme="minorEastAsia"/>
          <w:lang w:eastAsia="zh-CN"/>
        </w:rPr>
      </w:pPr>
      <w:r>
        <w:rPr>
          <w:rFonts w:eastAsia="Times New Roman"/>
          <w:lang w:eastAsia="zh-CN"/>
        </w:rPr>
        <w:t>2</w:t>
      </w:r>
      <w:r>
        <w:rPr>
          <w:rFonts w:eastAsia="Times New Roman"/>
          <w:lang w:eastAsia="zh-CN"/>
        </w:rPr>
        <w:tab/>
      </w:r>
      <w:r>
        <w:rPr>
          <w:rFonts w:asciiTheme="minorEastAsia" w:eastAsiaTheme="minorEastAsia" w:hAnsiTheme="minorEastAsia" w:hint="eastAsia"/>
          <w:lang w:eastAsia="zh-CN"/>
        </w:rPr>
        <w:t>在代表处预算范围内，协助获得</w:t>
      </w:r>
      <w:r>
        <w:rPr>
          <w:rFonts w:asciiTheme="minorEastAsia" w:eastAsiaTheme="minorEastAsia" w:hAnsiTheme="minorEastAsia"/>
          <w:lang w:eastAsia="zh-CN"/>
        </w:rPr>
        <w:t>任命、具有</w:t>
      </w:r>
      <w:r>
        <w:rPr>
          <w:rFonts w:asciiTheme="minorEastAsia" w:eastAsiaTheme="minorEastAsia" w:hAnsiTheme="minorEastAsia" w:hint="eastAsia"/>
          <w:lang w:eastAsia="zh-CN"/>
        </w:rPr>
        <w:t>具体职责的</w:t>
      </w:r>
      <w:r>
        <w:rPr>
          <w:rFonts w:eastAsia="Times New Roman"/>
          <w:lang w:eastAsia="zh-CN"/>
        </w:rPr>
        <w:t>TSAG</w:t>
      </w:r>
      <w:r>
        <w:rPr>
          <w:rFonts w:ascii="SimSun" w:hAnsi="SimSun" w:cs="SimSun" w:hint="eastAsia"/>
          <w:lang w:eastAsia="zh-CN"/>
        </w:rPr>
        <w:t>和</w:t>
      </w:r>
      <w:r>
        <w:rPr>
          <w:rFonts w:eastAsia="Times New Roman"/>
          <w:lang w:eastAsia="zh-CN"/>
        </w:rPr>
        <w:t>ITU-T</w:t>
      </w:r>
      <w:r>
        <w:rPr>
          <w:rFonts w:ascii="SimSun" w:hAnsi="SimSun" w:cs="SimSun" w:hint="eastAsia"/>
          <w:lang w:eastAsia="zh-CN"/>
        </w:rPr>
        <w:t>研究组</w:t>
      </w:r>
      <w:r>
        <w:rPr>
          <w:rFonts w:asciiTheme="minorEastAsia" w:eastAsiaTheme="minorEastAsia" w:hAnsiTheme="minorEastAsia" w:hint="eastAsia"/>
          <w:lang w:eastAsia="zh-CN"/>
        </w:rPr>
        <w:t>副主席完成包括以下内容的各项工作：</w:t>
      </w:r>
    </w:p>
    <w:p w14:paraId="6E680D52" w14:textId="77777777" w:rsidR="009E3497" w:rsidRDefault="000F1838">
      <w:pPr>
        <w:pStyle w:val="enumlev1"/>
        <w:rPr>
          <w:rFonts w:eastAsia="Times New Roman"/>
          <w:lang w:eastAsia="zh-CN"/>
        </w:rPr>
      </w:pPr>
      <w:proofErr w:type="spellStart"/>
      <w:r>
        <w:rPr>
          <w:rFonts w:eastAsia="Times New Roman"/>
          <w:lang w:eastAsia="zh-CN"/>
        </w:rPr>
        <w:t>i</w:t>
      </w:r>
      <w:proofErr w:type="spellEnd"/>
      <w:r>
        <w:rPr>
          <w:rFonts w:eastAsia="Times New Roman"/>
          <w:lang w:eastAsia="zh-CN"/>
        </w:rPr>
        <w:t>)</w:t>
      </w:r>
      <w:r>
        <w:rPr>
          <w:rFonts w:eastAsia="Times New Roman"/>
          <w:lang w:eastAsia="zh-CN"/>
        </w:rPr>
        <w:tab/>
      </w:r>
      <w:r>
        <w:rPr>
          <w:rFonts w:hint="eastAsia"/>
          <w:lang w:eastAsia="zh-CN"/>
        </w:rPr>
        <w:t>与本区域的国际电联成员密切合作，动员他们</w:t>
      </w:r>
      <w:ins w:id="41" w:author="TSB(RC)" w:date="2024-09-27T17:04:00Z">
        <w:r>
          <w:rPr>
            <w:rFonts w:hint="eastAsia"/>
            <w:lang w:eastAsia="zh-CN"/>
          </w:rPr>
          <w:t>（</w:t>
        </w:r>
        <w:r>
          <w:rPr>
            <w:lang w:val="zh-CN" w:eastAsia="zh-CN"/>
          </w:rPr>
          <w:t>包括</w:t>
        </w:r>
        <w:r>
          <w:rPr>
            <w:rFonts w:hint="eastAsia"/>
            <w:lang w:val="en-US" w:eastAsia="zh-CN"/>
          </w:rPr>
          <w:t>其</w:t>
        </w:r>
        <w:r>
          <w:rPr>
            <w:lang w:val="zh-CN" w:eastAsia="zh-CN"/>
          </w:rPr>
          <w:t>下一代</w:t>
        </w:r>
        <w:r>
          <w:rPr>
            <w:rFonts w:hint="eastAsia"/>
            <w:lang w:val="en-US" w:eastAsia="zh-CN"/>
          </w:rPr>
          <w:t>人</w:t>
        </w:r>
        <w:r>
          <w:rPr>
            <w:rFonts w:hint="eastAsia"/>
            <w:lang w:eastAsia="zh-CN"/>
          </w:rPr>
          <w:t>）</w:t>
        </w:r>
      </w:ins>
      <w:r>
        <w:rPr>
          <w:rFonts w:hint="eastAsia"/>
          <w:lang w:eastAsia="zh-CN"/>
        </w:rPr>
        <w:t>参与国际电联的标准化活动，</w:t>
      </w:r>
      <w:proofErr w:type="gramStart"/>
      <w:r>
        <w:rPr>
          <w:rFonts w:hint="eastAsia"/>
          <w:lang w:eastAsia="zh-CN"/>
        </w:rPr>
        <w:t>以帮助缩小标准化工作差距；</w:t>
      </w:r>
      <w:proofErr w:type="gramEnd"/>
    </w:p>
    <w:p w14:paraId="28D4035E" w14:textId="77777777" w:rsidR="009E3497" w:rsidRDefault="000F1838">
      <w:pPr>
        <w:pStyle w:val="enumlev1"/>
        <w:rPr>
          <w:rFonts w:eastAsia="Times New Roman"/>
          <w:lang w:eastAsia="zh-CN"/>
        </w:rPr>
      </w:pPr>
      <w:r>
        <w:rPr>
          <w:rFonts w:eastAsia="Times New Roman"/>
          <w:lang w:eastAsia="zh-CN"/>
        </w:rPr>
        <w:t>ii)</w:t>
      </w:r>
      <w:r>
        <w:rPr>
          <w:rFonts w:eastAsia="Times New Roman"/>
          <w:lang w:eastAsia="zh-CN"/>
        </w:rPr>
        <w:tab/>
      </w:r>
      <w:proofErr w:type="gramStart"/>
      <w:r>
        <w:rPr>
          <w:rFonts w:hint="eastAsia"/>
          <w:lang w:eastAsia="zh-CN"/>
        </w:rPr>
        <w:t>向国际电联有关该区域的机构提交资源筹措和参与报告；</w:t>
      </w:r>
      <w:proofErr w:type="gramEnd"/>
    </w:p>
    <w:p w14:paraId="6891FB4C" w14:textId="77777777" w:rsidR="009E3497" w:rsidRDefault="000F1838">
      <w:pPr>
        <w:pStyle w:val="enumlev1"/>
        <w:rPr>
          <w:lang w:eastAsia="zh-CN"/>
        </w:rPr>
      </w:pPr>
      <w:r>
        <w:rPr>
          <w:rFonts w:eastAsia="Times New Roman"/>
          <w:lang w:eastAsia="zh-CN"/>
        </w:rPr>
        <w:t>iii)</w:t>
      </w:r>
      <w:r>
        <w:rPr>
          <w:rFonts w:eastAsia="Times New Roman"/>
          <w:lang w:eastAsia="zh-CN"/>
        </w:rPr>
        <w:tab/>
      </w:r>
      <w:r>
        <w:rPr>
          <w:rFonts w:hint="eastAsia"/>
          <w:lang w:eastAsia="zh-CN"/>
        </w:rPr>
        <w:t>制定并向</w:t>
      </w:r>
      <w:r>
        <w:rPr>
          <w:lang w:eastAsia="zh-CN"/>
        </w:rPr>
        <w:t>TSAG</w:t>
      </w:r>
      <w:r>
        <w:rPr>
          <w:rFonts w:hint="eastAsia"/>
          <w:lang w:eastAsia="zh-CN"/>
        </w:rPr>
        <w:t>或研究组第一次会议提交有关所代表区域的资源筹措计划</w:t>
      </w:r>
      <w:r>
        <w:rPr>
          <w:rFonts w:asciiTheme="majorBidi" w:hAnsiTheme="majorBidi" w:cstheme="majorBidi" w:hint="eastAsia"/>
          <w:lang w:eastAsia="zh-CN"/>
        </w:rPr>
        <w:t>，</w:t>
      </w:r>
      <w:proofErr w:type="gramStart"/>
      <w:r>
        <w:rPr>
          <w:rFonts w:asciiTheme="majorBidi" w:hAnsiTheme="majorBidi" w:cstheme="majorBidi" w:hint="eastAsia"/>
          <w:lang w:eastAsia="zh-CN"/>
        </w:rPr>
        <w:t>并向</w:t>
      </w:r>
      <w:r>
        <w:rPr>
          <w:rFonts w:asciiTheme="majorBidi" w:hAnsiTheme="majorBidi" w:cstheme="majorBidi"/>
          <w:lang w:eastAsia="zh-CN"/>
        </w:rPr>
        <w:t>TSAG</w:t>
      </w:r>
      <w:r>
        <w:rPr>
          <w:rFonts w:hint="eastAsia"/>
          <w:lang w:eastAsia="zh-CN"/>
        </w:rPr>
        <w:t>发送报告；</w:t>
      </w:r>
      <w:proofErr w:type="gramEnd"/>
    </w:p>
    <w:p w14:paraId="43627DC2" w14:textId="77777777" w:rsidR="009E3497" w:rsidRDefault="000F1838">
      <w:pPr>
        <w:pStyle w:val="enumlev1"/>
        <w:rPr>
          <w:rFonts w:eastAsia="Times New Roman"/>
          <w:lang w:eastAsia="zh-CN"/>
        </w:rPr>
      </w:pPr>
      <w:r>
        <w:rPr>
          <w:lang w:eastAsia="zh-CN"/>
        </w:rPr>
        <w:t>iv)</w:t>
      </w:r>
      <w:r>
        <w:rPr>
          <w:lang w:eastAsia="zh-CN"/>
        </w:rPr>
        <w:tab/>
      </w:r>
      <w:r>
        <w:rPr>
          <w:rFonts w:hint="eastAsia"/>
          <w:lang w:eastAsia="zh-CN"/>
        </w:rPr>
        <w:t>向国际电联成员通报</w:t>
      </w:r>
      <w:r>
        <w:rPr>
          <w:lang w:eastAsia="zh-CN"/>
        </w:rPr>
        <w:t>ITU-</w:t>
      </w:r>
      <w:proofErr w:type="gramStart"/>
      <w:r>
        <w:rPr>
          <w:lang w:eastAsia="zh-CN"/>
        </w:rPr>
        <w:t>D</w:t>
      </w:r>
      <w:r>
        <w:rPr>
          <w:rFonts w:hint="eastAsia"/>
          <w:lang w:eastAsia="zh-CN"/>
        </w:rPr>
        <w:t>内所开展的有助于缩小标准化工作差距的项目和举措；</w:t>
      </w:r>
      <w:proofErr w:type="gramEnd"/>
    </w:p>
    <w:p w14:paraId="347F4B93" w14:textId="77777777" w:rsidR="009E3497" w:rsidRDefault="000F1838">
      <w:pPr>
        <w:pStyle w:val="Normalnoindent"/>
        <w:rPr>
          <w:rFonts w:asciiTheme="minorEastAsia" w:eastAsiaTheme="minorEastAsia" w:hAnsiTheme="minorEastAsia"/>
          <w:lang w:eastAsia="zh-CN"/>
        </w:rPr>
      </w:pPr>
      <w:r>
        <w:rPr>
          <w:rFonts w:eastAsiaTheme="minorEastAsia"/>
          <w:lang w:eastAsia="zh-CN"/>
        </w:rPr>
        <w:t>3</w:t>
      </w:r>
      <w:r>
        <w:rPr>
          <w:rFonts w:eastAsiaTheme="minorEastAsia"/>
          <w:lang w:eastAsia="zh-CN"/>
        </w:rPr>
        <w:tab/>
      </w:r>
      <w:r>
        <w:rPr>
          <w:rFonts w:asciiTheme="minorEastAsia" w:eastAsiaTheme="minorEastAsia" w:hAnsiTheme="minorEastAsia" w:hint="eastAsia"/>
          <w:lang w:eastAsia="zh-CN"/>
        </w:rPr>
        <w:t>组织并协调</w:t>
      </w:r>
      <w:r>
        <w:rPr>
          <w:rFonts w:asciiTheme="majorBidi" w:eastAsiaTheme="minorEastAsia" w:hAnsiTheme="majorBidi" w:cstheme="majorBidi"/>
          <w:lang w:eastAsia="zh-CN"/>
        </w:rPr>
        <w:t>ITU-T</w:t>
      </w:r>
      <w:r>
        <w:rPr>
          <w:rFonts w:asciiTheme="minorEastAsia" w:eastAsiaTheme="minorEastAsia" w:hAnsiTheme="minorEastAsia" w:hint="eastAsia"/>
          <w:lang w:eastAsia="zh-CN"/>
        </w:rPr>
        <w:t>研究组区域组的活动，</w:t>
      </w:r>
    </w:p>
    <w:p w14:paraId="128326EA" w14:textId="77777777" w:rsidR="009E3497" w:rsidRDefault="000F1838">
      <w:pPr>
        <w:pStyle w:val="Call"/>
        <w:rPr>
          <w:lang w:eastAsia="zh-CN"/>
        </w:rPr>
      </w:pPr>
      <w:r>
        <w:rPr>
          <w:rFonts w:hint="eastAsia"/>
          <w:lang w:eastAsia="zh-CN"/>
        </w:rPr>
        <w:t>请国际电联理事会</w:t>
      </w:r>
    </w:p>
    <w:p w14:paraId="4C7890AF" w14:textId="77777777" w:rsidR="009E3497" w:rsidRDefault="000F1838">
      <w:pPr>
        <w:pStyle w:val="Normalnoindent"/>
        <w:rPr>
          <w:lang w:eastAsia="zh-CN"/>
        </w:rPr>
      </w:pPr>
      <w:r>
        <w:rPr>
          <w:rFonts w:eastAsiaTheme="minorEastAsia" w:hint="eastAsia"/>
          <w:lang w:eastAsia="zh-CN"/>
        </w:rPr>
        <w:t>1</w:t>
      </w:r>
      <w:r>
        <w:rPr>
          <w:rFonts w:eastAsiaTheme="minorEastAsia"/>
          <w:lang w:eastAsia="zh-CN"/>
        </w:rPr>
        <w:tab/>
      </w:r>
      <w:r>
        <w:rPr>
          <w:rFonts w:eastAsiaTheme="minorEastAsia" w:hint="eastAsia"/>
          <w:lang w:eastAsia="zh-CN"/>
        </w:rPr>
        <w:t>鉴于上述</w:t>
      </w:r>
      <w:r w:rsidRPr="009E0DEE">
        <w:rPr>
          <w:rStyle w:val="Italic"/>
          <w:rFonts w:hint="eastAsia"/>
          <w:lang w:eastAsia="zh-CN"/>
        </w:rPr>
        <w:t>做出决议</w:t>
      </w:r>
      <w:r>
        <w:rPr>
          <w:rFonts w:ascii="SimSun" w:hAnsi="SimSun" w:hint="eastAsia"/>
          <w:lang w:eastAsia="zh-CN"/>
        </w:rPr>
        <w:t>各节</w:t>
      </w:r>
      <w:r>
        <w:rPr>
          <w:rFonts w:eastAsiaTheme="minorEastAsia" w:hint="eastAsia"/>
          <w:lang w:eastAsia="zh-CN"/>
        </w:rPr>
        <w:t>，尤其是</w:t>
      </w:r>
      <w:r>
        <w:rPr>
          <w:rStyle w:val="Italic"/>
          <w:rFonts w:hint="eastAsia"/>
          <w:lang w:eastAsia="zh-CN"/>
        </w:rPr>
        <w:t>做出决议</w:t>
      </w:r>
      <w:r w:rsidRPr="006B38AD">
        <w:rPr>
          <w:rStyle w:val="Italic"/>
          <w:lang w:eastAsia="zh-CN"/>
          <w:rPrChange w:id="42" w:author="LING-C(JL)" w:date="2024-09-30T11:08:00Z" w16du:dateUtc="2024-09-30T09:08:00Z">
            <w:rPr>
              <w:rStyle w:val="Italic"/>
              <w:i/>
              <w:iCs/>
              <w:lang w:eastAsia="zh-CN"/>
            </w:rPr>
          </w:rPrChange>
        </w:rPr>
        <w:t>6</w:t>
      </w:r>
      <w:r>
        <w:rPr>
          <w:rFonts w:eastAsiaTheme="minorEastAsia" w:hint="eastAsia"/>
          <w:lang w:eastAsia="zh-CN"/>
        </w:rPr>
        <w:t>，</w:t>
      </w:r>
      <w:r>
        <w:rPr>
          <w:rFonts w:hint="eastAsia"/>
          <w:lang w:eastAsia="zh-CN"/>
        </w:rPr>
        <w:t>增加用</w:t>
      </w:r>
      <w:r>
        <w:rPr>
          <w:lang w:eastAsia="zh-CN"/>
        </w:rPr>
        <w:t>于</w:t>
      </w:r>
      <w:r>
        <w:rPr>
          <w:rFonts w:hint="eastAsia"/>
          <w:lang w:eastAsia="zh-CN"/>
        </w:rPr>
        <w:t>TSAG</w:t>
      </w:r>
      <w:r>
        <w:rPr>
          <w:rFonts w:hint="eastAsia"/>
          <w:lang w:eastAsia="zh-CN"/>
        </w:rPr>
        <w:t>会议、</w:t>
      </w:r>
      <w:r>
        <w:rPr>
          <w:rFonts w:hint="eastAsia"/>
          <w:lang w:eastAsia="zh-CN"/>
        </w:rPr>
        <w:t>ITU-T</w:t>
      </w:r>
      <w:r>
        <w:rPr>
          <w:rFonts w:hint="eastAsia"/>
          <w:lang w:eastAsia="zh-CN"/>
        </w:rPr>
        <w:t>研究组和</w:t>
      </w:r>
      <w:r>
        <w:rPr>
          <w:rFonts w:hint="eastAsia"/>
          <w:lang w:eastAsia="zh-CN"/>
        </w:rPr>
        <w:t>ITU-T</w:t>
      </w:r>
      <w:r>
        <w:rPr>
          <w:rFonts w:hint="eastAsia"/>
          <w:lang w:eastAsia="zh-CN"/>
        </w:rPr>
        <w:t>研究组的区域组会议的与会补贴、口译和文件笔译方面的</w:t>
      </w:r>
      <w:r>
        <w:rPr>
          <w:rFonts w:hint="eastAsia"/>
          <w:lang w:eastAsia="zh-CN"/>
        </w:rPr>
        <w:t>ITU-</w:t>
      </w:r>
      <w:proofErr w:type="gramStart"/>
      <w:r>
        <w:rPr>
          <w:rFonts w:hint="eastAsia"/>
          <w:lang w:eastAsia="zh-CN"/>
        </w:rPr>
        <w:t>T</w:t>
      </w:r>
      <w:r>
        <w:rPr>
          <w:rFonts w:hint="eastAsia"/>
          <w:lang w:eastAsia="zh-CN"/>
        </w:rPr>
        <w:t>预算拨款；</w:t>
      </w:r>
      <w:proofErr w:type="gramEnd"/>
    </w:p>
    <w:p w14:paraId="485373D3" w14:textId="77777777" w:rsidR="009E3497" w:rsidRDefault="000F1838">
      <w:pPr>
        <w:pStyle w:val="Normalnoindent"/>
        <w:rPr>
          <w:lang w:eastAsia="zh-CN"/>
        </w:rPr>
      </w:pPr>
      <w:r>
        <w:rPr>
          <w:lang w:eastAsia="zh-CN"/>
        </w:rPr>
        <w:t>2</w:t>
      </w:r>
      <w:r>
        <w:rPr>
          <w:lang w:eastAsia="zh-CN"/>
        </w:rPr>
        <w:tab/>
      </w:r>
      <w:r>
        <w:rPr>
          <w:rFonts w:ascii="SimSun" w:hAnsi="SimSun" w:cs="SimSun" w:hint="eastAsia"/>
          <w:szCs w:val="24"/>
          <w:lang w:eastAsia="zh-CN"/>
        </w:rPr>
        <w:t>考虑免除</w:t>
      </w:r>
      <w:r>
        <w:rPr>
          <w:rFonts w:hint="eastAsia"/>
          <w:lang w:eastAsia="zh-CN"/>
        </w:rPr>
        <w:t>发展中国家</w:t>
      </w:r>
      <w:r>
        <w:rPr>
          <w:rFonts w:ascii="SimSun" w:hAnsi="SimSun" w:cs="SimSun" w:hint="eastAsia"/>
          <w:szCs w:val="24"/>
          <w:lang w:eastAsia="zh-CN"/>
        </w:rPr>
        <w:t>新学术成员有限时间内（最多不超过一个完整研究期）的会费，以鼓励他们参与</w:t>
      </w:r>
      <w:r>
        <w:rPr>
          <w:rFonts w:asciiTheme="majorBidi" w:eastAsia="Times New Roman" w:hAnsiTheme="majorBidi" w:cstheme="majorBidi" w:hint="eastAsia"/>
          <w:szCs w:val="24"/>
          <w:lang w:eastAsia="zh-CN"/>
        </w:rPr>
        <w:t>ITU-T</w:t>
      </w:r>
      <w:r>
        <w:rPr>
          <w:rFonts w:ascii="SimSun" w:hAnsi="SimSun" w:cs="SimSun" w:hint="eastAsia"/>
          <w:szCs w:val="24"/>
          <w:lang w:eastAsia="zh-CN"/>
        </w:rPr>
        <w:t>的活动和标准化进程，</w:t>
      </w:r>
    </w:p>
    <w:p w14:paraId="448F2EDB" w14:textId="77777777" w:rsidR="009E3497" w:rsidRDefault="000F1838">
      <w:pPr>
        <w:pStyle w:val="Call"/>
        <w:rPr>
          <w:rStyle w:val="Italic"/>
          <w:lang w:eastAsia="zh-CN"/>
        </w:rPr>
      </w:pPr>
      <w:r>
        <w:rPr>
          <w:rFonts w:hint="eastAsia"/>
          <w:lang w:eastAsia="zh-CN"/>
        </w:rPr>
        <w:t>责成电信标准化局主任与电信发展局主任和无线电通信局主任协作</w:t>
      </w:r>
    </w:p>
    <w:p w14:paraId="44057328" w14:textId="77777777" w:rsidR="009E3497" w:rsidRDefault="000F1838">
      <w:pPr>
        <w:ind w:firstLineChars="200" w:firstLine="480"/>
        <w:rPr>
          <w:rFonts w:asciiTheme="minorEastAsia" w:eastAsiaTheme="minorEastAsia" w:hAnsiTheme="minorEastAsia"/>
          <w:lang w:eastAsia="zh-CN"/>
        </w:rPr>
      </w:pPr>
      <w:r>
        <w:rPr>
          <w:rFonts w:asciiTheme="minorEastAsia" w:eastAsiaTheme="minorEastAsia" w:hAnsiTheme="minorEastAsia" w:hint="eastAsia"/>
          <w:lang w:eastAsia="zh-CN"/>
        </w:rPr>
        <w:t>在可用资源范围内，</w:t>
      </w:r>
    </w:p>
    <w:p w14:paraId="201F9914" w14:textId="77777777" w:rsidR="009E3497" w:rsidRDefault="000F1838">
      <w:pPr>
        <w:pStyle w:val="Normalnoindent"/>
        <w:rPr>
          <w:lang w:eastAsia="zh-CN"/>
        </w:rPr>
      </w:pPr>
      <w:r>
        <w:rPr>
          <w:lang w:eastAsia="zh-CN"/>
        </w:rPr>
        <w:t>1</w:t>
      </w:r>
      <w:r>
        <w:rPr>
          <w:rFonts w:hint="eastAsia"/>
          <w:lang w:eastAsia="zh-CN"/>
        </w:rPr>
        <w:tab/>
      </w:r>
      <w:proofErr w:type="gramStart"/>
      <w:r>
        <w:rPr>
          <w:rFonts w:hint="eastAsia"/>
          <w:lang w:eastAsia="zh-CN"/>
        </w:rPr>
        <w:t>继续实现附于本决议之后的行动计划的目标；</w:t>
      </w:r>
      <w:proofErr w:type="gramEnd"/>
    </w:p>
    <w:p w14:paraId="77405C0B" w14:textId="77777777" w:rsidR="009E3497" w:rsidRDefault="000F1838">
      <w:pPr>
        <w:pStyle w:val="Normalnoindent"/>
        <w:rPr>
          <w:lang w:eastAsia="zh-CN"/>
        </w:rPr>
      </w:pPr>
      <w:r>
        <w:rPr>
          <w:rFonts w:eastAsia="Times New Roman"/>
          <w:lang w:eastAsia="zh-CN"/>
        </w:rPr>
        <w:t>2</w:t>
      </w:r>
      <w:r>
        <w:rPr>
          <w:rFonts w:eastAsia="Times New Roman"/>
          <w:lang w:eastAsia="zh-CN"/>
        </w:rPr>
        <w:tab/>
      </w:r>
      <w:r>
        <w:rPr>
          <w:rFonts w:hint="eastAsia"/>
          <w:lang w:eastAsia="zh-CN"/>
        </w:rPr>
        <w:t>在</w:t>
      </w:r>
      <w:r>
        <w:rPr>
          <w:lang w:eastAsia="zh-CN"/>
        </w:rPr>
        <w:t>ITU-T</w:t>
      </w:r>
      <w:r>
        <w:rPr>
          <w:rFonts w:hint="eastAsia"/>
          <w:lang w:eastAsia="zh-CN"/>
        </w:rPr>
        <w:t>的</w:t>
      </w:r>
      <w:r>
        <w:rPr>
          <w:lang w:eastAsia="zh-CN"/>
        </w:rPr>
        <w:t>领导下结成伙伴关系，</w:t>
      </w:r>
      <w:proofErr w:type="gramStart"/>
      <w:r>
        <w:rPr>
          <w:lang w:eastAsia="zh-CN"/>
        </w:rPr>
        <w:t>将此作为解决</w:t>
      </w:r>
      <w:r>
        <w:rPr>
          <w:rFonts w:hint="eastAsia"/>
          <w:lang w:eastAsia="zh-CN"/>
        </w:rPr>
        <w:t>本决议所附</w:t>
      </w:r>
      <w:r>
        <w:rPr>
          <w:lang w:eastAsia="zh-CN"/>
        </w:rPr>
        <w:t>行动计划资金</w:t>
      </w:r>
      <w:r>
        <w:rPr>
          <w:rFonts w:hint="eastAsia"/>
          <w:lang w:eastAsia="zh-CN"/>
        </w:rPr>
        <w:t>问题和实现各项目标</w:t>
      </w:r>
      <w:r>
        <w:rPr>
          <w:lang w:eastAsia="zh-CN"/>
        </w:rPr>
        <w:t>的手段</w:t>
      </w:r>
      <w:r>
        <w:rPr>
          <w:rFonts w:hint="eastAsia"/>
          <w:lang w:eastAsia="zh-CN"/>
        </w:rPr>
        <w:t>之一；</w:t>
      </w:r>
      <w:proofErr w:type="gramEnd"/>
    </w:p>
    <w:p w14:paraId="7B1812A5" w14:textId="77777777" w:rsidR="009E3497" w:rsidRDefault="000F1838">
      <w:pPr>
        <w:pStyle w:val="Normalnoindent"/>
        <w:rPr>
          <w:lang w:eastAsia="zh-CN"/>
        </w:rPr>
      </w:pPr>
      <w:r>
        <w:rPr>
          <w:lang w:eastAsia="zh-CN"/>
        </w:rPr>
        <w:t>3</w:t>
      </w:r>
      <w:r>
        <w:rPr>
          <w:lang w:eastAsia="zh-CN"/>
        </w:rPr>
        <w:tab/>
      </w:r>
      <w:r>
        <w:rPr>
          <w:rFonts w:hint="eastAsia"/>
          <w:lang w:eastAsia="zh-CN"/>
        </w:rPr>
        <w:t>与</w:t>
      </w:r>
      <w:r>
        <w:rPr>
          <w:rFonts w:hint="eastAsia"/>
          <w:lang w:eastAsia="zh-CN"/>
        </w:rPr>
        <w:t>BDT</w:t>
      </w:r>
      <w:r>
        <w:rPr>
          <w:rFonts w:hint="eastAsia"/>
          <w:lang w:eastAsia="zh-CN"/>
        </w:rPr>
        <w:t>主任以及国际电联区域代表处协调和协作考虑尽可能与各自的</w:t>
      </w:r>
      <w:r>
        <w:rPr>
          <w:lang w:eastAsia="zh-CN"/>
        </w:rPr>
        <w:t>ITU-</w:t>
      </w:r>
      <w:proofErr w:type="gramStart"/>
      <w:r>
        <w:rPr>
          <w:lang w:eastAsia="zh-CN"/>
        </w:rPr>
        <w:t>T</w:t>
      </w:r>
      <w:r>
        <w:rPr>
          <w:rFonts w:hint="eastAsia"/>
          <w:lang w:eastAsia="zh-CN"/>
        </w:rPr>
        <w:t>研究组的区域组会议同时同地举办讲习班或在这些会议期间组织其他讲习班或活动；</w:t>
      </w:r>
      <w:proofErr w:type="gramEnd"/>
    </w:p>
    <w:p w14:paraId="65903F7F" w14:textId="77777777" w:rsidR="009E3497" w:rsidRDefault="000F1838">
      <w:pPr>
        <w:pStyle w:val="Normalnoindent"/>
        <w:rPr>
          <w:lang w:eastAsia="zh-CN"/>
        </w:rPr>
      </w:pPr>
      <w:r>
        <w:rPr>
          <w:lang w:eastAsia="zh-CN"/>
        </w:rPr>
        <w:t>4</w:t>
      </w:r>
      <w:r>
        <w:rPr>
          <w:lang w:eastAsia="zh-CN"/>
        </w:rPr>
        <w:tab/>
      </w:r>
      <w:r>
        <w:rPr>
          <w:rFonts w:hint="eastAsia"/>
          <w:lang w:eastAsia="zh-CN"/>
        </w:rPr>
        <w:t>帮助发展中国家开展研究工作，特别是旨在制定和实施</w:t>
      </w:r>
      <w:r>
        <w:rPr>
          <w:rFonts w:hint="eastAsia"/>
          <w:lang w:eastAsia="zh-CN"/>
        </w:rPr>
        <w:t>ITU-</w:t>
      </w:r>
      <w:proofErr w:type="gramStart"/>
      <w:r>
        <w:rPr>
          <w:rFonts w:hint="eastAsia"/>
          <w:lang w:eastAsia="zh-CN"/>
        </w:rPr>
        <w:t>T</w:t>
      </w:r>
      <w:r>
        <w:rPr>
          <w:rFonts w:hint="eastAsia"/>
          <w:lang w:eastAsia="zh-CN"/>
        </w:rPr>
        <w:t>建议书的优先课题；</w:t>
      </w:r>
      <w:proofErr w:type="gramEnd"/>
    </w:p>
    <w:p w14:paraId="69E0D934" w14:textId="77777777" w:rsidR="009E3497" w:rsidRDefault="000F1838">
      <w:pPr>
        <w:pStyle w:val="Normalnoindent"/>
        <w:rPr>
          <w:lang w:eastAsia="zh-CN"/>
        </w:rPr>
      </w:pPr>
      <w:r>
        <w:rPr>
          <w:lang w:eastAsia="zh-CN"/>
        </w:rPr>
        <w:t>5</w:t>
      </w:r>
      <w:r>
        <w:rPr>
          <w:rFonts w:hint="eastAsia"/>
          <w:lang w:eastAsia="zh-CN"/>
        </w:rPr>
        <w:tab/>
      </w:r>
      <w:r>
        <w:rPr>
          <w:rFonts w:hint="eastAsia"/>
          <w:lang w:eastAsia="zh-CN"/>
        </w:rPr>
        <w:t>继续通过在</w:t>
      </w:r>
      <w:r>
        <w:rPr>
          <w:rFonts w:hint="eastAsia"/>
          <w:lang w:eastAsia="zh-CN"/>
        </w:rPr>
        <w:t>TSB</w:t>
      </w:r>
      <w:r>
        <w:rPr>
          <w:rFonts w:hint="eastAsia"/>
          <w:lang w:eastAsia="zh-CN"/>
        </w:rPr>
        <w:t>内设立的实施组，安排工作、调动资源、</w:t>
      </w:r>
      <w:proofErr w:type="gramStart"/>
      <w:r>
        <w:rPr>
          <w:rFonts w:hint="eastAsia"/>
          <w:lang w:eastAsia="zh-CN"/>
        </w:rPr>
        <w:t>协调努力和监督与本决议相关工作及相关行动计划的活动；</w:t>
      </w:r>
      <w:proofErr w:type="gramEnd"/>
    </w:p>
    <w:p w14:paraId="71F99992" w14:textId="77777777" w:rsidR="009E3497" w:rsidRDefault="000F1838">
      <w:pPr>
        <w:pStyle w:val="Normalnoindent"/>
        <w:rPr>
          <w:rFonts w:eastAsia="Times New Roman"/>
          <w:lang w:eastAsia="zh-CN"/>
        </w:rPr>
      </w:pPr>
      <w:r>
        <w:rPr>
          <w:rFonts w:eastAsia="Times New Roman"/>
          <w:lang w:eastAsia="zh-CN"/>
        </w:rPr>
        <w:t>6</w:t>
      </w:r>
      <w:r>
        <w:rPr>
          <w:rFonts w:eastAsia="Times New Roman"/>
          <w:lang w:eastAsia="zh-CN"/>
        </w:rPr>
        <w:tab/>
      </w:r>
      <w:proofErr w:type="gramStart"/>
      <w:r>
        <w:rPr>
          <w:rFonts w:ascii="SimSun" w:hAnsi="SimSun" w:cs="SimSun" w:hint="eastAsia"/>
          <w:lang w:eastAsia="zh-CN"/>
        </w:rPr>
        <w:t>继续</w:t>
      </w:r>
      <w:r>
        <w:rPr>
          <w:rFonts w:asciiTheme="minorEastAsia" w:eastAsiaTheme="minorEastAsia" w:hAnsiTheme="minorEastAsia" w:hint="eastAsia"/>
          <w:lang w:eastAsia="zh-CN"/>
        </w:rPr>
        <w:t>针对创新管理和创新刺激项目在缩小发达国家与发展中国家标准化差距方面的作用开展必要研究；</w:t>
      </w:r>
      <w:proofErr w:type="gramEnd"/>
    </w:p>
    <w:p w14:paraId="0F8575A5" w14:textId="77777777" w:rsidR="009E3497" w:rsidRDefault="000F1838">
      <w:pPr>
        <w:pStyle w:val="Normalnoindent"/>
        <w:rPr>
          <w:lang w:eastAsia="zh-CN"/>
        </w:rPr>
      </w:pPr>
      <w:r>
        <w:rPr>
          <w:lang w:eastAsia="zh-CN"/>
        </w:rPr>
        <w:t>7</w:t>
      </w:r>
      <w:r>
        <w:rPr>
          <w:lang w:eastAsia="zh-CN"/>
        </w:rPr>
        <w:tab/>
      </w:r>
      <w:r>
        <w:rPr>
          <w:rFonts w:hint="eastAsia"/>
          <w:lang w:eastAsia="zh-CN"/>
        </w:rPr>
        <w:t>在</w:t>
      </w:r>
      <w:r>
        <w:rPr>
          <w:rFonts w:hint="eastAsia"/>
          <w:lang w:eastAsia="zh-CN"/>
        </w:rPr>
        <w:t>TSB</w:t>
      </w:r>
      <w:r>
        <w:rPr>
          <w:rFonts w:hint="eastAsia"/>
          <w:lang w:eastAsia="zh-CN"/>
        </w:rPr>
        <w:t>向国际电联理事会提交的预算建议中包括将用于实施本决议的资金，</w:t>
      </w:r>
      <w:proofErr w:type="gramStart"/>
      <w:r>
        <w:rPr>
          <w:rFonts w:hint="eastAsia"/>
          <w:lang w:eastAsia="zh-CN"/>
        </w:rPr>
        <w:t>同时考虑到</w:t>
      </w:r>
      <w:r>
        <w:rPr>
          <w:rFonts w:hint="eastAsia"/>
          <w:lang w:eastAsia="zh-CN"/>
        </w:rPr>
        <w:t>BDT</w:t>
      </w:r>
      <w:r>
        <w:rPr>
          <w:rFonts w:hint="eastAsia"/>
          <w:lang w:eastAsia="zh-CN"/>
        </w:rPr>
        <w:t>现有活动和计划中活动所面临的财务限制；</w:t>
      </w:r>
      <w:proofErr w:type="gramEnd"/>
    </w:p>
    <w:p w14:paraId="0DFEFB4F" w14:textId="77777777" w:rsidR="009E3497" w:rsidRDefault="000F1838">
      <w:pPr>
        <w:pStyle w:val="Normalnoindent"/>
        <w:rPr>
          <w:lang w:eastAsia="zh-CN"/>
        </w:rPr>
      </w:pPr>
      <w:r>
        <w:rPr>
          <w:lang w:eastAsia="zh-CN"/>
        </w:rPr>
        <w:t>8</w:t>
      </w:r>
      <w:r>
        <w:rPr>
          <w:lang w:eastAsia="zh-CN"/>
        </w:rPr>
        <w:tab/>
      </w:r>
      <w:r>
        <w:rPr>
          <w:rFonts w:hint="eastAsia"/>
          <w:lang w:eastAsia="zh-CN"/>
        </w:rPr>
        <w:t>向未来的世界电信标准化全会和全权代表大会报告本计划的实施情况，以审议本决议并根据实施结果进行适当修改，</w:t>
      </w:r>
      <w:proofErr w:type="gramStart"/>
      <w:r>
        <w:rPr>
          <w:rFonts w:hint="eastAsia"/>
          <w:lang w:eastAsia="zh-CN"/>
        </w:rPr>
        <w:t>同时进行所需的预算调整；</w:t>
      </w:r>
      <w:proofErr w:type="gramEnd"/>
    </w:p>
    <w:p w14:paraId="09FBBA4D" w14:textId="77777777" w:rsidR="009E3497" w:rsidRDefault="000F1838">
      <w:pPr>
        <w:pStyle w:val="Normalnoindent"/>
        <w:rPr>
          <w:rFonts w:eastAsia="Times New Roman"/>
          <w:lang w:eastAsia="zh-CN"/>
        </w:rPr>
      </w:pPr>
      <w:r>
        <w:rPr>
          <w:rFonts w:eastAsia="Times New Roman"/>
          <w:lang w:eastAsia="zh-CN"/>
        </w:rPr>
        <w:lastRenderedPageBreak/>
        <w:t>9</w:t>
      </w:r>
      <w:r>
        <w:rPr>
          <w:rFonts w:eastAsia="Times New Roman"/>
          <w:lang w:eastAsia="zh-CN"/>
        </w:rPr>
        <w:tab/>
      </w:r>
      <w:r>
        <w:rPr>
          <w:rFonts w:asciiTheme="minorEastAsia" w:eastAsiaTheme="minorEastAsia" w:hAnsiTheme="minorEastAsia" w:hint="eastAsia"/>
          <w:lang w:eastAsia="zh-CN"/>
        </w:rPr>
        <w:t>应要求向发展中国家提供支持和帮助，</w:t>
      </w:r>
      <w:r>
        <w:rPr>
          <w:rFonts w:asciiTheme="majorBidi" w:eastAsiaTheme="minorEastAsia" w:hAnsiTheme="majorBidi" w:cstheme="majorBidi" w:hint="eastAsia"/>
          <w:lang w:eastAsia="zh-CN"/>
        </w:rPr>
        <w:t>以起草</w:t>
      </w:r>
      <w:r>
        <w:rPr>
          <w:rFonts w:asciiTheme="majorBidi" w:eastAsiaTheme="minorEastAsia" w:hAnsiTheme="majorBidi" w:cstheme="majorBidi"/>
          <w:lang w:eastAsia="zh-CN"/>
        </w:rPr>
        <w:t>/</w:t>
      </w:r>
      <w:r>
        <w:rPr>
          <w:rFonts w:asciiTheme="majorBidi" w:eastAsiaTheme="minorEastAsia" w:hAnsiTheme="majorBidi" w:cstheme="majorBidi" w:hint="eastAsia"/>
          <w:lang w:eastAsia="zh-CN"/>
        </w:rPr>
        <w:t>制定</w:t>
      </w:r>
      <w:r>
        <w:rPr>
          <w:rFonts w:hint="eastAsia"/>
          <w:lang w:eastAsia="zh-CN"/>
        </w:rPr>
        <w:t>在国家层面应用</w:t>
      </w:r>
      <w:r>
        <w:rPr>
          <w:rFonts w:hint="eastAsia"/>
          <w:lang w:eastAsia="zh-CN"/>
        </w:rPr>
        <w:t>ITU-T</w:t>
      </w:r>
      <w:r>
        <w:rPr>
          <w:rFonts w:hint="eastAsia"/>
          <w:lang w:eastAsia="zh-CN"/>
        </w:rPr>
        <w:t>建议书的一套</w:t>
      </w:r>
      <w:r>
        <w:rPr>
          <w:rFonts w:asciiTheme="majorBidi" w:eastAsiaTheme="minorEastAsia" w:hAnsiTheme="majorBidi" w:cstheme="majorBidi" w:hint="eastAsia"/>
          <w:lang w:eastAsia="zh-CN"/>
        </w:rPr>
        <w:t>导则，以便在国际电联区域代表处的协助下，加强这些国家对</w:t>
      </w:r>
      <w:r>
        <w:rPr>
          <w:rFonts w:asciiTheme="majorBidi" w:eastAsiaTheme="minorEastAsia" w:hAnsiTheme="majorBidi" w:cstheme="majorBidi"/>
          <w:lang w:eastAsia="zh-CN"/>
        </w:rPr>
        <w:t>ITU-T</w:t>
      </w:r>
      <w:r>
        <w:rPr>
          <w:rFonts w:asciiTheme="majorBidi" w:eastAsiaTheme="minorEastAsia" w:hAnsiTheme="majorBidi" w:cstheme="majorBidi" w:hint="eastAsia"/>
          <w:lang w:eastAsia="zh-CN"/>
        </w:rPr>
        <w:t>研究组工作的参与</w:t>
      </w:r>
      <w:r>
        <w:rPr>
          <w:rFonts w:asciiTheme="minorEastAsia" w:eastAsiaTheme="minorEastAsia" w:hAnsiTheme="minorEastAsia" w:hint="eastAsia"/>
          <w:lang w:eastAsia="zh-CN"/>
        </w:rPr>
        <w:t>，</w:t>
      </w:r>
      <w:proofErr w:type="gramStart"/>
      <w:r>
        <w:rPr>
          <w:rFonts w:asciiTheme="minorEastAsia" w:eastAsiaTheme="minorEastAsia" w:hAnsiTheme="minorEastAsia" w:hint="eastAsia"/>
          <w:lang w:eastAsia="zh-CN"/>
        </w:rPr>
        <w:t>从而缩小标准化工作差距；</w:t>
      </w:r>
      <w:proofErr w:type="gramEnd"/>
    </w:p>
    <w:p w14:paraId="1926E315" w14:textId="77777777" w:rsidR="009E3497" w:rsidRDefault="000F1838">
      <w:pPr>
        <w:pStyle w:val="Normalnoindent"/>
        <w:rPr>
          <w:rFonts w:eastAsia="Times New Roman"/>
          <w:lang w:eastAsia="zh-CN"/>
        </w:rPr>
      </w:pPr>
      <w:r>
        <w:rPr>
          <w:rFonts w:eastAsia="Times New Roman"/>
          <w:lang w:eastAsia="zh-CN"/>
        </w:rPr>
        <w:t>10</w:t>
      </w:r>
      <w:r>
        <w:rPr>
          <w:rFonts w:eastAsia="Times New Roman"/>
          <w:lang w:eastAsia="zh-CN"/>
        </w:rPr>
        <w:tab/>
      </w:r>
      <w:r>
        <w:rPr>
          <w:rFonts w:asciiTheme="majorBidi" w:eastAsiaTheme="minorEastAsia" w:hAnsiTheme="majorBidi" w:cstheme="majorBidi" w:hint="eastAsia"/>
          <w:lang w:eastAsia="zh-CN"/>
        </w:rPr>
        <w:t>在进行有关实施</w:t>
      </w:r>
      <w:r>
        <w:rPr>
          <w:rFonts w:asciiTheme="majorBidi" w:eastAsiaTheme="minorEastAsia" w:hAnsiTheme="majorBidi" w:cstheme="majorBidi"/>
          <w:lang w:eastAsia="zh-CN"/>
        </w:rPr>
        <w:t>ITU-T</w:t>
      </w:r>
      <w:r>
        <w:rPr>
          <w:rFonts w:asciiTheme="majorBidi" w:eastAsiaTheme="minorEastAsia" w:hAnsiTheme="majorBidi" w:cstheme="majorBidi" w:hint="eastAsia"/>
          <w:lang w:eastAsia="zh-CN"/>
        </w:rPr>
        <w:t>建议书的教育和培训时，与国际电联学院和</w:t>
      </w:r>
      <w:r>
        <w:rPr>
          <w:rFonts w:asciiTheme="majorBidi" w:eastAsiaTheme="minorEastAsia" w:hAnsiTheme="majorBidi" w:cstheme="majorBidi" w:hint="eastAsia"/>
          <w:lang w:eastAsia="zh-CN"/>
        </w:rPr>
        <w:t>BDT</w:t>
      </w:r>
      <w:r>
        <w:rPr>
          <w:rFonts w:asciiTheme="majorBidi" w:eastAsiaTheme="minorEastAsia" w:hAnsiTheme="majorBidi" w:cstheme="majorBidi" w:hint="eastAsia"/>
          <w:lang w:eastAsia="zh-CN"/>
        </w:rPr>
        <w:t>的其他能力建设举措密切协作，</w:t>
      </w:r>
      <w:proofErr w:type="gramStart"/>
      <w:r>
        <w:rPr>
          <w:rFonts w:asciiTheme="majorBidi" w:eastAsiaTheme="minorEastAsia" w:hAnsiTheme="majorBidi" w:cstheme="majorBidi" w:hint="eastAsia"/>
          <w:lang w:eastAsia="zh-CN"/>
        </w:rPr>
        <w:t>更多地使用网络研讨会和电子教学等手段；</w:t>
      </w:r>
      <w:proofErr w:type="gramEnd"/>
    </w:p>
    <w:p w14:paraId="03E25E92" w14:textId="77777777" w:rsidR="009E3497" w:rsidRDefault="000F1838">
      <w:pPr>
        <w:pStyle w:val="Normalnoindent"/>
        <w:rPr>
          <w:lang w:eastAsia="zh-CN"/>
        </w:rPr>
      </w:pPr>
      <w:r>
        <w:rPr>
          <w:lang w:eastAsia="zh-CN"/>
        </w:rPr>
        <w:t>11</w:t>
      </w:r>
      <w:r>
        <w:rPr>
          <w:lang w:eastAsia="zh-CN"/>
        </w:rPr>
        <w:tab/>
      </w:r>
      <w:r>
        <w:rPr>
          <w:rFonts w:hint="eastAsia"/>
          <w:lang w:eastAsia="zh-CN"/>
        </w:rPr>
        <w:t>为创建和确保区域组的顺利工作提供一切必要支持、采</w:t>
      </w:r>
      <w:r>
        <w:rPr>
          <w:lang w:eastAsia="zh-CN"/>
        </w:rPr>
        <w:t>取所有必要</w:t>
      </w:r>
      <w:r>
        <w:rPr>
          <w:rFonts w:hint="eastAsia"/>
          <w:lang w:eastAsia="zh-CN"/>
        </w:rPr>
        <w:t>措施，尤其为发展中国家会议和讲习班的组织提供便利，以便传播信息，</w:t>
      </w:r>
      <w:proofErr w:type="gramStart"/>
      <w:r>
        <w:rPr>
          <w:rFonts w:hint="eastAsia"/>
          <w:lang w:eastAsia="zh-CN"/>
        </w:rPr>
        <w:t>并加深对新建议书的理解；</w:t>
      </w:r>
      <w:proofErr w:type="gramEnd"/>
    </w:p>
    <w:p w14:paraId="1E52B486" w14:textId="77777777" w:rsidR="009E3497" w:rsidRDefault="000F1838">
      <w:pPr>
        <w:pStyle w:val="Normalnoindent"/>
        <w:rPr>
          <w:lang w:eastAsia="zh-CN"/>
        </w:rPr>
      </w:pPr>
      <w:r>
        <w:rPr>
          <w:lang w:eastAsia="zh-CN"/>
        </w:rPr>
        <w:t>12</w:t>
      </w:r>
      <w:r>
        <w:rPr>
          <w:rFonts w:hint="eastAsia"/>
          <w:lang w:eastAsia="zh-CN"/>
        </w:rPr>
        <w:tab/>
      </w:r>
      <w:r>
        <w:rPr>
          <w:rFonts w:hint="eastAsia"/>
          <w:lang w:eastAsia="zh-CN"/>
        </w:rPr>
        <w:t>就</w:t>
      </w:r>
      <w:r>
        <w:rPr>
          <w:lang w:eastAsia="zh-CN"/>
        </w:rPr>
        <w:t>ITU-</w:t>
      </w:r>
      <w:proofErr w:type="gramStart"/>
      <w:r>
        <w:rPr>
          <w:lang w:eastAsia="zh-CN"/>
        </w:rPr>
        <w:t>T</w:t>
      </w:r>
      <w:r>
        <w:rPr>
          <w:rFonts w:hint="eastAsia"/>
          <w:lang w:eastAsia="zh-CN"/>
        </w:rPr>
        <w:t>研究组的区域组的有效性向理事会报告</w:t>
      </w:r>
      <w:r>
        <w:rPr>
          <w:rFonts w:asciiTheme="minorEastAsia" w:eastAsiaTheme="minorEastAsia" w:hAnsiTheme="minorEastAsia" w:hint="eastAsia"/>
          <w:lang w:eastAsia="zh-CN"/>
        </w:rPr>
        <w:t>；</w:t>
      </w:r>
      <w:proofErr w:type="gramEnd"/>
    </w:p>
    <w:p w14:paraId="65E435F8" w14:textId="77777777" w:rsidR="009E3497" w:rsidRDefault="000F1838">
      <w:pPr>
        <w:pStyle w:val="Normalnoindent"/>
        <w:rPr>
          <w:rFonts w:eastAsia="Times New Roman"/>
          <w:lang w:eastAsia="zh-CN"/>
        </w:rPr>
      </w:pPr>
      <w:r>
        <w:rPr>
          <w:rFonts w:eastAsia="Times New Roman"/>
          <w:lang w:eastAsia="zh-CN"/>
        </w:rPr>
        <w:t>13</w:t>
      </w:r>
      <w:r>
        <w:rPr>
          <w:rFonts w:eastAsia="Times New Roman"/>
          <w:lang w:eastAsia="zh-CN"/>
        </w:rPr>
        <w:tab/>
      </w:r>
      <w:r>
        <w:rPr>
          <w:rFonts w:hint="eastAsia"/>
          <w:lang w:eastAsia="zh-CN"/>
        </w:rPr>
        <w:t>尤其</w:t>
      </w:r>
      <w:r>
        <w:rPr>
          <w:rFonts w:asciiTheme="minorEastAsia" w:eastAsiaTheme="minorEastAsia" w:hAnsiTheme="minorEastAsia" w:hint="eastAsia"/>
          <w:lang w:eastAsia="zh-CN"/>
        </w:rPr>
        <w:t>针对发展中国家，酌情举办</w:t>
      </w:r>
      <w:ins w:id="43" w:author="TSB(RC)" w:date="2024-09-27T17:06:00Z">
        <w:r>
          <w:rPr>
            <w:lang w:val="zh-CN" w:eastAsia="zh-CN"/>
          </w:rPr>
          <w:t>包括现场活动</w:t>
        </w:r>
        <w:r>
          <w:rPr>
            <w:rFonts w:hint="eastAsia"/>
            <w:lang w:val="en-US" w:eastAsia="zh-CN"/>
          </w:rPr>
          <w:t>在内的</w:t>
        </w:r>
      </w:ins>
      <w:r>
        <w:rPr>
          <w:rFonts w:asciiTheme="minorEastAsia" w:eastAsiaTheme="minorEastAsia" w:hAnsiTheme="minorEastAsia" w:hint="eastAsia"/>
          <w:lang w:eastAsia="zh-CN"/>
        </w:rPr>
        <w:t>讲习班</w:t>
      </w:r>
      <w:ins w:id="44" w:author="TSB(RC)" w:date="2024-09-27T17:05:00Z">
        <w:r>
          <w:rPr>
            <w:lang w:val="zh-CN" w:eastAsia="zh-CN"/>
          </w:rPr>
          <w:t>、</w:t>
        </w:r>
      </w:ins>
      <w:del w:id="45" w:author="TSB(RC)" w:date="2024-09-27T17:05:00Z">
        <w:r>
          <w:rPr>
            <w:rFonts w:asciiTheme="minorEastAsia" w:eastAsiaTheme="minorEastAsia" w:hAnsiTheme="minorEastAsia" w:hint="eastAsia"/>
            <w:lang w:eastAsia="zh-CN"/>
          </w:rPr>
          <w:delText>和</w:delText>
        </w:r>
      </w:del>
      <w:r>
        <w:rPr>
          <w:rFonts w:asciiTheme="minorEastAsia" w:eastAsiaTheme="minorEastAsia" w:hAnsiTheme="minorEastAsia" w:hint="eastAsia"/>
          <w:lang w:eastAsia="zh-CN"/>
        </w:rPr>
        <w:t>研讨会</w:t>
      </w:r>
      <w:ins w:id="46" w:author="TSB(RC)" w:date="2024-09-27T17:05:00Z">
        <w:r>
          <w:rPr>
            <w:lang w:val="zh-CN" w:eastAsia="zh-CN"/>
          </w:rPr>
          <w:t>和培训项目</w:t>
        </w:r>
      </w:ins>
      <w:r>
        <w:rPr>
          <w:rFonts w:asciiTheme="minorEastAsia" w:eastAsiaTheme="minorEastAsia" w:hAnsiTheme="minorEastAsia" w:hint="eastAsia"/>
          <w:lang w:eastAsia="zh-CN"/>
        </w:rPr>
        <w:t>，</w:t>
      </w:r>
      <w:ins w:id="47" w:author="TSB(RC)" w:date="2024-09-27T17:06:00Z">
        <w:r>
          <w:rPr>
            <w:lang w:val="zh-CN" w:eastAsia="zh-CN"/>
          </w:rPr>
          <w:t>以</w:t>
        </w:r>
      </w:ins>
      <w:r>
        <w:rPr>
          <w:rFonts w:asciiTheme="minorEastAsia" w:eastAsiaTheme="minorEastAsia" w:hAnsiTheme="minorEastAsia" w:hint="eastAsia"/>
          <w:lang w:eastAsia="zh-CN"/>
        </w:rPr>
        <w:t>传播信息并增进对新</w:t>
      </w:r>
      <w:r>
        <w:rPr>
          <w:lang w:eastAsia="zh-CN"/>
        </w:rPr>
        <w:t>ITU-</w:t>
      </w:r>
      <w:proofErr w:type="gramStart"/>
      <w:r>
        <w:rPr>
          <w:lang w:eastAsia="zh-CN"/>
        </w:rPr>
        <w:t>T</w:t>
      </w:r>
      <w:r>
        <w:rPr>
          <w:rFonts w:asciiTheme="minorEastAsia" w:eastAsiaTheme="minorEastAsia" w:hAnsiTheme="minorEastAsia" w:hint="eastAsia"/>
          <w:lang w:eastAsia="zh-CN"/>
        </w:rPr>
        <w:t>建议书和建议书实施导则的理解；</w:t>
      </w:r>
      <w:proofErr w:type="gramEnd"/>
    </w:p>
    <w:p w14:paraId="7EF75B42" w14:textId="77777777" w:rsidR="009E3497" w:rsidRDefault="000F1838">
      <w:pPr>
        <w:pStyle w:val="Normalnoindent"/>
        <w:rPr>
          <w:lang w:eastAsia="zh-CN"/>
        </w:rPr>
      </w:pPr>
      <w:r>
        <w:rPr>
          <w:lang w:eastAsia="zh-CN"/>
        </w:rPr>
        <w:t>14</w:t>
      </w:r>
      <w:r>
        <w:rPr>
          <w:lang w:eastAsia="zh-CN"/>
        </w:rPr>
        <w:tab/>
      </w:r>
      <w:r>
        <w:rPr>
          <w:rFonts w:hint="eastAsia"/>
          <w:lang w:eastAsia="zh-CN"/>
        </w:rPr>
        <w:t>尽可能确保平等参加国际电联的电子化会议并在可能的情况下，提供更多</w:t>
      </w:r>
      <w:r>
        <w:rPr>
          <w:lang w:eastAsia="zh-CN"/>
        </w:rPr>
        <w:t>ITU-T</w:t>
      </w:r>
      <w:r>
        <w:rPr>
          <w:rFonts w:hint="eastAsia"/>
          <w:lang w:eastAsia="zh-CN"/>
        </w:rPr>
        <w:t>讲习班、研讨会和论坛的远程参会服务，</w:t>
      </w:r>
      <w:proofErr w:type="gramStart"/>
      <w:r>
        <w:rPr>
          <w:rFonts w:hint="eastAsia"/>
          <w:lang w:eastAsia="zh-CN"/>
        </w:rPr>
        <w:t>鼓励发展中国家更多地参与；</w:t>
      </w:r>
      <w:proofErr w:type="gramEnd"/>
    </w:p>
    <w:p w14:paraId="7274EFF4" w14:textId="77777777" w:rsidR="009E3497" w:rsidRDefault="000F1838">
      <w:pPr>
        <w:pStyle w:val="Normalnoindent"/>
        <w:rPr>
          <w:rFonts w:eastAsia="Times New Roman"/>
          <w:lang w:eastAsia="zh-CN"/>
        </w:rPr>
      </w:pPr>
      <w:r>
        <w:rPr>
          <w:lang w:eastAsia="zh-CN"/>
        </w:rPr>
        <w:t>15</w:t>
      </w:r>
      <w:r>
        <w:rPr>
          <w:lang w:eastAsia="zh-CN"/>
        </w:rPr>
        <w:tab/>
      </w:r>
      <w:r>
        <w:rPr>
          <w:rFonts w:hint="eastAsia"/>
          <w:lang w:eastAsia="zh-CN"/>
        </w:rPr>
        <w:t>利用现有的</w:t>
      </w:r>
      <w:r>
        <w:rPr>
          <w:lang w:eastAsia="zh-CN"/>
        </w:rPr>
        <w:t>ITU-D</w:t>
      </w:r>
      <w:r>
        <w:rPr>
          <w:rFonts w:hint="eastAsia"/>
          <w:lang w:eastAsia="zh-CN"/>
        </w:rPr>
        <w:t>工具，以便发展中国家更多地参与</w:t>
      </w:r>
      <w:r>
        <w:rPr>
          <w:lang w:eastAsia="zh-CN"/>
        </w:rPr>
        <w:t>ITU-</w:t>
      </w:r>
      <w:proofErr w:type="gramStart"/>
      <w:r>
        <w:rPr>
          <w:lang w:eastAsia="zh-CN"/>
        </w:rPr>
        <w:t>T</w:t>
      </w:r>
      <w:r>
        <w:rPr>
          <w:rFonts w:hint="eastAsia"/>
          <w:lang w:eastAsia="zh-CN"/>
        </w:rPr>
        <w:t>的标准化工作；</w:t>
      </w:r>
      <w:proofErr w:type="gramEnd"/>
    </w:p>
    <w:p w14:paraId="0B2662F3" w14:textId="77777777" w:rsidR="009E3497" w:rsidRDefault="000F1838">
      <w:pPr>
        <w:pStyle w:val="Normalnoindent"/>
        <w:rPr>
          <w:rFonts w:eastAsia="Times New Roman"/>
          <w:lang w:eastAsia="zh-CN"/>
        </w:rPr>
      </w:pPr>
      <w:r>
        <w:rPr>
          <w:rFonts w:eastAsia="Times New Roman"/>
          <w:lang w:eastAsia="zh-CN"/>
        </w:rPr>
        <w:t>16</w:t>
      </w:r>
      <w:r>
        <w:rPr>
          <w:rFonts w:eastAsia="Times New Roman"/>
          <w:lang w:eastAsia="zh-CN"/>
        </w:rPr>
        <w:tab/>
      </w:r>
      <w:r>
        <w:rPr>
          <w:rFonts w:hint="eastAsia"/>
          <w:lang w:eastAsia="zh-CN"/>
        </w:rPr>
        <w:t>通过确定与上述自愿会费无关的新的资金来源，研究为</w:t>
      </w:r>
      <w:r>
        <w:rPr>
          <w:rFonts w:hint="eastAsia"/>
          <w:lang w:eastAsia="zh-CN"/>
        </w:rPr>
        <w:t>ITU-</w:t>
      </w:r>
      <w:proofErr w:type="gramStart"/>
      <w:r>
        <w:rPr>
          <w:rFonts w:hint="eastAsia"/>
          <w:lang w:eastAsia="zh-CN"/>
        </w:rPr>
        <w:t>T</w:t>
      </w:r>
      <w:r>
        <w:rPr>
          <w:rFonts w:hint="eastAsia"/>
          <w:lang w:eastAsia="zh-CN"/>
        </w:rPr>
        <w:t>“</w:t>
      </w:r>
      <w:proofErr w:type="gramEnd"/>
      <w:r>
        <w:rPr>
          <w:rFonts w:hint="eastAsia"/>
          <w:lang w:eastAsia="zh-CN"/>
        </w:rPr>
        <w:t>缩小标准化工作差距”活动进一步创收的可能性，</w:t>
      </w:r>
    </w:p>
    <w:p w14:paraId="5AAEA8C4" w14:textId="77777777" w:rsidR="009E3497" w:rsidRDefault="000F1838">
      <w:pPr>
        <w:pStyle w:val="Call"/>
        <w:rPr>
          <w:rStyle w:val="Italic"/>
          <w:lang w:eastAsia="zh-CN"/>
        </w:rPr>
      </w:pPr>
      <w:r>
        <w:rPr>
          <w:lang w:eastAsia="zh-CN"/>
        </w:rPr>
        <w:t>责成</w:t>
      </w:r>
      <w:r>
        <w:rPr>
          <w:rFonts w:hint="eastAsia"/>
          <w:lang w:eastAsia="zh-CN"/>
        </w:rPr>
        <w:t>国际电</w:t>
      </w:r>
      <w:proofErr w:type="gramStart"/>
      <w:r>
        <w:rPr>
          <w:rFonts w:hint="eastAsia"/>
          <w:lang w:eastAsia="zh-CN"/>
        </w:rPr>
        <w:t>联电信</w:t>
      </w:r>
      <w:proofErr w:type="gramEnd"/>
      <w:r>
        <w:rPr>
          <w:rFonts w:hint="eastAsia"/>
          <w:lang w:eastAsia="zh-CN"/>
        </w:rPr>
        <w:t>标准化部门</w:t>
      </w:r>
      <w:r>
        <w:rPr>
          <w:lang w:eastAsia="zh-CN"/>
        </w:rPr>
        <w:t>各研究组和电信标准化顾问组</w:t>
      </w:r>
    </w:p>
    <w:p w14:paraId="798D52A6" w14:textId="77777777" w:rsidR="009E3497" w:rsidRDefault="000F1838">
      <w:pPr>
        <w:pStyle w:val="Normalnoindent"/>
        <w:rPr>
          <w:lang w:eastAsia="zh-CN"/>
        </w:rPr>
      </w:pPr>
      <w:r>
        <w:rPr>
          <w:lang w:eastAsia="zh-CN"/>
        </w:rPr>
        <w:t>1</w:t>
      </w:r>
      <w:r>
        <w:rPr>
          <w:lang w:eastAsia="zh-CN"/>
        </w:rPr>
        <w:tab/>
      </w:r>
      <w:proofErr w:type="gramStart"/>
      <w:r>
        <w:rPr>
          <w:rFonts w:hint="eastAsia"/>
          <w:lang w:eastAsia="zh-CN"/>
        </w:rPr>
        <w:t>积极参与实施附于本决议之后的行动计划所提出的相关项目；</w:t>
      </w:r>
      <w:proofErr w:type="gramEnd"/>
    </w:p>
    <w:p w14:paraId="3DA89647" w14:textId="77777777" w:rsidR="009E3497" w:rsidRDefault="000F1838">
      <w:pPr>
        <w:pStyle w:val="Normalnoindent"/>
        <w:rPr>
          <w:lang w:eastAsia="zh-CN"/>
        </w:rPr>
      </w:pPr>
      <w:r>
        <w:rPr>
          <w:lang w:eastAsia="zh-CN"/>
        </w:rPr>
        <w:t>2</w:t>
      </w:r>
      <w:r>
        <w:rPr>
          <w:lang w:eastAsia="zh-CN"/>
        </w:rPr>
        <w:tab/>
      </w:r>
      <w:r>
        <w:rPr>
          <w:rFonts w:hint="eastAsia"/>
          <w:lang w:eastAsia="zh-CN"/>
        </w:rPr>
        <w:t>考虑为帮助发展中国家采用</w:t>
      </w:r>
      <w:r>
        <w:rPr>
          <w:lang w:eastAsia="zh-CN"/>
        </w:rPr>
        <w:t>ITU-T</w:t>
      </w:r>
      <w:r>
        <w:rPr>
          <w:rFonts w:hint="eastAsia"/>
          <w:lang w:eastAsia="zh-CN"/>
        </w:rPr>
        <w:t>建议书制定实施导则，</w:t>
      </w:r>
      <w:proofErr w:type="gramStart"/>
      <w:r>
        <w:rPr>
          <w:rFonts w:hint="eastAsia"/>
          <w:lang w:eastAsia="zh-CN"/>
        </w:rPr>
        <w:t>重点放在具有监管和政策影响的建议书上；</w:t>
      </w:r>
      <w:proofErr w:type="gramEnd"/>
    </w:p>
    <w:p w14:paraId="0799F1E5" w14:textId="77777777" w:rsidR="009E3497" w:rsidRDefault="000F1838">
      <w:pPr>
        <w:pStyle w:val="Normalnoindent"/>
        <w:rPr>
          <w:lang w:eastAsia="zh-CN"/>
        </w:rPr>
      </w:pPr>
      <w:r>
        <w:rPr>
          <w:lang w:eastAsia="zh-CN"/>
        </w:rPr>
        <w:t>3</w:t>
      </w:r>
      <w:r>
        <w:rPr>
          <w:rFonts w:hint="eastAsia"/>
          <w:lang w:eastAsia="zh-CN"/>
        </w:rPr>
        <w:tab/>
      </w:r>
      <w:r>
        <w:rPr>
          <w:rFonts w:hint="eastAsia"/>
          <w:lang w:eastAsia="zh-CN"/>
        </w:rPr>
        <w:t>协调</w:t>
      </w:r>
      <w:r>
        <w:rPr>
          <w:rFonts w:hint="eastAsia"/>
          <w:lang w:eastAsia="zh-CN"/>
        </w:rPr>
        <w:t>ITU-T</w:t>
      </w:r>
      <w:r>
        <w:rPr>
          <w:rFonts w:hint="eastAsia"/>
          <w:lang w:eastAsia="zh-CN"/>
        </w:rPr>
        <w:t>各研究组的区域组的联合会议，</w:t>
      </w:r>
    </w:p>
    <w:p w14:paraId="37E19856" w14:textId="77777777" w:rsidR="009E3497" w:rsidRDefault="000F1838">
      <w:pPr>
        <w:pStyle w:val="Call"/>
        <w:rPr>
          <w:rStyle w:val="Italic"/>
          <w:lang w:eastAsia="zh-CN"/>
        </w:rPr>
      </w:pPr>
      <w:r>
        <w:rPr>
          <w:rFonts w:hint="eastAsia"/>
          <w:lang w:eastAsia="zh-CN"/>
        </w:rPr>
        <w:t>进一步责成各研究组</w:t>
      </w:r>
    </w:p>
    <w:p w14:paraId="649DF348" w14:textId="77777777" w:rsidR="009E3497" w:rsidRDefault="000F1838">
      <w:pPr>
        <w:pStyle w:val="Normalnoindent"/>
        <w:rPr>
          <w:lang w:eastAsia="zh-CN"/>
        </w:rPr>
      </w:pPr>
      <w:r>
        <w:rPr>
          <w:rFonts w:hint="eastAsia"/>
          <w:lang w:eastAsia="zh-CN"/>
        </w:rPr>
        <w:t>1</w:t>
      </w:r>
      <w:r>
        <w:rPr>
          <w:lang w:eastAsia="zh-CN"/>
        </w:rPr>
        <w:tab/>
      </w:r>
      <w:r>
        <w:rPr>
          <w:rFonts w:hint="eastAsia"/>
          <w:lang w:eastAsia="zh-CN"/>
        </w:rPr>
        <w:t>在制定有关规划、业务、系统、运营、资费和维护方面的标准时，对发展中国家特有的电信</w:t>
      </w:r>
      <w:r>
        <w:rPr>
          <w:lang w:eastAsia="zh-CN"/>
        </w:rPr>
        <w:t>/ICT</w:t>
      </w:r>
      <w:r>
        <w:rPr>
          <w:rFonts w:hint="eastAsia"/>
          <w:lang w:eastAsia="zh-CN"/>
        </w:rPr>
        <w:t>环境特点加以考虑，</w:t>
      </w:r>
      <w:proofErr w:type="gramStart"/>
      <w:r>
        <w:rPr>
          <w:rFonts w:hint="eastAsia"/>
          <w:lang w:eastAsia="zh-CN"/>
        </w:rPr>
        <w:t>并尽可能提供与发展中国家相关的解决方案；</w:t>
      </w:r>
      <w:proofErr w:type="gramEnd"/>
    </w:p>
    <w:p w14:paraId="1A8AFB68" w14:textId="77777777" w:rsidR="009E3497" w:rsidRDefault="000F1838">
      <w:pPr>
        <w:pStyle w:val="Normalnoindent"/>
        <w:rPr>
          <w:lang w:eastAsia="zh-CN"/>
        </w:rPr>
      </w:pPr>
      <w:r>
        <w:rPr>
          <w:lang w:eastAsia="zh-CN"/>
        </w:rPr>
        <w:t>2</w:t>
      </w:r>
      <w:r>
        <w:rPr>
          <w:lang w:eastAsia="zh-CN"/>
        </w:rPr>
        <w:tab/>
      </w:r>
      <w:r>
        <w:rPr>
          <w:rFonts w:hint="eastAsia"/>
          <w:lang w:eastAsia="zh-CN"/>
        </w:rPr>
        <w:t>采取适当措施，就</w:t>
      </w:r>
      <w:del w:id="48" w:author="TSB(RC)" w:date="2024-09-27T17:07:00Z">
        <w:r>
          <w:rPr>
            <w:rFonts w:hint="eastAsia"/>
            <w:lang w:eastAsia="zh-CN"/>
          </w:rPr>
          <w:delText>世界电信发展大会</w:delText>
        </w:r>
      </w:del>
      <w:ins w:id="49" w:author="TSB(RC)" w:date="2024-09-27T17:07:00Z">
        <w:r>
          <w:rPr>
            <w:rFonts w:hint="eastAsia"/>
            <w:lang w:val="en-US" w:eastAsia="zh-CN"/>
          </w:rPr>
          <w:t>WTDC</w:t>
        </w:r>
      </w:ins>
      <w:r>
        <w:rPr>
          <w:rFonts w:hint="eastAsia"/>
          <w:lang w:eastAsia="zh-CN"/>
        </w:rPr>
        <w:t>或通过其他</w:t>
      </w:r>
      <w:r>
        <w:rPr>
          <w:rFonts w:hint="eastAsia"/>
          <w:lang w:eastAsia="zh-CN"/>
        </w:rPr>
        <w:t>I</w:t>
      </w:r>
      <w:r>
        <w:rPr>
          <w:lang w:eastAsia="zh-CN"/>
        </w:rPr>
        <w:t>TU-</w:t>
      </w:r>
      <w:proofErr w:type="gramStart"/>
      <w:r>
        <w:rPr>
          <w:lang w:eastAsia="zh-CN"/>
        </w:rPr>
        <w:t>T</w:t>
      </w:r>
      <w:r>
        <w:rPr>
          <w:rFonts w:hint="eastAsia"/>
          <w:lang w:eastAsia="zh-CN"/>
        </w:rPr>
        <w:t>研究组针对发展中国家的具体研究或调查所确定的有关标准化的课题开展研究；</w:t>
      </w:r>
      <w:proofErr w:type="gramEnd"/>
    </w:p>
    <w:p w14:paraId="60DB8DFC" w14:textId="77777777" w:rsidR="009E3497" w:rsidRDefault="000F1838">
      <w:pPr>
        <w:pStyle w:val="Normalnoindent"/>
        <w:rPr>
          <w:lang w:eastAsia="zh-CN"/>
        </w:rPr>
      </w:pPr>
      <w:r>
        <w:rPr>
          <w:rFonts w:hint="eastAsia"/>
          <w:lang w:eastAsia="zh-CN"/>
        </w:rPr>
        <w:t>3</w:t>
      </w:r>
      <w:r>
        <w:rPr>
          <w:lang w:eastAsia="zh-CN"/>
        </w:rPr>
        <w:tab/>
      </w:r>
      <w:r>
        <w:rPr>
          <w:rFonts w:hint="eastAsia"/>
          <w:lang w:eastAsia="zh-CN"/>
        </w:rPr>
        <w:t>在编制</w:t>
      </w:r>
      <w:r>
        <w:rPr>
          <w:rFonts w:hint="eastAsia"/>
          <w:lang w:eastAsia="zh-CN"/>
        </w:rPr>
        <w:t>ITU-T</w:t>
      </w:r>
      <w:r>
        <w:rPr>
          <w:rFonts w:hint="eastAsia"/>
          <w:lang w:eastAsia="zh-CN"/>
        </w:rPr>
        <w:t>新的或经修订的建议书时，根据发展中国家的具体需要和要求，酌情继续与</w:t>
      </w:r>
      <w:r>
        <w:rPr>
          <w:rFonts w:hint="eastAsia"/>
          <w:lang w:eastAsia="zh-CN"/>
        </w:rPr>
        <w:t>I</w:t>
      </w:r>
      <w:r>
        <w:rPr>
          <w:lang w:eastAsia="zh-CN"/>
        </w:rPr>
        <w:t>TU-D</w:t>
      </w:r>
      <w:r>
        <w:rPr>
          <w:rFonts w:hint="eastAsia"/>
          <w:lang w:eastAsia="zh-CN"/>
        </w:rPr>
        <w:t>各研究组开展联络活动，</w:t>
      </w:r>
      <w:proofErr w:type="gramStart"/>
      <w:r>
        <w:rPr>
          <w:rFonts w:hint="eastAsia"/>
          <w:lang w:eastAsia="zh-CN"/>
        </w:rPr>
        <w:t>以增强建议书对这些国家的吸引力和适用性；</w:t>
      </w:r>
      <w:proofErr w:type="gramEnd"/>
    </w:p>
    <w:p w14:paraId="61E2E824" w14:textId="77777777" w:rsidR="009E3497" w:rsidRDefault="000F1838">
      <w:pPr>
        <w:pStyle w:val="Normalnoindent"/>
        <w:rPr>
          <w:lang w:eastAsia="zh-CN"/>
        </w:rPr>
      </w:pPr>
      <w:r>
        <w:rPr>
          <w:rFonts w:hint="eastAsia"/>
          <w:lang w:eastAsia="zh-CN"/>
        </w:rPr>
        <w:t>4</w:t>
      </w:r>
      <w:r>
        <w:rPr>
          <w:lang w:eastAsia="zh-CN"/>
        </w:rPr>
        <w:tab/>
      </w:r>
      <w:r>
        <w:rPr>
          <w:rFonts w:hint="eastAsia"/>
          <w:lang w:eastAsia="zh-CN"/>
        </w:rPr>
        <w:t>确定发展中国家正在面临的挑战，以缩小成员国之间的标准化工作差距，</w:t>
      </w:r>
    </w:p>
    <w:p w14:paraId="58F0A6FC" w14:textId="77777777" w:rsidR="009E3497" w:rsidRDefault="000F1838">
      <w:pPr>
        <w:pStyle w:val="Call"/>
        <w:rPr>
          <w:rStyle w:val="Italic"/>
          <w:lang w:eastAsia="zh-CN"/>
        </w:rPr>
      </w:pPr>
      <w:r>
        <w:rPr>
          <w:rFonts w:hint="eastAsia"/>
          <w:lang w:eastAsia="zh-CN"/>
        </w:rPr>
        <w:t>请电信标准化局主任</w:t>
      </w:r>
    </w:p>
    <w:p w14:paraId="2342FFB2" w14:textId="77777777" w:rsidR="009E3497" w:rsidRDefault="000F1838">
      <w:pPr>
        <w:pStyle w:val="Normalnoindent"/>
        <w:rPr>
          <w:lang w:eastAsia="zh-CN"/>
        </w:rPr>
      </w:pPr>
      <w:r>
        <w:rPr>
          <w:rFonts w:hint="eastAsia"/>
          <w:lang w:eastAsia="zh-CN"/>
        </w:rPr>
        <w:t>1</w:t>
      </w:r>
      <w:r>
        <w:rPr>
          <w:rFonts w:hint="eastAsia"/>
          <w:lang w:eastAsia="zh-CN"/>
        </w:rPr>
        <w:tab/>
      </w:r>
      <w:r>
        <w:rPr>
          <w:rFonts w:hint="eastAsia"/>
          <w:lang w:eastAsia="zh-CN"/>
        </w:rPr>
        <w:t>与</w:t>
      </w:r>
      <w:r>
        <w:rPr>
          <w:rFonts w:hint="eastAsia"/>
          <w:lang w:eastAsia="zh-CN"/>
        </w:rPr>
        <w:t>B</w:t>
      </w:r>
      <w:r>
        <w:rPr>
          <w:lang w:eastAsia="zh-CN"/>
        </w:rPr>
        <w:t>DT</w:t>
      </w:r>
      <w:r>
        <w:rPr>
          <w:rFonts w:hint="eastAsia"/>
          <w:lang w:eastAsia="zh-CN"/>
        </w:rPr>
        <w:t>和无线电通信局（</w:t>
      </w:r>
      <w:r>
        <w:rPr>
          <w:rFonts w:hint="eastAsia"/>
          <w:lang w:eastAsia="zh-CN"/>
        </w:rPr>
        <w:t>BR</w:t>
      </w:r>
      <w:r>
        <w:rPr>
          <w:rFonts w:hint="eastAsia"/>
          <w:lang w:eastAsia="zh-CN"/>
        </w:rPr>
        <w:t>）的主任密切合作，鼓励在</w:t>
      </w:r>
      <w:r>
        <w:rPr>
          <w:rFonts w:hint="eastAsia"/>
          <w:lang w:eastAsia="zh-CN"/>
        </w:rPr>
        <w:t>ITU-T</w:t>
      </w:r>
      <w:r>
        <w:rPr>
          <w:rFonts w:hint="eastAsia"/>
          <w:lang w:eastAsia="zh-CN"/>
        </w:rPr>
        <w:t>支持下结成伙伴关系，</w:t>
      </w:r>
      <w:proofErr w:type="gramStart"/>
      <w:r>
        <w:rPr>
          <w:rFonts w:hint="eastAsia"/>
          <w:lang w:eastAsia="zh-CN"/>
        </w:rPr>
        <w:t>将此作为资助行动计划的手段之一；</w:t>
      </w:r>
      <w:proofErr w:type="gramEnd"/>
    </w:p>
    <w:p w14:paraId="5C580397" w14:textId="77777777" w:rsidR="009E3497" w:rsidRDefault="000F1838">
      <w:pPr>
        <w:pStyle w:val="Normalnoindent"/>
        <w:rPr>
          <w:rFonts w:eastAsia="Times New Roman"/>
          <w:lang w:eastAsia="zh-CN"/>
        </w:rPr>
      </w:pPr>
      <w:r>
        <w:rPr>
          <w:rFonts w:eastAsia="Times New Roman"/>
          <w:lang w:eastAsia="zh-CN"/>
        </w:rPr>
        <w:t>2</w:t>
      </w:r>
      <w:r>
        <w:rPr>
          <w:rFonts w:eastAsia="Times New Roman"/>
          <w:lang w:eastAsia="zh-CN"/>
        </w:rPr>
        <w:tab/>
      </w:r>
      <w:r>
        <w:rPr>
          <w:rFonts w:hint="eastAsia"/>
          <w:lang w:eastAsia="zh-CN"/>
        </w:rPr>
        <w:t>鼓励发达国家部门成员促进其设在发展中国家的附属实体参与</w:t>
      </w:r>
      <w:r>
        <w:rPr>
          <w:lang w:eastAsia="zh-CN"/>
        </w:rPr>
        <w:t>ITU-</w:t>
      </w:r>
      <w:proofErr w:type="gramStart"/>
      <w:r>
        <w:rPr>
          <w:lang w:eastAsia="zh-CN"/>
        </w:rPr>
        <w:t>T</w:t>
      </w:r>
      <w:r>
        <w:rPr>
          <w:rFonts w:hint="eastAsia"/>
          <w:lang w:eastAsia="zh-CN"/>
        </w:rPr>
        <w:t>的活动；</w:t>
      </w:r>
      <w:proofErr w:type="gramEnd"/>
    </w:p>
    <w:p w14:paraId="378E8CFA" w14:textId="77777777" w:rsidR="009E3497" w:rsidRDefault="000F1838">
      <w:pPr>
        <w:pStyle w:val="Normalnoindent"/>
        <w:rPr>
          <w:rFonts w:eastAsia="Times New Roman"/>
          <w:lang w:eastAsia="zh-CN"/>
        </w:rPr>
      </w:pPr>
      <w:r>
        <w:rPr>
          <w:rFonts w:eastAsia="Times New Roman"/>
          <w:lang w:eastAsia="zh-CN"/>
        </w:rPr>
        <w:t>3</w:t>
      </w:r>
      <w:r>
        <w:rPr>
          <w:rFonts w:eastAsia="Times New Roman"/>
          <w:lang w:eastAsia="zh-CN"/>
        </w:rPr>
        <w:tab/>
      </w:r>
      <w:proofErr w:type="gramStart"/>
      <w:r>
        <w:rPr>
          <w:rFonts w:hint="eastAsia"/>
          <w:lang w:eastAsia="zh-CN"/>
        </w:rPr>
        <w:t>制定可支持包括发展中国家电信运营商在内的成员有效参与标准化活动的机制；</w:t>
      </w:r>
      <w:proofErr w:type="gramEnd"/>
    </w:p>
    <w:p w14:paraId="72C3137B" w14:textId="77777777" w:rsidR="009E3497" w:rsidRDefault="000F1838">
      <w:pPr>
        <w:rPr>
          <w:ins w:id="50" w:author="TSB (AAM)" w:date="2024-09-23T16:08:00Z"/>
          <w:szCs w:val="24"/>
          <w:lang w:eastAsia="zh-CN"/>
        </w:rPr>
      </w:pPr>
      <w:r>
        <w:rPr>
          <w:rFonts w:eastAsiaTheme="minorEastAsia"/>
          <w:lang w:eastAsia="zh-CN"/>
        </w:rPr>
        <w:t>4</w:t>
      </w:r>
      <w:r>
        <w:rPr>
          <w:rFonts w:eastAsia="Times New Roman"/>
          <w:lang w:eastAsia="zh-CN"/>
        </w:rPr>
        <w:tab/>
      </w:r>
      <w:ins w:id="51" w:author="TSB(RC)" w:date="2024-09-27T17:08:00Z">
        <w:r>
          <w:rPr>
            <w:lang w:val="zh-CN" w:eastAsia="zh-CN"/>
          </w:rPr>
          <w:t>与相关标准制定组织（</w:t>
        </w:r>
        <w:r>
          <w:rPr>
            <w:lang w:val="zh-CN" w:eastAsia="zh-CN"/>
          </w:rPr>
          <w:t>SDO</w:t>
        </w:r>
        <w:r>
          <w:rPr>
            <w:lang w:val="zh-CN" w:eastAsia="zh-CN"/>
          </w:rPr>
          <w:t>）和区域性电信组织密切合作，制定战略、最佳做法和导则，促进</w:t>
        </w:r>
        <w:r>
          <w:rPr>
            <w:lang w:val="zh-CN" w:eastAsia="zh-CN"/>
          </w:rPr>
          <w:t>ITU-T</w:t>
        </w:r>
        <w:r>
          <w:rPr>
            <w:lang w:val="zh-CN" w:eastAsia="zh-CN"/>
          </w:rPr>
          <w:t>建议书和其他相关</w:t>
        </w:r>
        <w:r>
          <w:rPr>
            <w:lang w:val="zh-CN" w:eastAsia="zh-CN"/>
          </w:rPr>
          <w:t>SDO</w:t>
        </w:r>
        <w:r>
          <w:rPr>
            <w:lang w:val="zh-CN" w:eastAsia="zh-CN"/>
          </w:rPr>
          <w:t>标准的应用，</w:t>
        </w:r>
        <w:proofErr w:type="gramStart"/>
        <w:r>
          <w:rPr>
            <w:lang w:val="zh-CN" w:eastAsia="zh-CN"/>
          </w:rPr>
          <w:t>以应对发展中国家标准化工作面临的挑战和优先事项</w:t>
        </w:r>
        <w:r>
          <w:rPr>
            <w:rFonts w:hint="eastAsia"/>
            <w:lang w:val="zh-CN" w:eastAsia="zh-CN"/>
          </w:rPr>
          <w:t>；</w:t>
        </w:r>
      </w:ins>
      <w:proofErr w:type="gramEnd"/>
    </w:p>
    <w:p w14:paraId="40CF4C85" w14:textId="002AEB58" w:rsidR="009E3497" w:rsidRDefault="000F1838">
      <w:pPr>
        <w:rPr>
          <w:ins w:id="52" w:author="Li, Jianying" w:date="2024-09-25T15:31:00Z"/>
          <w:lang w:eastAsia="zh-CN"/>
        </w:rPr>
      </w:pPr>
      <w:ins w:id="53" w:author="TSB (AAM)" w:date="2024-09-23T16:08:00Z">
        <w:r>
          <w:rPr>
            <w:lang w:eastAsia="zh-CN"/>
          </w:rPr>
          <w:t>5</w:t>
        </w:r>
        <w:r>
          <w:rPr>
            <w:lang w:eastAsia="zh-CN"/>
          </w:rPr>
          <w:tab/>
        </w:r>
      </w:ins>
      <w:r>
        <w:rPr>
          <w:rFonts w:hint="eastAsia"/>
          <w:lang w:eastAsia="zh-CN"/>
        </w:rPr>
        <w:t>考虑尽可能在发展中国家举办</w:t>
      </w:r>
      <w:r>
        <w:rPr>
          <w:rFonts w:hint="eastAsia"/>
          <w:lang w:eastAsia="zh-CN"/>
        </w:rPr>
        <w:t>ITU-T</w:t>
      </w:r>
      <w:r>
        <w:rPr>
          <w:rFonts w:hint="eastAsia"/>
          <w:lang w:eastAsia="zh-CN"/>
        </w:rPr>
        <w:t>研究组会议</w:t>
      </w:r>
      <w:del w:id="54" w:author="LING-C(JL)" w:date="2024-09-30T10:53:00Z" w16du:dateUtc="2024-09-30T08:53:00Z">
        <w:r w:rsidDel="009E0DEE">
          <w:rPr>
            <w:rFonts w:hint="eastAsia"/>
            <w:lang w:eastAsia="zh-CN"/>
          </w:rPr>
          <w:delText>，</w:delText>
        </w:r>
      </w:del>
      <w:ins w:id="55" w:author="LING-C(JL)" w:date="2024-09-30T10:53:00Z" w16du:dateUtc="2024-09-30T08:53:00Z">
        <w:r w:rsidR="009E0DEE">
          <w:rPr>
            <w:rFonts w:hint="eastAsia"/>
            <w:lang w:eastAsia="zh-CN"/>
          </w:rPr>
          <w:t>；</w:t>
        </w:r>
      </w:ins>
    </w:p>
    <w:p w14:paraId="6BB76773" w14:textId="77777777" w:rsidR="009E3497" w:rsidRDefault="000F1838">
      <w:pPr>
        <w:pStyle w:val="Normalnoindent"/>
        <w:rPr>
          <w:rFonts w:eastAsia="Times New Roman"/>
          <w:lang w:eastAsia="zh-CN"/>
        </w:rPr>
      </w:pPr>
      <w:ins w:id="56" w:author="Li, Jianying" w:date="2024-09-25T15:31:00Z">
        <w:r>
          <w:rPr>
            <w:szCs w:val="24"/>
            <w:lang w:eastAsia="zh-CN"/>
          </w:rPr>
          <w:lastRenderedPageBreak/>
          <w:t>6</w:t>
        </w:r>
        <w:r>
          <w:rPr>
            <w:szCs w:val="24"/>
            <w:lang w:eastAsia="zh-CN"/>
          </w:rPr>
          <w:tab/>
        </w:r>
      </w:ins>
      <w:ins w:id="57" w:author="TSB(RC)" w:date="2024-09-27T17:09:00Z">
        <w:r>
          <w:rPr>
            <w:lang w:val="zh-CN" w:eastAsia="zh-CN"/>
          </w:rPr>
          <w:t>每年向</w:t>
        </w:r>
        <w:r>
          <w:rPr>
            <w:lang w:val="zh-CN" w:eastAsia="zh-CN"/>
          </w:rPr>
          <w:t>TSAG</w:t>
        </w:r>
        <w:r>
          <w:rPr>
            <w:lang w:val="zh-CN" w:eastAsia="zh-CN"/>
          </w:rPr>
          <w:t>报告与缩小标准化工作差距（</w:t>
        </w:r>
        <w:r>
          <w:rPr>
            <w:lang w:val="zh-CN" w:eastAsia="zh-CN"/>
          </w:rPr>
          <w:t>BSG</w:t>
        </w:r>
        <w:r>
          <w:rPr>
            <w:lang w:val="zh-CN" w:eastAsia="zh-CN"/>
          </w:rPr>
          <w:t>）项目相关的行动计划的实施情况和进展情况，并向成员提供该报告，</w:t>
        </w:r>
      </w:ins>
    </w:p>
    <w:p w14:paraId="76089E83" w14:textId="77777777" w:rsidR="009E3497" w:rsidRDefault="000F1838">
      <w:pPr>
        <w:pStyle w:val="Call"/>
        <w:rPr>
          <w:rStyle w:val="Italic"/>
          <w:lang w:eastAsia="zh-CN"/>
        </w:rPr>
      </w:pPr>
      <w:r>
        <w:rPr>
          <w:rFonts w:hint="eastAsia"/>
          <w:lang w:eastAsia="zh-CN"/>
        </w:rPr>
        <w:t>请各区域及其成员国</w:t>
      </w:r>
    </w:p>
    <w:p w14:paraId="43B5EB9F" w14:textId="77777777" w:rsidR="009E3497" w:rsidRDefault="000F1838">
      <w:pPr>
        <w:pStyle w:val="Normalnoindent"/>
        <w:rPr>
          <w:lang w:eastAsia="zh-CN"/>
        </w:rPr>
      </w:pPr>
      <w:r>
        <w:rPr>
          <w:rFonts w:hint="eastAsia"/>
          <w:lang w:eastAsia="zh-CN"/>
        </w:rPr>
        <w:t>1</w:t>
      </w:r>
      <w:r>
        <w:rPr>
          <w:lang w:eastAsia="zh-CN"/>
        </w:rPr>
        <w:tab/>
      </w:r>
      <w:r>
        <w:rPr>
          <w:rFonts w:hint="eastAsia"/>
          <w:lang w:eastAsia="zh-CN"/>
        </w:rPr>
        <w:t>根据第</w:t>
      </w:r>
      <w:r>
        <w:rPr>
          <w:rFonts w:hint="eastAsia"/>
          <w:lang w:eastAsia="zh-CN"/>
        </w:rPr>
        <w:t>54</w:t>
      </w:r>
      <w:r>
        <w:rPr>
          <w:rFonts w:hint="eastAsia"/>
          <w:lang w:eastAsia="zh-CN"/>
        </w:rPr>
        <w:t>号决议（</w:t>
      </w:r>
      <w:r>
        <w:rPr>
          <w:lang w:eastAsia="zh-CN"/>
        </w:rPr>
        <w:t>2022</w:t>
      </w:r>
      <w:r>
        <w:rPr>
          <w:rFonts w:hint="eastAsia"/>
          <w:lang w:eastAsia="zh-CN"/>
        </w:rPr>
        <w:t>年</w:t>
      </w:r>
      <w:r>
        <w:rPr>
          <w:lang w:eastAsia="zh-CN"/>
        </w:rPr>
        <w:t>，</w:t>
      </w:r>
      <w:r>
        <w:rPr>
          <w:rFonts w:hint="eastAsia"/>
          <w:lang w:eastAsia="zh-CN"/>
        </w:rPr>
        <w:t>日内瓦，修订版），必要时寻求成立</w:t>
      </w:r>
      <w:r>
        <w:rPr>
          <w:rFonts w:hint="eastAsia"/>
          <w:lang w:eastAsia="zh-CN"/>
        </w:rPr>
        <w:t>ITU-</w:t>
      </w:r>
      <w:proofErr w:type="gramStart"/>
      <w:r>
        <w:rPr>
          <w:rFonts w:hint="eastAsia"/>
          <w:lang w:eastAsia="zh-CN"/>
        </w:rPr>
        <w:t>T</w:t>
      </w:r>
      <w:r>
        <w:rPr>
          <w:rFonts w:hint="eastAsia"/>
          <w:lang w:eastAsia="zh-CN"/>
        </w:rPr>
        <w:t>研究组的区域组；</w:t>
      </w:r>
      <w:proofErr w:type="gramEnd"/>
    </w:p>
    <w:p w14:paraId="351CF91F" w14:textId="77777777" w:rsidR="009E3497" w:rsidRDefault="000F1838">
      <w:pPr>
        <w:pStyle w:val="Normalnoindent"/>
        <w:rPr>
          <w:rFonts w:eastAsia="Times New Roman"/>
          <w:lang w:eastAsia="zh-CN"/>
        </w:rPr>
      </w:pPr>
      <w:r>
        <w:rPr>
          <w:rFonts w:eastAsia="Times New Roman"/>
          <w:lang w:eastAsia="zh-CN"/>
        </w:rPr>
        <w:t>2</w:t>
      </w:r>
      <w:r>
        <w:rPr>
          <w:rFonts w:eastAsia="Times New Roman"/>
          <w:lang w:eastAsia="zh-CN"/>
        </w:rPr>
        <w:tab/>
      </w:r>
      <w:r>
        <w:rPr>
          <w:rFonts w:asciiTheme="majorBidi" w:eastAsiaTheme="minorEastAsia" w:hAnsiTheme="majorBidi" w:cstheme="majorBidi" w:hint="eastAsia"/>
          <w:lang w:eastAsia="zh-CN"/>
        </w:rPr>
        <w:t>积极参加</w:t>
      </w:r>
      <w:r>
        <w:rPr>
          <w:rFonts w:asciiTheme="majorBidi" w:eastAsiaTheme="minorEastAsia" w:hAnsiTheme="majorBidi" w:cstheme="majorBidi"/>
          <w:lang w:eastAsia="zh-CN"/>
        </w:rPr>
        <w:t>ITU-</w:t>
      </w:r>
      <w:proofErr w:type="gramStart"/>
      <w:r>
        <w:rPr>
          <w:rFonts w:asciiTheme="majorBidi" w:eastAsiaTheme="minorEastAsia" w:hAnsiTheme="majorBidi" w:cstheme="majorBidi"/>
          <w:lang w:eastAsia="zh-CN"/>
        </w:rPr>
        <w:t>T</w:t>
      </w:r>
      <w:r>
        <w:rPr>
          <w:rFonts w:asciiTheme="majorBidi" w:eastAsiaTheme="minorEastAsia" w:hAnsiTheme="majorBidi" w:cstheme="majorBidi" w:hint="eastAsia"/>
          <w:lang w:eastAsia="zh-CN"/>
        </w:rPr>
        <w:t>研究组的区域组的活动并支持区域性电信组织制定有关开展标准化活动的区域性框架</w:t>
      </w:r>
      <w:r>
        <w:rPr>
          <w:rFonts w:asciiTheme="minorEastAsia" w:eastAsiaTheme="minorEastAsia" w:hAnsiTheme="minorEastAsia" w:hint="eastAsia"/>
          <w:lang w:eastAsia="zh-CN"/>
        </w:rPr>
        <w:t>；</w:t>
      </w:r>
      <w:proofErr w:type="gramEnd"/>
    </w:p>
    <w:p w14:paraId="338DE33E" w14:textId="77777777" w:rsidR="009E3497" w:rsidRDefault="000F1838">
      <w:pPr>
        <w:pStyle w:val="Normalnoindent"/>
        <w:rPr>
          <w:rFonts w:eastAsiaTheme="minorEastAsia"/>
          <w:lang w:eastAsia="zh-CN"/>
        </w:rPr>
      </w:pPr>
      <w:r>
        <w:rPr>
          <w:rFonts w:eastAsia="Times New Roman"/>
          <w:lang w:eastAsia="zh-CN"/>
        </w:rPr>
        <w:t>3</w:t>
      </w:r>
      <w:r>
        <w:rPr>
          <w:rFonts w:eastAsia="Times New Roman"/>
          <w:lang w:eastAsia="zh-CN"/>
        </w:rPr>
        <w:tab/>
      </w:r>
      <w:r>
        <w:rPr>
          <w:rFonts w:asciiTheme="minorEastAsia" w:eastAsiaTheme="minorEastAsia" w:hAnsiTheme="minorEastAsia" w:hint="eastAsia"/>
          <w:lang w:eastAsia="zh-CN"/>
        </w:rPr>
        <w:t>酌情建立区域性标准化机构，并鼓励此类机构与</w:t>
      </w:r>
      <w:r>
        <w:rPr>
          <w:rFonts w:asciiTheme="majorBidi" w:eastAsiaTheme="minorEastAsia" w:hAnsiTheme="majorBidi" w:cstheme="majorBidi"/>
          <w:lang w:eastAsia="zh-CN"/>
        </w:rPr>
        <w:t>ITU-T</w:t>
      </w:r>
      <w:r>
        <w:rPr>
          <w:rFonts w:asciiTheme="majorBidi" w:eastAsiaTheme="minorEastAsia" w:hAnsiTheme="majorBidi" w:cstheme="majorBidi"/>
          <w:lang w:eastAsia="zh-CN"/>
        </w:rPr>
        <w:t>各研究组</w:t>
      </w:r>
      <w:r>
        <w:rPr>
          <w:rFonts w:asciiTheme="majorBidi" w:eastAsiaTheme="minorEastAsia" w:hAnsiTheme="majorBidi" w:cstheme="majorBidi" w:hint="eastAsia"/>
          <w:lang w:eastAsia="zh-CN"/>
        </w:rPr>
        <w:t>的</w:t>
      </w:r>
      <w:r>
        <w:rPr>
          <w:rFonts w:asciiTheme="majorBidi" w:eastAsiaTheme="minorEastAsia" w:hAnsiTheme="majorBidi" w:cstheme="majorBidi"/>
          <w:lang w:eastAsia="zh-CN"/>
        </w:rPr>
        <w:t>区域组举</w:t>
      </w:r>
      <w:r>
        <w:rPr>
          <w:rFonts w:asciiTheme="majorBidi" w:eastAsiaTheme="minorEastAsia" w:hAnsiTheme="majorBidi" w:cstheme="majorBidi" w:hint="eastAsia"/>
          <w:lang w:eastAsia="zh-CN"/>
        </w:rPr>
        <w:t>办</w:t>
      </w:r>
      <w:r>
        <w:rPr>
          <w:rFonts w:asciiTheme="majorBidi" w:eastAsiaTheme="minorEastAsia" w:hAnsiTheme="majorBidi" w:cstheme="majorBidi"/>
          <w:lang w:eastAsia="zh-CN"/>
        </w:rPr>
        <w:t>联席</w:t>
      </w:r>
      <w:r>
        <w:rPr>
          <w:rFonts w:asciiTheme="majorBidi" w:eastAsiaTheme="minorEastAsia" w:hAnsiTheme="majorBidi" w:cstheme="majorBidi" w:hint="eastAsia"/>
          <w:lang w:eastAsia="zh-CN"/>
        </w:rPr>
        <w:t>会议</w:t>
      </w:r>
      <w:r>
        <w:rPr>
          <w:rFonts w:asciiTheme="majorBidi" w:eastAsiaTheme="minorEastAsia" w:hAnsiTheme="majorBidi" w:cstheme="majorBidi"/>
          <w:lang w:eastAsia="zh-CN"/>
        </w:rPr>
        <w:t>和协调会议</w:t>
      </w:r>
      <w:r>
        <w:rPr>
          <w:rFonts w:asciiTheme="minorEastAsia" w:eastAsiaTheme="minorEastAsia" w:hAnsiTheme="minorEastAsia" w:hint="eastAsia"/>
          <w:lang w:eastAsia="zh-CN"/>
        </w:rPr>
        <w:t>，</w:t>
      </w:r>
      <w:proofErr w:type="gramStart"/>
      <w:r>
        <w:rPr>
          <w:rFonts w:asciiTheme="minorEastAsia" w:eastAsiaTheme="minorEastAsia" w:hAnsiTheme="minorEastAsia" w:hint="eastAsia"/>
          <w:lang w:eastAsia="zh-CN"/>
        </w:rPr>
        <w:t>以便这些区域性标准化机构作为此类区域组会议的总括机构行事；</w:t>
      </w:r>
      <w:proofErr w:type="gramEnd"/>
    </w:p>
    <w:p w14:paraId="65539837" w14:textId="77777777" w:rsidR="009E3497" w:rsidRDefault="000F1838">
      <w:pPr>
        <w:pStyle w:val="Normalnoindent"/>
        <w:rPr>
          <w:lang w:eastAsia="zh-CN"/>
        </w:rPr>
      </w:pPr>
      <w:r>
        <w:rPr>
          <w:rFonts w:hint="eastAsia"/>
          <w:lang w:eastAsia="zh-CN"/>
        </w:rPr>
        <w:t>4</w:t>
      </w:r>
      <w:r>
        <w:rPr>
          <w:lang w:eastAsia="zh-CN"/>
        </w:rPr>
        <w:tab/>
      </w:r>
      <w:r>
        <w:rPr>
          <w:rFonts w:hint="eastAsia"/>
          <w:lang w:eastAsia="zh-CN"/>
        </w:rPr>
        <w:t>为各区域组起草职责范围和工作方法草案，</w:t>
      </w:r>
      <w:proofErr w:type="gramStart"/>
      <w:r>
        <w:rPr>
          <w:rFonts w:hint="eastAsia"/>
          <w:lang w:eastAsia="zh-CN"/>
        </w:rPr>
        <w:t>待归口研究组批准；</w:t>
      </w:r>
      <w:proofErr w:type="gramEnd"/>
    </w:p>
    <w:p w14:paraId="530355E3" w14:textId="77777777" w:rsidR="009E3497" w:rsidRDefault="000F1838">
      <w:pPr>
        <w:pStyle w:val="Normalnoindent"/>
        <w:rPr>
          <w:lang w:eastAsia="zh-CN"/>
        </w:rPr>
      </w:pPr>
      <w:r>
        <w:rPr>
          <w:lang w:eastAsia="zh-CN"/>
        </w:rPr>
        <w:t>5</w:t>
      </w:r>
      <w:r>
        <w:rPr>
          <w:lang w:eastAsia="zh-CN"/>
        </w:rPr>
        <w:tab/>
      </w:r>
      <w:r>
        <w:rPr>
          <w:rFonts w:hint="eastAsia"/>
          <w:lang w:eastAsia="zh-CN"/>
        </w:rPr>
        <w:t>分享有关利用</w:t>
      </w:r>
      <w:r>
        <w:rPr>
          <w:lang w:eastAsia="zh-CN"/>
        </w:rPr>
        <w:t>ITU-</w:t>
      </w:r>
      <w:proofErr w:type="gramStart"/>
      <w:r>
        <w:rPr>
          <w:lang w:eastAsia="zh-CN"/>
        </w:rPr>
        <w:t>T</w:t>
      </w:r>
      <w:r>
        <w:rPr>
          <w:rFonts w:hint="eastAsia"/>
          <w:lang w:eastAsia="zh-CN"/>
        </w:rPr>
        <w:t>建议书的信息；</w:t>
      </w:r>
      <w:proofErr w:type="gramEnd"/>
    </w:p>
    <w:p w14:paraId="4202D27C" w14:textId="77777777" w:rsidR="009E3497" w:rsidRDefault="000F1838">
      <w:pPr>
        <w:pStyle w:val="Normalnoindent"/>
        <w:rPr>
          <w:rFonts w:eastAsia="Times New Roman"/>
          <w:lang w:eastAsia="zh-CN"/>
        </w:rPr>
      </w:pPr>
      <w:r>
        <w:rPr>
          <w:rFonts w:eastAsia="Times New Roman"/>
          <w:lang w:eastAsia="zh-CN"/>
        </w:rPr>
        <w:t>6</w:t>
      </w:r>
      <w:r>
        <w:rPr>
          <w:rFonts w:eastAsia="Times New Roman"/>
          <w:lang w:eastAsia="zh-CN"/>
        </w:rPr>
        <w:tab/>
      </w:r>
      <w:r>
        <w:rPr>
          <w:rFonts w:ascii="SimSun" w:hAnsi="SimSun" w:cs="SimSun" w:hint="eastAsia"/>
          <w:lang w:eastAsia="zh-CN"/>
        </w:rPr>
        <w:t>鼓励其部门成员和部门准成员，特别是来自发展中国家的业界参与</w:t>
      </w:r>
      <w:r>
        <w:rPr>
          <w:rFonts w:eastAsia="Times New Roman" w:hint="eastAsia"/>
          <w:lang w:eastAsia="zh-CN"/>
        </w:rPr>
        <w:t>ITU-</w:t>
      </w:r>
      <w:proofErr w:type="gramStart"/>
      <w:r>
        <w:rPr>
          <w:rFonts w:eastAsia="Times New Roman" w:hint="eastAsia"/>
          <w:lang w:eastAsia="zh-CN"/>
        </w:rPr>
        <w:t>T</w:t>
      </w:r>
      <w:r>
        <w:rPr>
          <w:rFonts w:ascii="SimSun" w:hAnsi="SimSun" w:cs="SimSun" w:hint="eastAsia"/>
          <w:lang w:eastAsia="zh-CN"/>
        </w:rPr>
        <w:t>的活动；</w:t>
      </w:r>
      <w:proofErr w:type="gramEnd"/>
    </w:p>
    <w:p w14:paraId="0151C3E8" w14:textId="77777777" w:rsidR="009E3497" w:rsidRDefault="000F1838">
      <w:pPr>
        <w:pStyle w:val="Normalnoindent"/>
        <w:rPr>
          <w:rFonts w:eastAsia="Times New Roman"/>
          <w:lang w:eastAsia="zh-CN"/>
        </w:rPr>
      </w:pPr>
      <w:r>
        <w:rPr>
          <w:rFonts w:eastAsia="Times New Roman"/>
          <w:lang w:eastAsia="zh-CN"/>
        </w:rPr>
        <w:t>7</w:t>
      </w:r>
      <w:r>
        <w:rPr>
          <w:rFonts w:eastAsia="Times New Roman"/>
          <w:lang w:eastAsia="zh-CN"/>
        </w:rPr>
        <w:tab/>
      </w:r>
      <w:r>
        <w:rPr>
          <w:rFonts w:ascii="SimSun" w:hAnsi="SimSun" w:cs="SimSun" w:hint="eastAsia"/>
          <w:lang w:eastAsia="zh-CN"/>
        </w:rPr>
        <w:t>特别在发展中国家主办区域组和研究组会议以及其他</w:t>
      </w:r>
      <w:r>
        <w:rPr>
          <w:rFonts w:eastAsia="Times New Roman" w:hint="eastAsia"/>
          <w:lang w:eastAsia="zh-CN"/>
        </w:rPr>
        <w:t>ITU-T</w:t>
      </w:r>
      <w:r>
        <w:rPr>
          <w:rFonts w:ascii="SimSun" w:hAnsi="SimSun" w:cs="SimSun" w:hint="eastAsia"/>
          <w:lang w:eastAsia="zh-CN"/>
        </w:rPr>
        <w:t>活动，</w:t>
      </w:r>
    </w:p>
    <w:p w14:paraId="38D53B20" w14:textId="77777777" w:rsidR="009E3497" w:rsidRDefault="000F1838">
      <w:pPr>
        <w:pStyle w:val="Call"/>
        <w:rPr>
          <w:rStyle w:val="Italic"/>
          <w:lang w:eastAsia="zh-CN"/>
        </w:rPr>
      </w:pPr>
      <w:r>
        <w:rPr>
          <w:rFonts w:hint="eastAsia"/>
          <w:lang w:eastAsia="zh-CN"/>
        </w:rPr>
        <w:t>鼓励成员国和部门成员</w:t>
      </w:r>
    </w:p>
    <w:p w14:paraId="674A1C08" w14:textId="77777777" w:rsidR="009E3497" w:rsidRDefault="000F1838">
      <w:pPr>
        <w:pStyle w:val="Normalnoindent"/>
        <w:rPr>
          <w:rFonts w:eastAsia="Times New Roman"/>
          <w:lang w:eastAsia="zh-CN"/>
        </w:rPr>
      </w:pPr>
      <w:r>
        <w:rPr>
          <w:rFonts w:eastAsia="Times New Roman"/>
          <w:lang w:eastAsia="zh-CN"/>
        </w:rPr>
        <w:t>1</w:t>
      </w:r>
      <w:r>
        <w:rPr>
          <w:rFonts w:eastAsia="Times New Roman"/>
          <w:lang w:eastAsia="zh-CN"/>
        </w:rPr>
        <w:tab/>
      </w:r>
      <w:r>
        <w:rPr>
          <w:rFonts w:ascii="SimSun" w:hAnsi="SimSun" w:cs="SimSun" w:hint="eastAsia"/>
          <w:lang w:eastAsia="zh-CN"/>
        </w:rPr>
        <w:t>通过文稿和回复</w:t>
      </w:r>
      <w:r>
        <w:rPr>
          <w:rFonts w:eastAsia="Times New Roman" w:hint="eastAsia"/>
          <w:lang w:eastAsia="zh-CN"/>
        </w:rPr>
        <w:t>ITU-T</w:t>
      </w:r>
      <w:r>
        <w:rPr>
          <w:rFonts w:ascii="SimSun" w:hAnsi="SimSun" w:cs="SimSun" w:hint="eastAsia"/>
          <w:lang w:eastAsia="zh-CN"/>
        </w:rPr>
        <w:t>调查，</w:t>
      </w:r>
      <w:proofErr w:type="gramStart"/>
      <w:r>
        <w:rPr>
          <w:rFonts w:ascii="SimSun" w:hAnsi="SimSun" w:cs="SimSun" w:hint="eastAsia"/>
          <w:lang w:eastAsia="zh-CN"/>
        </w:rPr>
        <w:t>通报其标准化工作重点；</w:t>
      </w:r>
      <w:proofErr w:type="gramEnd"/>
    </w:p>
    <w:p w14:paraId="2122494E" w14:textId="77777777" w:rsidR="009E3497" w:rsidRDefault="000F1838">
      <w:pPr>
        <w:pStyle w:val="Normalnoindent"/>
        <w:rPr>
          <w:lang w:eastAsia="zh-CN"/>
        </w:rPr>
      </w:pPr>
      <w:r>
        <w:rPr>
          <w:lang w:eastAsia="zh-CN"/>
        </w:rPr>
        <w:t>2</w:t>
      </w:r>
      <w:r>
        <w:rPr>
          <w:lang w:eastAsia="zh-CN"/>
        </w:rPr>
        <w:tab/>
      </w:r>
      <w:r>
        <w:rPr>
          <w:rFonts w:hint="eastAsia"/>
          <w:lang w:eastAsia="zh-CN"/>
        </w:rPr>
        <w:t>在参加</w:t>
      </w:r>
      <w:r>
        <w:rPr>
          <w:lang w:eastAsia="zh-CN"/>
        </w:rPr>
        <w:t>ITU-T</w:t>
      </w:r>
      <w:r>
        <w:rPr>
          <w:rFonts w:hint="eastAsia"/>
          <w:lang w:eastAsia="zh-CN"/>
        </w:rPr>
        <w:t>的活动时，将本决议附件中行动计划所确立的目标考虑在内。</w:t>
      </w:r>
    </w:p>
    <w:p w14:paraId="3B630C7A" w14:textId="61D43A79" w:rsidR="009E3497" w:rsidRDefault="000F1838">
      <w:pPr>
        <w:pStyle w:val="AnnexNo"/>
        <w:pageBreakBefore/>
        <w:rPr>
          <w:lang w:val="fr-FR" w:eastAsia="zh-CN"/>
        </w:rPr>
      </w:pPr>
      <w:bookmarkStart w:id="58" w:name="_Toc114651317"/>
      <w:r>
        <w:rPr>
          <w:rFonts w:hint="eastAsia"/>
          <w:lang w:val="fr-FR" w:eastAsia="zh-CN"/>
        </w:rPr>
        <w:lastRenderedPageBreak/>
        <w:t>（</w:t>
      </w:r>
      <w:r>
        <w:rPr>
          <w:rFonts w:hint="eastAsia"/>
          <w:lang w:eastAsia="zh-CN"/>
        </w:rPr>
        <w:t>第</w:t>
      </w:r>
      <w:r>
        <w:rPr>
          <w:lang w:val="fr-FR" w:eastAsia="zh-CN"/>
        </w:rPr>
        <w:t>44</w:t>
      </w:r>
      <w:r>
        <w:rPr>
          <w:rFonts w:hint="eastAsia"/>
          <w:lang w:eastAsia="zh-CN"/>
        </w:rPr>
        <w:t>号决议</w:t>
      </w:r>
      <w:r>
        <w:rPr>
          <w:rFonts w:hint="eastAsia"/>
          <w:lang w:val="fr-FR" w:eastAsia="zh-CN"/>
        </w:rPr>
        <w:t>（</w:t>
      </w:r>
      <w:del w:id="59" w:author="LING-C(JL)" w:date="2024-09-30T10:54:00Z" w16du:dateUtc="2024-09-30T08:54:00Z">
        <w:r w:rsidDel="009E0DEE">
          <w:rPr>
            <w:rFonts w:hint="eastAsia"/>
            <w:lang w:val="fr-FR" w:eastAsia="zh-CN"/>
          </w:rPr>
          <w:delText>2022</w:delText>
        </w:r>
        <w:r w:rsidDel="009E0DEE">
          <w:rPr>
            <w:rFonts w:hint="eastAsia"/>
            <w:lang w:eastAsia="zh-CN"/>
          </w:rPr>
          <w:delText>年</w:delText>
        </w:r>
        <w:r w:rsidDel="009E0DEE">
          <w:rPr>
            <w:rFonts w:hint="eastAsia"/>
            <w:lang w:val="fr-FR" w:eastAsia="zh-CN"/>
          </w:rPr>
          <w:delText>，</w:delText>
        </w:r>
        <w:r w:rsidDel="009E0DEE">
          <w:rPr>
            <w:rFonts w:hint="eastAsia"/>
            <w:lang w:eastAsia="zh-CN"/>
          </w:rPr>
          <w:delText>日内瓦</w:delText>
        </w:r>
      </w:del>
      <w:ins w:id="60" w:author="LING-C(JL)" w:date="2024-09-30T10:54:00Z" w16du:dateUtc="2024-09-30T08:54:00Z">
        <w:r w:rsidR="009E0DEE">
          <w:rPr>
            <w:rFonts w:hint="eastAsia"/>
            <w:lang w:eastAsia="zh-CN"/>
          </w:rPr>
          <w:t>2024</w:t>
        </w:r>
        <w:r w:rsidR="009E0DEE">
          <w:rPr>
            <w:rFonts w:hint="eastAsia"/>
            <w:lang w:eastAsia="zh-CN"/>
          </w:rPr>
          <w:t>年，新德里</w:t>
        </w:r>
      </w:ins>
      <w:r>
        <w:rPr>
          <w:lang w:val="fr-FR" w:eastAsia="zh-CN"/>
        </w:rPr>
        <w:t>，</w:t>
      </w:r>
      <w:r>
        <w:rPr>
          <w:lang w:eastAsia="zh-CN"/>
        </w:rPr>
        <w:t>修订版</w:t>
      </w:r>
      <w:r>
        <w:rPr>
          <w:rFonts w:hint="eastAsia"/>
          <w:lang w:val="fr-FR" w:eastAsia="zh-CN"/>
        </w:rPr>
        <w:t>））</w:t>
      </w:r>
      <w:r>
        <w:rPr>
          <w:lang w:val="fr-FR" w:eastAsia="zh-CN"/>
        </w:rPr>
        <w:br/>
      </w:r>
      <w:r>
        <w:rPr>
          <w:rFonts w:hint="eastAsia"/>
          <w:lang w:eastAsia="zh-CN"/>
        </w:rPr>
        <w:t>附件</w:t>
      </w:r>
      <w:bookmarkEnd w:id="58"/>
    </w:p>
    <w:p w14:paraId="61E287AC" w14:textId="2926C214" w:rsidR="009E3497" w:rsidRDefault="000F1838">
      <w:pPr>
        <w:pStyle w:val="Annextitle"/>
        <w:rPr>
          <w:lang w:val="fr-FR" w:eastAsia="zh-CN"/>
        </w:rPr>
      </w:pPr>
      <w:r>
        <w:rPr>
          <w:rFonts w:hint="eastAsia"/>
          <w:lang w:eastAsia="zh-CN"/>
        </w:rPr>
        <w:t>实施全权代表大会第</w:t>
      </w:r>
      <w:r>
        <w:rPr>
          <w:lang w:val="fr-FR" w:eastAsia="zh-CN"/>
        </w:rPr>
        <w:t>123</w:t>
      </w:r>
      <w:r>
        <w:rPr>
          <w:rFonts w:hint="eastAsia"/>
          <w:lang w:eastAsia="zh-CN"/>
        </w:rPr>
        <w:t>号决议</w:t>
      </w:r>
      <w:r>
        <w:rPr>
          <w:rFonts w:hint="eastAsia"/>
          <w:lang w:val="fr-FR" w:eastAsia="zh-CN"/>
        </w:rPr>
        <w:t>（</w:t>
      </w:r>
      <w:del w:id="61" w:author="LING-C(JL)" w:date="2024-09-30T10:54:00Z" w16du:dateUtc="2024-09-30T08:54:00Z">
        <w:r w:rsidDel="009E0DEE">
          <w:rPr>
            <w:rFonts w:hint="eastAsia"/>
            <w:lang w:val="fr-FR" w:eastAsia="zh-CN"/>
          </w:rPr>
          <w:delText>2018</w:delText>
        </w:r>
        <w:r w:rsidDel="009E0DEE">
          <w:rPr>
            <w:rFonts w:hint="eastAsia"/>
            <w:lang w:eastAsia="zh-CN"/>
          </w:rPr>
          <w:delText>年</w:delText>
        </w:r>
        <w:r w:rsidDel="009E0DEE">
          <w:rPr>
            <w:rFonts w:hint="eastAsia"/>
            <w:lang w:val="fr-FR" w:eastAsia="zh-CN"/>
          </w:rPr>
          <w:delText>，</w:delText>
        </w:r>
        <w:r w:rsidDel="009E0DEE">
          <w:rPr>
            <w:rFonts w:hint="eastAsia"/>
            <w:lang w:eastAsia="zh-CN"/>
          </w:rPr>
          <w:delText>迪拜</w:delText>
        </w:r>
      </w:del>
      <w:ins w:id="62" w:author="LING-C(JL)" w:date="2024-09-30T10:54:00Z" w16du:dateUtc="2024-09-30T08:54:00Z">
        <w:r w:rsidR="009E0DEE">
          <w:rPr>
            <w:rFonts w:hint="eastAsia"/>
            <w:lang w:eastAsia="zh-CN"/>
          </w:rPr>
          <w:t>2022</w:t>
        </w:r>
        <w:r w:rsidR="009E0DEE">
          <w:rPr>
            <w:rFonts w:hint="eastAsia"/>
            <w:lang w:eastAsia="zh-CN"/>
          </w:rPr>
          <w:t>年，</w:t>
        </w:r>
      </w:ins>
      <w:ins w:id="63" w:author="LING-C(JL)" w:date="2024-09-30T10:55:00Z" w16du:dateUtc="2024-09-30T08:55:00Z">
        <w:r w:rsidR="009E0DEE">
          <w:rPr>
            <w:rFonts w:hint="eastAsia"/>
            <w:lang w:eastAsia="zh-CN"/>
          </w:rPr>
          <w:t>布加勒斯特</w:t>
        </w:r>
      </w:ins>
      <w:r>
        <w:rPr>
          <w:rFonts w:hint="eastAsia"/>
          <w:lang w:val="fr-FR" w:eastAsia="zh-CN"/>
        </w:rPr>
        <w:t>，</w:t>
      </w:r>
      <w:r>
        <w:rPr>
          <w:lang w:val="fr-FR" w:eastAsia="zh-CN"/>
        </w:rPr>
        <w:br/>
      </w:r>
      <w:r>
        <w:rPr>
          <w:rFonts w:hint="eastAsia"/>
          <w:lang w:eastAsia="zh-CN"/>
        </w:rPr>
        <w:t>修订版</w:t>
      </w:r>
      <w:r>
        <w:rPr>
          <w:rFonts w:hint="eastAsia"/>
          <w:lang w:val="fr-FR" w:eastAsia="zh-CN"/>
        </w:rPr>
        <w:t>）</w:t>
      </w:r>
      <w:r>
        <w:rPr>
          <w:rFonts w:hint="eastAsia"/>
          <w:lang w:eastAsia="zh-CN"/>
        </w:rPr>
        <w:t>的行动计划</w:t>
      </w:r>
    </w:p>
    <w:p w14:paraId="4A7BCC24" w14:textId="77777777" w:rsidR="009E3497" w:rsidRDefault="000F1838">
      <w:pPr>
        <w:pStyle w:val="Heading1"/>
        <w:rPr>
          <w:lang w:eastAsia="zh-CN"/>
        </w:rPr>
      </w:pPr>
      <w:proofErr w:type="gramStart"/>
      <w:r>
        <w:rPr>
          <w:rFonts w:hint="eastAsia"/>
          <w:lang w:eastAsia="zh-CN"/>
        </w:rPr>
        <w:t>一</w:t>
      </w:r>
      <w:proofErr w:type="gramEnd"/>
      <w:r>
        <w:rPr>
          <w:rFonts w:hint="eastAsia"/>
          <w:lang w:eastAsia="zh-CN"/>
        </w:rPr>
        <w:tab/>
      </w:r>
      <w:r>
        <w:rPr>
          <w:rFonts w:hint="eastAsia"/>
          <w:lang w:eastAsia="zh-CN"/>
        </w:rPr>
        <w:t>项目</w:t>
      </w:r>
      <w:r>
        <w:rPr>
          <w:lang w:eastAsia="zh-CN"/>
        </w:rPr>
        <w:t>1</w:t>
      </w:r>
      <w:r>
        <w:rPr>
          <w:rFonts w:hint="eastAsia"/>
          <w:lang w:eastAsia="zh-CN"/>
        </w:rPr>
        <w:t>：提高标准制定能力</w:t>
      </w:r>
    </w:p>
    <w:p w14:paraId="0A53682F" w14:textId="77777777" w:rsidR="009E3497" w:rsidRDefault="000F1838">
      <w:pPr>
        <w:pStyle w:val="Normalnoindent"/>
        <w:rPr>
          <w:lang w:eastAsia="zh-CN"/>
        </w:rPr>
      </w:pPr>
      <w:r>
        <w:rPr>
          <w:lang w:eastAsia="zh-CN"/>
        </w:rPr>
        <w:t>1</w:t>
      </w:r>
      <w:r>
        <w:rPr>
          <w:rFonts w:hint="eastAsia"/>
          <w:lang w:eastAsia="zh-CN"/>
        </w:rPr>
        <w:t>)</w:t>
      </w:r>
      <w:r>
        <w:rPr>
          <w:rFonts w:hint="eastAsia"/>
          <w:lang w:eastAsia="zh-CN"/>
        </w:rPr>
        <w:tab/>
      </w:r>
      <w:r>
        <w:rPr>
          <w:rFonts w:hint="eastAsia"/>
          <w:lang w:eastAsia="zh-CN"/>
        </w:rPr>
        <w:t>目标</w:t>
      </w:r>
    </w:p>
    <w:p w14:paraId="3CD08427" w14:textId="77777777" w:rsidR="009E3497" w:rsidRDefault="000F1838">
      <w:pPr>
        <w:pStyle w:val="enumlev1"/>
        <w:rPr>
          <w:lang w:eastAsia="zh-CN"/>
        </w:rPr>
      </w:pPr>
      <w:r>
        <w:rPr>
          <w:lang w:eastAsia="zh-CN"/>
        </w:rPr>
        <w:t>•</w:t>
      </w:r>
      <w:r>
        <w:rPr>
          <w:rFonts w:hint="eastAsia"/>
          <w:lang w:eastAsia="zh-CN"/>
        </w:rPr>
        <w:tab/>
      </w:r>
      <w:r>
        <w:rPr>
          <w:rFonts w:hint="eastAsia"/>
          <w:lang w:eastAsia="zh-CN"/>
        </w:rPr>
        <w:t>提高发展中国家的标准制定能力。</w:t>
      </w:r>
    </w:p>
    <w:p w14:paraId="266AA509" w14:textId="77777777" w:rsidR="009E3497" w:rsidRDefault="000F1838">
      <w:pPr>
        <w:pStyle w:val="Normalnoindent"/>
        <w:rPr>
          <w:lang w:eastAsia="zh-CN"/>
        </w:rPr>
      </w:pPr>
      <w:r>
        <w:rPr>
          <w:lang w:eastAsia="zh-CN"/>
        </w:rPr>
        <w:t>2</w:t>
      </w:r>
      <w:r>
        <w:rPr>
          <w:rFonts w:hint="eastAsia"/>
          <w:lang w:eastAsia="zh-CN"/>
        </w:rPr>
        <w:t>)</w:t>
      </w:r>
      <w:r>
        <w:rPr>
          <w:rFonts w:hint="eastAsia"/>
          <w:lang w:eastAsia="zh-CN"/>
        </w:rPr>
        <w:tab/>
      </w:r>
      <w:r>
        <w:rPr>
          <w:rFonts w:hint="eastAsia"/>
          <w:lang w:eastAsia="zh-CN"/>
        </w:rPr>
        <w:t>活动</w:t>
      </w:r>
    </w:p>
    <w:p w14:paraId="644A0E14" w14:textId="77777777" w:rsidR="009E3497" w:rsidRDefault="000F1838">
      <w:pPr>
        <w:pStyle w:val="enumlev1"/>
        <w:rPr>
          <w:lang w:eastAsia="zh-CN"/>
        </w:rPr>
      </w:pPr>
      <w:r>
        <w:rPr>
          <w:lang w:eastAsia="zh-CN"/>
        </w:rPr>
        <w:t>•</w:t>
      </w:r>
      <w:r>
        <w:rPr>
          <w:rFonts w:hint="eastAsia"/>
          <w:lang w:eastAsia="zh-CN"/>
        </w:rPr>
        <w:tab/>
      </w:r>
      <w:r>
        <w:rPr>
          <w:rFonts w:hint="eastAsia"/>
          <w:lang w:eastAsia="zh-CN"/>
        </w:rPr>
        <w:t>制定指导原则，帮助发展中国家参与</w:t>
      </w:r>
      <w:r>
        <w:rPr>
          <w:lang w:eastAsia="zh-CN"/>
        </w:rPr>
        <w:t>ITU-T</w:t>
      </w:r>
      <w:r>
        <w:rPr>
          <w:rFonts w:hint="eastAsia"/>
          <w:lang w:eastAsia="zh-CN"/>
        </w:rPr>
        <w:t>的活动，这些活动涵盖但不限于</w:t>
      </w:r>
      <w:r>
        <w:rPr>
          <w:rFonts w:hint="eastAsia"/>
          <w:lang w:eastAsia="zh-CN"/>
        </w:rPr>
        <w:t>ITU-T</w:t>
      </w:r>
      <w:r>
        <w:rPr>
          <w:rFonts w:hint="eastAsia"/>
          <w:lang w:eastAsia="zh-CN"/>
        </w:rPr>
        <w:t>的工作方法、课题草案的制定和建议的提出。</w:t>
      </w:r>
    </w:p>
    <w:p w14:paraId="080AFDDF" w14:textId="77777777" w:rsidR="009E3497" w:rsidRDefault="000F1838">
      <w:pPr>
        <w:pStyle w:val="enumlev1"/>
        <w:rPr>
          <w:lang w:eastAsia="zh-CN"/>
        </w:rPr>
      </w:pPr>
      <w:r>
        <w:rPr>
          <w:lang w:eastAsia="zh-CN"/>
        </w:rPr>
        <w:t>•</w:t>
      </w:r>
      <w:r>
        <w:rPr>
          <w:rFonts w:hint="eastAsia"/>
          <w:lang w:eastAsia="zh-CN"/>
        </w:rPr>
        <w:tab/>
      </w:r>
      <w:r>
        <w:rPr>
          <w:rFonts w:hint="eastAsia"/>
          <w:lang w:eastAsia="zh-CN"/>
        </w:rPr>
        <w:t>设法加强发展中国家对基本技术信息的获取，以增强其知识和能力，从而</w:t>
      </w:r>
      <w:r>
        <w:rPr>
          <w:rFonts w:hint="eastAsia"/>
          <w:lang w:eastAsia="zh-CN"/>
        </w:rPr>
        <w:t>(</w:t>
      </w:r>
      <w:proofErr w:type="spellStart"/>
      <w:r>
        <w:rPr>
          <w:rFonts w:hint="eastAsia"/>
          <w:lang w:eastAsia="zh-CN"/>
        </w:rPr>
        <w:t>i</w:t>
      </w:r>
      <w:proofErr w:type="spellEnd"/>
      <w:r>
        <w:rPr>
          <w:rFonts w:hint="eastAsia"/>
          <w:lang w:eastAsia="zh-CN"/>
        </w:rPr>
        <w:t>)</w:t>
      </w:r>
      <w:r>
        <w:rPr>
          <w:lang w:eastAsia="zh-CN"/>
        </w:rPr>
        <w:t xml:space="preserve"> </w:t>
      </w:r>
      <w:r>
        <w:rPr>
          <w:rFonts w:hint="eastAsia"/>
          <w:lang w:eastAsia="zh-CN"/>
        </w:rPr>
        <w:t>实施全球标准，</w:t>
      </w:r>
      <w:r>
        <w:rPr>
          <w:rFonts w:hint="eastAsia"/>
          <w:lang w:eastAsia="zh-CN"/>
        </w:rPr>
        <w:t>(ii)</w:t>
      </w:r>
      <w:r>
        <w:rPr>
          <w:lang w:eastAsia="zh-CN"/>
        </w:rPr>
        <w:t xml:space="preserve"> </w:t>
      </w:r>
      <w:r>
        <w:rPr>
          <w:rFonts w:hint="eastAsia"/>
          <w:lang w:eastAsia="zh-CN"/>
        </w:rPr>
        <w:t>为</w:t>
      </w:r>
      <w:r>
        <w:rPr>
          <w:rFonts w:hint="eastAsia"/>
          <w:lang w:eastAsia="zh-CN"/>
        </w:rPr>
        <w:t>ITU-T</w:t>
      </w:r>
      <w:r>
        <w:rPr>
          <w:rFonts w:hint="eastAsia"/>
          <w:lang w:eastAsia="zh-CN"/>
        </w:rPr>
        <w:t>的工作做出有效贡献，</w:t>
      </w:r>
      <w:r>
        <w:rPr>
          <w:rFonts w:hint="eastAsia"/>
          <w:lang w:eastAsia="zh-CN"/>
        </w:rPr>
        <w:t>(iii)</w:t>
      </w:r>
      <w:r>
        <w:rPr>
          <w:lang w:eastAsia="zh-CN"/>
        </w:rPr>
        <w:t xml:space="preserve"> </w:t>
      </w:r>
      <w:r>
        <w:rPr>
          <w:rFonts w:hint="eastAsia"/>
          <w:lang w:eastAsia="zh-CN"/>
        </w:rPr>
        <w:t>在全球标准制定进程中反映其自身特点和需求，</w:t>
      </w:r>
      <w:r>
        <w:rPr>
          <w:rFonts w:hint="eastAsia"/>
          <w:lang w:eastAsia="zh-CN"/>
        </w:rPr>
        <w:t>(iv)</w:t>
      </w:r>
      <w:r>
        <w:rPr>
          <w:lang w:eastAsia="zh-CN"/>
        </w:rPr>
        <w:t xml:space="preserve"> </w:t>
      </w:r>
      <w:r>
        <w:rPr>
          <w:rFonts w:hint="eastAsia"/>
          <w:lang w:eastAsia="zh-CN"/>
        </w:rPr>
        <w:t>与</w:t>
      </w:r>
      <w:r>
        <w:rPr>
          <w:rFonts w:hint="eastAsia"/>
          <w:lang w:eastAsia="zh-CN"/>
        </w:rPr>
        <w:t>BDT</w:t>
      </w:r>
      <w:r>
        <w:rPr>
          <w:rFonts w:hint="eastAsia"/>
          <w:lang w:eastAsia="zh-CN"/>
        </w:rPr>
        <w:t>其他能力建设举措密切协作，通过在</w:t>
      </w:r>
      <w:r>
        <w:rPr>
          <w:rFonts w:hint="eastAsia"/>
          <w:lang w:eastAsia="zh-CN"/>
        </w:rPr>
        <w:t>ITU-T</w:t>
      </w:r>
      <w:r>
        <w:rPr>
          <w:rFonts w:hint="eastAsia"/>
          <w:lang w:eastAsia="zh-CN"/>
        </w:rPr>
        <w:t>研究组发挥积极作用，影响全球标准制定方面的讨论。</w:t>
      </w:r>
    </w:p>
    <w:p w14:paraId="28B9F701" w14:textId="77777777" w:rsidR="009E3497" w:rsidRDefault="000F1838">
      <w:pPr>
        <w:pStyle w:val="enumlev1"/>
        <w:rPr>
          <w:lang w:eastAsia="zh-CN"/>
        </w:rPr>
      </w:pPr>
      <w:r>
        <w:rPr>
          <w:lang w:eastAsia="zh-CN"/>
        </w:rPr>
        <w:t>•</w:t>
      </w:r>
      <w:r>
        <w:rPr>
          <w:rFonts w:hint="eastAsia"/>
          <w:lang w:eastAsia="zh-CN"/>
        </w:rPr>
        <w:tab/>
      </w:r>
      <w:r>
        <w:rPr>
          <w:rFonts w:hint="eastAsia"/>
          <w:lang w:eastAsia="zh-CN"/>
        </w:rPr>
        <w:t>进一步完善通过电子手段实现远程参会的程序和工具，以利</w:t>
      </w:r>
      <w:r>
        <w:rPr>
          <w:lang w:eastAsia="zh-CN"/>
        </w:rPr>
        <w:t>于</w:t>
      </w:r>
      <w:r>
        <w:rPr>
          <w:rFonts w:hint="eastAsia"/>
          <w:lang w:eastAsia="zh-CN"/>
        </w:rPr>
        <w:t>发展中国家的专家在各自国家积极参加</w:t>
      </w:r>
      <w:r>
        <w:rPr>
          <w:rFonts w:hint="eastAsia"/>
          <w:lang w:eastAsia="zh-CN"/>
        </w:rPr>
        <w:t>ITU-T</w:t>
      </w:r>
      <w:r>
        <w:rPr>
          <w:rFonts w:hint="eastAsia"/>
          <w:lang w:eastAsia="zh-CN"/>
        </w:rPr>
        <w:t>的各类会议（包括</w:t>
      </w:r>
      <w:r>
        <w:rPr>
          <w:rFonts w:hint="eastAsia"/>
          <w:lang w:eastAsia="zh-CN"/>
        </w:rPr>
        <w:t>TSAG</w:t>
      </w:r>
      <w:r>
        <w:rPr>
          <w:rFonts w:hint="eastAsia"/>
          <w:lang w:eastAsia="zh-CN"/>
        </w:rPr>
        <w:t>、各研究组、焦点组、联合协调活动</w:t>
      </w:r>
      <w:del w:id="64" w:author="TSB(RC)" w:date="2024-09-27T17:10:00Z">
        <w:r>
          <w:rPr>
            <w:rFonts w:hint="eastAsia"/>
            <w:lang w:eastAsia="zh-CN"/>
          </w:rPr>
          <w:delText>、全球标准化举措</w:delText>
        </w:r>
      </w:del>
      <w:r>
        <w:rPr>
          <w:rFonts w:hint="eastAsia"/>
          <w:lang w:eastAsia="zh-CN"/>
        </w:rPr>
        <w:t>等</w:t>
      </w:r>
      <w:del w:id="65" w:author="TSB(RC)" w:date="2024-09-27T17:10:00Z">
        <w:r>
          <w:rPr>
            <w:rFonts w:hint="eastAsia"/>
            <w:lang w:eastAsia="zh-CN"/>
          </w:rPr>
          <w:delText>会议</w:delText>
        </w:r>
      </w:del>
      <w:r>
        <w:rPr>
          <w:rFonts w:hint="eastAsia"/>
          <w:lang w:eastAsia="zh-CN"/>
        </w:rPr>
        <w:t>）、讲习班和各类培训活动。</w:t>
      </w:r>
    </w:p>
    <w:p w14:paraId="0145B48A" w14:textId="77777777" w:rsidR="009E3497" w:rsidRDefault="000F1838">
      <w:pPr>
        <w:pStyle w:val="enumlev1"/>
        <w:rPr>
          <w:lang w:eastAsia="zh-CN"/>
        </w:rPr>
      </w:pPr>
      <w:r>
        <w:rPr>
          <w:lang w:eastAsia="zh-CN"/>
        </w:rPr>
        <w:t>•</w:t>
      </w:r>
      <w:r>
        <w:rPr>
          <w:rFonts w:hint="eastAsia"/>
          <w:lang w:eastAsia="zh-CN"/>
        </w:rPr>
        <w:tab/>
      </w:r>
      <w:r>
        <w:rPr>
          <w:rFonts w:hint="eastAsia"/>
          <w:lang w:eastAsia="zh-CN"/>
        </w:rPr>
        <w:t>开展咨询项目，以帮助发展中国家制定标准化工作规划、战略和政策等。应将相关成果进一步转化为最佳做法。</w:t>
      </w:r>
    </w:p>
    <w:p w14:paraId="6A2BB712" w14:textId="77777777" w:rsidR="009E3497" w:rsidRDefault="000F1838">
      <w:pPr>
        <w:pStyle w:val="enumlev1"/>
        <w:rPr>
          <w:lang w:eastAsia="zh-CN"/>
        </w:rPr>
      </w:pPr>
      <w:r>
        <w:rPr>
          <w:lang w:eastAsia="zh-CN"/>
        </w:rPr>
        <w:t>•</w:t>
      </w:r>
      <w:r>
        <w:rPr>
          <w:rFonts w:hint="eastAsia"/>
          <w:lang w:eastAsia="zh-CN"/>
        </w:rPr>
        <w:tab/>
      </w:r>
      <w:r>
        <w:rPr>
          <w:rFonts w:hint="eastAsia"/>
          <w:lang w:eastAsia="zh-CN"/>
        </w:rPr>
        <w:t>确定方法、开发工具和明确指标，以便准确衡量在缩小标准化差距的活动中所取得的成果与所付出的努力并提供有关发展中国家参与</w:t>
      </w:r>
      <w:r>
        <w:rPr>
          <w:rFonts w:hint="eastAsia"/>
          <w:lang w:eastAsia="zh-CN"/>
        </w:rPr>
        <w:t>TSAG</w:t>
      </w:r>
      <w:r>
        <w:rPr>
          <w:rFonts w:hint="eastAsia"/>
          <w:lang w:eastAsia="zh-CN"/>
        </w:rPr>
        <w:t>、</w:t>
      </w:r>
      <w:r>
        <w:rPr>
          <w:rFonts w:hint="eastAsia"/>
          <w:lang w:eastAsia="zh-CN"/>
        </w:rPr>
        <w:t>ITU-T</w:t>
      </w:r>
      <w:r>
        <w:rPr>
          <w:rFonts w:hint="eastAsia"/>
          <w:lang w:eastAsia="zh-CN"/>
        </w:rPr>
        <w:t>各焦点组、</w:t>
      </w:r>
      <w:r>
        <w:rPr>
          <w:rFonts w:hint="eastAsia"/>
          <w:lang w:eastAsia="zh-CN"/>
        </w:rPr>
        <w:t>ITU-T</w:t>
      </w:r>
      <w:r>
        <w:rPr>
          <w:rFonts w:hint="eastAsia"/>
          <w:lang w:eastAsia="zh-CN"/>
        </w:rPr>
        <w:t>各研究组和区域组的工作和会议以及其他</w:t>
      </w:r>
      <w:r>
        <w:rPr>
          <w:rFonts w:hint="eastAsia"/>
          <w:lang w:eastAsia="zh-CN"/>
        </w:rPr>
        <w:t>ITU-T</w:t>
      </w:r>
      <w:r>
        <w:rPr>
          <w:rFonts w:hint="eastAsia"/>
          <w:lang w:eastAsia="zh-CN"/>
        </w:rPr>
        <w:t>活动的统计数据。</w:t>
      </w:r>
    </w:p>
    <w:p w14:paraId="2A1B1C70" w14:textId="77777777" w:rsidR="009E3497" w:rsidRDefault="000F1838">
      <w:pPr>
        <w:pStyle w:val="enumlev1"/>
        <w:rPr>
          <w:lang w:eastAsia="zh-CN"/>
        </w:rPr>
      </w:pPr>
      <w:r>
        <w:rPr>
          <w:lang w:eastAsia="zh-CN"/>
        </w:rPr>
        <w:t>•</w:t>
      </w:r>
      <w:r>
        <w:rPr>
          <w:rFonts w:hint="eastAsia"/>
          <w:lang w:eastAsia="zh-CN"/>
        </w:rPr>
        <w:tab/>
      </w:r>
      <w:r>
        <w:rPr>
          <w:rFonts w:hint="eastAsia"/>
          <w:lang w:eastAsia="zh-CN"/>
        </w:rPr>
        <w:t>与部门成员合作，尤其是与制造商、学术界和科研组织合作，交流有关新技术和发展中国家的需要等方面的信息，并提供技术帮助，以鼓励在</w:t>
      </w:r>
      <w:r>
        <w:rPr>
          <w:rFonts w:hint="eastAsia"/>
          <w:lang w:eastAsia="zh-CN"/>
        </w:rPr>
        <w:t>ICT</w:t>
      </w:r>
      <w:r>
        <w:rPr>
          <w:rFonts w:hint="eastAsia"/>
          <w:lang w:eastAsia="zh-CN"/>
        </w:rPr>
        <w:t>领域的学术、研究和开发机构中设立标准化项目。</w:t>
      </w:r>
    </w:p>
    <w:p w14:paraId="6D1EAD08" w14:textId="77777777" w:rsidR="009E3497" w:rsidRDefault="000F1838">
      <w:pPr>
        <w:pStyle w:val="Heading1"/>
        <w:rPr>
          <w:lang w:eastAsia="zh-CN"/>
        </w:rPr>
      </w:pPr>
      <w:r>
        <w:rPr>
          <w:rFonts w:hint="eastAsia"/>
          <w:lang w:eastAsia="zh-CN"/>
        </w:rPr>
        <w:t>二</w:t>
      </w:r>
      <w:r>
        <w:rPr>
          <w:rFonts w:hint="eastAsia"/>
          <w:lang w:eastAsia="zh-CN"/>
        </w:rPr>
        <w:tab/>
      </w:r>
      <w:r>
        <w:rPr>
          <w:rFonts w:hint="eastAsia"/>
          <w:lang w:eastAsia="zh-CN"/>
        </w:rPr>
        <w:t>项目</w:t>
      </w:r>
      <w:r>
        <w:rPr>
          <w:lang w:eastAsia="zh-CN"/>
        </w:rPr>
        <w:t>2</w:t>
      </w:r>
      <w:r>
        <w:rPr>
          <w:rFonts w:hint="eastAsia"/>
          <w:lang w:eastAsia="zh-CN"/>
        </w:rPr>
        <w:t>：在标准应用方面向发展中国家提供帮助</w:t>
      </w:r>
    </w:p>
    <w:p w14:paraId="4CE0FC86" w14:textId="77777777" w:rsidR="009E3497" w:rsidRDefault="000F1838">
      <w:pPr>
        <w:pStyle w:val="Normalnoindent"/>
        <w:rPr>
          <w:lang w:eastAsia="zh-CN"/>
        </w:rPr>
      </w:pPr>
      <w:r>
        <w:rPr>
          <w:lang w:eastAsia="zh-CN"/>
        </w:rPr>
        <w:t>1</w:t>
      </w:r>
      <w:r>
        <w:rPr>
          <w:rFonts w:hint="eastAsia"/>
          <w:lang w:eastAsia="zh-CN"/>
        </w:rPr>
        <w:t>)</w:t>
      </w:r>
      <w:r>
        <w:rPr>
          <w:rFonts w:hint="eastAsia"/>
          <w:lang w:eastAsia="zh-CN"/>
        </w:rPr>
        <w:tab/>
      </w:r>
      <w:r>
        <w:rPr>
          <w:rFonts w:hint="eastAsia"/>
          <w:lang w:eastAsia="zh-CN"/>
        </w:rPr>
        <w:t>目标</w:t>
      </w:r>
    </w:p>
    <w:p w14:paraId="6E447AD1" w14:textId="77777777" w:rsidR="009E3497" w:rsidRDefault="000F1838">
      <w:pPr>
        <w:pStyle w:val="enumlev1"/>
        <w:rPr>
          <w:lang w:eastAsia="zh-CN"/>
        </w:rPr>
      </w:pPr>
      <w:r>
        <w:rPr>
          <w:lang w:eastAsia="zh-CN"/>
        </w:rPr>
        <w:t>•</w:t>
      </w:r>
      <w:r>
        <w:rPr>
          <w:lang w:eastAsia="zh-CN"/>
        </w:rPr>
        <w:tab/>
      </w:r>
      <w:r>
        <w:rPr>
          <w:rFonts w:hint="eastAsia"/>
          <w:lang w:eastAsia="zh-CN"/>
        </w:rPr>
        <w:t>协助发展中国家：</w:t>
      </w:r>
    </w:p>
    <w:p w14:paraId="54289178" w14:textId="77777777" w:rsidR="009E3497" w:rsidRDefault="000F1838">
      <w:pPr>
        <w:pStyle w:val="enumlev2"/>
        <w:rPr>
          <w:lang w:eastAsia="zh-CN"/>
        </w:rPr>
      </w:pPr>
      <w:r>
        <w:rPr>
          <w:lang w:eastAsia="zh-CN"/>
        </w:rPr>
        <w:t>•</w:t>
      </w:r>
      <w:r>
        <w:rPr>
          <w:lang w:eastAsia="zh-CN"/>
        </w:rPr>
        <w:tab/>
      </w:r>
      <w:r>
        <w:rPr>
          <w:rFonts w:hint="eastAsia"/>
          <w:lang w:eastAsia="zh-CN"/>
        </w:rPr>
        <w:t>清楚理解</w:t>
      </w:r>
      <w:r>
        <w:rPr>
          <w:lang w:eastAsia="zh-CN"/>
        </w:rPr>
        <w:t>ITU-</w:t>
      </w:r>
      <w:proofErr w:type="gramStart"/>
      <w:r>
        <w:rPr>
          <w:lang w:eastAsia="zh-CN"/>
        </w:rPr>
        <w:t>T</w:t>
      </w:r>
      <w:r>
        <w:rPr>
          <w:rFonts w:hint="eastAsia"/>
          <w:lang w:eastAsia="zh-CN"/>
        </w:rPr>
        <w:t>建议书；</w:t>
      </w:r>
      <w:proofErr w:type="gramEnd"/>
    </w:p>
    <w:p w14:paraId="33619803" w14:textId="77777777" w:rsidR="009E3497" w:rsidRDefault="000F1838">
      <w:pPr>
        <w:pStyle w:val="enumlev2"/>
        <w:rPr>
          <w:lang w:eastAsia="zh-CN"/>
        </w:rPr>
      </w:pPr>
      <w:r>
        <w:rPr>
          <w:lang w:eastAsia="zh-CN"/>
        </w:rPr>
        <w:t>•</w:t>
      </w:r>
      <w:r>
        <w:rPr>
          <w:rFonts w:hint="eastAsia"/>
          <w:lang w:eastAsia="zh-CN"/>
        </w:rPr>
        <w:tab/>
      </w:r>
      <w:r>
        <w:rPr>
          <w:rFonts w:hint="eastAsia"/>
          <w:lang w:eastAsia="zh-CN"/>
        </w:rPr>
        <w:t>加强</w:t>
      </w:r>
      <w:r>
        <w:rPr>
          <w:lang w:eastAsia="zh-CN"/>
        </w:rPr>
        <w:t>ITU-T</w:t>
      </w:r>
      <w:r>
        <w:rPr>
          <w:rFonts w:hint="eastAsia"/>
          <w:lang w:eastAsia="zh-CN"/>
        </w:rPr>
        <w:t>建议书在发展中国家的应用。</w:t>
      </w:r>
    </w:p>
    <w:p w14:paraId="421188C0" w14:textId="77777777" w:rsidR="009E3497" w:rsidRDefault="000F1838">
      <w:pPr>
        <w:pStyle w:val="Normalnoindent"/>
        <w:rPr>
          <w:lang w:eastAsia="zh-CN"/>
        </w:rPr>
      </w:pPr>
      <w:r>
        <w:rPr>
          <w:lang w:eastAsia="zh-CN"/>
        </w:rPr>
        <w:t>2</w:t>
      </w:r>
      <w:r>
        <w:rPr>
          <w:rFonts w:hint="eastAsia"/>
          <w:lang w:eastAsia="zh-CN"/>
        </w:rPr>
        <w:t>)</w:t>
      </w:r>
      <w:r>
        <w:rPr>
          <w:rFonts w:hint="eastAsia"/>
          <w:lang w:eastAsia="zh-CN"/>
        </w:rPr>
        <w:tab/>
      </w:r>
      <w:r>
        <w:rPr>
          <w:rFonts w:hint="eastAsia"/>
          <w:lang w:eastAsia="zh-CN"/>
        </w:rPr>
        <w:t>活动</w:t>
      </w:r>
    </w:p>
    <w:p w14:paraId="35B8098A" w14:textId="77777777" w:rsidR="009E3497" w:rsidRDefault="000F1838">
      <w:pPr>
        <w:pStyle w:val="enumlev1"/>
        <w:rPr>
          <w:lang w:eastAsia="zh-CN"/>
        </w:rPr>
      </w:pPr>
      <w:r>
        <w:rPr>
          <w:lang w:eastAsia="zh-CN"/>
        </w:rPr>
        <w:t>•</w:t>
      </w:r>
      <w:r>
        <w:rPr>
          <w:lang w:eastAsia="zh-CN"/>
        </w:rPr>
        <w:tab/>
      </w:r>
      <w:r>
        <w:rPr>
          <w:rFonts w:hint="eastAsia"/>
          <w:lang w:eastAsia="zh-CN"/>
        </w:rPr>
        <w:t>协助发展中国家：</w:t>
      </w:r>
    </w:p>
    <w:p w14:paraId="7052BA2A" w14:textId="77777777" w:rsidR="009E3497" w:rsidRDefault="000F1838">
      <w:pPr>
        <w:pStyle w:val="enumlev2"/>
        <w:rPr>
          <w:lang w:eastAsia="zh-CN"/>
        </w:rPr>
      </w:pPr>
      <w:r>
        <w:rPr>
          <w:lang w:eastAsia="zh-CN"/>
        </w:rPr>
        <w:t>•</w:t>
      </w:r>
      <w:r>
        <w:rPr>
          <w:rFonts w:hint="eastAsia"/>
          <w:lang w:eastAsia="zh-CN"/>
        </w:rPr>
        <w:tab/>
      </w:r>
      <w:r>
        <w:rPr>
          <w:rFonts w:hint="eastAsia"/>
          <w:lang w:eastAsia="zh-CN"/>
        </w:rPr>
        <w:t>成立标准化秘书处，协调标准化活动并参加</w:t>
      </w:r>
      <w:r>
        <w:rPr>
          <w:rFonts w:hint="eastAsia"/>
          <w:lang w:eastAsia="zh-CN"/>
        </w:rPr>
        <w:t>ITU-</w:t>
      </w:r>
      <w:proofErr w:type="gramStart"/>
      <w:r>
        <w:rPr>
          <w:rFonts w:hint="eastAsia"/>
          <w:lang w:eastAsia="zh-CN"/>
        </w:rPr>
        <w:t>T</w:t>
      </w:r>
      <w:r>
        <w:rPr>
          <w:rFonts w:hint="eastAsia"/>
          <w:lang w:eastAsia="zh-CN"/>
        </w:rPr>
        <w:t>研究组工作；</w:t>
      </w:r>
      <w:proofErr w:type="gramEnd"/>
    </w:p>
    <w:p w14:paraId="30BCBE97" w14:textId="77777777" w:rsidR="009E3497" w:rsidRDefault="000F1838">
      <w:pPr>
        <w:pStyle w:val="enumlev2"/>
        <w:rPr>
          <w:lang w:eastAsia="zh-CN"/>
        </w:rPr>
      </w:pPr>
      <w:r>
        <w:rPr>
          <w:lang w:eastAsia="zh-CN"/>
        </w:rPr>
        <w:t>•</w:t>
      </w:r>
      <w:r>
        <w:rPr>
          <w:lang w:eastAsia="zh-CN"/>
        </w:rPr>
        <w:tab/>
      </w:r>
      <w:r>
        <w:rPr>
          <w:rFonts w:hint="eastAsia"/>
          <w:lang w:eastAsia="zh-CN"/>
        </w:rPr>
        <w:t>确定其现行国家标准是否本身一致并符合现行的</w:t>
      </w:r>
      <w:r>
        <w:rPr>
          <w:lang w:eastAsia="zh-CN"/>
        </w:rPr>
        <w:t>ITU-T</w:t>
      </w:r>
      <w:r>
        <w:rPr>
          <w:rFonts w:hint="eastAsia"/>
          <w:lang w:eastAsia="zh-CN"/>
        </w:rPr>
        <w:t>建议书。</w:t>
      </w:r>
    </w:p>
    <w:p w14:paraId="53E87EE5" w14:textId="77777777" w:rsidR="009E3497" w:rsidRDefault="000F1838">
      <w:pPr>
        <w:pStyle w:val="enumlev1"/>
        <w:keepNext/>
        <w:keepLines/>
        <w:rPr>
          <w:lang w:eastAsia="zh-CN"/>
        </w:rPr>
      </w:pPr>
      <w:r>
        <w:rPr>
          <w:lang w:eastAsia="zh-CN"/>
        </w:rPr>
        <w:t>•</w:t>
      </w:r>
      <w:r>
        <w:rPr>
          <w:rFonts w:hint="eastAsia"/>
          <w:lang w:eastAsia="zh-CN"/>
        </w:rPr>
        <w:tab/>
        <w:t>T</w:t>
      </w:r>
      <w:r>
        <w:rPr>
          <w:lang w:eastAsia="zh-CN"/>
        </w:rPr>
        <w:t>SB</w:t>
      </w:r>
      <w:r>
        <w:rPr>
          <w:rFonts w:hint="eastAsia"/>
          <w:lang w:eastAsia="zh-CN"/>
        </w:rPr>
        <w:t>将与</w:t>
      </w:r>
      <w:r>
        <w:rPr>
          <w:rFonts w:hint="eastAsia"/>
          <w:lang w:eastAsia="zh-CN"/>
        </w:rPr>
        <w:t>B</w:t>
      </w:r>
      <w:r>
        <w:rPr>
          <w:lang w:eastAsia="zh-CN"/>
        </w:rPr>
        <w:t>DT</w:t>
      </w:r>
      <w:r>
        <w:rPr>
          <w:rFonts w:hint="eastAsia"/>
          <w:lang w:eastAsia="zh-CN"/>
        </w:rPr>
        <w:t>开展合作，采取以下行动：</w:t>
      </w:r>
    </w:p>
    <w:p w14:paraId="19590171" w14:textId="77777777" w:rsidR="009E3497" w:rsidRDefault="000F1838" w:rsidP="003A38E7">
      <w:pPr>
        <w:pStyle w:val="enumlev2"/>
        <w:ind w:left="1701" w:hanging="567"/>
        <w:rPr>
          <w:lang w:eastAsia="zh-CN"/>
        </w:rPr>
      </w:pPr>
      <w:r>
        <w:rPr>
          <w:lang w:eastAsia="zh-CN"/>
        </w:rPr>
        <w:t>•</w:t>
      </w:r>
      <w:r>
        <w:rPr>
          <w:rFonts w:hint="eastAsia"/>
          <w:lang w:eastAsia="zh-CN"/>
        </w:rPr>
        <w:tab/>
      </w:r>
      <w:r>
        <w:rPr>
          <w:rFonts w:hint="eastAsia"/>
          <w:lang w:eastAsia="zh-CN"/>
        </w:rPr>
        <w:t>就应用</w:t>
      </w:r>
      <w:r>
        <w:rPr>
          <w:rFonts w:hint="eastAsia"/>
          <w:lang w:eastAsia="zh-CN"/>
        </w:rPr>
        <w:t>ITU-T</w:t>
      </w:r>
      <w:r>
        <w:rPr>
          <w:rFonts w:hint="eastAsia"/>
          <w:lang w:eastAsia="zh-CN"/>
        </w:rPr>
        <w:t>建议书（尤其是有关制造的产品和互连的</w:t>
      </w:r>
      <w:r>
        <w:rPr>
          <w:lang w:eastAsia="zh-CN"/>
        </w:rPr>
        <w:t>ITU-T</w:t>
      </w:r>
      <w:r>
        <w:rPr>
          <w:rFonts w:hint="eastAsia"/>
          <w:lang w:eastAsia="zh-CN"/>
        </w:rPr>
        <w:t>建议书）制定指导原则，重点放在具有监管和政策影响的建议书上。</w:t>
      </w:r>
    </w:p>
    <w:p w14:paraId="06991542" w14:textId="77777777" w:rsidR="009E3497" w:rsidRDefault="000F1838">
      <w:pPr>
        <w:pStyle w:val="enumlev2"/>
        <w:rPr>
          <w:lang w:eastAsia="zh-CN"/>
        </w:rPr>
      </w:pPr>
      <w:r>
        <w:rPr>
          <w:lang w:eastAsia="zh-CN"/>
        </w:rPr>
        <w:lastRenderedPageBreak/>
        <w:t>•</w:t>
      </w:r>
      <w:r>
        <w:rPr>
          <w:rFonts w:hint="eastAsia"/>
          <w:lang w:eastAsia="zh-CN"/>
        </w:rPr>
        <w:tab/>
      </w:r>
      <w:r>
        <w:rPr>
          <w:rFonts w:hint="eastAsia"/>
          <w:lang w:eastAsia="zh-CN"/>
        </w:rPr>
        <w:t>就在国家标准中更好地利用和采用</w:t>
      </w:r>
      <w:r>
        <w:rPr>
          <w:rFonts w:hint="eastAsia"/>
          <w:lang w:eastAsia="zh-CN"/>
        </w:rPr>
        <w:t>ITU-T</w:t>
      </w:r>
      <w:r>
        <w:rPr>
          <w:rFonts w:hint="eastAsia"/>
          <w:lang w:eastAsia="zh-CN"/>
        </w:rPr>
        <w:t>建议书提供咨询和帮助。</w:t>
      </w:r>
    </w:p>
    <w:p w14:paraId="39D14A36" w14:textId="77777777" w:rsidR="009E3497" w:rsidRDefault="000F1838" w:rsidP="00692731">
      <w:pPr>
        <w:pStyle w:val="enumlev2"/>
        <w:ind w:left="1701" w:hanging="567"/>
        <w:rPr>
          <w:lang w:eastAsia="zh-CN"/>
        </w:rPr>
      </w:pPr>
      <w:r>
        <w:rPr>
          <w:lang w:eastAsia="zh-CN"/>
        </w:rPr>
        <w:t>•</w:t>
      </w:r>
      <w:r>
        <w:rPr>
          <w:lang w:eastAsia="zh-CN"/>
        </w:rPr>
        <w:tab/>
      </w:r>
      <w:r>
        <w:rPr>
          <w:rFonts w:hint="eastAsia"/>
          <w:lang w:eastAsia="zh-CN"/>
        </w:rPr>
        <w:t>汇总并维护</w:t>
      </w:r>
      <w:del w:id="66" w:author="TSB(RC)" w:date="2024-09-27T17:11:00Z">
        <w:r>
          <w:rPr>
            <w:rFonts w:hint="eastAsia"/>
            <w:lang w:eastAsia="zh-CN"/>
          </w:rPr>
          <w:delText>一个最新的</w:delText>
        </w:r>
      </w:del>
      <w:ins w:id="67" w:author="TSB(RC)" w:date="2024-09-27T17:11:00Z">
        <w:r>
          <w:rPr>
            <w:lang w:val="zh-CN" w:eastAsia="zh-CN"/>
          </w:rPr>
          <w:t>IT</w:t>
        </w:r>
        <w:r>
          <w:rPr>
            <w:rFonts w:hint="eastAsia"/>
            <w:lang w:val="en-US" w:eastAsia="zh-CN"/>
          </w:rPr>
          <w:t>U</w:t>
        </w:r>
        <w:r>
          <w:rPr>
            <w:lang w:val="zh-CN" w:eastAsia="zh-CN"/>
          </w:rPr>
          <w:t>-T</w:t>
        </w:r>
        <w:r>
          <w:rPr>
            <w:lang w:val="zh-CN" w:eastAsia="zh-CN"/>
          </w:rPr>
          <w:t>建议书</w:t>
        </w:r>
      </w:ins>
      <w:r>
        <w:rPr>
          <w:rFonts w:hint="eastAsia"/>
          <w:lang w:eastAsia="zh-CN"/>
        </w:rPr>
        <w:t>数据库，其中含有有关已经标准化的新技术</w:t>
      </w:r>
      <w:del w:id="68" w:author="TSB(RC)" w:date="2024-09-27T17:12:00Z">
        <w:r>
          <w:rPr>
            <w:rFonts w:hint="eastAsia"/>
            <w:lang w:eastAsia="zh-CN"/>
          </w:rPr>
          <w:delText>以及符合</w:delText>
        </w:r>
        <w:r>
          <w:rPr>
            <w:rFonts w:hint="eastAsia"/>
            <w:lang w:eastAsia="zh-CN"/>
          </w:rPr>
          <w:delText>ITU</w:delText>
        </w:r>
        <w:r>
          <w:rPr>
            <w:lang w:eastAsia="zh-CN"/>
          </w:rPr>
          <w:noBreakHyphen/>
        </w:r>
        <w:r>
          <w:rPr>
            <w:rFonts w:hint="eastAsia"/>
            <w:lang w:eastAsia="zh-CN"/>
          </w:rPr>
          <w:delText>T</w:delText>
        </w:r>
        <w:r>
          <w:rPr>
            <w:rFonts w:hint="eastAsia"/>
            <w:lang w:eastAsia="zh-CN"/>
          </w:rPr>
          <w:delText>建议书的产品</w:delText>
        </w:r>
      </w:del>
      <w:r>
        <w:rPr>
          <w:rFonts w:hint="eastAsia"/>
          <w:lang w:eastAsia="zh-CN"/>
        </w:rPr>
        <w:t>的信息</w:t>
      </w:r>
      <w:ins w:id="69" w:author="TSB(RC)" w:date="2024-09-27T17:12:00Z">
        <w:r>
          <w:rPr>
            <w:lang w:val="zh-CN" w:eastAsia="zh-CN"/>
          </w:rPr>
          <w:t>以及</w:t>
        </w:r>
        <w:r>
          <w:rPr>
            <w:lang w:val="zh-CN" w:eastAsia="zh-CN"/>
          </w:rPr>
          <w:t>ITU-T</w:t>
        </w:r>
        <w:r>
          <w:rPr>
            <w:lang w:val="zh-CN" w:eastAsia="zh-CN"/>
          </w:rPr>
          <w:t>建议书和有关专题领域其它相关标准</w:t>
        </w:r>
      </w:ins>
      <w:ins w:id="70" w:author="TSB(RC)" w:date="2024-09-27T17:14:00Z">
        <w:r>
          <w:rPr>
            <w:rFonts w:hint="eastAsia"/>
            <w:lang w:val="en-US" w:eastAsia="zh-CN"/>
          </w:rPr>
          <w:t>的</w:t>
        </w:r>
      </w:ins>
      <w:ins w:id="71" w:author="TSB(RC)" w:date="2024-09-27T17:12:00Z">
        <w:r>
          <w:rPr>
            <w:lang w:val="zh-CN" w:eastAsia="zh-CN"/>
          </w:rPr>
          <w:t>清单，以便</w:t>
        </w:r>
      </w:ins>
      <w:ins w:id="72" w:author="TSB(RC)" w:date="2024-09-27T17:13:00Z">
        <w:r>
          <w:rPr>
            <w:rFonts w:hint="eastAsia"/>
            <w:lang w:val="en-US" w:eastAsia="zh-CN"/>
          </w:rPr>
          <w:t>各方对其加以</w:t>
        </w:r>
      </w:ins>
      <w:ins w:id="73" w:author="TSB(RC)" w:date="2024-09-27T17:12:00Z">
        <w:r>
          <w:rPr>
            <w:lang w:val="zh-CN" w:eastAsia="zh-CN"/>
          </w:rPr>
          <w:t>全面了解和应用</w:t>
        </w:r>
      </w:ins>
      <w:r>
        <w:rPr>
          <w:rFonts w:hint="eastAsia"/>
          <w:lang w:eastAsia="zh-CN"/>
        </w:rPr>
        <w:t>。</w:t>
      </w:r>
    </w:p>
    <w:p w14:paraId="2D18CD2A" w14:textId="77777777" w:rsidR="009E3497" w:rsidRDefault="000F1838" w:rsidP="00692731">
      <w:pPr>
        <w:pStyle w:val="enumlev2"/>
        <w:ind w:left="1701" w:hanging="567"/>
        <w:rPr>
          <w:lang w:eastAsia="zh-CN"/>
        </w:rPr>
      </w:pPr>
      <w:r>
        <w:rPr>
          <w:lang w:eastAsia="zh-CN"/>
        </w:rPr>
        <w:t>•</w:t>
      </w:r>
      <w:r>
        <w:rPr>
          <w:lang w:eastAsia="zh-CN"/>
        </w:rPr>
        <w:tab/>
      </w:r>
      <w:r>
        <w:rPr>
          <w:rFonts w:hint="eastAsia"/>
          <w:lang w:eastAsia="zh-CN"/>
        </w:rPr>
        <w:t>与</w:t>
      </w:r>
      <w:r>
        <w:rPr>
          <w:rFonts w:hint="eastAsia"/>
          <w:lang w:eastAsia="zh-CN"/>
        </w:rPr>
        <w:t>BDT</w:t>
      </w:r>
      <w:r>
        <w:rPr>
          <w:rFonts w:hint="eastAsia"/>
          <w:lang w:eastAsia="zh-CN"/>
        </w:rPr>
        <w:t>其他能力建设举措密切协作，针对具体建议书的更好应用和已制造产品是否符合这些建议书的审查方法，组织能力建设活动。</w:t>
      </w:r>
    </w:p>
    <w:p w14:paraId="2B838C0A" w14:textId="77777777" w:rsidR="009E3497" w:rsidRDefault="000F1838" w:rsidP="00692731">
      <w:pPr>
        <w:pStyle w:val="enumlev2"/>
        <w:ind w:left="1701" w:hanging="567"/>
        <w:rPr>
          <w:lang w:eastAsia="zh-CN"/>
        </w:rPr>
      </w:pPr>
      <w:r>
        <w:rPr>
          <w:lang w:eastAsia="zh-CN"/>
        </w:rPr>
        <w:t>•</w:t>
      </w:r>
      <w:r>
        <w:rPr>
          <w:rFonts w:hint="eastAsia"/>
          <w:lang w:eastAsia="zh-CN"/>
        </w:rPr>
        <w:tab/>
      </w:r>
      <w:proofErr w:type="gramStart"/>
      <w:r>
        <w:rPr>
          <w:rFonts w:hint="eastAsia"/>
          <w:lang w:eastAsia="zh-CN"/>
        </w:rPr>
        <w:t>推动“</w:t>
      </w:r>
      <w:proofErr w:type="gramEnd"/>
      <w:r>
        <w:rPr>
          <w:rFonts w:hint="eastAsia"/>
          <w:lang w:eastAsia="zh-CN"/>
        </w:rPr>
        <w:t>标准问答”标准化论坛的使用，发展中国家可利用该论坛提出建议书的理解和应用方面的问题，并征求研究组专家的意见。</w:t>
      </w:r>
    </w:p>
    <w:p w14:paraId="70A035EB" w14:textId="77777777" w:rsidR="009E3497" w:rsidRDefault="000F1838" w:rsidP="00692731">
      <w:pPr>
        <w:pStyle w:val="enumlev2"/>
        <w:ind w:left="1701" w:hanging="567"/>
        <w:rPr>
          <w:lang w:eastAsia="zh-CN"/>
        </w:rPr>
      </w:pPr>
      <w:r>
        <w:rPr>
          <w:lang w:eastAsia="zh-CN"/>
        </w:rPr>
        <w:t>•</w:t>
      </w:r>
      <w:r>
        <w:rPr>
          <w:rFonts w:hint="eastAsia"/>
          <w:lang w:eastAsia="zh-CN"/>
        </w:rPr>
        <w:tab/>
      </w:r>
      <w:r>
        <w:rPr>
          <w:rFonts w:hint="eastAsia"/>
          <w:lang w:eastAsia="zh-CN"/>
        </w:rPr>
        <w:t>与国际电联其他部门，特别是</w:t>
      </w:r>
      <w:r>
        <w:rPr>
          <w:rFonts w:hint="eastAsia"/>
          <w:lang w:eastAsia="zh-CN"/>
        </w:rPr>
        <w:t>ITU-D</w:t>
      </w:r>
      <w:r>
        <w:rPr>
          <w:rFonts w:hint="eastAsia"/>
          <w:lang w:eastAsia="zh-CN"/>
        </w:rPr>
        <w:t>的其他相关行动相协调，向</w:t>
      </w:r>
      <w:r>
        <w:rPr>
          <w:lang w:eastAsia="zh-CN"/>
        </w:rPr>
        <w:t>发展中国家提供</w:t>
      </w:r>
      <w:r>
        <w:rPr>
          <w:rFonts w:hint="eastAsia"/>
          <w:lang w:eastAsia="zh-CN"/>
        </w:rPr>
        <w:t>帮助，以</w:t>
      </w:r>
      <w:r>
        <w:rPr>
          <w:lang w:eastAsia="zh-CN"/>
        </w:rPr>
        <w:t>制定建立</w:t>
      </w:r>
      <w:r>
        <w:rPr>
          <w:rFonts w:hint="eastAsia"/>
          <w:lang w:eastAsia="zh-CN"/>
        </w:rPr>
        <w:t>获得</w:t>
      </w:r>
      <w:r>
        <w:rPr>
          <w:lang w:eastAsia="zh-CN"/>
        </w:rPr>
        <w:t>国家</w:t>
      </w:r>
      <w:r>
        <w:rPr>
          <w:rFonts w:hint="eastAsia"/>
          <w:lang w:eastAsia="zh-CN"/>
        </w:rPr>
        <w:t>、区域和国际认可的新兴技术</w:t>
      </w:r>
      <w:r>
        <w:rPr>
          <w:lang w:eastAsia="zh-CN"/>
        </w:rPr>
        <w:t>测试实验室方面</w:t>
      </w:r>
      <w:r>
        <w:rPr>
          <w:rFonts w:hint="eastAsia"/>
          <w:lang w:eastAsia="zh-CN"/>
        </w:rPr>
        <w:t>的</w:t>
      </w:r>
      <w:r>
        <w:rPr>
          <w:lang w:eastAsia="zh-CN"/>
        </w:rPr>
        <w:t>战略。</w:t>
      </w:r>
    </w:p>
    <w:p w14:paraId="4D4173DA" w14:textId="77777777" w:rsidR="009E3497" w:rsidRDefault="000F1838" w:rsidP="00692731">
      <w:pPr>
        <w:pStyle w:val="enumlev2"/>
        <w:ind w:left="1701" w:hanging="567"/>
        <w:rPr>
          <w:rFonts w:eastAsia="Times New Roman"/>
          <w:lang w:eastAsia="zh-CN"/>
        </w:rPr>
      </w:pPr>
      <w:r>
        <w:rPr>
          <w:rFonts w:eastAsia="Times New Roman"/>
          <w:lang w:eastAsia="zh-CN"/>
        </w:rPr>
        <w:t>•</w:t>
      </w:r>
      <w:r>
        <w:rPr>
          <w:rFonts w:eastAsia="Times New Roman"/>
          <w:lang w:eastAsia="zh-CN"/>
        </w:rPr>
        <w:tab/>
      </w:r>
      <w:r>
        <w:rPr>
          <w:rFonts w:hint="eastAsia"/>
          <w:lang w:eastAsia="zh-CN"/>
        </w:rPr>
        <w:t>在探索新的研究主题的同时，继续由</w:t>
      </w:r>
      <w:r>
        <w:rPr>
          <w:lang w:eastAsia="zh-CN"/>
        </w:rPr>
        <w:t>ITU-T</w:t>
      </w:r>
      <w:r>
        <w:rPr>
          <w:rFonts w:hint="eastAsia"/>
          <w:lang w:eastAsia="zh-CN"/>
        </w:rPr>
        <w:t>发起以落实现有</w:t>
      </w:r>
      <w:r>
        <w:rPr>
          <w:lang w:eastAsia="zh-CN"/>
        </w:rPr>
        <w:t>ITU-T</w:t>
      </w:r>
      <w:r>
        <w:rPr>
          <w:rFonts w:hint="eastAsia"/>
          <w:lang w:eastAsia="zh-CN"/>
        </w:rPr>
        <w:t>建议书为重点的举措和项目，并鼓励发展中国家参与这些举措和项目。</w:t>
      </w:r>
    </w:p>
    <w:p w14:paraId="63065938" w14:textId="77777777" w:rsidR="009E3497" w:rsidRDefault="000F1838">
      <w:pPr>
        <w:pStyle w:val="Heading1"/>
        <w:rPr>
          <w:lang w:eastAsia="zh-CN"/>
        </w:rPr>
      </w:pPr>
      <w:r>
        <w:rPr>
          <w:rFonts w:hint="eastAsia"/>
          <w:lang w:eastAsia="zh-CN"/>
        </w:rPr>
        <w:t>三</w:t>
      </w:r>
      <w:r>
        <w:rPr>
          <w:rFonts w:hint="eastAsia"/>
          <w:lang w:eastAsia="zh-CN"/>
        </w:rPr>
        <w:tab/>
      </w:r>
      <w:r>
        <w:rPr>
          <w:rFonts w:hint="eastAsia"/>
          <w:lang w:eastAsia="zh-CN"/>
        </w:rPr>
        <w:t>项目</w:t>
      </w:r>
      <w:r>
        <w:rPr>
          <w:lang w:eastAsia="zh-CN"/>
        </w:rPr>
        <w:t>3</w:t>
      </w:r>
      <w:r>
        <w:rPr>
          <w:rFonts w:hint="eastAsia"/>
          <w:lang w:eastAsia="zh-CN"/>
        </w:rPr>
        <w:t>：人力资源能力建设</w:t>
      </w:r>
    </w:p>
    <w:p w14:paraId="0599B02F" w14:textId="77777777" w:rsidR="009E3497" w:rsidRDefault="000F1838">
      <w:pPr>
        <w:pStyle w:val="Normalnoindent"/>
        <w:rPr>
          <w:szCs w:val="24"/>
          <w:lang w:eastAsia="zh-CN"/>
        </w:rPr>
      </w:pPr>
      <w:r>
        <w:rPr>
          <w:szCs w:val="24"/>
          <w:lang w:eastAsia="zh-CN"/>
        </w:rPr>
        <w:t>1)</w:t>
      </w:r>
      <w:r>
        <w:rPr>
          <w:szCs w:val="24"/>
          <w:lang w:eastAsia="zh-CN"/>
        </w:rPr>
        <w:tab/>
      </w:r>
      <w:r>
        <w:rPr>
          <w:rFonts w:hint="eastAsia"/>
          <w:szCs w:val="24"/>
          <w:lang w:eastAsia="zh-CN"/>
        </w:rPr>
        <w:t>目标</w:t>
      </w:r>
    </w:p>
    <w:p w14:paraId="7408B1B2" w14:textId="77777777" w:rsidR="009E3497" w:rsidRDefault="000F1838">
      <w:pPr>
        <w:pStyle w:val="enumlev1"/>
        <w:rPr>
          <w:lang w:eastAsia="zh-CN"/>
        </w:rPr>
      </w:pPr>
      <w:r>
        <w:rPr>
          <w:lang w:eastAsia="zh-CN"/>
        </w:rPr>
        <w:t>•</w:t>
      </w:r>
      <w:r>
        <w:rPr>
          <w:rFonts w:hint="eastAsia"/>
          <w:lang w:eastAsia="zh-CN"/>
        </w:rPr>
        <w:tab/>
      </w:r>
      <w:r>
        <w:rPr>
          <w:rFonts w:hint="eastAsia"/>
          <w:lang w:eastAsia="zh-CN"/>
        </w:rPr>
        <w:t>提高发展中国家在</w:t>
      </w:r>
      <w:r>
        <w:rPr>
          <w:rFonts w:hint="eastAsia"/>
          <w:lang w:eastAsia="zh-CN"/>
        </w:rPr>
        <w:t>ITU-T</w:t>
      </w:r>
      <w:r>
        <w:rPr>
          <w:rFonts w:hint="eastAsia"/>
          <w:lang w:eastAsia="zh-CN"/>
        </w:rPr>
        <w:t>和国家标准化活动中的人力资源能力。</w:t>
      </w:r>
    </w:p>
    <w:p w14:paraId="0C95E377" w14:textId="77777777" w:rsidR="009E3497" w:rsidRDefault="000F1838">
      <w:pPr>
        <w:pStyle w:val="Normalnoindent"/>
        <w:rPr>
          <w:lang w:eastAsia="zh-CN"/>
        </w:rPr>
      </w:pPr>
      <w:r>
        <w:rPr>
          <w:szCs w:val="24"/>
          <w:lang w:eastAsia="zh-CN"/>
        </w:rPr>
        <w:t>2)</w:t>
      </w:r>
      <w:r>
        <w:rPr>
          <w:szCs w:val="24"/>
          <w:lang w:eastAsia="zh-CN"/>
        </w:rPr>
        <w:tab/>
      </w:r>
      <w:r>
        <w:rPr>
          <w:rFonts w:hint="eastAsia"/>
          <w:szCs w:val="24"/>
          <w:lang w:eastAsia="zh-CN"/>
        </w:rPr>
        <w:t>活动</w:t>
      </w:r>
    </w:p>
    <w:p w14:paraId="6D4411FC" w14:textId="77777777" w:rsidR="009E3497" w:rsidRDefault="000F1838">
      <w:pPr>
        <w:pStyle w:val="enumlev1"/>
        <w:rPr>
          <w:lang w:eastAsia="zh-CN"/>
        </w:rPr>
      </w:pPr>
      <w:r>
        <w:rPr>
          <w:lang w:eastAsia="zh-CN"/>
        </w:rPr>
        <w:t>•</w:t>
      </w:r>
      <w:r>
        <w:rPr>
          <w:rFonts w:hint="eastAsia"/>
          <w:lang w:eastAsia="zh-CN"/>
        </w:rPr>
        <w:tab/>
      </w:r>
      <w:r>
        <w:rPr>
          <w:rFonts w:hint="eastAsia"/>
          <w:lang w:eastAsia="zh-CN"/>
        </w:rPr>
        <w:t>与</w:t>
      </w:r>
      <w:r>
        <w:rPr>
          <w:rFonts w:hint="eastAsia"/>
          <w:lang w:eastAsia="zh-CN"/>
        </w:rPr>
        <w:t>BDT</w:t>
      </w:r>
      <w:r>
        <w:rPr>
          <w:rFonts w:hint="eastAsia"/>
          <w:lang w:eastAsia="zh-CN"/>
        </w:rPr>
        <w:t>其他能力建设举措密切协作，在区域和全球层面促进各种活动、研讨会、讲习班和研究组会议的组织，促进发展中国家的标准化能力建设和电信</w:t>
      </w:r>
      <w:r>
        <w:rPr>
          <w:rFonts w:hint="eastAsia"/>
          <w:lang w:eastAsia="zh-CN"/>
        </w:rPr>
        <w:t>/ICT</w:t>
      </w:r>
      <w:r>
        <w:rPr>
          <w:rFonts w:hint="eastAsia"/>
          <w:lang w:eastAsia="zh-CN"/>
        </w:rPr>
        <w:t>发展。</w:t>
      </w:r>
    </w:p>
    <w:p w14:paraId="6772F4DE" w14:textId="77777777" w:rsidR="009E3497" w:rsidRDefault="000F1838">
      <w:pPr>
        <w:pStyle w:val="enumlev1"/>
        <w:rPr>
          <w:lang w:eastAsia="zh-CN"/>
        </w:rPr>
      </w:pPr>
      <w:r>
        <w:rPr>
          <w:lang w:eastAsia="zh-CN"/>
        </w:rPr>
        <w:t>•</w:t>
      </w:r>
      <w:r>
        <w:rPr>
          <w:lang w:eastAsia="zh-CN"/>
        </w:rPr>
        <w:tab/>
      </w:r>
      <w:r>
        <w:rPr>
          <w:rFonts w:hint="eastAsia"/>
          <w:lang w:eastAsia="zh-CN"/>
        </w:rPr>
        <w:t>与</w:t>
      </w:r>
      <w:r>
        <w:rPr>
          <w:rFonts w:hint="eastAsia"/>
          <w:lang w:eastAsia="zh-CN"/>
        </w:rPr>
        <w:t>BDT</w:t>
      </w:r>
      <w:r>
        <w:rPr>
          <w:rFonts w:hint="eastAsia"/>
          <w:lang w:eastAsia="zh-CN"/>
        </w:rPr>
        <w:t>和</w:t>
      </w:r>
      <w:r>
        <w:rPr>
          <w:rFonts w:hint="eastAsia"/>
          <w:lang w:eastAsia="zh-CN"/>
        </w:rPr>
        <w:t>BR</w:t>
      </w:r>
      <w:r>
        <w:rPr>
          <w:rFonts w:hint="eastAsia"/>
          <w:lang w:eastAsia="zh-CN"/>
        </w:rPr>
        <w:t>密切合作，向发展中国家</w:t>
      </w:r>
      <w:ins w:id="74" w:author="TSB(RC)" w:date="2024-09-27T17:15:00Z">
        <w:r>
          <w:rPr>
            <w:lang w:val="zh-CN" w:eastAsia="zh-CN"/>
          </w:rPr>
          <w:t>的本国专家和下一代</w:t>
        </w:r>
        <w:r>
          <w:rPr>
            <w:rFonts w:hint="eastAsia"/>
            <w:lang w:val="en-US" w:eastAsia="zh-CN"/>
          </w:rPr>
          <w:t>人</w:t>
        </w:r>
      </w:ins>
      <w:r>
        <w:rPr>
          <w:rFonts w:hint="eastAsia"/>
          <w:lang w:eastAsia="zh-CN"/>
        </w:rPr>
        <w:t>提供有关标准化工作的培训课程</w:t>
      </w:r>
      <w:ins w:id="75" w:author="TSB(RC)" w:date="2024-09-27T17:15:00Z">
        <w:r>
          <w:rPr>
            <w:lang w:val="zh-CN" w:eastAsia="zh-CN"/>
          </w:rPr>
          <w:t>，包括</w:t>
        </w:r>
      </w:ins>
      <w:ins w:id="76" w:author="TSB(RC)" w:date="2024-09-27T17:25:00Z">
        <w:r>
          <w:rPr>
            <w:rFonts w:hint="eastAsia"/>
            <w:lang w:val="en-US" w:eastAsia="zh-CN"/>
          </w:rPr>
          <w:t>与</w:t>
        </w:r>
      </w:ins>
      <w:ins w:id="77" w:author="TSB(RC)" w:date="2024-09-27T17:15:00Z">
        <w:r>
          <w:rPr>
            <w:lang w:val="zh-CN" w:eastAsia="zh-CN"/>
          </w:rPr>
          <w:t>电信</w:t>
        </w:r>
        <w:r>
          <w:rPr>
            <w:lang w:val="zh-CN" w:eastAsia="zh-CN"/>
          </w:rPr>
          <w:t>/ICT</w:t>
        </w:r>
        <w:r>
          <w:rPr>
            <w:lang w:val="zh-CN" w:eastAsia="zh-CN"/>
          </w:rPr>
          <w:t>相关</w:t>
        </w:r>
      </w:ins>
      <w:ins w:id="78" w:author="TSB(RC)" w:date="2024-09-27T17:25:00Z">
        <w:r>
          <w:rPr>
            <w:rFonts w:hint="eastAsia"/>
            <w:lang w:val="en-US" w:eastAsia="zh-CN"/>
          </w:rPr>
          <w:t>的</w:t>
        </w:r>
      </w:ins>
      <w:ins w:id="79" w:author="TSB(RC)" w:date="2024-09-27T17:16:00Z">
        <w:r>
          <w:rPr>
            <w:rFonts w:hint="eastAsia"/>
            <w:lang w:val="en-US" w:eastAsia="zh-CN"/>
          </w:rPr>
          <w:t>新的和</w:t>
        </w:r>
      </w:ins>
      <w:ins w:id="80" w:author="TSB(RC)" w:date="2024-09-27T17:15:00Z">
        <w:r>
          <w:rPr>
            <w:lang w:val="zh-CN" w:eastAsia="zh-CN"/>
          </w:rPr>
          <w:t>新兴技术的培训项目</w:t>
        </w:r>
      </w:ins>
      <w:r>
        <w:rPr>
          <w:rFonts w:hint="eastAsia"/>
          <w:lang w:eastAsia="zh-CN"/>
        </w:rPr>
        <w:t>。</w:t>
      </w:r>
    </w:p>
    <w:p w14:paraId="4028E076" w14:textId="77777777" w:rsidR="009E3497" w:rsidRDefault="000F1838">
      <w:pPr>
        <w:pStyle w:val="enumlev1"/>
        <w:rPr>
          <w:lang w:eastAsia="zh-CN"/>
        </w:rPr>
      </w:pPr>
      <w:r>
        <w:rPr>
          <w:lang w:eastAsia="zh-CN"/>
        </w:rPr>
        <w:t>•</w:t>
      </w:r>
      <w:r>
        <w:rPr>
          <w:rFonts w:hint="eastAsia"/>
          <w:lang w:eastAsia="zh-CN"/>
        </w:rPr>
        <w:tab/>
      </w:r>
      <w:r>
        <w:rPr>
          <w:rFonts w:hint="eastAsia"/>
          <w:lang w:eastAsia="zh-CN"/>
        </w:rPr>
        <w:t>在国际电联为发展中国家提供更多的实习、借调和短期招聘等机会。</w:t>
      </w:r>
    </w:p>
    <w:p w14:paraId="7B37D359" w14:textId="77777777" w:rsidR="009E3497" w:rsidRDefault="000F1838">
      <w:pPr>
        <w:pStyle w:val="enumlev1"/>
        <w:rPr>
          <w:lang w:eastAsia="zh-CN"/>
        </w:rPr>
      </w:pPr>
      <w:r>
        <w:rPr>
          <w:lang w:eastAsia="zh-CN"/>
        </w:rPr>
        <w:t>•</w:t>
      </w:r>
      <w:r>
        <w:rPr>
          <w:lang w:eastAsia="zh-CN"/>
        </w:rPr>
        <w:tab/>
      </w:r>
      <w:r>
        <w:rPr>
          <w:rFonts w:hint="eastAsia"/>
          <w:lang w:eastAsia="zh-CN"/>
        </w:rPr>
        <w:t>鼓励选举更多发展中国家的候选人出任</w:t>
      </w:r>
      <w:r>
        <w:rPr>
          <w:rFonts w:hint="eastAsia"/>
          <w:lang w:eastAsia="zh-CN"/>
        </w:rPr>
        <w:t>T</w:t>
      </w:r>
      <w:r>
        <w:rPr>
          <w:lang w:eastAsia="zh-CN"/>
        </w:rPr>
        <w:t>SAG</w:t>
      </w:r>
      <w:r>
        <w:rPr>
          <w:rFonts w:hint="eastAsia"/>
          <w:lang w:eastAsia="zh-CN"/>
        </w:rPr>
        <w:t>和</w:t>
      </w:r>
      <w:r>
        <w:rPr>
          <w:rFonts w:hint="eastAsia"/>
          <w:lang w:eastAsia="zh-CN"/>
        </w:rPr>
        <w:t>ITU-T</w:t>
      </w:r>
      <w:r>
        <w:rPr>
          <w:rFonts w:hint="eastAsia"/>
          <w:lang w:eastAsia="zh-CN"/>
        </w:rPr>
        <w:t>研究组正副主席的职务。</w:t>
      </w:r>
    </w:p>
    <w:p w14:paraId="27B3FE49" w14:textId="77777777" w:rsidR="009E3497" w:rsidRDefault="000F1838">
      <w:pPr>
        <w:pStyle w:val="enumlev1"/>
        <w:rPr>
          <w:lang w:eastAsia="zh-CN"/>
        </w:rPr>
      </w:pPr>
      <w:r>
        <w:rPr>
          <w:lang w:eastAsia="zh-CN"/>
        </w:rPr>
        <w:t>•</w:t>
      </w:r>
      <w:r>
        <w:rPr>
          <w:lang w:eastAsia="zh-CN"/>
        </w:rPr>
        <w:tab/>
      </w:r>
      <w:r>
        <w:rPr>
          <w:rFonts w:hint="eastAsia"/>
          <w:lang w:eastAsia="zh-CN"/>
        </w:rPr>
        <w:t>鼓励国际标准制定组织和制造商的测试实验室（特别是合规性和互操作测试领域的实验室）向发展中国家的专家提供借调和短期聘用机会。</w:t>
      </w:r>
    </w:p>
    <w:p w14:paraId="3F2F0139" w14:textId="77777777" w:rsidR="009E3497" w:rsidRDefault="000F1838">
      <w:pPr>
        <w:pStyle w:val="enumlev1"/>
        <w:rPr>
          <w:lang w:eastAsia="zh-CN"/>
        </w:rPr>
      </w:pPr>
      <w:r>
        <w:rPr>
          <w:lang w:eastAsia="zh-CN"/>
        </w:rPr>
        <w:t>•</w:t>
      </w:r>
      <w:r>
        <w:rPr>
          <w:rFonts w:hint="eastAsia"/>
          <w:lang w:eastAsia="zh-CN"/>
        </w:rPr>
        <w:tab/>
      </w:r>
      <w:r>
        <w:rPr>
          <w:rFonts w:hint="eastAsia"/>
          <w:lang w:eastAsia="zh-CN"/>
        </w:rPr>
        <w:t>组织深层次的有关</w:t>
      </w:r>
      <w:r>
        <w:rPr>
          <w:rFonts w:hint="eastAsia"/>
          <w:lang w:eastAsia="zh-CN"/>
        </w:rPr>
        <w:t>ITU-T</w:t>
      </w:r>
      <w:r>
        <w:rPr>
          <w:rFonts w:hint="eastAsia"/>
          <w:lang w:eastAsia="zh-CN"/>
        </w:rPr>
        <w:t>建议书理解和实施的演示会。</w:t>
      </w:r>
    </w:p>
    <w:p w14:paraId="094EC539" w14:textId="77777777" w:rsidR="009E3497" w:rsidRDefault="000F1838">
      <w:pPr>
        <w:pStyle w:val="enumlev1"/>
        <w:rPr>
          <w:rFonts w:eastAsia="Times New Roman"/>
          <w:lang w:eastAsia="zh-CN"/>
        </w:rPr>
      </w:pPr>
      <w:r>
        <w:rPr>
          <w:rFonts w:eastAsia="Times New Roman"/>
          <w:lang w:eastAsia="zh-CN"/>
        </w:rPr>
        <w:t>•</w:t>
      </w:r>
      <w:r>
        <w:rPr>
          <w:rFonts w:eastAsia="Times New Roman" w:hint="eastAsia"/>
          <w:lang w:eastAsia="zh-CN"/>
        </w:rPr>
        <w:tab/>
      </w:r>
      <w:r>
        <w:rPr>
          <w:rFonts w:ascii="SimSun" w:hAnsi="SimSun" w:cs="SimSun" w:hint="eastAsia"/>
          <w:lang w:eastAsia="zh-CN"/>
        </w:rPr>
        <w:t>向发展中国家提供指导和支持性资料，以帮助他们开发和</w:t>
      </w:r>
      <w:r>
        <w:rPr>
          <w:rFonts w:ascii="SimSun" w:hAnsi="SimSun" w:cs="SimSun"/>
          <w:lang w:eastAsia="zh-CN"/>
        </w:rPr>
        <w:t>提供有关标准化的</w:t>
      </w:r>
      <w:r>
        <w:rPr>
          <w:rFonts w:ascii="SimSun" w:hAnsi="SimSun" w:cs="SimSun" w:hint="eastAsia"/>
          <w:lang w:eastAsia="zh-CN"/>
        </w:rPr>
        <w:t>大学本科和研究生课程。</w:t>
      </w:r>
    </w:p>
    <w:p w14:paraId="2DF0C332" w14:textId="77777777" w:rsidR="009E3497" w:rsidRDefault="000F1838">
      <w:pPr>
        <w:pStyle w:val="enumlev1"/>
        <w:rPr>
          <w:rFonts w:asciiTheme="minorEastAsia" w:eastAsiaTheme="minorEastAsia" w:hAnsiTheme="minorEastAsia"/>
          <w:lang w:eastAsia="zh-CN"/>
        </w:rPr>
      </w:pPr>
      <w:r>
        <w:rPr>
          <w:rFonts w:eastAsia="Times New Roman"/>
          <w:lang w:eastAsia="zh-CN"/>
        </w:rPr>
        <w:t>•</w:t>
      </w:r>
      <w:r>
        <w:rPr>
          <w:rFonts w:eastAsia="Times New Roman"/>
          <w:lang w:eastAsia="zh-CN"/>
        </w:rPr>
        <w:tab/>
      </w:r>
      <w:r>
        <w:rPr>
          <w:rFonts w:eastAsiaTheme="minorEastAsia" w:hint="eastAsia"/>
          <w:lang w:eastAsia="zh-CN"/>
        </w:rPr>
        <w:t>通过</w:t>
      </w:r>
      <w:r>
        <w:rPr>
          <w:rFonts w:eastAsiaTheme="minorEastAsia" w:hint="eastAsia"/>
          <w:lang w:eastAsia="zh-CN"/>
        </w:rPr>
        <w:t>TSB</w:t>
      </w:r>
      <w:r>
        <w:rPr>
          <w:rFonts w:eastAsiaTheme="minorEastAsia" w:hint="eastAsia"/>
          <w:lang w:eastAsia="zh-CN"/>
        </w:rPr>
        <w:t>尽可能</w:t>
      </w:r>
      <w:r>
        <w:rPr>
          <w:rFonts w:asciiTheme="minorEastAsia" w:eastAsiaTheme="minorEastAsia" w:hAnsiTheme="minorEastAsia" w:hint="eastAsia"/>
          <w:lang w:eastAsia="zh-CN"/>
        </w:rPr>
        <w:t>向符合条件的发展中国家提供数量</w:t>
      </w:r>
      <w:r>
        <w:rPr>
          <w:rFonts w:asciiTheme="minorEastAsia" w:eastAsiaTheme="minorEastAsia" w:hAnsiTheme="minorEastAsia"/>
          <w:lang w:eastAsia="zh-CN"/>
        </w:rPr>
        <w:t>更多的</w:t>
      </w:r>
      <w:r>
        <w:rPr>
          <w:rFonts w:asciiTheme="minorEastAsia" w:eastAsiaTheme="minorEastAsia" w:hAnsiTheme="minorEastAsia" w:hint="eastAsia"/>
          <w:lang w:eastAsia="zh-CN"/>
        </w:rPr>
        <w:t>参加</w:t>
      </w:r>
      <w:r>
        <w:rPr>
          <w:rFonts w:asciiTheme="majorBidi" w:eastAsiaTheme="minorEastAsia" w:hAnsiTheme="majorBidi" w:cstheme="majorBidi"/>
          <w:lang w:eastAsia="zh-CN"/>
        </w:rPr>
        <w:t>ITU-T</w:t>
      </w:r>
      <w:r>
        <w:rPr>
          <w:rFonts w:asciiTheme="minorEastAsia" w:eastAsiaTheme="minorEastAsia" w:hAnsiTheme="minorEastAsia" w:hint="eastAsia"/>
          <w:lang w:eastAsia="zh-CN"/>
        </w:rPr>
        <w:t>相关会议的与会补贴。</w:t>
      </w:r>
    </w:p>
    <w:p w14:paraId="087D2471" w14:textId="77777777" w:rsidR="009E3497" w:rsidRDefault="000F1838">
      <w:pPr>
        <w:pStyle w:val="enumlev1"/>
        <w:rPr>
          <w:rFonts w:eastAsia="Times New Roman"/>
          <w:lang w:eastAsia="zh-CN"/>
        </w:rPr>
      </w:pPr>
      <w:r>
        <w:rPr>
          <w:rFonts w:eastAsia="Times New Roman"/>
          <w:lang w:eastAsia="zh-CN"/>
        </w:rPr>
        <w:t>•</w:t>
      </w:r>
      <w:r>
        <w:rPr>
          <w:rFonts w:eastAsia="Times New Roman"/>
          <w:lang w:eastAsia="zh-CN"/>
        </w:rPr>
        <w:tab/>
      </w:r>
      <w:r>
        <w:rPr>
          <w:rFonts w:ascii="SimSun" w:hAnsi="SimSun" w:cs="SimSun" w:hint="eastAsia"/>
          <w:lang w:eastAsia="zh-CN"/>
        </w:rPr>
        <w:t>缩小标准化工作差距（</w:t>
      </w:r>
      <w:r>
        <w:rPr>
          <w:rFonts w:eastAsia="Times New Roman"/>
          <w:lang w:eastAsia="zh-CN"/>
        </w:rPr>
        <w:t>BSG</w:t>
      </w:r>
      <w:r>
        <w:rPr>
          <w:rFonts w:ascii="SimSun" w:hAnsi="SimSun" w:cs="SimSun" w:hint="eastAsia"/>
          <w:lang w:eastAsia="zh-CN"/>
        </w:rPr>
        <w:t>）计划应采取行动确保女性和年轻女性以及弱势群体更多地参与标准制定，以便在考虑到地理和区域平衡的情况下，满足他们在标准化活动中的要求，特别是在新兴技术方面的要求。</w:t>
      </w:r>
    </w:p>
    <w:p w14:paraId="43EBBD45" w14:textId="77777777" w:rsidR="009E3497" w:rsidRDefault="000F1838">
      <w:pPr>
        <w:pStyle w:val="Heading1"/>
        <w:rPr>
          <w:lang w:eastAsia="zh-CN"/>
        </w:rPr>
      </w:pPr>
      <w:r>
        <w:rPr>
          <w:rFonts w:hint="eastAsia"/>
          <w:lang w:eastAsia="zh-CN"/>
        </w:rPr>
        <w:t>四</w:t>
      </w:r>
      <w:r>
        <w:rPr>
          <w:rFonts w:hint="eastAsia"/>
          <w:lang w:eastAsia="zh-CN"/>
        </w:rPr>
        <w:tab/>
      </w:r>
      <w:r>
        <w:rPr>
          <w:rFonts w:hint="eastAsia"/>
          <w:lang w:eastAsia="zh-CN"/>
        </w:rPr>
        <w:t>项目</w:t>
      </w:r>
      <w:r>
        <w:rPr>
          <w:rFonts w:hint="eastAsia"/>
          <w:lang w:eastAsia="zh-CN"/>
        </w:rPr>
        <w:t>4</w:t>
      </w:r>
      <w:r>
        <w:rPr>
          <w:rFonts w:hint="eastAsia"/>
          <w:lang w:eastAsia="zh-CN"/>
        </w:rPr>
        <w:t>：为缩小标准化工</w:t>
      </w:r>
      <w:proofErr w:type="gramStart"/>
      <w:r>
        <w:rPr>
          <w:rFonts w:hint="eastAsia"/>
          <w:lang w:eastAsia="zh-CN"/>
        </w:rPr>
        <w:t>作差距</w:t>
      </w:r>
      <w:proofErr w:type="gramEnd"/>
      <w:r>
        <w:rPr>
          <w:rFonts w:hint="eastAsia"/>
          <w:lang w:eastAsia="zh-CN"/>
        </w:rPr>
        <w:t>筹措资金</w:t>
      </w:r>
    </w:p>
    <w:p w14:paraId="45C8DF13" w14:textId="77777777" w:rsidR="009E3497" w:rsidRDefault="000F1838">
      <w:pPr>
        <w:pStyle w:val="enumlev1"/>
        <w:keepNext/>
        <w:rPr>
          <w:lang w:eastAsia="zh-CN"/>
        </w:rPr>
      </w:pPr>
      <w:r>
        <w:rPr>
          <w:i/>
          <w:iCs/>
          <w:lang w:eastAsia="zh-CN"/>
        </w:rPr>
        <w:t>a)</w:t>
      </w:r>
      <w:r>
        <w:rPr>
          <w:rFonts w:hint="eastAsia"/>
          <w:lang w:eastAsia="zh-CN"/>
        </w:rPr>
        <w:tab/>
      </w:r>
      <w:r>
        <w:rPr>
          <w:rFonts w:hint="eastAsia"/>
          <w:lang w:eastAsia="zh-CN"/>
        </w:rPr>
        <w:t>通过以下合作伙伴形式和其它方式为行动计划做出贡献：</w:t>
      </w:r>
    </w:p>
    <w:p w14:paraId="4622C208" w14:textId="77777777" w:rsidR="009E3497" w:rsidRDefault="000F1838">
      <w:pPr>
        <w:pStyle w:val="enumlev2"/>
        <w:rPr>
          <w:lang w:eastAsia="zh-CN"/>
        </w:rPr>
      </w:pPr>
      <w:r>
        <w:rPr>
          <w:lang w:eastAsia="zh-CN"/>
        </w:rPr>
        <w:t>•</w:t>
      </w:r>
      <w:r>
        <w:rPr>
          <w:rFonts w:hint="eastAsia"/>
          <w:lang w:eastAsia="zh-CN"/>
        </w:rPr>
        <w:tab/>
      </w:r>
      <w:r>
        <w:rPr>
          <w:rFonts w:hint="eastAsia"/>
          <w:lang w:eastAsia="zh-CN"/>
        </w:rPr>
        <w:t>合作伙伴捐款</w:t>
      </w:r>
    </w:p>
    <w:p w14:paraId="3E7A767C" w14:textId="77777777" w:rsidR="009E3497" w:rsidRDefault="000F1838">
      <w:pPr>
        <w:pStyle w:val="enumlev2"/>
        <w:rPr>
          <w:lang w:eastAsia="zh-CN"/>
        </w:rPr>
      </w:pPr>
      <w:r>
        <w:rPr>
          <w:lang w:eastAsia="zh-CN"/>
        </w:rPr>
        <w:t>•</w:t>
      </w:r>
      <w:r>
        <w:rPr>
          <w:rFonts w:hint="eastAsia"/>
          <w:lang w:eastAsia="zh-CN"/>
        </w:rPr>
        <w:tab/>
      </w:r>
      <w:r>
        <w:rPr>
          <w:rFonts w:hint="eastAsia"/>
          <w:lang w:eastAsia="zh-CN"/>
        </w:rPr>
        <w:t>国际电联划拨的附加预算</w:t>
      </w:r>
    </w:p>
    <w:p w14:paraId="7B205B1E" w14:textId="77777777" w:rsidR="009E3497" w:rsidRDefault="000F1838">
      <w:pPr>
        <w:pStyle w:val="enumlev2"/>
        <w:rPr>
          <w:lang w:eastAsia="zh-CN"/>
        </w:rPr>
      </w:pPr>
      <w:r>
        <w:rPr>
          <w:lang w:eastAsia="zh-CN"/>
        </w:rPr>
        <w:t>•</w:t>
      </w:r>
      <w:r>
        <w:rPr>
          <w:lang w:eastAsia="zh-CN"/>
        </w:rPr>
        <w:tab/>
      </w:r>
      <w:r>
        <w:rPr>
          <w:rFonts w:hint="eastAsia"/>
          <w:lang w:eastAsia="zh-CN"/>
        </w:rPr>
        <w:t>发展中国家的自愿捐款</w:t>
      </w:r>
    </w:p>
    <w:p w14:paraId="23549991" w14:textId="77777777" w:rsidR="009E3497" w:rsidRDefault="000F1838">
      <w:pPr>
        <w:pStyle w:val="enumlev2"/>
        <w:rPr>
          <w:lang w:eastAsia="zh-CN"/>
        </w:rPr>
      </w:pPr>
      <w:r>
        <w:rPr>
          <w:lang w:eastAsia="zh-CN"/>
        </w:rPr>
        <w:lastRenderedPageBreak/>
        <w:t>•</w:t>
      </w:r>
      <w:r>
        <w:rPr>
          <w:rFonts w:hint="eastAsia"/>
          <w:lang w:eastAsia="zh-CN"/>
        </w:rPr>
        <w:tab/>
      </w:r>
      <w:r>
        <w:rPr>
          <w:rFonts w:hint="eastAsia"/>
          <w:lang w:eastAsia="zh-CN"/>
        </w:rPr>
        <w:t>私营部门的自愿捐款</w:t>
      </w:r>
    </w:p>
    <w:p w14:paraId="7F941954" w14:textId="77777777" w:rsidR="009E3497" w:rsidRDefault="000F1838">
      <w:pPr>
        <w:pStyle w:val="enumlev2"/>
        <w:rPr>
          <w:lang w:eastAsia="zh-CN"/>
        </w:rPr>
      </w:pPr>
      <w:r>
        <w:rPr>
          <w:lang w:eastAsia="zh-CN"/>
        </w:rPr>
        <w:t>•</w:t>
      </w:r>
      <w:r>
        <w:rPr>
          <w:rFonts w:hint="eastAsia"/>
          <w:lang w:eastAsia="zh-CN"/>
        </w:rPr>
        <w:tab/>
      </w:r>
      <w:r>
        <w:rPr>
          <w:rFonts w:hint="eastAsia"/>
          <w:lang w:eastAsia="zh-CN"/>
        </w:rPr>
        <w:t>其他各方的自愿捐款。</w:t>
      </w:r>
    </w:p>
    <w:p w14:paraId="6F9C9A8F" w14:textId="77777777" w:rsidR="009E3497" w:rsidRDefault="000F1838">
      <w:pPr>
        <w:pStyle w:val="enumlev1"/>
        <w:rPr>
          <w:lang w:eastAsia="zh-CN"/>
        </w:rPr>
      </w:pPr>
      <w:r>
        <w:rPr>
          <w:i/>
          <w:iCs/>
          <w:lang w:eastAsia="zh-CN"/>
        </w:rPr>
        <w:t>b)</w:t>
      </w:r>
      <w:r>
        <w:rPr>
          <w:rFonts w:hint="eastAsia"/>
          <w:lang w:eastAsia="zh-CN"/>
        </w:rPr>
        <w:tab/>
        <w:t>T</w:t>
      </w:r>
      <w:r>
        <w:rPr>
          <w:lang w:eastAsia="zh-CN"/>
        </w:rPr>
        <w:t>SB</w:t>
      </w:r>
      <w:r>
        <w:rPr>
          <w:rFonts w:hint="eastAsia"/>
          <w:lang w:eastAsia="zh-CN"/>
        </w:rPr>
        <w:t>对资金的管理：</w:t>
      </w:r>
    </w:p>
    <w:p w14:paraId="65E24147" w14:textId="77777777" w:rsidR="009E3497" w:rsidRDefault="000F1838" w:rsidP="00692731">
      <w:pPr>
        <w:pStyle w:val="enumlev2"/>
        <w:ind w:left="1701" w:hanging="567"/>
        <w:rPr>
          <w:lang w:eastAsia="zh-CN"/>
        </w:rPr>
      </w:pPr>
      <w:r>
        <w:rPr>
          <w:lang w:eastAsia="zh-CN"/>
        </w:rPr>
        <w:t>•</w:t>
      </w:r>
      <w:r>
        <w:rPr>
          <w:rFonts w:hint="eastAsia"/>
          <w:lang w:eastAsia="zh-CN"/>
        </w:rPr>
        <w:tab/>
        <w:t>T</w:t>
      </w:r>
      <w:r>
        <w:rPr>
          <w:lang w:eastAsia="zh-CN"/>
        </w:rPr>
        <w:t>SB</w:t>
      </w:r>
      <w:r>
        <w:rPr>
          <w:rFonts w:hint="eastAsia"/>
          <w:lang w:eastAsia="zh-CN"/>
        </w:rPr>
        <w:t>主任须与</w:t>
      </w:r>
      <w:r>
        <w:rPr>
          <w:lang w:eastAsia="zh-CN"/>
        </w:rPr>
        <w:t>BDT</w:t>
      </w:r>
      <w:r>
        <w:rPr>
          <w:rFonts w:hint="eastAsia"/>
          <w:lang w:eastAsia="zh-CN"/>
        </w:rPr>
        <w:t>主任密切协调，负责管理按照以上方式筹集的资金，上述资金须主要用于实现上述各项目的目标。</w:t>
      </w:r>
    </w:p>
    <w:p w14:paraId="33EF3F33" w14:textId="77777777" w:rsidR="009E3497" w:rsidRDefault="000F1838">
      <w:pPr>
        <w:pStyle w:val="enumlev1"/>
        <w:rPr>
          <w:lang w:eastAsia="zh-CN"/>
        </w:rPr>
      </w:pPr>
      <w:r>
        <w:rPr>
          <w:i/>
          <w:iCs/>
          <w:lang w:eastAsia="zh-CN"/>
        </w:rPr>
        <w:t>c)</w:t>
      </w:r>
      <w:r>
        <w:rPr>
          <w:rFonts w:hint="eastAsia"/>
          <w:lang w:eastAsia="zh-CN"/>
        </w:rPr>
        <w:tab/>
      </w:r>
      <w:r>
        <w:rPr>
          <w:rFonts w:hint="eastAsia"/>
          <w:lang w:eastAsia="zh-CN"/>
        </w:rPr>
        <w:t>资金使用的原则：</w:t>
      </w:r>
    </w:p>
    <w:p w14:paraId="7C584B69" w14:textId="77777777" w:rsidR="009E3497" w:rsidRDefault="000F1838" w:rsidP="00692731">
      <w:pPr>
        <w:pStyle w:val="enumlev2"/>
        <w:ind w:left="1701" w:hanging="567"/>
        <w:rPr>
          <w:lang w:eastAsia="zh-CN"/>
        </w:rPr>
      </w:pPr>
      <w:r>
        <w:rPr>
          <w:lang w:eastAsia="zh-CN"/>
        </w:rPr>
        <w:t>•</w:t>
      </w:r>
      <w:r>
        <w:rPr>
          <w:lang w:eastAsia="zh-CN"/>
        </w:rPr>
        <w:tab/>
      </w:r>
      <w:r>
        <w:rPr>
          <w:rFonts w:hint="eastAsia"/>
          <w:lang w:eastAsia="zh-CN"/>
        </w:rPr>
        <w:t>资金将用于国际电联的相关活动，包括但不限于为</w:t>
      </w:r>
      <w:r>
        <w:rPr>
          <w:lang w:eastAsia="zh-CN"/>
        </w:rPr>
        <w:t>ITU-T</w:t>
      </w:r>
      <w:r>
        <w:rPr>
          <w:rFonts w:hint="eastAsia"/>
          <w:lang w:eastAsia="zh-CN"/>
        </w:rPr>
        <w:t>活动中的发展中国家代表提供的帮助、咨询和培训，以及针对发展中国家的合规性检查、互连和互操作性项目进行的研究。</w:t>
      </w:r>
    </w:p>
    <w:p w14:paraId="6251EAB6" w14:textId="77777777" w:rsidR="009E3497" w:rsidRDefault="009E3497">
      <w:pPr>
        <w:pStyle w:val="Reasons"/>
        <w:rPr>
          <w:lang w:eastAsia="zh-CN"/>
        </w:rPr>
      </w:pPr>
    </w:p>
    <w:sectPr w:rsidR="009E3497">
      <w:headerReference w:type="default" r:id="rId14"/>
      <w:footerReference w:type="even" r:id="rId15"/>
      <w:pgSz w:w="11907" w:h="16834"/>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4BE457" w14:textId="77777777" w:rsidR="000F1838" w:rsidRDefault="000F1838">
      <w:pPr>
        <w:spacing w:before="0"/>
      </w:pPr>
      <w:r>
        <w:separator/>
      </w:r>
    </w:p>
  </w:endnote>
  <w:endnote w:type="continuationSeparator" w:id="0">
    <w:p w14:paraId="67DE6B95" w14:textId="77777777" w:rsidR="000F1838" w:rsidRDefault="000F183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华文楷体"/>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
    <w:altName w:val="Yu Gothic"/>
    <w:charset w:val="00"/>
    <w:family w:val="auto"/>
    <w:pitch w:val="variable"/>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default"/>
    <w:sig w:usb0="000002A7" w:usb1="28CF4400" w:usb2="00000016" w:usb3="00000000" w:csb0="001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463576" w14:textId="77777777" w:rsidR="009E3497" w:rsidRDefault="000F1838">
    <w:pPr>
      <w:framePr w:wrap="around" w:vAnchor="text" w:hAnchor="margin" w:xAlign="right" w:y="1"/>
    </w:pPr>
    <w:r>
      <w:fldChar w:fldCharType="begin"/>
    </w:r>
    <w:r>
      <w:instrText xml:space="preserve">PAGE  </w:instrText>
    </w:r>
    <w:r>
      <w:fldChar w:fldCharType="end"/>
    </w:r>
  </w:p>
  <w:p w14:paraId="537DCEBA" w14:textId="1877FE9D" w:rsidR="009E3497" w:rsidRDefault="000F1838">
    <w:pPr>
      <w:ind w:right="360"/>
      <w:rPr>
        <w:lang w:val="en-US"/>
      </w:rPr>
    </w:pPr>
    <w:r>
      <w:fldChar w:fldCharType="begin"/>
    </w:r>
    <w:r>
      <w:rPr>
        <w:lang w:val="en-US"/>
      </w:rPr>
      <w:instrText xml:space="preserve"> FILENAME \p  \* MERGEFORMAT </w:instrText>
    </w:r>
    <w:r>
      <w:fldChar w:fldCharType="end"/>
    </w:r>
    <w:r>
      <w:rPr>
        <w:lang w:val="en-US"/>
      </w:rPr>
      <w:tab/>
    </w:r>
    <w:r>
      <w:fldChar w:fldCharType="begin"/>
    </w:r>
    <w:r>
      <w:instrText xml:space="preserve"> SAVEDATE \@ DD.MM.YY </w:instrText>
    </w:r>
    <w:r>
      <w:fldChar w:fldCharType="separate"/>
    </w:r>
    <w:r w:rsidR="006B38AD">
      <w:rPr>
        <w:noProof/>
      </w:rPr>
      <w:t>30.09.24</w:t>
    </w:r>
    <w:r>
      <w:fldChar w:fldCharType="end"/>
    </w:r>
    <w:r>
      <w:rPr>
        <w:lang w:val="en-US"/>
      </w:rPr>
      <w:tab/>
    </w:r>
    <w:r>
      <w:fldChar w:fldCharType="begin"/>
    </w:r>
    <w:r>
      <w:instrText xml:space="preserve"> PRINTDATE \@ DD.MM.YY </w:instrText>
    </w:r>
    <w:r>
      <w:fldChar w:fldCharType="separate"/>
    </w:r>
    <w: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FB1848D" w14:textId="77777777" w:rsidR="009E3497" w:rsidRDefault="000F1838">
      <w:pPr>
        <w:spacing w:before="0"/>
      </w:pPr>
      <w:r>
        <w:separator/>
      </w:r>
    </w:p>
  </w:footnote>
  <w:footnote w:type="continuationSeparator" w:id="0">
    <w:p w14:paraId="431E5547" w14:textId="77777777" w:rsidR="009E3497" w:rsidRDefault="000F1838">
      <w:pPr>
        <w:spacing w:before="0"/>
      </w:pPr>
      <w:r>
        <w:continuationSeparator/>
      </w:r>
    </w:p>
  </w:footnote>
  <w:footnote w:id="1">
    <w:p w14:paraId="445ACDE9" w14:textId="77777777" w:rsidR="009E3497" w:rsidRDefault="000F1838">
      <w:pPr>
        <w:pStyle w:val="FootnoteText"/>
        <w:rPr>
          <w:lang w:eastAsia="zh-CN"/>
        </w:rPr>
      </w:pPr>
      <w:r>
        <w:rPr>
          <w:rStyle w:val="FootnoteReference"/>
          <w:lang w:eastAsia="zh-CN"/>
        </w:rPr>
        <w:t>1</w:t>
      </w:r>
      <w:r>
        <w:rPr>
          <w:lang w:eastAsia="zh-CN"/>
        </w:rPr>
        <w:t xml:space="preserve"> </w:t>
      </w:r>
      <w:r>
        <w:rPr>
          <w:lang w:eastAsia="zh-CN"/>
        </w:rPr>
        <w:tab/>
      </w:r>
      <w:r>
        <w:rPr>
          <w:rFonts w:hint="eastAsia"/>
          <w:lang w:eastAsia="zh-CN"/>
        </w:rPr>
        <w:t>其中包括最不发达国家、小岛屿发展中国家、内陆发展中国家和经济转型国家。</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B3A36F" w14:textId="77777777" w:rsidR="009E3497" w:rsidRDefault="000F1838">
    <w:pPr>
      <w:pStyle w:val="Header"/>
    </w:pPr>
    <w:r>
      <w:fldChar w:fldCharType="begin"/>
    </w:r>
    <w:r>
      <w:instrText xml:space="preserve"> PAGE  \* MERGEFORMAT </w:instrText>
    </w:r>
    <w:r>
      <w:fldChar w:fldCharType="separate"/>
    </w:r>
    <w:r>
      <w:t>2</w:t>
    </w:r>
    <w:r>
      <w:fldChar w:fldCharType="end"/>
    </w:r>
    <w:r>
      <w:br/>
      <w:t>WTSA-24/37(Add.8)-C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D27D4"/>
    <w:multiLevelType w:val="multilevel"/>
    <w:tmpl w:val="02CD27D4"/>
    <w:lvl w:ilvl="0">
      <w:start w:val="1"/>
      <w:numFmt w:val="decimal"/>
      <w:pStyle w:val="References"/>
      <w:lvlText w:val="[%1]"/>
      <w:lvlJc w:val="left"/>
      <w:pPr>
        <w:tabs>
          <w:tab w:val="left" w:pos="1418"/>
        </w:tabs>
        <w:ind w:left="1418" w:hanging="1418"/>
      </w:pPr>
      <w:rPr>
        <w:rFonts w:hint="default"/>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num w:numId="1" w16cid:durableId="829515259">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ING-C(JL)">
    <w15:presenceInfo w15:providerId="None" w15:userId="LING-C(JL)"/>
  </w15:person>
  <w15:person w15:author="Li, Jianying">
    <w15:presenceInfo w15:providerId="AD" w15:userId="S::jianying.li@itu.int::58c2ec75-b4a5-4d49-a3e5-35fd1c884182"/>
  </w15:person>
  <w15:person w15:author="TSB(RC)">
    <w15:presenceInfo w15:providerId="None" w15:userId="TSB(RC)"/>
  </w15:person>
  <w15:person w15:author="TSB (AAM)">
    <w15:presenceInfo w15:providerId="None" w15:userId="TSB (AA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oNotUseMarginsForDrawingGridOrigin/>
  <w:drawingGridHorizontalOrigin w:val="1800"/>
  <w:drawingGridVerticalOrigin w:val="1440"/>
  <w:doNotShadeFormData/>
  <w:noPunctuationKerning/>
  <w:characterSpacingControl w:val="doNotCompres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Tc2ZGZiNzZiNDVlOGViOWVmM2JhOTY0NGJkNjUyYzgifQ=="/>
  </w:docVars>
  <w:rsids>
    <w:rsidRoot w:val="00931298"/>
    <w:rsid w:val="000041EA"/>
    <w:rsid w:val="0001425B"/>
    <w:rsid w:val="00022A29"/>
    <w:rsid w:val="00024294"/>
    <w:rsid w:val="00034F78"/>
    <w:rsid w:val="000355FD"/>
    <w:rsid w:val="00051E39"/>
    <w:rsid w:val="0005368C"/>
    <w:rsid w:val="000560D0"/>
    <w:rsid w:val="00062F05"/>
    <w:rsid w:val="00063D0B"/>
    <w:rsid w:val="00063EBE"/>
    <w:rsid w:val="0006471F"/>
    <w:rsid w:val="00077239"/>
    <w:rsid w:val="000807E9"/>
    <w:rsid w:val="000863A0"/>
    <w:rsid w:val="00086491"/>
    <w:rsid w:val="00091346"/>
    <w:rsid w:val="0009706C"/>
    <w:rsid w:val="000A4F50"/>
    <w:rsid w:val="000D0578"/>
    <w:rsid w:val="000D708A"/>
    <w:rsid w:val="000F1838"/>
    <w:rsid w:val="000F57C3"/>
    <w:rsid w:val="000F73FF"/>
    <w:rsid w:val="001043FF"/>
    <w:rsid w:val="001059D5"/>
    <w:rsid w:val="00111EF6"/>
    <w:rsid w:val="00114CF7"/>
    <w:rsid w:val="00116B42"/>
    <w:rsid w:val="00123B68"/>
    <w:rsid w:val="00126F2E"/>
    <w:rsid w:val="001301F4"/>
    <w:rsid w:val="00130789"/>
    <w:rsid w:val="00137CF6"/>
    <w:rsid w:val="00146F6F"/>
    <w:rsid w:val="00161472"/>
    <w:rsid w:val="00163E58"/>
    <w:rsid w:val="0017074E"/>
    <w:rsid w:val="00182117"/>
    <w:rsid w:val="0018215C"/>
    <w:rsid w:val="00187BD9"/>
    <w:rsid w:val="00190B55"/>
    <w:rsid w:val="001C3B5F"/>
    <w:rsid w:val="001C6D3E"/>
    <w:rsid w:val="001D058F"/>
    <w:rsid w:val="001E6F73"/>
    <w:rsid w:val="002009EA"/>
    <w:rsid w:val="00202CA0"/>
    <w:rsid w:val="00216B6D"/>
    <w:rsid w:val="00224510"/>
    <w:rsid w:val="00227927"/>
    <w:rsid w:val="00236EBA"/>
    <w:rsid w:val="00245127"/>
    <w:rsid w:val="00246525"/>
    <w:rsid w:val="00250AF4"/>
    <w:rsid w:val="00260B50"/>
    <w:rsid w:val="00263BE8"/>
    <w:rsid w:val="0027050E"/>
    <w:rsid w:val="00271316"/>
    <w:rsid w:val="00281576"/>
    <w:rsid w:val="00290F83"/>
    <w:rsid w:val="002931F4"/>
    <w:rsid w:val="00293F9A"/>
    <w:rsid w:val="002957A7"/>
    <w:rsid w:val="002A1D23"/>
    <w:rsid w:val="002A5392"/>
    <w:rsid w:val="002A5AFA"/>
    <w:rsid w:val="002B100E"/>
    <w:rsid w:val="002C6531"/>
    <w:rsid w:val="002D151C"/>
    <w:rsid w:val="002D58BE"/>
    <w:rsid w:val="002D7317"/>
    <w:rsid w:val="002E3AEE"/>
    <w:rsid w:val="002E561F"/>
    <w:rsid w:val="002F2D0C"/>
    <w:rsid w:val="00316B80"/>
    <w:rsid w:val="003251EA"/>
    <w:rsid w:val="003316BD"/>
    <w:rsid w:val="00333994"/>
    <w:rsid w:val="00336B4E"/>
    <w:rsid w:val="0034635C"/>
    <w:rsid w:val="0035166C"/>
    <w:rsid w:val="00353B05"/>
    <w:rsid w:val="00377BD3"/>
    <w:rsid w:val="00384088"/>
    <w:rsid w:val="003879F0"/>
    <w:rsid w:val="0039169B"/>
    <w:rsid w:val="00394470"/>
    <w:rsid w:val="003A38E7"/>
    <w:rsid w:val="003A7F8C"/>
    <w:rsid w:val="003B09A1"/>
    <w:rsid w:val="003B532E"/>
    <w:rsid w:val="003C33B7"/>
    <w:rsid w:val="003C64ED"/>
    <w:rsid w:val="003D0F8B"/>
    <w:rsid w:val="003D61E9"/>
    <w:rsid w:val="003F020A"/>
    <w:rsid w:val="0041348E"/>
    <w:rsid w:val="004142ED"/>
    <w:rsid w:val="00420EDB"/>
    <w:rsid w:val="004324DF"/>
    <w:rsid w:val="00436EA1"/>
    <w:rsid w:val="004373CA"/>
    <w:rsid w:val="004420C9"/>
    <w:rsid w:val="00443CCE"/>
    <w:rsid w:val="00465799"/>
    <w:rsid w:val="00471EF9"/>
    <w:rsid w:val="0048422D"/>
    <w:rsid w:val="00492075"/>
    <w:rsid w:val="004969AD"/>
    <w:rsid w:val="004974D9"/>
    <w:rsid w:val="004A26C4"/>
    <w:rsid w:val="004B13CB"/>
    <w:rsid w:val="004B4AAE"/>
    <w:rsid w:val="004C6FBE"/>
    <w:rsid w:val="004D5D5C"/>
    <w:rsid w:val="004D6DFC"/>
    <w:rsid w:val="004E05BE"/>
    <w:rsid w:val="004E268A"/>
    <w:rsid w:val="004E2B16"/>
    <w:rsid w:val="004F630A"/>
    <w:rsid w:val="004F645D"/>
    <w:rsid w:val="0050139F"/>
    <w:rsid w:val="00510C3D"/>
    <w:rsid w:val="005134F7"/>
    <w:rsid w:val="00522010"/>
    <w:rsid w:val="0055140B"/>
    <w:rsid w:val="00553247"/>
    <w:rsid w:val="0056747D"/>
    <w:rsid w:val="00581B01"/>
    <w:rsid w:val="00587F8C"/>
    <w:rsid w:val="00590744"/>
    <w:rsid w:val="00595780"/>
    <w:rsid w:val="005964AB"/>
    <w:rsid w:val="005A1A6A"/>
    <w:rsid w:val="005A38F1"/>
    <w:rsid w:val="005B7B2D"/>
    <w:rsid w:val="005C099A"/>
    <w:rsid w:val="005C31A5"/>
    <w:rsid w:val="005D431B"/>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31"/>
    <w:rsid w:val="0069276B"/>
    <w:rsid w:val="00692833"/>
    <w:rsid w:val="006A0D14"/>
    <w:rsid w:val="006A6E9B"/>
    <w:rsid w:val="006A72A4"/>
    <w:rsid w:val="006B38AD"/>
    <w:rsid w:val="006B7C2A"/>
    <w:rsid w:val="006C23DA"/>
    <w:rsid w:val="006D4032"/>
    <w:rsid w:val="006E3D45"/>
    <w:rsid w:val="006E6EE0"/>
    <w:rsid w:val="006F0DB7"/>
    <w:rsid w:val="00700547"/>
    <w:rsid w:val="00707E39"/>
    <w:rsid w:val="007149F9"/>
    <w:rsid w:val="00732252"/>
    <w:rsid w:val="00733A30"/>
    <w:rsid w:val="00742988"/>
    <w:rsid w:val="00742F1D"/>
    <w:rsid w:val="00744830"/>
    <w:rsid w:val="007452F0"/>
    <w:rsid w:val="00745AEE"/>
    <w:rsid w:val="00750F10"/>
    <w:rsid w:val="00752D4D"/>
    <w:rsid w:val="00761B19"/>
    <w:rsid w:val="00774149"/>
    <w:rsid w:val="007742CA"/>
    <w:rsid w:val="00776230"/>
    <w:rsid w:val="00777235"/>
    <w:rsid w:val="00785E1D"/>
    <w:rsid w:val="00790D70"/>
    <w:rsid w:val="0079139A"/>
    <w:rsid w:val="00797C4B"/>
    <w:rsid w:val="007B28CB"/>
    <w:rsid w:val="007C0180"/>
    <w:rsid w:val="007C60C2"/>
    <w:rsid w:val="007D1EC0"/>
    <w:rsid w:val="007D5320"/>
    <w:rsid w:val="007E51BA"/>
    <w:rsid w:val="007E66EA"/>
    <w:rsid w:val="007F3C67"/>
    <w:rsid w:val="007F6D49"/>
    <w:rsid w:val="00800972"/>
    <w:rsid w:val="00802D7B"/>
    <w:rsid w:val="00804475"/>
    <w:rsid w:val="00811633"/>
    <w:rsid w:val="00822B56"/>
    <w:rsid w:val="00840F52"/>
    <w:rsid w:val="008508D8"/>
    <w:rsid w:val="00850EEE"/>
    <w:rsid w:val="0086377E"/>
    <w:rsid w:val="00864CD2"/>
    <w:rsid w:val="00872FC8"/>
    <w:rsid w:val="00874789"/>
    <w:rsid w:val="008777B8"/>
    <w:rsid w:val="008845D0"/>
    <w:rsid w:val="008A186A"/>
    <w:rsid w:val="008B1AEA"/>
    <w:rsid w:val="008B43F2"/>
    <w:rsid w:val="008B4CE6"/>
    <w:rsid w:val="008B6CFF"/>
    <w:rsid w:val="008E2A7A"/>
    <w:rsid w:val="008E4BBE"/>
    <w:rsid w:val="008E67E5"/>
    <w:rsid w:val="008F08A1"/>
    <w:rsid w:val="008F7D1E"/>
    <w:rsid w:val="00905803"/>
    <w:rsid w:val="00906526"/>
    <w:rsid w:val="009163CF"/>
    <w:rsid w:val="00921DD4"/>
    <w:rsid w:val="0092425C"/>
    <w:rsid w:val="009274B4"/>
    <w:rsid w:val="00930EBD"/>
    <w:rsid w:val="00931298"/>
    <w:rsid w:val="00931323"/>
    <w:rsid w:val="00934EA2"/>
    <w:rsid w:val="009357F5"/>
    <w:rsid w:val="00940614"/>
    <w:rsid w:val="00944A5C"/>
    <w:rsid w:val="00952A66"/>
    <w:rsid w:val="0095691C"/>
    <w:rsid w:val="009B2216"/>
    <w:rsid w:val="009B59BB"/>
    <w:rsid w:val="009B7300"/>
    <w:rsid w:val="009C56E5"/>
    <w:rsid w:val="009D4900"/>
    <w:rsid w:val="009E0DEE"/>
    <w:rsid w:val="009E1967"/>
    <w:rsid w:val="009E3497"/>
    <w:rsid w:val="009E5FC8"/>
    <w:rsid w:val="009E687A"/>
    <w:rsid w:val="009F1890"/>
    <w:rsid w:val="009F4801"/>
    <w:rsid w:val="009F4D71"/>
    <w:rsid w:val="00A066F1"/>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E0E1B"/>
    <w:rsid w:val="00AF74C9"/>
    <w:rsid w:val="00B067BF"/>
    <w:rsid w:val="00B305D7"/>
    <w:rsid w:val="00B357A0"/>
    <w:rsid w:val="00B529AD"/>
    <w:rsid w:val="00B53209"/>
    <w:rsid w:val="00B6324B"/>
    <w:rsid w:val="00B639E9"/>
    <w:rsid w:val="00B660EE"/>
    <w:rsid w:val="00B66385"/>
    <w:rsid w:val="00B66C2B"/>
    <w:rsid w:val="00B817CD"/>
    <w:rsid w:val="00B85156"/>
    <w:rsid w:val="00B94AD0"/>
    <w:rsid w:val="00B9514A"/>
    <w:rsid w:val="00BA5265"/>
    <w:rsid w:val="00BB3A95"/>
    <w:rsid w:val="00BB6222"/>
    <w:rsid w:val="00BC2FB6"/>
    <w:rsid w:val="00BC7D84"/>
    <w:rsid w:val="00BF3941"/>
    <w:rsid w:val="00BF490E"/>
    <w:rsid w:val="00BF5986"/>
    <w:rsid w:val="00C0018F"/>
    <w:rsid w:val="00C0539A"/>
    <w:rsid w:val="00C120F4"/>
    <w:rsid w:val="00C12C2B"/>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8762E"/>
    <w:rsid w:val="00C97C68"/>
    <w:rsid w:val="00CA1A47"/>
    <w:rsid w:val="00CC247A"/>
    <w:rsid w:val="00CD70EF"/>
    <w:rsid w:val="00CD7CC4"/>
    <w:rsid w:val="00CE3792"/>
    <w:rsid w:val="00CE388F"/>
    <w:rsid w:val="00CE5E47"/>
    <w:rsid w:val="00CF020F"/>
    <w:rsid w:val="00CF1E9D"/>
    <w:rsid w:val="00CF2B5B"/>
    <w:rsid w:val="00D03DED"/>
    <w:rsid w:val="00D055D3"/>
    <w:rsid w:val="00D14CE0"/>
    <w:rsid w:val="00D16E1C"/>
    <w:rsid w:val="00D2023F"/>
    <w:rsid w:val="00D278AC"/>
    <w:rsid w:val="00D41719"/>
    <w:rsid w:val="00D54009"/>
    <w:rsid w:val="00D5651D"/>
    <w:rsid w:val="00D57A34"/>
    <w:rsid w:val="00D643B3"/>
    <w:rsid w:val="00D73671"/>
    <w:rsid w:val="00D74898"/>
    <w:rsid w:val="00D801ED"/>
    <w:rsid w:val="00D930BB"/>
    <w:rsid w:val="00D936BC"/>
    <w:rsid w:val="00D96530"/>
    <w:rsid w:val="00DA7E2F"/>
    <w:rsid w:val="00DD441E"/>
    <w:rsid w:val="00DD44AF"/>
    <w:rsid w:val="00DE2AC3"/>
    <w:rsid w:val="00DE5692"/>
    <w:rsid w:val="00DE6785"/>
    <w:rsid w:val="00DE70B3"/>
    <w:rsid w:val="00DF3E19"/>
    <w:rsid w:val="00DF6908"/>
    <w:rsid w:val="00DF700D"/>
    <w:rsid w:val="00E0231F"/>
    <w:rsid w:val="00E03C94"/>
    <w:rsid w:val="00E2134A"/>
    <w:rsid w:val="00E26226"/>
    <w:rsid w:val="00E3103C"/>
    <w:rsid w:val="00E368CA"/>
    <w:rsid w:val="00E45D05"/>
    <w:rsid w:val="00E55816"/>
    <w:rsid w:val="00E55AEF"/>
    <w:rsid w:val="00E610A4"/>
    <w:rsid w:val="00E6117A"/>
    <w:rsid w:val="00E710DF"/>
    <w:rsid w:val="00E765C9"/>
    <w:rsid w:val="00E82677"/>
    <w:rsid w:val="00E8342F"/>
    <w:rsid w:val="00E870AC"/>
    <w:rsid w:val="00E94DBA"/>
    <w:rsid w:val="00E976C1"/>
    <w:rsid w:val="00EA12E5"/>
    <w:rsid w:val="00EB55C6"/>
    <w:rsid w:val="00EC79DF"/>
    <w:rsid w:val="00EC7F04"/>
    <w:rsid w:val="00ED30BC"/>
    <w:rsid w:val="00EF2A81"/>
    <w:rsid w:val="00F00DDC"/>
    <w:rsid w:val="00F01223"/>
    <w:rsid w:val="00F02766"/>
    <w:rsid w:val="00F05BD4"/>
    <w:rsid w:val="00F2404A"/>
    <w:rsid w:val="00F27D1D"/>
    <w:rsid w:val="00F3630D"/>
    <w:rsid w:val="00F4677D"/>
    <w:rsid w:val="00F528B4"/>
    <w:rsid w:val="00F60D05"/>
    <w:rsid w:val="00F6155B"/>
    <w:rsid w:val="00F65C19"/>
    <w:rsid w:val="00F7356B"/>
    <w:rsid w:val="00F762C9"/>
    <w:rsid w:val="00F80977"/>
    <w:rsid w:val="00F83F75"/>
    <w:rsid w:val="00F972D2"/>
    <w:rsid w:val="00FC1DB9"/>
    <w:rsid w:val="00FD2546"/>
    <w:rsid w:val="00FD36AC"/>
    <w:rsid w:val="00FD772E"/>
    <w:rsid w:val="00FE0144"/>
    <w:rsid w:val="00FE5494"/>
    <w:rsid w:val="00FE78C7"/>
    <w:rsid w:val="00FF43AC"/>
    <w:rsid w:val="02CA2F59"/>
    <w:rsid w:val="10FF5F95"/>
    <w:rsid w:val="24A739C3"/>
    <w:rsid w:val="27695F59"/>
    <w:rsid w:val="28F74D45"/>
    <w:rsid w:val="2B732DA8"/>
    <w:rsid w:val="36237179"/>
    <w:rsid w:val="3B8C756F"/>
    <w:rsid w:val="4F13792F"/>
    <w:rsid w:val="4F147B4F"/>
    <w:rsid w:val="558477DD"/>
    <w:rsid w:val="6450447A"/>
    <w:rsid w:val="66534703"/>
    <w:rsid w:val="7F30206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076899"/>
  <w15:docId w15:val="{14AC2784-1061-44AE-9B6C-911DEECCB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lsdException w:name="toc 2" w:uiPriority="39"/>
    <w:lsdException w:name="toc 3" w:uiPriority="39"/>
    <w:lsdException w:name="toc 4" w:uiPriority="39"/>
    <w:lsdException w:name="annotation text" w:uiPriority="99" w:unhideWhenUsed="1"/>
    <w:lsdException w:name="index heading" w:unhideWhenUsed="1"/>
    <w:lsdException w:name="caption" w:unhideWhenUsed="1"/>
    <w:lsdException w:name="table of figures" w:uiPriority="99"/>
    <w:lsdException w:name="envelope address" w:unhideWhenUsed="1"/>
    <w:lsdException w:name="envelope return" w:unhideWhenUsed="1"/>
    <w:lsdException w:name="annotation reference" w:uiPriority="99" w:unhideWhenUsed="1"/>
    <w:lsdException w:name="line number" w:unhideWhenUsed="1"/>
    <w:lsdException w:name="endnote text" w:unhideWhenUsed="1"/>
    <w:lsdException w:name="table of authorities" w:unhideWhenUsed="1"/>
    <w:lsdException w:name="macro" w:unhideWhenUsed="1"/>
    <w:lsdException w:name="toa heading"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Closing" w:unhideWhenUsed="1"/>
    <w:lsdException w:name="Signature" w:unhideWhenUsed="1"/>
    <w:lsdException w:name="Default Paragraph Font" w:semiHidden="1"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iPriority="99" w:unhideWhenUsed="1"/>
    <w:lsdException w:name="FollowedHyperlink" w:unhideWhenUsed="1"/>
    <w:lsdException w:name="Document Map" w:unhideWhenUsed="1"/>
    <w:lsdException w:name="Plain Text" w:unhideWhenUsed="1"/>
    <w:lsdException w:name="E-mail Signature" w:unhideWhenUsed="1"/>
    <w:lsdException w:name="HTML Top of Form" w:semiHidden="1" w:uiPriority="99" w:unhideWhenUsed="1"/>
    <w:lsdException w:name="HTML Bottom of Form" w:semiHidden="1" w:uiPriority="99"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semiHidden="1" w:unhideWhenUsed="1"/>
    <w:lsdException w:name="HTML Sample" w:unhideWhenUsed="1"/>
    <w:lsdException w:name="HTML Typewriter" w:semiHidden="1" w:unhideWhenUsed="1"/>
    <w:lsdException w:name="HTML Variable" w:unhideWhenUsed="1"/>
    <w:lsdException w:name="Normal Table" w:semiHidden="1" w:uiPriority="99" w:unhideWhenUsed="1"/>
    <w:lsdException w:name="annotation subject"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tabs>
        <w:tab w:val="left" w:pos="1134"/>
        <w:tab w:val="left" w:pos="1701"/>
        <w:tab w:val="left" w:pos="2495"/>
      </w:tabs>
      <w:overflowPunct w:val="0"/>
      <w:autoSpaceDE w:val="0"/>
      <w:autoSpaceDN w:val="0"/>
      <w:adjustRightInd w:val="0"/>
      <w:spacing w:before="120"/>
      <w:textAlignment w:val="baseline"/>
    </w:pPr>
    <w:rPr>
      <w:sz w:val="24"/>
      <w:lang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MacroText">
    <w:name w:val="macro"/>
    <w:link w:val="MacroTextChar"/>
    <w:unhideWhenUsed/>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eastAsia="ja-JP"/>
    </w:rPr>
  </w:style>
  <w:style w:type="paragraph" w:styleId="List3">
    <w:name w:val="List 3"/>
    <w:basedOn w:val="Normal"/>
    <w:unhideWhenUsed/>
    <w:pPr>
      <w:overflowPunct/>
      <w:autoSpaceDE/>
      <w:autoSpaceDN/>
      <w:adjustRightInd/>
      <w:ind w:left="849" w:hanging="283"/>
      <w:contextualSpacing/>
      <w:textAlignment w:val="auto"/>
    </w:pPr>
    <w:rPr>
      <w:rFonts w:eastAsia="Calibri"/>
      <w:szCs w:val="24"/>
      <w:lang w:eastAsia="ja-JP"/>
    </w:rPr>
  </w:style>
  <w:style w:type="paragraph" w:styleId="TOC7">
    <w:name w:val="toc 7"/>
    <w:basedOn w:val="TOC4"/>
  </w:style>
  <w:style w:type="paragraph" w:styleId="TOC4">
    <w:name w:val="toc 4"/>
    <w:basedOn w:val="TOC3"/>
    <w:uiPriority w:val="39"/>
  </w:style>
  <w:style w:type="paragraph" w:styleId="TOC3">
    <w:name w:val="toc 3"/>
    <w:basedOn w:val="TOC2"/>
    <w:uiPriority w:val="39"/>
    <w:pPr>
      <w:ind w:left="2269"/>
    </w:pPr>
  </w:style>
  <w:style w:type="paragraph" w:styleId="TOC2">
    <w:name w:val="toc 2"/>
    <w:basedOn w:val="TOC1"/>
    <w:uiPriority w:val="39"/>
    <w:pPr>
      <w:spacing w:before="80"/>
      <w:ind w:left="1531" w:hanging="851"/>
    </w:pPr>
  </w:style>
  <w:style w:type="paragraph" w:styleId="TOC1">
    <w:name w:val="toc 1"/>
    <w:basedOn w:val="Normal"/>
    <w:uiPriority w:val="39"/>
    <w:pPr>
      <w:keepLines/>
      <w:tabs>
        <w:tab w:val="left" w:pos="964"/>
        <w:tab w:val="left" w:leader="dot" w:pos="9356"/>
        <w:tab w:val="right" w:pos="9639"/>
      </w:tabs>
      <w:spacing w:before="240"/>
      <w:ind w:left="680" w:right="851" w:hanging="680"/>
    </w:pPr>
    <w:rPr>
      <w:rFonts w:eastAsia="Batang"/>
    </w:rPr>
  </w:style>
  <w:style w:type="paragraph" w:styleId="ListNumber2">
    <w:name w:val="List Number 2"/>
    <w:basedOn w:val="Normal"/>
    <w:unhideWhenUsed/>
    <w:pPr>
      <w:tabs>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pPr>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pPr>
      <w:overflowPunct/>
      <w:autoSpaceDE/>
      <w:autoSpaceDN/>
      <w:adjustRightInd/>
      <w:spacing w:before="0"/>
      <w:textAlignment w:val="auto"/>
    </w:pPr>
    <w:rPr>
      <w:rFonts w:eastAsia="Calibri"/>
      <w:szCs w:val="24"/>
      <w:lang w:eastAsia="ja-JP"/>
    </w:rPr>
  </w:style>
  <w:style w:type="paragraph" w:styleId="ListBullet4">
    <w:name w:val="List Bullet 4"/>
    <w:basedOn w:val="Normal"/>
    <w:unhideWhenUsed/>
    <w:pPr>
      <w:tabs>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pPr>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pPr>
      <w:overflowPunct/>
      <w:autoSpaceDE/>
      <w:autoSpaceDN/>
      <w:adjustRightInd/>
      <w:spacing w:before="0"/>
      <w:textAlignment w:val="auto"/>
    </w:pPr>
    <w:rPr>
      <w:rFonts w:eastAsia="Calibri"/>
      <w:szCs w:val="24"/>
      <w:lang w:eastAsia="ja-JP"/>
    </w:rPr>
  </w:style>
  <w:style w:type="paragraph" w:styleId="ListNumber">
    <w:name w:val="List Number"/>
    <w:basedOn w:val="Normal"/>
    <w:unhideWhenUsed/>
    <w:pPr>
      <w:tabs>
        <w:tab w:val="left" w:pos="360"/>
      </w:tabs>
      <w:overflowPunct/>
      <w:autoSpaceDE/>
      <w:autoSpaceDN/>
      <w:adjustRightInd/>
      <w:ind w:left="360" w:hanging="360"/>
      <w:contextualSpacing/>
      <w:textAlignment w:val="auto"/>
    </w:pPr>
    <w:rPr>
      <w:rFonts w:eastAsia="Calibri"/>
      <w:szCs w:val="24"/>
      <w:lang w:eastAsia="ja-JP"/>
    </w:rPr>
  </w:style>
  <w:style w:type="paragraph" w:styleId="NormalIndent">
    <w:name w:val="Normal Indent"/>
    <w:basedOn w:val="Normal"/>
    <w:pPr>
      <w:ind w:left="1134"/>
    </w:pPr>
  </w:style>
  <w:style w:type="paragraph" w:styleId="Caption">
    <w:name w:val="caption"/>
    <w:basedOn w:val="Normal"/>
    <w:next w:val="Normal"/>
    <w:unhideWhenUsed/>
    <w:pPr>
      <w:spacing w:before="0" w:after="200"/>
    </w:pPr>
    <w:rPr>
      <w:i/>
      <w:iCs/>
      <w:color w:val="1F497D" w:themeColor="text2"/>
      <w:sz w:val="18"/>
      <w:szCs w:val="18"/>
    </w:rPr>
  </w:style>
  <w:style w:type="paragraph" w:styleId="Index5">
    <w:name w:val="index 5"/>
    <w:basedOn w:val="Normal"/>
    <w:next w:val="Normal"/>
    <w:unhideWhenUsed/>
    <w:pPr>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pPr>
      <w:tabs>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pPr>
      <w:framePr w:w="7920" w:h="1980" w:hRule="exact" w:hSpace="180" w:wrap="around" w:hAnchor="page" w:xAlign="center" w:yAlign="bottom"/>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pPr>
      <w:overflowPunct/>
      <w:autoSpaceDE/>
      <w:autoSpaceDN/>
      <w:adjustRightInd/>
      <w:spacing w:before="0"/>
      <w:textAlignment w:val="auto"/>
    </w:pPr>
    <w:rPr>
      <w:rFonts w:ascii="Segoe UI" w:eastAsia="Calibri" w:hAnsi="Segoe UI" w:cs="Segoe UI"/>
      <w:sz w:val="16"/>
      <w:szCs w:val="16"/>
      <w:lang w:eastAsia="ja-JP"/>
    </w:rPr>
  </w:style>
  <w:style w:type="paragraph" w:styleId="TOAHeading">
    <w:name w:val="toa heading"/>
    <w:basedOn w:val="Normal"/>
    <w:next w:val="Normal"/>
    <w:unhideWhenUsed/>
    <w:pPr>
      <w:overflowPunct/>
      <w:autoSpaceDE/>
      <w:autoSpaceDN/>
      <w:adjustRightInd/>
      <w:textAlignment w:val="auto"/>
    </w:pPr>
    <w:rPr>
      <w:rFonts w:ascii="Calibri Light" w:eastAsiaTheme="minorHAnsi" w:hAnsi="Calibri Light"/>
      <w:b/>
      <w:bCs/>
      <w:szCs w:val="24"/>
      <w:lang w:eastAsia="ja-JP"/>
    </w:rPr>
  </w:style>
  <w:style w:type="paragraph" w:styleId="CommentText">
    <w:name w:val="annotation text"/>
    <w:basedOn w:val="Normal"/>
    <w:link w:val="CommentTextChar"/>
    <w:uiPriority w:val="99"/>
    <w:unhideWhenUsed/>
    <w:rPr>
      <w:sz w:val="20"/>
    </w:rPr>
  </w:style>
  <w:style w:type="paragraph" w:styleId="Index6">
    <w:name w:val="index 6"/>
    <w:basedOn w:val="Normal"/>
    <w:next w:val="Normal"/>
    <w:unhideWhenUsed/>
    <w:pPr>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pPr>
      <w:overflowPunct/>
      <w:autoSpaceDE/>
      <w:autoSpaceDN/>
      <w:adjustRightInd/>
      <w:textAlignment w:val="auto"/>
    </w:pPr>
    <w:rPr>
      <w:rFonts w:eastAsia="Calibri"/>
      <w:szCs w:val="24"/>
      <w:lang w:eastAsia="ja-JP"/>
    </w:rPr>
  </w:style>
  <w:style w:type="paragraph" w:styleId="BodyText3">
    <w:name w:val="Body Text 3"/>
    <w:basedOn w:val="Normal"/>
    <w:link w:val="BodyText3Char"/>
    <w:unhideWhenUsed/>
    <w:pPr>
      <w:overflowPunct/>
      <w:autoSpaceDE/>
      <w:autoSpaceDN/>
      <w:adjustRightInd/>
      <w:spacing w:after="120"/>
      <w:textAlignment w:val="auto"/>
    </w:pPr>
    <w:rPr>
      <w:rFonts w:eastAsia="Calibri"/>
      <w:sz w:val="16"/>
      <w:szCs w:val="16"/>
      <w:lang w:eastAsia="ja-JP"/>
    </w:rPr>
  </w:style>
  <w:style w:type="paragraph" w:styleId="Closing">
    <w:name w:val="Closing"/>
    <w:basedOn w:val="Normal"/>
    <w:link w:val="ClosingChar"/>
    <w:unhideWhenUsed/>
    <w:pPr>
      <w:overflowPunct/>
      <w:autoSpaceDE/>
      <w:autoSpaceDN/>
      <w:adjustRightInd/>
      <w:spacing w:before="0"/>
      <w:ind w:left="4252"/>
      <w:textAlignment w:val="auto"/>
    </w:pPr>
    <w:rPr>
      <w:rFonts w:eastAsia="Calibri"/>
      <w:szCs w:val="24"/>
      <w:lang w:eastAsia="ja-JP"/>
    </w:rPr>
  </w:style>
  <w:style w:type="paragraph" w:styleId="ListBullet3">
    <w:name w:val="List Bullet 3"/>
    <w:basedOn w:val="Normal"/>
    <w:unhideWhenUsed/>
    <w:pPr>
      <w:tabs>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pPr>
      <w:overflowPunct/>
      <w:autoSpaceDE/>
      <w:autoSpaceDN/>
      <w:adjustRightInd/>
      <w:spacing w:after="120"/>
      <w:textAlignment w:val="auto"/>
    </w:pPr>
    <w:rPr>
      <w:rFonts w:eastAsia="Calibri"/>
      <w:szCs w:val="24"/>
      <w:lang w:eastAsia="ja-JP"/>
    </w:rPr>
  </w:style>
  <w:style w:type="paragraph" w:styleId="BodyTextIndent">
    <w:name w:val="Body Text Indent"/>
    <w:basedOn w:val="Normal"/>
    <w:link w:val="BodyTextIndentChar"/>
    <w:unhideWhenUsed/>
    <w:pPr>
      <w:overflowPunct/>
      <w:autoSpaceDE/>
      <w:autoSpaceDN/>
      <w:adjustRightInd/>
      <w:spacing w:after="120"/>
      <w:ind w:left="283"/>
      <w:textAlignment w:val="auto"/>
    </w:pPr>
    <w:rPr>
      <w:rFonts w:eastAsia="Calibri"/>
      <w:szCs w:val="24"/>
      <w:lang w:eastAsia="ja-JP"/>
    </w:rPr>
  </w:style>
  <w:style w:type="paragraph" w:styleId="ListNumber3">
    <w:name w:val="List Number 3"/>
    <w:basedOn w:val="Normal"/>
    <w:unhideWhenUsed/>
    <w:pPr>
      <w:tabs>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pPr>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pPr>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pPr>
      <w:pBdr>
        <w:top w:val="single" w:sz="2" w:space="10" w:color="5B9BD5"/>
        <w:left w:val="single" w:sz="2" w:space="10" w:color="5B9BD5"/>
        <w:bottom w:val="single" w:sz="2" w:space="10" w:color="5B9BD5"/>
        <w:right w:val="single" w:sz="2" w:space="10" w:color="5B9BD5"/>
      </w:pBdr>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pPr>
      <w:tabs>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pPr>
      <w:overflowPunct/>
      <w:autoSpaceDE/>
      <w:autoSpaceDN/>
      <w:adjustRightInd/>
      <w:spacing w:before="0"/>
      <w:textAlignment w:val="auto"/>
    </w:pPr>
    <w:rPr>
      <w:rFonts w:eastAsia="Calibri"/>
      <w:i/>
      <w:iCs/>
      <w:szCs w:val="24"/>
      <w:lang w:eastAsia="ja-JP"/>
    </w:rPr>
  </w:style>
  <w:style w:type="paragraph" w:styleId="Index4">
    <w:name w:val="index 4"/>
    <w:basedOn w:val="Normal"/>
    <w:next w:val="Normal"/>
    <w:unhideWhenUsed/>
    <w:pPr>
      <w:overflowPunct/>
      <w:autoSpaceDE/>
      <w:autoSpaceDN/>
      <w:adjustRightInd/>
      <w:spacing w:before="0"/>
      <w:ind w:left="960" w:hanging="240"/>
      <w:textAlignment w:val="auto"/>
    </w:pPr>
    <w:rPr>
      <w:rFonts w:eastAsia="Calibri"/>
      <w:szCs w:val="24"/>
      <w:lang w:eastAsia="ja-JP"/>
    </w:rPr>
  </w:style>
  <w:style w:type="paragraph" w:styleId="TOC5">
    <w:name w:val="toc 5"/>
    <w:basedOn w:val="TOC4"/>
  </w:style>
  <w:style w:type="paragraph" w:styleId="PlainText">
    <w:name w:val="Plain Text"/>
    <w:basedOn w:val="Normal"/>
    <w:link w:val="PlainTextChar"/>
    <w:unhideWhenUsed/>
    <w:pPr>
      <w:overflowPunct/>
      <w:autoSpaceDE/>
      <w:autoSpaceDN/>
      <w:adjustRightInd/>
      <w:spacing w:before="0"/>
      <w:textAlignment w:val="auto"/>
    </w:pPr>
    <w:rPr>
      <w:rFonts w:ascii="Consolas" w:eastAsia="Calibri" w:hAnsi="Consolas"/>
      <w:sz w:val="21"/>
      <w:szCs w:val="21"/>
      <w:lang w:eastAsia="ja-JP"/>
    </w:rPr>
  </w:style>
  <w:style w:type="paragraph" w:styleId="ListBullet5">
    <w:name w:val="List Bullet 5"/>
    <w:basedOn w:val="Normal"/>
    <w:unhideWhenUsed/>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pPr>
      <w:tabs>
        <w:tab w:val="left" w:pos="1209"/>
      </w:tabs>
      <w:overflowPunct/>
      <w:autoSpaceDE/>
      <w:autoSpaceDN/>
      <w:adjustRightInd/>
      <w:ind w:left="1209" w:hanging="360"/>
      <w:contextualSpacing/>
      <w:textAlignment w:val="auto"/>
    </w:pPr>
    <w:rPr>
      <w:rFonts w:eastAsia="Calibri"/>
      <w:szCs w:val="24"/>
      <w:lang w:eastAsia="ja-JP"/>
    </w:rPr>
  </w:style>
  <w:style w:type="paragraph" w:styleId="TOC8">
    <w:name w:val="toc 8"/>
    <w:basedOn w:val="TOC4"/>
  </w:style>
  <w:style w:type="paragraph" w:styleId="Index3">
    <w:name w:val="index 3"/>
    <w:basedOn w:val="Normal"/>
    <w:next w:val="Normal"/>
    <w:unhideWhenUsed/>
    <w:pPr>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pPr>
      <w:overflowPunct/>
      <w:autoSpaceDE/>
      <w:autoSpaceDN/>
      <w:adjustRightInd/>
      <w:textAlignment w:val="auto"/>
    </w:pPr>
    <w:rPr>
      <w:rFonts w:eastAsia="Calibri"/>
      <w:szCs w:val="24"/>
      <w:lang w:eastAsia="ja-JP"/>
    </w:rPr>
  </w:style>
  <w:style w:type="paragraph" w:styleId="BodyTextIndent2">
    <w:name w:val="Body Text Indent 2"/>
    <w:basedOn w:val="Normal"/>
    <w:link w:val="BodyTextIndent2Char"/>
    <w:unhideWhenUsed/>
    <w:pPr>
      <w:overflowPunct/>
      <w:autoSpaceDE/>
      <w:autoSpaceDN/>
      <w:adjustRightInd/>
      <w:spacing w:after="120" w:line="480" w:lineRule="auto"/>
      <w:ind w:left="283"/>
      <w:textAlignment w:val="auto"/>
    </w:pPr>
    <w:rPr>
      <w:rFonts w:eastAsia="Calibri"/>
      <w:szCs w:val="24"/>
      <w:lang w:eastAsia="ja-JP"/>
    </w:rPr>
  </w:style>
  <w:style w:type="paragraph" w:styleId="EndnoteText">
    <w:name w:val="endnote text"/>
    <w:basedOn w:val="Normal"/>
    <w:link w:val="EndnoteTextChar"/>
    <w:unhideWhenUsed/>
    <w:pPr>
      <w:overflowPunct/>
      <w:autoSpaceDE/>
      <w:autoSpaceDN/>
      <w:adjustRightInd/>
      <w:spacing w:before="0"/>
      <w:textAlignment w:val="auto"/>
    </w:pPr>
    <w:rPr>
      <w:rFonts w:eastAsia="Calibri"/>
      <w:sz w:val="20"/>
      <w:szCs w:val="24"/>
      <w:lang w:eastAsia="ja-JP"/>
    </w:rPr>
  </w:style>
  <w:style w:type="paragraph" w:styleId="ListContinue5">
    <w:name w:val="List Continue 5"/>
    <w:basedOn w:val="Normal"/>
    <w:unhideWhenUsed/>
    <w:pPr>
      <w:overflowPunct/>
      <w:autoSpaceDE/>
      <w:autoSpaceDN/>
      <w:adjustRightInd/>
      <w:spacing w:after="120"/>
      <w:ind w:left="1415"/>
      <w:contextualSpacing/>
      <w:textAlignment w:val="auto"/>
    </w:pPr>
    <w:rPr>
      <w:rFonts w:eastAsia="Calibri"/>
      <w:szCs w:val="24"/>
      <w:lang w:eastAsia="ja-JP"/>
    </w:rPr>
  </w:style>
  <w:style w:type="paragraph" w:styleId="BalloonText">
    <w:name w:val="Balloon Text"/>
    <w:basedOn w:val="Normal"/>
    <w:link w:val="BalloonTextChar"/>
    <w:unhideWhenUsed/>
    <w:pPr>
      <w:spacing w:before="0"/>
    </w:pPr>
    <w:rPr>
      <w:rFonts w:ascii="Segoe UI" w:hAnsi="Segoe UI" w:cs="Segoe UI"/>
      <w:sz w:val="18"/>
      <w:szCs w:val="18"/>
    </w:rPr>
  </w:style>
  <w:style w:type="paragraph" w:styleId="Footer">
    <w:name w:val="footer"/>
    <w:basedOn w:val="Normal"/>
    <w:link w:val="FooterChar"/>
    <w:pPr>
      <w:tabs>
        <w:tab w:val="left" w:pos="5954"/>
        <w:tab w:val="right" w:pos="9639"/>
      </w:tabs>
      <w:spacing w:before="0"/>
    </w:pPr>
    <w:rPr>
      <w:caps/>
      <w:sz w:val="16"/>
    </w:rPr>
  </w:style>
  <w:style w:type="paragraph" w:styleId="EnvelopeReturn">
    <w:name w:val="envelope return"/>
    <w:basedOn w:val="Normal"/>
    <w:unhideWhenUsed/>
    <w:pPr>
      <w:overflowPunct/>
      <w:autoSpaceDE/>
      <w:autoSpaceDN/>
      <w:adjustRightInd/>
      <w:spacing w:before="0"/>
      <w:textAlignment w:val="auto"/>
    </w:pPr>
    <w:rPr>
      <w:rFonts w:ascii="Calibri Light" w:eastAsiaTheme="minorHAnsi" w:hAnsi="Calibri Light"/>
      <w:sz w:val="20"/>
      <w:szCs w:val="24"/>
      <w:lang w:eastAsia="ja-JP"/>
    </w:rPr>
  </w:style>
  <w:style w:type="paragraph" w:styleId="Header">
    <w:name w:val="header"/>
    <w:basedOn w:val="Normal"/>
    <w:link w:val="HeaderChar"/>
    <w:pPr>
      <w:spacing w:before="0"/>
      <w:jc w:val="center"/>
    </w:pPr>
    <w:rPr>
      <w:sz w:val="18"/>
    </w:rPr>
  </w:style>
  <w:style w:type="paragraph" w:styleId="Signature">
    <w:name w:val="Signature"/>
    <w:basedOn w:val="Normal"/>
    <w:link w:val="SignatureChar"/>
    <w:unhideWhenUsed/>
    <w:pPr>
      <w:overflowPunct/>
      <w:autoSpaceDE/>
      <w:autoSpaceDN/>
      <w:adjustRightInd/>
      <w:spacing w:before="0"/>
      <w:ind w:left="4252"/>
      <w:textAlignment w:val="auto"/>
    </w:pPr>
    <w:rPr>
      <w:rFonts w:eastAsia="Calibri"/>
      <w:szCs w:val="24"/>
      <w:lang w:eastAsia="ja-JP"/>
    </w:rPr>
  </w:style>
  <w:style w:type="paragraph" w:styleId="ListContinue4">
    <w:name w:val="List Continue 4"/>
    <w:basedOn w:val="Normal"/>
    <w:unhideWhenUsed/>
    <w:pPr>
      <w:overflowPunct/>
      <w:autoSpaceDE/>
      <w:autoSpaceDN/>
      <w:adjustRightInd/>
      <w:spacing w:after="120"/>
      <w:ind w:left="1132"/>
      <w:contextualSpacing/>
      <w:textAlignment w:val="auto"/>
    </w:pPr>
    <w:rPr>
      <w:rFonts w:eastAsia="Calibri"/>
      <w:szCs w:val="24"/>
      <w:lang w:eastAsia="ja-JP"/>
    </w:rPr>
  </w:style>
  <w:style w:type="paragraph" w:styleId="IndexHeading">
    <w:name w:val="index heading"/>
    <w:basedOn w:val="Normal"/>
    <w:next w:val="Index1"/>
    <w:unhideWhenUsed/>
    <w:pPr>
      <w:overflowPunct/>
      <w:autoSpaceDE/>
      <w:autoSpaceDN/>
      <w:adjustRightInd/>
      <w:textAlignment w:val="auto"/>
    </w:pPr>
    <w:rPr>
      <w:rFonts w:ascii="Calibri Light" w:eastAsiaTheme="minorHAnsi" w:hAnsi="Calibri Light"/>
      <w:b/>
      <w:bCs/>
      <w:szCs w:val="24"/>
      <w:lang w:eastAsia="ja-JP"/>
    </w:rPr>
  </w:style>
  <w:style w:type="paragraph" w:styleId="Index1">
    <w:name w:val="index 1"/>
    <w:basedOn w:val="Normal"/>
    <w:next w:val="Normal"/>
    <w:autoRedefine/>
    <w:unhideWhenUsed/>
    <w:pPr>
      <w:overflowPunct/>
      <w:autoSpaceDE/>
      <w:autoSpaceDN/>
      <w:adjustRightInd/>
      <w:spacing w:before="0"/>
      <w:ind w:left="240" w:hanging="240"/>
      <w:textAlignment w:val="auto"/>
    </w:pPr>
    <w:rPr>
      <w:rFonts w:eastAsiaTheme="minorHAnsi"/>
      <w:szCs w:val="24"/>
      <w:lang w:eastAsia="ja-JP"/>
    </w:rPr>
  </w:style>
  <w:style w:type="paragraph" w:styleId="Subtitle">
    <w:name w:val="Subtitle"/>
    <w:basedOn w:val="Normal"/>
    <w:next w:val="Normal"/>
    <w:link w:val="SubtitleChar"/>
    <w:pPr>
      <w:spacing w:after="160"/>
    </w:pPr>
    <w:rPr>
      <w:rFonts w:asciiTheme="minorHAnsi" w:hAnsiTheme="minorHAnsi" w:cstheme="minorBidi"/>
      <w:color w:val="595959" w:themeColor="text1" w:themeTint="A6"/>
      <w:spacing w:val="15"/>
      <w:sz w:val="22"/>
      <w:szCs w:val="22"/>
    </w:rPr>
  </w:style>
  <w:style w:type="paragraph" w:styleId="ListNumber5">
    <w:name w:val="List Number 5"/>
    <w:basedOn w:val="Normal"/>
    <w:unhideWhenUsed/>
    <w:pPr>
      <w:tabs>
        <w:tab w:val="left" w:pos="1492"/>
      </w:tabs>
      <w:overflowPunct/>
      <w:autoSpaceDE/>
      <w:autoSpaceDN/>
      <w:adjustRightInd/>
      <w:ind w:left="1492" w:hanging="360"/>
      <w:contextualSpacing/>
      <w:textAlignment w:val="auto"/>
    </w:pPr>
    <w:rPr>
      <w:rFonts w:eastAsia="Calibri"/>
      <w:szCs w:val="24"/>
      <w:lang w:eastAsia="ja-JP"/>
    </w:rPr>
  </w:style>
  <w:style w:type="paragraph" w:styleId="List">
    <w:name w:val="List"/>
    <w:basedOn w:val="Normal"/>
    <w:pPr>
      <w:tabs>
        <w:tab w:val="left" w:pos="2127"/>
      </w:tabs>
      <w:overflowPunct/>
      <w:autoSpaceDE/>
      <w:autoSpaceDN/>
      <w:adjustRightInd/>
      <w:ind w:left="2127" w:hanging="2127"/>
      <w:textAlignment w:val="auto"/>
    </w:pPr>
    <w:rPr>
      <w:rFonts w:eastAsia="MS Mincho"/>
      <w:szCs w:val="24"/>
      <w:lang w:eastAsia="ja-JP"/>
    </w:rPr>
  </w:style>
  <w:style w:type="paragraph" w:styleId="FootnoteText">
    <w:name w:val="footnote text"/>
    <w:basedOn w:val="Normal"/>
    <w:link w:val="FootnoteTextChar"/>
    <w:pPr>
      <w:keepLines/>
      <w:tabs>
        <w:tab w:val="left" w:pos="255"/>
      </w:tabs>
    </w:pPr>
    <w:rPr>
      <w:sz w:val="20"/>
    </w:rPr>
  </w:style>
  <w:style w:type="paragraph" w:styleId="TOC6">
    <w:name w:val="toc 6"/>
    <w:basedOn w:val="TOC4"/>
  </w:style>
  <w:style w:type="paragraph" w:styleId="List5">
    <w:name w:val="List 5"/>
    <w:basedOn w:val="Normal"/>
    <w:unhideWhenUsed/>
    <w:pPr>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pPr>
      <w:overflowPunct/>
      <w:autoSpaceDE/>
      <w:autoSpaceDN/>
      <w:adjustRightInd/>
      <w:spacing w:after="120"/>
      <w:ind w:left="283"/>
      <w:textAlignment w:val="auto"/>
    </w:pPr>
    <w:rPr>
      <w:rFonts w:eastAsia="Calibri"/>
      <w:sz w:val="16"/>
      <w:szCs w:val="16"/>
      <w:lang w:eastAsia="ja-JP"/>
    </w:rPr>
  </w:style>
  <w:style w:type="paragraph" w:styleId="Index7">
    <w:name w:val="index 7"/>
    <w:basedOn w:val="Normal"/>
    <w:next w:val="Normal"/>
    <w:unhideWhenUsed/>
    <w:pPr>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pPr>
      <w:overflowPunct/>
      <w:autoSpaceDE/>
      <w:autoSpaceDN/>
      <w:adjustRightInd/>
      <w:spacing w:before="0"/>
      <w:ind w:left="2160" w:hanging="240"/>
      <w:textAlignment w:val="auto"/>
    </w:pPr>
    <w:rPr>
      <w:rFonts w:eastAsia="Calibri"/>
      <w:szCs w:val="24"/>
      <w:lang w:eastAsia="ja-JP"/>
    </w:rPr>
  </w:style>
  <w:style w:type="paragraph" w:styleId="TableofFigures">
    <w:name w:val="table of figures"/>
    <w:basedOn w:val="Normal"/>
    <w:next w:val="Normal"/>
    <w:uiPriority w:val="99"/>
    <w:pPr>
      <w:tabs>
        <w:tab w:val="right" w:leader="dot" w:pos="9639"/>
      </w:tabs>
      <w:overflowPunct/>
      <w:autoSpaceDE/>
      <w:autoSpaceDN/>
      <w:adjustRightInd/>
      <w:textAlignment w:val="auto"/>
    </w:pPr>
    <w:rPr>
      <w:rFonts w:eastAsia="MS Mincho"/>
      <w:szCs w:val="24"/>
      <w:lang w:eastAsia="ja-JP"/>
    </w:rPr>
  </w:style>
  <w:style w:type="paragraph" w:styleId="TOC9">
    <w:name w:val="toc 9"/>
    <w:basedOn w:val="Normal"/>
    <w:next w:val="Normal"/>
    <w:autoRedefine/>
    <w:pPr>
      <w:overflowPunct/>
      <w:autoSpaceDE/>
      <w:autoSpaceDN/>
      <w:adjustRightInd/>
      <w:spacing w:before="0"/>
      <w:ind w:left="1920"/>
      <w:textAlignment w:val="auto"/>
    </w:pPr>
    <w:rPr>
      <w:szCs w:val="21"/>
      <w:lang w:eastAsia="ja-JP"/>
    </w:rPr>
  </w:style>
  <w:style w:type="paragraph" w:styleId="BodyText2">
    <w:name w:val="Body Text 2"/>
    <w:basedOn w:val="Normal"/>
    <w:link w:val="BodyText2Char"/>
    <w:unhideWhenUsed/>
    <w:pPr>
      <w:overflowPunct/>
      <w:autoSpaceDE/>
      <w:autoSpaceDN/>
      <w:adjustRightInd/>
      <w:spacing w:after="120" w:line="480" w:lineRule="auto"/>
      <w:textAlignment w:val="auto"/>
    </w:pPr>
    <w:rPr>
      <w:rFonts w:eastAsia="Calibri"/>
      <w:szCs w:val="24"/>
      <w:lang w:eastAsia="ja-JP"/>
    </w:rPr>
  </w:style>
  <w:style w:type="paragraph" w:styleId="List4">
    <w:name w:val="List 4"/>
    <w:basedOn w:val="Normal"/>
    <w:unhideWhenUsed/>
    <w:pPr>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pPr>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pPr>
      <w:pBdr>
        <w:top w:val="single" w:sz="6" w:space="1" w:color="auto"/>
        <w:left w:val="single" w:sz="6" w:space="1" w:color="auto"/>
        <w:bottom w:val="single" w:sz="6" w:space="1" w:color="auto"/>
        <w:right w:val="single" w:sz="6" w:space="1" w:color="auto"/>
      </w:pBdr>
      <w:shd w:val="pct20" w:color="auto" w:fill="auto"/>
      <w:overflowPunct/>
      <w:autoSpaceDE/>
      <w:autoSpaceDN/>
      <w:adjustRightInd/>
      <w:spacing w:before="0"/>
      <w:ind w:left="1134" w:hanging="1134"/>
      <w:textAlignment w:val="auto"/>
    </w:pPr>
    <w:rPr>
      <w:rFonts w:ascii="Calibri Light" w:eastAsiaTheme="minorHAnsi" w:hAnsi="Calibri Light"/>
      <w:szCs w:val="24"/>
      <w:lang w:eastAsia="ja-JP"/>
    </w:rPr>
  </w:style>
  <w:style w:type="paragraph" w:styleId="HTMLPreformatted">
    <w:name w:val="HTML Preformatted"/>
    <w:basedOn w:val="Normal"/>
    <w:link w:val="HTMLPreformattedChar"/>
    <w:semiHidden/>
    <w:unhideWhenUsed/>
    <w:pPr>
      <w:overflowPunct/>
      <w:autoSpaceDE/>
      <w:autoSpaceDN/>
      <w:adjustRightInd/>
      <w:spacing w:before="0"/>
      <w:textAlignment w:val="auto"/>
    </w:pPr>
    <w:rPr>
      <w:rFonts w:ascii="Consolas" w:eastAsia="Calibri" w:hAnsi="Consolas"/>
      <w:sz w:val="20"/>
      <w:szCs w:val="24"/>
      <w:lang w:eastAsia="ja-JP"/>
    </w:rPr>
  </w:style>
  <w:style w:type="paragraph" w:styleId="NormalWeb">
    <w:name w:val="Normal (Web)"/>
    <w:basedOn w:val="Normal"/>
    <w:unhideWhenUsed/>
    <w:pPr>
      <w:overflowPunct/>
      <w:autoSpaceDE/>
      <w:autoSpaceDN/>
      <w:adjustRightInd/>
      <w:spacing w:before="100" w:beforeAutospacing="1" w:after="100" w:afterAutospacing="1"/>
      <w:textAlignment w:val="auto"/>
    </w:pPr>
    <w:rPr>
      <w:szCs w:val="24"/>
      <w:lang w:val="en-US" w:eastAsia="zh-CN"/>
    </w:rPr>
  </w:style>
  <w:style w:type="paragraph" w:styleId="ListContinue3">
    <w:name w:val="List Continue 3"/>
    <w:basedOn w:val="Normal"/>
    <w:unhideWhenUsed/>
    <w:pPr>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pPr>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pPr>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paragraph" w:styleId="CommentSubject">
    <w:name w:val="annotation subject"/>
    <w:basedOn w:val="CommentText"/>
    <w:next w:val="CommentText"/>
    <w:link w:val="CommentSubjectChar"/>
    <w:unhideWhenUsed/>
    <w:pPr>
      <w:overflowPunct/>
      <w:autoSpaceDE/>
      <w:autoSpaceDN/>
      <w:adjustRightInd/>
      <w:textAlignment w:val="auto"/>
    </w:pPr>
    <w:rPr>
      <w:rFonts w:eastAsia="Calibri"/>
      <w:b/>
      <w:bCs/>
      <w:szCs w:val="24"/>
      <w:lang w:eastAsia="ja-JP"/>
    </w:rPr>
  </w:style>
  <w:style w:type="paragraph" w:styleId="BodyTextFirstIndent">
    <w:name w:val="Body Text First Indent"/>
    <w:basedOn w:val="BodyText"/>
    <w:link w:val="BodyTextFirstIndentChar"/>
    <w:unhideWhenUsed/>
    <w:pPr>
      <w:spacing w:after="0"/>
      <w:ind w:firstLine="360"/>
    </w:pPr>
  </w:style>
  <w:style w:type="paragraph" w:styleId="BodyTextFirstIndent2">
    <w:name w:val="Body Text First Indent 2"/>
    <w:basedOn w:val="BodyTextIndent"/>
    <w:link w:val="BodyTextFirstIndent2Char"/>
    <w:unhideWhenUsed/>
    <w:pPr>
      <w:spacing w:after="0"/>
      <w:ind w:left="360" w:firstLine="360"/>
    </w:pPr>
  </w:style>
  <w:style w:type="table" w:styleId="TableGrid">
    <w:name w:val="Table Grid"/>
    <w:basedOn w:val="TableNormal"/>
    <w:uiPriority w:val="59"/>
    <w:qFormat/>
    <w:pPr>
      <w:spacing w:before="120"/>
    </w:pPr>
    <w:rPr>
      <w:rFonts w:eastAsia="MS Minch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rPr>
      <w:b/>
      <w:bCs/>
    </w:rPr>
  </w:style>
  <w:style w:type="character" w:styleId="EndnoteReference">
    <w:name w:val="endnote reference"/>
    <w:basedOn w:val="DefaultParagraphFont"/>
    <w:rPr>
      <w:vertAlign w:val="superscript"/>
    </w:rPr>
  </w:style>
  <w:style w:type="character" w:styleId="PageNumber">
    <w:name w:val="page number"/>
    <w:rPr>
      <w:rFonts w:cs="Times New Roman"/>
    </w:rPr>
  </w:style>
  <w:style w:type="character" w:styleId="FollowedHyperlink">
    <w:name w:val="FollowedHyperlink"/>
    <w:basedOn w:val="DefaultParagraphFont"/>
    <w:unhideWhenUsed/>
    <w:rPr>
      <w:color w:val="800080" w:themeColor="followedHyperlink"/>
      <w:u w:val="single"/>
    </w:rPr>
  </w:style>
  <w:style w:type="character" w:styleId="Emphasis">
    <w:name w:val="Emphasis"/>
    <w:basedOn w:val="DefaultParagraphFont"/>
    <w:rPr>
      <w:i/>
      <w:iCs/>
    </w:rPr>
  </w:style>
  <w:style w:type="character" w:styleId="LineNumber">
    <w:name w:val="line number"/>
    <w:basedOn w:val="DefaultParagraphFont"/>
    <w:unhideWhenUsed/>
  </w:style>
  <w:style w:type="character" w:styleId="HTMLDefinition">
    <w:name w:val="HTML Definition"/>
    <w:unhideWhenUsed/>
    <w:rPr>
      <w:i/>
      <w:iCs/>
    </w:rPr>
  </w:style>
  <w:style w:type="character" w:styleId="HTMLTypewriter">
    <w:name w:val="HTML Typewriter"/>
    <w:semiHidden/>
    <w:unhideWhenUsed/>
    <w:rPr>
      <w:rFonts w:ascii="Consolas" w:hAnsi="Consolas"/>
      <w:sz w:val="20"/>
      <w:szCs w:val="20"/>
    </w:rPr>
  </w:style>
  <w:style w:type="character" w:styleId="HTMLAcronym">
    <w:name w:val="HTML Acronym"/>
    <w:basedOn w:val="DefaultParagraphFont"/>
    <w:unhideWhenUsed/>
  </w:style>
  <w:style w:type="character" w:styleId="HTMLVariable">
    <w:name w:val="HTML Variable"/>
    <w:unhideWhenUsed/>
    <w:rPr>
      <w:i/>
      <w:iCs/>
    </w:rPr>
  </w:style>
  <w:style w:type="character" w:styleId="Hyperlink">
    <w:name w:val="Hyperlink"/>
    <w:basedOn w:val="DefaultParagraphFont"/>
    <w:uiPriority w:val="99"/>
    <w:unhideWhenUsed/>
    <w:rPr>
      <w:color w:val="0000FF" w:themeColor="hyperlink"/>
      <w:u w:val="single"/>
    </w:rPr>
  </w:style>
  <w:style w:type="character" w:styleId="HTMLCode">
    <w:name w:val="HTML Code"/>
    <w:unhideWhenUsed/>
    <w:rPr>
      <w:rFonts w:ascii="Consolas" w:hAnsi="Consolas"/>
      <w:sz w:val="20"/>
      <w:szCs w:val="20"/>
    </w:rPr>
  </w:style>
  <w:style w:type="character" w:styleId="CommentReference">
    <w:name w:val="annotation reference"/>
    <w:basedOn w:val="DefaultParagraphFont"/>
    <w:uiPriority w:val="99"/>
    <w:unhideWhenUsed/>
    <w:rPr>
      <w:sz w:val="16"/>
      <w:szCs w:val="16"/>
    </w:rPr>
  </w:style>
  <w:style w:type="character" w:styleId="HTMLCite">
    <w:name w:val="HTML Cite"/>
    <w:unhideWhenUsed/>
    <w:rPr>
      <w:i/>
      <w:iCs/>
    </w:rPr>
  </w:style>
  <w:style w:type="character" w:styleId="FootnoteReference">
    <w:name w:val="footnote reference"/>
    <w:basedOn w:val="DefaultParagraphFont"/>
    <w:rPr>
      <w:position w:val="6"/>
      <w:sz w:val="18"/>
    </w:rPr>
  </w:style>
  <w:style w:type="character" w:styleId="HTMLKeyboard">
    <w:name w:val="HTML Keyboard"/>
    <w:unhideWhenUsed/>
    <w:rPr>
      <w:rFonts w:ascii="Consolas" w:hAnsi="Consolas"/>
      <w:sz w:val="20"/>
      <w:szCs w:val="20"/>
    </w:rPr>
  </w:style>
  <w:style w:type="character" w:styleId="HTMLSample">
    <w:name w:val="HTML Sample"/>
    <w:unhideWhenUsed/>
    <w:rPr>
      <w:rFonts w:ascii="Consolas" w:hAnsi="Consolas"/>
      <w:sz w:val="24"/>
      <w:szCs w:val="24"/>
    </w:rPr>
  </w:style>
  <w:style w:type="paragraph" w:customStyle="1" w:styleId="Abstract">
    <w:name w:val="Abstract"/>
    <w:basedOn w:val="Normal"/>
    <w:uiPriority w:val="99"/>
    <w:rPr>
      <w:lang w:val="en-US"/>
    </w:rPr>
  </w:style>
  <w:style w:type="paragraph" w:customStyle="1" w:styleId="AnnexNo">
    <w:name w:val="Annex_No"/>
    <w:basedOn w:val="Normal"/>
    <w:next w:val="Normal"/>
    <w:uiPriority w:val="99"/>
    <w:pPr>
      <w:keepNext/>
      <w:keepLines/>
      <w:spacing w:before="480" w:after="80"/>
      <w:jc w:val="center"/>
    </w:pPr>
    <w:rPr>
      <w:caps/>
      <w:sz w:val="28"/>
    </w:rPr>
  </w:style>
  <w:style w:type="paragraph" w:customStyle="1" w:styleId="Annexref">
    <w:name w:val="Annex_ref"/>
    <w:basedOn w:val="Normal"/>
    <w:next w:val="Normal"/>
    <w:uiPriority w:val="99"/>
    <w:pPr>
      <w:keepNext/>
      <w:keepLines/>
      <w:spacing w:after="280"/>
      <w:jc w:val="center"/>
    </w:pPr>
  </w:style>
  <w:style w:type="paragraph" w:customStyle="1" w:styleId="Annextitle">
    <w:name w:val="Annex_title"/>
    <w:basedOn w:val="Normal"/>
    <w:next w:val="Normal"/>
    <w:uiPriority w:val="99"/>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style>
  <w:style w:type="paragraph" w:customStyle="1" w:styleId="Agendaitem">
    <w:name w:val="Agenda_item"/>
    <w:basedOn w:val="Normal"/>
    <w:next w:val="Normal"/>
    <w:qFormat/>
    <w:pPr>
      <w:overflowPunct/>
      <w:autoSpaceDE/>
      <w:autoSpaceDN/>
      <w:adjustRightInd/>
      <w:spacing w:before="240"/>
      <w:jc w:val="center"/>
      <w:textAlignment w:val="auto"/>
    </w:pPr>
    <w:rPr>
      <w:sz w:val="28"/>
    </w:rPr>
  </w:style>
  <w:style w:type="paragraph" w:customStyle="1" w:styleId="Appendixref">
    <w:name w:val="Appendix_ref"/>
    <w:basedOn w:val="Annexref"/>
    <w:next w:val="Annextitle"/>
    <w:uiPriority w:val="99"/>
  </w:style>
  <w:style w:type="paragraph" w:customStyle="1" w:styleId="Appendixtitle">
    <w:name w:val="Appendix_title"/>
    <w:basedOn w:val="Annextitle"/>
    <w:next w:val="Normal"/>
    <w:uiPriority w:val="99"/>
  </w:style>
  <w:style w:type="paragraph" w:customStyle="1" w:styleId="Border">
    <w:name w:val="Border"/>
    <w:basedOn w:val="Normal"/>
    <w:uiPriority w:val="99"/>
    <w:pPr>
      <w:pBdr>
        <w:bottom w:val="single" w:sz="6" w:space="0" w:color="auto"/>
      </w:pBdr>
      <w:tabs>
        <w:tab w:val="left" w:pos="170"/>
        <w:tab w:val="left" w:pos="567"/>
        <w:tab w:val="left" w:pos="737"/>
        <w:tab w:val="left" w:pos="2977"/>
        <w:tab w:val="left" w:pos="3266"/>
      </w:tabs>
      <w:spacing w:before="0" w:line="10" w:lineRule="exact"/>
      <w:ind w:left="28" w:right="28"/>
      <w:jc w:val="center"/>
    </w:pPr>
    <w:rPr>
      <w:b/>
      <w:sz w:val="20"/>
    </w:rPr>
  </w:style>
  <w:style w:type="paragraph" w:customStyle="1" w:styleId="Call">
    <w:name w:val="Call"/>
    <w:basedOn w:val="Normal"/>
    <w:next w:val="Normal"/>
    <w:pPr>
      <w:keepNext/>
      <w:keepLines/>
      <w:spacing w:before="160"/>
      <w:ind w:left="1134"/>
    </w:pPr>
    <w:rPr>
      <w:rFonts w:eastAsia="STKaiti"/>
    </w:rPr>
  </w:style>
  <w:style w:type="paragraph" w:customStyle="1" w:styleId="ChapNo">
    <w:name w:val="Chap_No"/>
    <w:basedOn w:val="Normal"/>
    <w:next w:val="Normal"/>
    <w:uiPriority w:val="99"/>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pPr>
      <w:keepNext/>
      <w:keepLines/>
      <w:spacing w:before="240"/>
      <w:jc w:val="center"/>
    </w:pPr>
    <w:rPr>
      <w:b/>
      <w:sz w:val="28"/>
    </w:rPr>
  </w:style>
  <w:style w:type="paragraph" w:customStyle="1" w:styleId="enumlev1">
    <w:name w:val="enumlev1"/>
    <w:basedOn w:val="Normal"/>
    <w:link w:val="enumlev1Char"/>
    <w:qFormat/>
    <w:pPr>
      <w:tabs>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uiPriority w:val="99"/>
    <w:pPr>
      <w:tabs>
        <w:tab w:val="center" w:pos="4820"/>
        <w:tab w:val="right" w:pos="9639"/>
      </w:tabs>
    </w:pPr>
  </w:style>
  <w:style w:type="paragraph" w:customStyle="1" w:styleId="Equationlegend">
    <w:name w:val="Equation_legend"/>
    <w:basedOn w:val="NormalIndent"/>
    <w:uiPriority w:val="99"/>
    <w:pPr>
      <w:tabs>
        <w:tab w:val="right" w:pos="1871"/>
        <w:tab w:val="left" w:pos="2041"/>
      </w:tabs>
      <w:spacing w:before="80"/>
      <w:ind w:left="2041" w:hanging="2041"/>
    </w:pPr>
  </w:style>
  <w:style w:type="paragraph" w:customStyle="1" w:styleId="Figure">
    <w:name w:val="Figure"/>
    <w:basedOn w:val="Normal"/>
    <w:next w:val="Normal"/>
    <w:pPr>
      <w:keepNext/>
      <w:keepLines/>
      <w:jc w:val="center"/>
    </w:pPr>
  </w:style>
  <w:style w:type="paragraph" w:customStyle="1" w:styleId="Figurelegend">
    <w:name w:val="Figure_legend"/>
    <w:basedOn w:val="Normal"/>
    <w:uiPriority w:val="99"/>
    <w:pPr>
      <w:keepNext/>
      <w:keepLines/>
      <w:spacing w:before="20" w:after="20"/>
    </w:pPr>
    <w:rPr>
      <w:sz w:val="18"/>
    </w:rPr>
  </w:style>
  <w:style w:type="paragraph" w:customStyle="1" w:styleId="FigureNo">
    <w:name w:val="Figure_No"/>
    <w:basedOn w:val="Normal"/>
    <w:next w:val="Normal"/>
    <w:uiPriority w:val="99"/>
    <w:pPr>
      <w:keepNext/>
      <w:keepLines/>
      <w:spacing w:before="480" w:after="120"/>
      <w:jc w:val="center"/>
    </w:pPr>
    <w:rPr>
      <w:caps/>
    </w:rPr>
  </w:style>
  <w:style w:type="paragraph" w:customStyle="1" w:styleId="Figuretitle">
    <w:name w:val="Figure_title"/>
    <w:basedOn w:val="Normal"/>
    <w:next w:val="Normal"/>
    <w:uiPriority w:val="99"/>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pPr>
      <w:tabs>
        <w:tab w:val="left" w:pos="851"/>
      </w:tabs>
      <w:spacing w:before="0" w:line="240" w:lineRule="atLeast"/>
    </w:pPr>
    <w:rPr>
      <w:rFonts w:ascii="Verdana" w:hAnsi="Verdana" w:cstheme="minorHAnsi"/>
      <w:b/>
      <w:sz w:val="20"/>
      <w:szCs w:val="24"/>
    </w:rPr>
  </w:style>
  <w:style w:type="character" w:customStyle="1" w:styleId="FooterChar">
    <w:name w:val="Footer Char"/>
    <w:basedOn w:val="DefaultParagraphFont"/>
    <w:link w:val="Footer"/>
    <w:qFormat/>
    <w:rPr>
      <w:rFonts w:ascii="Times New Roman" w:hAnsi="Times New Roman"/>
      <w:caps/>
      <w:sz w:val="16"/>
      <w:lang w:val="en-GB" w:eastAsia="en-US"/>
    </w:rPr>
  </w:style>
  <w:style w:type="paragraph" w:customStyle="1" w:styleId="FirstFooter">
    <w:name w:val="FirstFooter"/>
    <w:basedOn w:val="Footer"/>
    <w:uiPriority w:val="99"/>
    <w:pPr>
      <w:tabs>
        <w:tab w:val="clear" w:pos="5954"/>
        <w:tab w:val="clear" w:pos="9639"/>
      </w:tabs>
      <w:overflowPunct/>
      <w:autoSpaceDE/>
      <w:autoSpaceDN/>
      <w:adjustRightInd/>
      <w:spacing w:before="40"/>
      <w:textAlignment w:val="auto"/>
    </w:pPr>
    <w:rPr>
      <w:caps w:val="0"/>
    </w:rPr>
  </w:style>
  <w:style w:type="character" w:customStyle="1" w:styleId="FootnoteTextChar">
    <w:name w:val="Footnote Text Char"/>
    <w:basedOn w:val="DefaultParagraphFont"/>
    <w:link w:val="FootnoteText"/>
    <w:qFormat/>
    <w:rPr>
      <w:rFonts w:ascii="Times New Roman" w:hAnsi="Times New Roman"/>
      <w:lang w:val="en-GB" w:eastAsia="en-US"/>
    </w:rPr>
  </w:style>
  <w:style w:type="character" w:customStyle="1" w:styleId="HeaderChar">
    <w:name w:val="Header Char"/>
    <w:basedOn w:val="DefaultParagraphFont"/>
    <w:link w:val="Header"/>
    <w:rPr>
      <w:rFonts w:ascii="Times New Roman" w:hAnsi="Times New Roman"/>
      <w:sz w:val="18"/>
      <w:lang w:val="en-GB" w:eastAsia="en-US"/>
    </w:rPr>
  </w:style>
  <w:style w:type="paragraph" w:customStyle="1" w:styleId="Section1">
    <w:name w:val="Section_1"/>
    <w:basedOn w:val="Normal"/>
    <w:uiPriority w:val="99"/>
    <w:pPr>
      <w:tabs>
        <w:tab w:val="center" w:pos="4820"/>
      </w:tabs>
      <w:spacing w:before="360"/>
      <w:jc w:val="center"/>
    </w:pPr>
    <w:rPr>
      <w:b/>
    </w:rPr>
  </w:style>
  <w:style w:type="paragraph" w:customStyle="1" w:styleId="Section2">
    <w:name w:val="Section_2"/>
    <w:basedOn w:val="Section1"/>
    <w:uiPriority w:val="99"/>
    <w:rPr>
      <w:b w:val="0"/>
      <w:i/>
    </w:rPr>
  </w:style>
  <w:style w:type="paragraph" w:customStyle="1" w:styleId="Section3">
    <w:name w:val="Section_3"/>
    <w:basedOn w:val="Section1"/>
    <w:uiPriority w:val="99"/>
    <w:rPr>
      <w:b w:val="0"/>
    </w:rPr>
  </w:style>
  <w:style w:type="paragraph" w:customStyle="1" w:styleId="SectionNo">
    <w:name w:val="Section_No"/>
    <w:basedOn w:val="AnnexNo"/>
    <w:next w:val="Normal"/>
    <w:uiPriority w:val="99"/>
  </w:style>
  <w:style w:type="paragraph" w:customStyle="1" w:styleId="Sectiontitle">
    <w:name w:val="Section_title"/>
    <w:basedOn w:val="Annextitle"/>
    <w:next w:val="Normal"/>
    <w:uiPriority w:val="99"/>
  </w:style>
  <w:style w:type="paragraph" w:customStyle="1" w:styleId="Source">
    <w:name w:val="Source"/>
    <w:basedOn w:val="Normal"/>
    <w:next w:val="Normal"/>
    <w:pPr>
      <w:spacing w:before="840"/>
      <w:jc w:val="center"/>
    </w:pPr>
    <w:rPr>
      <w:b/>
      <w:sz w:val="28"/>
    </w:rPr>
  </w:style>
  <w:style w:type="paragraph" w:customStyle="1" w:styleId="SpecialFooter">
    <w:name w:val="Special Footer"/>
    <w:basedOn w:val="Footer"/>
    <w:uiPriority w:val="99"/>
    <w:pPr>
      <w:tabs>
        <w:tab w:val="left" w:pos="567"/>
        <w:tab w:val="left" w:pos="2268"/>
        <w:tab w:val="left" w:pos="2835"/>
      </w:tabs>
      <w:jc w:val="both"/>
    </w:pPr>
    <w:rPr>
      <w:caps w:val="0"/>
    </w:rPr>
  </w:style>
  <w:style w:type="character" w:customStyle="1" w:styleId="Tablefreq">
    <w:name w:val="Table_freq"/>
    <w:basedOn w:val="DefaultParagraphFont"/>
    <w:rPr>
      <w:b/>
      <w:color w:val="auto"/>
      <w:sz w:val="20"/>
    </w:rPr>
  </w:style>
  <w:style w:type="paragraph" w:customStyle="1" w:styleId="Tablehead">
    <w:name w:val="Table_head"/>
    <w:basedOn w:val="Normal"/>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Pr>
      <w:sz w:val="20"/>
    </w:rPr>
  </w:style>
  <w:style w:type="paragraph" w:customStyle="1" w:styleId="TableNo">
    <w:name w:val="Table_No"/>
    <w:basedOn w:val="Normal"/>
    <w:next w:val="Normal"/>
    <w:uiPriority w:val="99"/>
    <w:pPr>
      <w:keepNext/>
      <w:spacing w:before="560" w:after="120"/>
      <w:jc w:val="center"/>
    </w:pPr>
    <w:rPr>
      <w:caps/>
    </w:rPr>
  </w:style>
  <w:style w:type="paragraph" w:customStyle="1" w:styleId="Tableref">
    <w:name w:val="Table_ref"/>
    <w:basedOn w:val="Normal"/>
    <w:next w:val="Normal"/>
    <w:pPr>
      <w:keepNext/>
      <w:spacing w:before="560"/>
      <w:jc w:val="center"/>
    </w:pPr>
    <w:rPr>
      <w:sz w:val="20"/>
    </w:rPr>
  </w:style>
  <w:style w:type="paragraph" w:customStyle="1" w:styleId="Normalend">
    <w:name w:val="Normal_end"/>
    <w:basedOn w:val="Normal"/>
    <w:next w:val="Normal"/>
    <w:uiPriority w:val="99"/>
    <w:rPr>
      <w:lang w:val="en-US"/>
    </w:rPr>
  </w:style>
  <w:style w:type="paragraph" w:customStyle="1" w:styleId="Proposal">
    <w:name w:val="Proposal"/>
    <w:basedOn w:val="Normal"/>
    <w:next w:val="Normal"/>
    <w:uiPriority w:val="99"/>
    <w:pPr>
      <w:keepNext/>
      <w:spacing w:before="240"/>
    </w:pPr>
    <w:rPr>
      <w:rFonts w:hAnsi="Times New Roman Bold"/>
      <w:b/>
    </w:rPr>
  </w:style>
  <w:style w:type="paragraph" w:customStyle="1" w:styleId="Reasons">
    <w:name w:val="Reasons"/>
    <w:basedOn w:val="Normal"/>
    <w:uiPriority w:val="99"/>
  </w:style>
  <w:style w:type="paragraph" w:customStyle="1" w:styleId="Questiondate">
    <w:name w:val="Question_date"/>
    <w:basedOn w:val="Normal"/>
    <w:next w:val="Normal"/>
    <w:uiPriority w:val="99"/>
    <w:pPr>
      <w:keepNext/>
      <w:keepLines/>
      <w:jc w:val="right"/>
    </w:pPr>
    <w:rPr>
      <w:sz w:val="22"/>
    </w:rPr>
  </w:style>
  <w:style w:type="paragraph" w:customStyle="1" w:styleId="QuestionNo">
    <w:name w:val="Question_No"/>
    <w:basedOn w:val="Normal"/>
    <w:next w:val="Normal"/>
    <w:pPr>
      <w:keepNext/>
      <w:keepLines/>
      <w:pageBreakBefore/>
      <w:spacing w:before="480"/>
      <w:jc w:val="center"/>
    </w:pPr>
    <w:rPr>
      <w:caps/>
      <w:sz w:val="28"/>
    </w:rPr>
  </w:style>
  <w:style w:type="paragraph" w:customStyle="1" w:styleId="Questiontitle">
    <w:name w:val="Question_title"/>
    <w:basedOn w:val="Normal"/>
    <w:next w:val="Normal"/>
    <w:pPr>
      <w:keepNext/>
      <w:keepLines/>
      <w:spacing w:before="240"/>
      <w:jc w:val="center"/>
    </w:pPr>
    <w:rPr>
      <w:rFonts w:ascii="Times New Roman Bold" w:hAnsi="Times New Roman Bold"/>
      <w:b/>
      <w:sz w:val="28"/>
    </w:rPr>
  </w:style>
  <w:style w:type="paragraph" w:customStyle="1" w:styleId="Title1">
    <w:name w:val="Title 1"/>
    <w:basedOn w:val="Source"/>
    <w:next w:val="Normal"/>
    <w:uiPriority w:val="99"/>
    <w:pPr>
      <w:tabs>
        <w:tab w:val="left" w:pos="567"/>
        <w:tab w:val="left" w:pos="2835"/>
      </w:tabs>
      <w:spacing w:before="240"/>
    </w:pPr>
    <w:rPr>
      <w:b w:val="0"/>
      <w:caps/>
    </w:rPr>
  </w:style>
  <w:style w:type="paragraph" w:customStyle="1" w:styleId="Title2">
    <w:name w:val="Title 2"/>
    <w:basedOn w:val="Source"/>
    <w:next w:val="Normal"/>
    <w:pPr>
      <w:overflowPunct/>
      <w:autoSpaceDE/>
      <w:autoSpaceDN/>
      <w:adjustRightInd/>
      <w:spacing w:before="480"/>
      <w:textAlignment w:val="auto"/>
    </w:pPr>
    <w:rPr>
      <w:b w:val="0"/>
      <w:caps/>
    </w:rPr>
  </w:style>
  <w:style w:type="paragraph" w:customStyle="1" w:styleId="Title3">
    <w:name w:val="Title 3"/>
    <w:basedOn w:val="Title2"/>
    <w:next w:val="Normal"/>
    <w:uiPriority w:val="99"/>
    <w:pPr>
      <w:spacing w:before="240"/>
    </w:pPr>
    <w:rPr>
      <w:caps w:val="0"/>
    </w:rPr>
  </w:style>
  <w:style w:type="paragraph" w:customStyle="1" w:styleId="Title4">
    <w:name w:val="Title 4"/>
    <w:basedOn w:val="Title3"/>
    <w:next w:val="Heading1"/>
    <w:rPr>
      <w:b/>
    </w:rPr>
  </w:style>
  <w:style w:type="paragraph" w:customStyle="1" w:styleId="Tabletext">
    <w:name w:val="Table_text"/>
    <w:basedOn w:val="Normal"/>
    <w:link w:val="TabletextChar"/>
    <w:pPr>
      <w:tabs>
        <w:tab w:val="left" w:pos="284"/>
        <w:tab w:val="left" w:pos="567"/>
        <w:tab w:val="left" w:pos="851"/>
        <w:tab w:val="left" w:pos="1418"/>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pPr>
      <w:jc w:val="center"/>
    </w:pPr>
    <w:rPr>
      <w:b/>
      <w:bCs/>
      <w:sz w:val="28"/>
      <w:szCs w:val="28"/>
    </w:rPr>
  </w:style>
  <w:style w:type="paragraph" w:customStyle="1" w:styleId="Tabletitle">
    <w:name w:val="Table_title"/>
    <w:basedOn w:val="Normal"/>
    <w:next w:val="Tabletext"/>
    <w:uiPriority w:val="99"/>
    <w:pPr>
      <w:keepNext/>
      <w:keepLines/>
      <w:spacing w:before="0" w:after="120"/>
      <w:jc w:val="center"/>
    </w:pPr>
    <w:rPr>
      <w:rFonts w:ascii="Times New Roman Bold" w:hAnsi="Times New Roman Bold"/>
      <w:b/>
    </w:rPr>
  </w:style>
  <w:style w:type="paragraph" w:customStyle="1" w:styleId="Headingi">
    <w:name w:val="Heading_i"/>
    <w:basedOn w:val="Normal"/>
    <w:next w:val="Normal"/>
    <w:pPr>
      <w:spacing w:before="160"/>
    </w:pPr>
    <w:rPr>
      <w:rFonts w:ascii="STKaiti" w:hAnsi="STKaiti"/>
    </w:rPr>
  </w:style>
  <w:style w:type="paragraph" w:customStyle="1" w:styleId="Headingb">
    <w:name w:val="Heading_b"/>
    <w:basedOn w:val="Normal"/>
    <w:next w:val="Normal"/>
    <w:link w:val="HeadingbChar"/>
    <w:qFormat/>
    <w:pPr>
      <w:keepNext/>
      <w:spacing w:before="160"/>
    </w:pPr>
    <w:rPr>
      <w:rFonts w:ascii="Times New Roman Bold" w:hAnsi="Times New Roman Bold" w:cs="Times New Roman Bold"/>
      <w:b/>
      <w:lang w:val="fr-CH"/>
    </w:rPr>
  </w:style>
  <w:style w:type="paragraph" w:customStyle="1" w:styleId="Note">
    <w:name w:val="Note"/>
    <w:basedOn w:val="Normal"/>
    <w:next w:val="Normal"/>
    <w:pPr>
      <w:tabs>
        <w:tab w:val="left" w:pos="284"/>
      </w:tabs>
      <w:spacing w:before="80"/>
    </w:pPr>
  </w:style>
  <w:style w:type="paragraph" w:customStyle="1" w:styleId="Part1">
    <w:name w:val="Part_1"/>
    <w:basedOn w:val="Section1"/>
    <w:next w:val="Section1"/>
    <w:uiPriority w:val="99"/>
  </w:style>
  <w:style w:type="paragraph" w:customStyle="1" w:styleId="PartNo">
    <w:name w:val="Part_No"/>
    <w:basedOn w:val="AnnexNo"/>
    <w:next w:val="Normal"/>
    <w:uiPriority w:val="99"/>
  </w:style>
  <w:style w:type="paragraph" w:customStyle="1" w:styleId="Partref">
    <w:name w:val="Part_ref"/>
    <w:basedOn w:val="Annexref"/>
    <w:next w:val="Normal"/>
    <w:uiPriority w:val="99"/>
    <w:rPr>
      <w:i/>
    </w:rPr>
  </w:style>
  <w:style w:type="paragraph" w:customStyle="1" w:styleId="Parttitle">
    <w:name w:val="Part_title"/>
    <w:basedOn w:val="Annextitle"/>
    <w:next w:val="Normal"/>
    <w:uiPriority w:val="99"/>
  </w:style>
  <w:style w:type="paragraph" w:customStyle="1" w:styleId="Recdate">
    <w:name w:val="Rec_date"/>
    <w:basedOn w:val="Normal"/>
    <w:next w:val="Normal"/>
    <w:uiPriority w:val="99"/>
    <w:pPr>
      <w:keepNext/>
      <w:keepLines/>
      <w:jc w:val="center"/>
    </w:pPr>
    <w:rPr>
      <w:i/>
    </w:rPr>
  </w:style>
  <w:style w:type="paragraph" w:customStyle="1" w:styleId="RecNo">
    <w:name w:val="Rec_No"/>
    <w:basedOn w:val="Normal"/>
    <w:next w:val="Normal"/>
    <w:pPr>
      <w:keepNext/>
      <w:keepLines/>
      <w:spacing w:before="480"/>
    </w:pPr>
    <w:rPr>
      <w:rFonts w:ascii="Times New Roman Bold" w:hAnsi="Times New Roman Bold" w:cs="Times New Roman Bold"/>
      <w:b/>
      <w:sz w:val="28"/>
    </w:rPr>
  </w:style>
  <w:style w:type="paragraph" w:customStyle="1" w:styleId="Rectitle">
    <w:name w:val="Rec_title"/>
    <w:basedOn w:val="RecNo"/>
    <w:next w:val="Normal"/>
    <w:pPr>
      <w:spacing w:before="240"/>
      <w:jc w:val="center"/>
    </w:pPr>
    <w:rPr>
      <w:bCs/>
    </w:rPr>
  </w:style>
  <w:style w:type="paragraph" w:customStyle="1" w:styleId="ResNo">
    <w:name w:val="Res_No"/>
    <w:basedOn w:val="RecNo"/>
    <w:next w:val="Normal"/>
    <w:link w:val="ResNoChar"/>
    <w:pPr>
      <w:jc w:val="center"/>
    </w:pPr>
    <w:rPr>
      <w:rFonts w:ascii="Times New Roman" w:cs="Times New Roman"/>
      <w:b w:val="0"/>
    </w:rPr>
  </w:style>
  <w:style w:type="paragraph" w:customStyle="1" w:styleId="Restitle">
    <w:name w:val="Res_title"/>
    <w:basedOn w:val="Rectitle"/>
    <w:next w:val="Normal"/>
    <w:uiPriority w:val="99"/>
  </w:style>
  <w:style w:type="character" w:customStyle="1" w:styleId="CommentTextChar">
    <w:name w:val="Comment Text Char"/>
    <w:basedOn w:val="DefaultParagraphFont"/>
    <w:link w:val="CommentText"/>
    <w:uiPriority w:val="99"/>
    <w:qFormat/>
    <w:rPr>
      <w:rFonts w:ascii="Times New Roman" w:hAnsi="Times New Roman"/>
      <w:lang w:val="en-GB" w:eastAsia="en-US"/>
    </w:rPr>
  </w:style>
  <w:style w:type="character" w:styleId="PlaceholderText">
    <w:name w:val="Placeholder Text"/>
    <w:basedOn w:val="DefaultParagraphFont"/>
    <w:uiPriority w:val="99"/>
    <w:semiHidden/>
    <w:rPr>
      <w:color w:val="808080"/>
    </w:rPr>
  </w:style>
  <w:style w:type="paragraph" w:customStyle="1" w:styleId="TopHeader">
    <w:name w:val="TopHeader"/>
    <w:basedOn w:val="Normal"/>
    <w:rPr>
      <w:rFonts w:ascii="Verdana" w:hAnsi="Verdana" w:cs="Times New Roman Bold"/>
      <w:b/>
      <w:bCs/>
      <w:szCs w:val="24"/>
    </w:rPr>
  </w:style>
  <w:style w:type="paragraph" w:customStyle="1" w:styleId="Docnumber">
    <w:name w:val="Docnumber"/>
    <w:basedOn w:val="TopHeader"/>
    <w:link w:val="DocnumberChar"/>
    <w:pPr>
      <w:spacing w:before="0"/>
    </w:pPr>
    <w:rPr>
      <w:sz w:val="20"/>
      <w:szCs w:val="20"/>
    </w:rPr>
  </w:style>
  <w:style w:type="character" w:customStyle="1" w:styleId="DocnumberChar">
    <w:name w:val="Docnumber Char"/>
    <w:link w:val="Docnumber"/>
    <w:qFormat/>
    <w:rPr>
      <w:rFonts w:ascii="Verdana" w:hAnsi="Verdana" w:cs="Times New Roman Bold"/>
      <w:b/>
      <w:bCs/>
      <w:lang w:val="en-GB" w:eastAsia="en-US"/>
    </w:rPr>
  </w:style>
  <w:style w:type="character" w:customStyle="1" w:styleId="BalloonTextChar">
    <w:name w:val="Balloon Text Char"/>
    <w:basedOn w:val="DefaultParagraphFont"/>
    <w:link w:val="BalloonText"/>
    <w:qFormat/>
    <w:rPr>
      <w:rFonts w:ascii="Segoe UI" w:hAnsi="Segoe UI" w:cs="Segoe UI"/>
      <w:sz w:val="18"/>
      <w:szCs w:val="18"/>
      <w:lang w:val="en-GB" w:eastAsia="en-US"/>
    </w:rPr>
  </w:style>
  <w:style w:type="paragraph" w:customStyle="1" w:styleId="OpinionNo">
    <w:name w:val="Opinion_No"/>
    <w:basedOn w:val="ResNo"/>
    <w:next w:val="Normal"/>
    <w:uiPriority w:val="99"/>
    <w:qFormat/>
  </w:style>
  <w:style w:type="paragraph" w:customStyle="1" w:styleId="Opinionref">
    <w:name w:val="Opinion_ref"/>
    <w:basedOn w:val="Normal"/>
    <w:next w:val="Normal"/>
    <w:uiPriority w:val="99"/>
    <w:qFormat/>
    <w:pPr>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pPr>
      <w:spacing w:before="280"/>
    </w:pPr>
  </w:style>
  <w:style w:type="paragraph" w:customStyle="1" w:styleId="HeadingSummary">
    <w:name w:val="HeadingSummary"/>
    <w:basedOn w:val="Headingb"/>
    <w:qFormat/>
  </w:style>
  <w:style w:type="paragraph" w:customStyle="1" w:styleId="Questionhistory">
    <w:name w:val="Question_history"/>
    <w:basedOn w:val="Normal"/>
    <w:pPr>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Pr>
      <w:rFonts w:ascii="Times New Roman" w:hAnsi="Times New Roman"/>
      <w:b/>
      <w:sz w:val="28"/>
      <w:lang w:val="en-GB" w:eastAsia="en-US"/>
    </w:rPr>
  </w:style>
  <w:style w:type="character" w:customStyle="1" w:styleId="Heading2Char">
    <w:name w:val="Heading 2 Char"/>
    <w:basedOn w:val="DefaultParagraphFont"/>
    <w:link w:val="Heading2"/>
    <w:qFormat/>
    <w:rPr>
      <w:rFonts w:ascii="Times New Roman" w:hAnsi="Times New Roman"/>
      <w:b/>
      <w:sz w:val="24"/>
      <w:lang w:val="en-GB" w:eastAsia="en-US"/>
    </w:rPr>
  </w:style>
  <w:style w:type="character" w:customStyle="1" w:styleId="Heading3Char">
    <w:name w:val="Heading 3 Char"/>
    <w:basedOn w:val="DefaultParagraphFont"/>
    <w:link w:val="Heading3"/>
    <w:qFormat/>
    <w:rPr>
      <w:rFonts w:ascii="Times New Roman" w:hAnsi="Times New Roman"/>
      <w:b/>
      <w:sz w:val="24"/>
      <w:lang w:val="en-GB" w:eastAsia="en-US"/>
    </w:rPr>
  </w:style>
  <w:style w:type="character" w:customStyle="1" w:styleId="Heading4Char">
    <w:name w:val="Heading 4 Char"/>
    <w:basedOn w:val="DefaultParagraphFont"/>
    <w:link w:val="Heading4"/>
    <w:rPr>
      <w:rFonts w:ascii="Times New Roman" w:hAnsi="Times New Roman"/>
      <w:b/>
      <w:sz w:val="24"/>
      <w:lang w:val="en-GB" w:eastAsia="en-US"/>
    </w:rPr>
  </w:style>
  <w:style w:type="character" w:customStyle="1" w:styleId="Heading5Char">
    <w:name w:val="Heading 5 Char"/>
    <w:basedOn w:val="DefaultParagraphFont"/>
    <w:link w:val="Heading5"/>
    <w:qFormat/>
    <w:rPr>
      <w:rFonts w:ascii="Times New Roman" w:hAnsi="Times New Roman"/>
      <w:b/>
      <w:sz w:val="24"/>
      <w:lang w:val="en-GB" w:eastAsia="en-US"/>
    </w:rPr>
  </w:style>
  <w:style w:type="character" w:customStyle="1" w:styleId="Heading6Char">
    <w:name w:val="Heading 6 Char"/>
    <w:basedOn w:val="DefaultParagraphFont"/>
    <w:link w:val="Heading6"/>
    <w:rPr>
      <w:rFonts w:ascii="Times New Roman" w:hAnsi="Times New Roman"/>
      <w:b/>
      <w:sz w:val="24"/>
      <w:lang w:val="en-GB" w:eastAsia="en-US"/>
    </w:rPr>
  </w:style>
  <w:style w:type="character" w:customStyle="1" w:styleId="Heading7Char">
    <w:name w:val="Heading 7 Char"/>
    <w:basedOn w:val="DefaultParagraphFont"/>
    <w:link w:val="Heading7"/>
    <w:qFormat/>
    <w:rPr>
      <w:rFonts w:ascii="Times New Roman" w:hAnsi="Times New Roman"/>
      <w:b/>
      <w:sz w:val="24"/>
      <w:lang w:val="en-GB" w:eastAsia="en-US"/>
    </w:rPr>
  </w:style>
  <w:style w:type="character" w:customStyle="1" w:styleId="Heading8Char">
    <w:name w:val="Heading 8 Char"/>
    <w:basedOn w:val="DefaultParagraphFont"/>
    <w:link w:val="Heading8"/>
    <w:qFormat/>
    <w:rPr>
      <w:rFonts w:ascii="Times New Roman" w:hAnsi="Times New Roman"/>
      <w:b/>
      <w:sz w:val="24"/>
      <w:lang w:val="en-GB" w:eastAsia="en-US"/>
    </w:rPr>
  </w:style>
  <w:style w:type="character" w:customStyle="1" w:styleId="Heading9Char">
    <w:name w:val="Heading 9 Char"/>
    <w:basedOn w:val="DefaultParagraphFont"/>
    <w:link w:val="Heading9"/>
    <w:qFormat/>
    <w:rPr>
      <w:rFonts w:ascii="Times New Roman" w:hAnsi="Times New Roman"/>
      <w:b/>
      <w:sz w:val="24"/>
      <w:lang w:val="en-GB" w:eastAsia="en-US"/>
    </w:rPr>
  </w:style>
  <w:style w:type="paragraph" w:customStyle="1" w:styleId="ArtNo">
    <w:name w:val="Art_No"/>
    <w:basedOn w:val="Normal"/>
    <w:next w:val="Normal"/>
    <w:uiPriority w:val="99"/>
    <w:pPr>
      <w:keepNext/>
      <w:keepLines/>
      <w:spacing w:before="480"/>
      <w:jc w:val="center"/>
    </w:pPr>
    <w:rPr>
      <w:caps/>
      <w:sz w:val="28"/>
    </w:rPr>
  </w:style>
  <w:style w:type="paragraph" w:customStyle="1" w:styleId="AppArtNo">
    <w:name w:val="App_Art_No"/>
    <w:basedOn w:val="ArtNo"/>
    <w:uiPriority w:val="99"/>
  </w:style>
  <w:style w:type="paragraph" w:customStyle="1" w:styleId="Arttitle">
    <w:name w:val="Art_title"/>
    <w:basedOn w:val="Normal"/>
    <w:next w:val="Normal"/>
    <w:uiPriority w:val="99"/>
    <w:pPr>
      <w:keepNext/>
      <w:keepLines/>
      <w:spacing w:before="240"/>
      <w:jc w:val="center"/>
    </w:pPr>
    <w:rPr>
      <w:b/>
      <w:sz w:val="28"/>
    </w:rPr>
  </w:style>
  <w:style w:type="paragraph" w:customStyle="1" w:styleId="AppArttitle">
    <w:name w:val="App_Art_title"/>
    <w:basedOn w:val="Arttitle"/>
    <w:uiPriority w:val="99"/>
  </w:style>
  <w:style w:type="character" w:customStyle="1" w:styleId="Appdef">
    <w:name w:val="App_def"/>
    <w:basedOn w:val="DefaultParagraphFont"/>
    <w:rPr>
      <w:rFonts w:ascii="Times New Roman" w:hAnsi="Times New Roman"/>
      <w:b/>
    </w:rPr>
  </w:style>
  <w:style w:type="character" w:customStyle="1" w:styleId="Appref">
    <w:name w:val="App_ref"/>
    <w:basedOn w:val="DefaultParagraphFont"/>
  </w:style>
  <w:style w:type="paragraph" w:customStyle="1" w:styleId="ApptoAnnex">
    <w:name w:val="App_to_Annex"/>
    <w:basedOn w:val="AppendixNo"/>
    <w:next w:val="Normal"/>
    <w:uiPriority w:val="99"/>
  </w:style>
  <w:style w:type="character" w:customStyle="1" w:styleId="Artdef">
    <w:name w:val="Art_def"/>
    <w:basedOn w:val="DefaultParagraphFont"/>
    <w:rPr>
      <w:rFonts w:ascii="Times New Roman" w:hAnsi="Times New Roman"/>
      <w:b/>
    </w:rPr>
  </w:style>
  <w:style w:type="paragraph" w:customStyle="1" w:styleId="Artheading">
    <w:name w:val="Art_heading"/>
    <w:basedOn w:val="Normal"/>
    <w:next w:val="Normal"/>
    <w:uiPriority w:val="99"/>
    <w:pPr>
      <w:spacing w:before="480"/>
      <w:jc w:val="center"/>
    </w:pPr>
    <w:rPr>
      <w:rFonts w:ascii="Times New Roman Bold" w:hAnsi="Times New Roman Bold"/>
      <w:b/>
      <w:sz w:val="28"/>
    </w:rPr>
  </w:style>
  <w:style w:type="character" w:customStyle="1" w:styleId="Artref">
    <w:name w:val="Art_ref"/>
    <w:basedOn w:val="DefaultParagraphFont"/>
  </w:style>
  <w:style w:type="paragraph" w:customStyle="1" w:styleId="Subsection1">
    <w:name w:val="Subsection_1"/>
    <w:basedOn w:val="Section1"/>
    <w:next w:val="Normalaftertitle"/>
    <w:uiPriority w:val="99"/>
  </w:style>
  <w:style w:type="character" w:customStyle="1" w:styleId="SubtitleChar">
    <w:name w:val="Subtitle Char"/>
    <w:basedOn w:val="DefaultParagraphFont"/>
    <w:link w:val="Subtitle"/>
    <w:qFormat/>
    <w:rPr>
      <w:rFonts w:asciiTheme="minorHAnsi" w:eastAsiaTheme="minorEastAsia" w:hAnsiTheme="minorHAnsi" w:cstheme="minorBidi"/>
      <w:color w:val="595959" w:themeColor="text1" w:themeTint="A6"/>
      <w:spacing w:val="15"/>
      <w:sz w:val="22"/>
      <w:szCs w:val="22"/>
      <w:lang w:val="en-GB" w:eastAsia="en-US"/>
    </w:rPr>
  </w:style>
  <w:style w:type="paragraph" w:styleId="Quote">
    <w:name w:val="Quote"/>
    <w:basedOn w:val="Normal"/>
    <w:next w:val="Normal"/>
    <w:link w:val="QuoteChar"/>
    <w:uiPriority w:val="29"/>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Pr>
      <w:rFonts w:ascii="Times New Roman" w:hAnsi="Times New Roman"/>
      <w:i/>
      <w:iCs/>
      <w:color w:val="404040" w:themeColor="text1" w:themeTint="BF"/>
      <w:sz w:val="24"/>
      <w:lang w:val="en-GB" w:eastAsia="en-US"/>
    </w:rPr>
  </w:style>
  <w:style w:type="paragraph" w:customStyle="1" w:styleId="Destination">
    <w:name w:val="Destination"/>
    <w:basedOn w:val="Normal"/>
    <w:pPr>
      <w:spacing w:before="0"/>
    </w:pPr>
    <w:rPr>
      <w:rFonts w:ascii="Verdana" w:hAnsi="Verdana"/>
      <w:b/>
      <w:sz w:val="20"/>
    </w:rPr>
  </w:style>
  <w:style w:type="paragraph" w:customStyle="1" w:styleId="LSDeadline">
    <w:name w:val="LSDeadline"/>
    <w:basedOn w:val="Normal"/>
    <w:uiPriority w:val="99"/>
    <w:pPr>
      <w:overflowPunct/>
      <w:autoSpaceDE/>
      <w:autoSpaceDN/>
      <w:adjustRightInd/>
      <w:textAlignment w:val="auto"/>
    </w:pPr>
    <w:rPr>
      <w:b/>
      <w:bCs/>
      <w:szCs w:val="24"/>
      <w:lang w:eastAsia="ja-JP"/>
    </w:rPr>
  </w:style>
  <w:style w:type="paragraph" w:customStyle="1" w:styleId="LSForAction">
    <w:name w:val="LSForAction"/>
    <w:basedOn w:val="Normal"/>
    <w:uiPriority w:val="99"/>
    <w:pPr>
      <w:overflowPunct/>
      <w:autoSpaceDE/>
      <w:autoSpaceDN/>
      <w:adjustRightInd/>
      <w:textAlignment w:val="auto"/>
    </w:pPr>
    <w:rPr>
      <w:b/>
      <w:bCs/>
      <w:szCs w:val="24"/>
      <w:lang w:eastAsia="ja-JP"/>
    </w:rPr>
  </w:style>
  <w:style w:type="paragraph" w:customStyle="1" w:styleId="LSSource">
    <w:name w:val="LSSource"/>
    <w:basedOn w:val="Normal"/>
    <w:uiPriority w:val="99"/>
    <w:pPr>
      <w:overflowPunct/>
      <w:autoSpaceDE/>
      <w:autoSpaceDN/>
      <w:adjustRightInd/>
      <w:textAlignment w:val="auto"/>
    </w:pPr>
    <w:rPr>
      <w:b/>
      <w:bCs/>
      <w:szCs w:val="24"/>
      <w:lang w:eastAsia="ja-JP"/>
    </w:rPr>
  </w:style>
  <w:style w:type="paragraph" w:customStyle="1" w:styleId="LSTitle">
    <w:name w:val="LSTitle"/>
    <w:basedOn w:val="Normal"/>
    <w:link w:val="LSTitleChar"/>
    <w:pPr>
      <w:overflowPunct/>
      <w:autoSpaceDE/>
      <w:autoSpaceDN/>
      <w:adjustRightInd/>
      <w:textAlignment w:val="auto"/>
    </w:pPr>
    <w:rPr>
      <w:b/>
      <w:bCs/>
      <w:szCs w:val="24"/>
      <w:lang w:eastAsia="ja-JP"/>
    </w:rPr>
  </w:style>
  <w:style w:type="character" w:customStyle="1" w:styleId="LSTitleChar">
    <w:name w:val="LSTitle Char"/>
    <w:link w:val="LSTitle"/>
    <w:qFormat/>
    <w:rPr>
      <w:rFonts w:ascii="Times New Roman" w:eastAsiaTheme="minorEastAsia" w:hAnsi="Times New Roman"/>
      <w:b/>
      <w:bCs/>
      <w:sz w:val="24"/>
      <w:szCs w:val="24"/>
      <w:lang w:val="en-GB" w:eastAsia="ja-JP"/>
    </w:rPr>
  </w:style>
  <w:style w:type="paragraph" w:customStyle="1" w:styleId="LSForInfo">
    <w:name w:val="LSForInfo"/>
    <w:basedOn w:val="LSForAction"/>
    <w:uiPriority w:val="99"/>
  </w:style>
  <w:style w:type="paragraph" w:customStyle="1" w:styleId="LSForComment">
    <w:name w:val="LSForComment"/>
    <w:basedOn w:val="LSForAction"/>
    <w:uiPriority w:val="99"/>
  </w:style>
  <w:style w:type="paragraph" w:customStyle="1" w:styleId="LSnumber">
    <w:name w:val="LSnumber"/>
    <w:basedOn w:val="Normal"/>
    <w:uiPriority w:val="99"/>
    <w:pPr>
      <w:overflowPunct/>
      <w:autoSpaceDE/>
      <w:autoSpaceDN/>
      <w:adjustRightInd/>
      <w:jc w:val="right"/>
      <w:textAlignment w:val="auto"/>
    </w:pPr>
    <w:rPr>
      <w:b/>
      <w:bCs/>
      <w:sz w:val="32"/>
      <w:szCs w:val="32"/>
      <w:lang w:eastAsia="ja-JP"/>
    </w:rPr>
  </w:style>
  <w:style w:type="character" w:customStyle="1" w:styleId="HeadingbChar">
    <w:name w:val="Heading_b Char"/>
    <w:link w:val="Headingb"/>
    <w:qFormat/>
    <w:locked/>
    <w:rPr>
      <w:rFonts w:ascii="Times New Roman Bold" w:hAnsi="Times New Roman Bold" w:cs="Times New Roman Bold"/>
      <w:b/>
      <w:sz w:val="24"/>
      <w:lang w:val="fr-CH" w:eastAsia="en-US"/>
    </w:rPr>
  </w:style>
  <w:style w:type="paragraph" w:customStyle="1" w:styleId="Headingib">
    <w:name w:val="Heading_ib"/>
    <w:basedOn w:val="Headingi"/>
    <w:next w:val="Normal"/>
    <w:qFormat/>
    <w:pPr>
      <w:keepNext/>
    </w:pPr>
    <w:rPr>
      <w:b/>
      <w:bCs/>
      <w:lang w:eastAsia="ja-JP"/>
    </w:rPr>
  </w:style>
  <w:style w:type="paragraph" w:customStyle="1" w:styleId="AnnexNotitle">
    <w:name w:val="Annex_No &amp; title"/>
    <w:basedOn w:val="Normal"/>
    <w:next w:val="Normal"/>
    <w:link w:val="AnnexNotitleChar"/>
    <w:pPr>
      <w:keepNext/>
      <w:keepLines/>
      <w:spacing w:before="480"/>
      <w:jc w:val="center"/>
    </w:pPr>
    <w:rPr>
      <w:b/>
      <w:sz w:val="28"/>
    </w:rPr>
  </w:style>
  <w:style w:type="paragraph" w:customStyle="1" w:styleId="AppendixNotitle">
    <w:name w:val="Appendix_No &amp; title"/>
    <w:basedOn w:val="AnnexNotitle"/>
    <w:next w:val="Normal"/>
  </w:style>
  <w:style w:type="paragraph" w:customStyle="1" w:styleId="CorrectionSeparatorBegin">
    <w:name w:val="Correction Separator Begin"/>
    <w:basedOn w:val="Normal"/>
    <w:pPr>
      <w:keepNext/>
      <w:pBdr>
        <w:bottom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pPr>
      <w:pBdr>
        <w:top w:val="single" w:sz="12" w:space="1" w:color="auto"/>
      </w:pBdr>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hAnsi="Courier New"/>
      <w:sz w:val="20"/>
      <w:lang w:val="en-US"/>
    </w:rPr>
  </w:style>
  <w:style w:type="paragraph" w:customStyle="1" w:styleId="FigureNotitle">
    <w:name w:val="Figure_No &amp; title"/>
    <w:basedOn w:val="Normal"/>
    <w:next w:val="Normal"/>
    <w:qFormat/>
    <w:pPr>
      <w:keepLines/>
      <w:spacing w:before="240" w:after="120"/>
      <w:jc w:val="center"/>
    </w:pPr>
    <w:rPr>
      <w:b/>
      <w:lang w:eastAsia="ja-JP"/>
    </w:rPr>
  </w:style>
  <w:style w:type="paragraph" w:customStyle="1" w:styleId="Normalbeforetable">
    <w:name w:val="Normal before table"/>
    <w:basedOn w:val="Normal"/>
    <w:pPr>
      <w:keepNext/>
      <w:overflowPunct/>
      <w:autoSpaceDE/>
      <w:autoSpaceDN/>
      <w:adjustRightInd/>
      <w:spacing w:after="120"/>
      <w:textAlignment w:val="auto"/>
    </w:pPr>
    <w:rPr>
      <w:rFonts w:eastAsia="????"/>
      <w:szCs w:val="24"/>
    </w:rPr>
  </w:style>
  <w:style w:type="paragraph" w:customStyle="1" w:styleId="Reftext">
    <w:name w:val="Ref_text"/>
    <w:basedOn w:val="Normal"/>
    <w:pPr>
      <w:ind w:left="2268" w:hanging="2268"/>
    </w:pPr>
  </w:style>
  <w:style w:type="character" w:customStyle="1" w:styleId="ReftextArial9pt">
    <w:name w:val="Ref_text Arial 9 pt"/>
    <w:rPr>
      <w:rFonts w:ascii="Arial" w:hAnsi="Arial" w:cs="Arial"/>
      <w:sz w:val="18"/>
      <w:szCs w:val="18"/>
    </w:rPr>
  </w:style>
  <w:style w:type="paragraph" w:customStyle="1" w:styleId="TableNotitle">
    <w:name w:val="Table_No &amp; title"/>
    <w:basedOn w:val="Normal"/>
    <w:next w:val="Normal"/>
    <w:qFormat/>
    <w:pPr>
      <w:keepNext/>
      <w:keepLines/>
      <w:spacing w:before="360" w:after="120"/>
      <w:jc w:val="center"/>
    </w:pPr>
    <w:rPr>
      <w:b/>
      <w:lang w:eastAsia="ja-JP"/>
    </w:rPr>
  </w:style>
  <w:style w:type="character" w:customStyle="1" w:styleId="enumlev1Char">
    <w:name w:val="enumlev1 Char"/>
    <w:link w:val="enumlev1"/>
    <w:qFormat/>
    <w:rPr>
      <w:rFonts w:ascii="Times New Roman" w:eastAsia="SimSun" w:hAnsi="Times New Roman"/>
      <w:sz w:val="24"/>
      <w:lang w:val="en-GB" w:eastAsia="en-US"/>
    </w:rPr>
  </w:style>
  <w:style w:type="paragraph" w:customStyle="1" w:styleId="ASN1">
    <w:name w:val="ASN.1"/>
    <w:basedOn w:val="Normal"/>
    <w:pPr>
      <w:tabs>
        <w:tab w:val="left" w:pos="567"/>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hAnsi="Times New Roman Bold"/>
      <w:b/>
      <w:sz w:val="20"/>
      <w:szCs w:val="24"/>
      <w:lang w:eastAsia="ja-JP"/>
    </w:rPr>
  </w:style>
  <w:style w:type="paragraph" w:customStyle="1" w:styleId="Questionref">
    <w:name w:val="Question_ref"/>
    <w:basedOn w:val="Normal"/>
    <w:next w:val="Questiondate"/>
    <w:uiPriority w:val="99"/>
    <w:pPr>
      <w:keepNext/>
      <w:keepLines/>
      <w:overflowPunct/>
      <w:autoSpaceDE/>
      <w:autoSpaceDN/>
      <w:adjustRightInd/>
      <w:jc w:val="center"/>
      <w:textAlignment w:val="auto"/>
    </w:pPr>
    <w:rPr>
      <w:i/>
      <w:szCs w:val="24"/>
      <w:lang w:eastAsia="ja-JP"/>
    </w:rPr>
  </w:style>
  <w:style w:type="paragraph" w:customStyle="1" w:styleId="Repdate">
    <w:name w:val="Rep_date"/>
    <w:basedOn w:val="Normal"/>
    <w:next w:val="Normalaftertitle"/>
    <w:uiPriority w:val="99"/>
    <w:pPr>
      <w:keepNext/>
      <w:keepLines/>
      <w:overflowPunct/>
      <w:autoSpaceDE/>
      <w:autoSpaceDN/>
      <w:adjustRightInd/>
      <w:jc w:val="right"/>
      <w:textAlignment w:val="auto"/>
    </w:pPr>
    <w:rPr>
      <w:i/>
      <w:sz w:val="22"/>
      <w:szCs w:val="24"/>
      <w:lang w:eastAsia="ja-JP"/>
    </w:rPr>
  </w:style>
  <w:style w:type="paragraph" w:customStyle="1" w:styleId="RepNo">
    <w:name w:val="Rep_No"/>
    <w:basedOn w:val="Normal"/>
    <w:next w:val="Reptitle"/>
    <w:uiPriority w:val="99"/>
    <w:pPr>
      <w:keepNext/>
      <w:keepLines/>
      <w:overflowPunct/>
      <w:autoSpaceDE/>
      <w:autoSpaceDN/>
      <w:adjustRightInd/>
      <w:spacing w:before="480"/>
      <w:jc w:val="center"/>
      <w:textAlignment w:val="auto"/>
    </w:pPr>
    <w:rPr>
      <w:caps/>
      <w:sz w:val="28"/>
      <w:szCs w:val="24"/>
      <w:lang w:eastAsia="ja-JP"/>
    </w:rPr>
  </w:style>
  <w:style w:type="paragraph" w:customStyle="1" w:styleId="Reptitle">
    <w:name w:val="Rep_title"/>
    <w:basedOn w:val="Normal"/>
    <w:next w:val="Repref"/>
    <w:uiPriority w:val="99"/>
    <w:pPr>
      <w:keepNext/>
      <w:keepLines/>
      <w:overflowPunct/>
      <w:autoSpaceDE/>
      <w:autoSpaceDN/>
      <w:adjustRightInd/>
      <w:spacing w:before="240"/>
      <w:jc w:val="center"/>
      <w:textAlignment w:val="auto"/>
    </w:pPr>
    <w:rPr>
      <w:rFonts w:ascii="Times New Roman Bold" w:hAnsi="Times New Roman Bold"/>
      <w:b/>
      <w:sz w:val="28"/>
      <w:szCs w:val="24"/>
      <w:lang w:eastAsia="ja-JP"/>
    </w:rPr>
  </w:style>
  <w:style w:type="paragraph" w:customStyle="1" w:styleId="Repref">
    <w:name w:val="Rep_ref"/>
    <w:basedOn w:val="Normal"/>
    <w:next w:val="Repdate"/>
    <w:uiPriority w:val="99"/>
    <w:pPr>
      <w:keepNext/>
      <w:keepLines/>
      <w:overflowPunct/>
      <w:autoSpaceDE/>
      <w:autoSpaceDN/>
      <w:adjustRightInd/>
      <w:jc w:val="center"/>
      <w:textAlignment w:val="auto"/>
    </w:pPr>
    <w:rPr>
      <w:i/>
      <w:szCs w:val="24"/>
      <w:lang w:eastAsia="ja-JP"/>
    </w:rPr>
  </w:style>
  <w:style w:type="paragraph" w:customStyle="1" w:styleId="Head">
    <w:name w:val="Head"/>
    <w:basedOn w:val="Normal"/>
    <w:uiPriority w:val="99"/>
    <w:pPr>
      <w:tabs>
        <w:tab w:val="left" w:pos="6663"/>
      </w:tabs>
      <w:overflowPunct/>
      <w:autoSpaceDE/>
      <w:autoSpaceDN/>
      <w:adjustRightInd/>
      <w:spacing w:before="0"/>
      <w:textAlignment w:val="auto"/>
    </w:pPr>
    <w:rPr>
      <w:szCs w:val="24"/>
      <w:lang w:eastAsia="ja-JP"/>
    </w:rPr>
  </w:style>
  <w:style w:type="character" w:customStyle="1" w:styleId="AnnexNotitleChar">
    <w:name w:val="Annex_No &amp; title Char"/>
    <w:link w:val="AnnexNotitle"/>
    <w:qFormat/>
    <w:locked/>
    <w:rPr>
      <w:rFonts w:ascii="Times New Roman" w:hAnsi="Times New Roman"/>
      <w:b/>
      <w:sz w:val="28"/>
      <w:lang w:val="en-GB" w:eastAsia="en-US"/>
    </w:rPr>
  </w:style>
  <w:style w:type="paragraph" w:customStyle="1" w:styleId="FooterQP">
    <w:name w:val="Footer_QP"/>
    <w:basedOn w:val="Normal"/>
    <w:uiPriority w:val="99"/>
    <w:pPr>
      <w:tabs>
        <w:tab w:val="left" w:pos="907"/>
        <w:tab w:val="right" w:pos="8789"/>
        <w:tab w:val="right" w:pos="9639"/>
      </w:tabs>
      <w:overflowPunct/>
      <w:autoSpaceDE/>
      <w:autoSpaceDN/>
      <w:adjustRightInd/>
      <w:spacing w:before="0"/>
      <w:textAlignment w:val="auto"/>
    </w:pPr>
    <w:rPr>
      <w:b/>
      <w:sz w:val="22"/>
      <w:szCs w:val="24"/>
      <w:lang w:eastAsia="ja-JP"/>
    </w:rPr>
  </w:style>
  <w:style w:type="paragraph" w:customStyle="1" w:styleId="Address">
    <w:name w:val="Address"/>
    <w:basedOn w:val="Normal"/>
    <w:uiPriority w:val="99"/>
    <w:pPr>
      <w:tabs>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pPr>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pPr>
      <w:tabs>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pPr>
      <w:keepNext/>
      <w:overflowPunct/>
      <w:autoSpaceDE/>
      <w:autoSpaceDN/>
      <w:adjustRightInd/>
      <w:textAlignment w:val="auto"/>
    </w:pPr>
    <w:rPr>
      <w:szCs w:val="24"/>
      <w:lang w:eastAsia="ja-JP"/>
    </w:rPr>
  </w:style>
  <w:style w:type="paragraph" w:styleId="ListParagraph">
    <w:name w:val="List Paragraph"/>
    <w:basedOn w:val="Normal"/>
    <w:link w:val="ListParagraphChar"/>
    <w:uiPriority w:val="34"/>
    <w:qFormat/>
    <w:pPr>
      <w:overflowPunct/>
      <w:autoSpaceDE/>
      <w:autoSpaceDN/>
      <w:adjustRightInd/>
      <w:spacing w:before="0"/>
      <w:ind w:left="720"/>
      <w:contextualSpacing/>
      <w:textAlignment w:val="auto"/>
    </w:pPr>
    <w:rPr>
      <w:rFonts w:eastAsia="MS Mincho"/>
      <w:szCs w:val="24"/>
      <w:lang w:val="en-US" w:eastAsia="ja-JP"/>
    </w:rPr>
  </w:style>
  <w:style w:type="paragraph" w:customStyle="1" w:styleId="Heading1Centered">
    <w:name w:val="Heading 1 Centered"/>
    <w:basedOn w:val="Heading1"/>
    <w:pPr>
      <w:spacing w:before="360"/>
      <w:ind w:left="0" w:firstLine="0"/>
      <w:jc w:val="center"/>
    </w:pPr>
    <w:rPr>
      <w:bCs/>
      <w:sz w:val="24"/>
    </w:rPr>
  </w:style>
  <w:style w:type="character" w:customStyle="1" w:styleId="TabletextChar">
    <w:name w:val="Table_text Char"/>
    <w:link w:val="Tabletext"/>
    <w:qFormat/>
    <w:locked/>
    <w:rPr>
      <w:rFonts w:ascii="Times New Roman" w:hAnsi="Times New Roman"/>
      <w:sz w:val="22"/>
      <w:lang w:val="en-GB" w:eastAsia="en-US"/>
    </w:rPr>
  </w:style>
  <w:style w:type="paragraph" w:customStyle="1" w:styleId="Revision1">
    <w:name w:val="Revision1"/>
    <w:hidden/>
    <w:uiPriority w:val="99"/>
    <w:semiHidden/>
    <w:rPr>
      <w:sz w:val="24"/>
      <w:szCs w:val="24"/>
      <w:lang w:eastAsia="ja-JP"/>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customStyle="1" w:styleId="LSTo">
    <w:name w:val="LSTo"/>
    <w:basedOn w:val="Normal"/>
    <w:rPr>
      <w:rFonts w:eastAsiaTheme="minorHAnsi"/>
      <w:bCs/>
      <w:lang w:eastAsia="ja-JP"/>
    </w:rPr>
  </w:style>
  <w:style w:type="paragraph" w:customStyle="1" w:styleId="References">
    <w:name w:val="References"/>
    <w:basedOn w:val="Normal"/>
    <w:uiPriority w:val="99"/>
    <w:pPr>
      <w:widowControl w:val="0"/>
      <w:numPr>
        <w:numId w:val="1"/>
      </w:numPr>
    </w:pPr>
    <w:rPr>
      <w:lang w:eastAsia="zh-CN"/>
    </w:rPr>
  </w:style>
  <w:style w:type="paragraph" w:customStyle="1" w:styleId="NormalITU">
    <w:name w:val="Normal_ITU"/>
    <w:basedOn w:val="Normal"/>
    <w:uiPriority w:val="99"/>
    <w:pPr>
      <w:overflowPunct/>
      <w:textAlignment w:val="auto"/>
    </w:pPr>
    <w:rPr>
      <w:rFonts w:eastAsiaTheme="minorHAnsi" w:cs="Arial"/>
      <w:lang w:val="en-US"/>
    </w:rPr>
  </w:style>
  <w:style w:type="character" w:customStyle="1" w:styleId="ordinary-span-edit2">
    <w:name w:val="ordinary-span-edit2"/>
  </w:style>
  <w:style w:type="character" w:customStyle="1" w:styleId="MacroTextChar">
    <w:name w:val="Macro Text Char"/>
    <w:basedOn w:val="DefaultParagraphFont"/>
    <w:link w:val="MacroText"/>
    <w:qFormat/>
    <w:rPr>
      <w:rFonts w:ascii="Consolas" w:eastAsia="Calibri" w:hAnsi="Consolas"/>
      <w:lang w:val="en-GB" w:eastAsia="ja-JP"/>
    </w:rPr>
  </w:style>
  <w:style w:type="character" w:customStyle="1" w:styleId="NoteHeadingChar">
    <w:name w:val="Note Heading Char"/>
    <w:basedOn w:val="DefaultParagraphFont"/>
    <w:link w:val="NoteHeading"/>
    <w:qFormat/>
    <w:rPr>
      <w:rFonts w:ascii="Times New Roman" w:eastAsia="Calibri" w:hAnsi="Times New Roman"/>
      <w:sz w:val="24"/>
      <w:szCs w:val="24"/>
      <w:lang w:val="en-GB" w:eastAsia="ja-JP"/>
    </w:rPr>
  </w:style>
  <w:style w:type="character" w:customStyle="1" w:styleId="E-mailSignatureChar">
    <w:name w:val="E-mail Signature Char"/>
    <w:basedOn w:val="DefaultParagraphFont"/>
    <w:link w:val="E-mailSignature"/>
    <w:qFormat/>
    <w:rPr>
      <w:rFonts w:ascii="Times New Roman" w:eastAsia="Calibri" w:hAnsi="Times New Roman"/>
      <w:sz w:val="24"/>
      <w:szCs w:val="24"/>
      <w:lang w:val="en-GB" w:eastAsia="ja-JP"/>
    </w:rPr>
  </w:style>
  <w:style w:type="character" w:customStyle="1" w:styleId="DocumentMapChar">
    <w:name w:val="Document Map Char"/>
    <w:basedOn w:val="DefaultParagraphFont"/>
    <w:link w:val="DocumentMap"/>
    <w:qFormat/>
    <w:rPr>
      <w:rFonts w:ascii="Segoe UI" w:eastAsia="Calibri" w:hAnsi="Segoe UI" w:cs="Segoe UI"/>
      <w:sz w:val="16"/>
      <w:szCs w:val="16"/>
      <w:lang w:val="en-GB" w:eastAsia="ja-JP"/>
    </w:rPr>
  </w:style>
  <w:style w:type="character" w:customStyle="1" w:styleId="SalutationChar">
    <w:name w:val="Salutation Char"/>
    <w:basedOn w:val="DefaultParagraphFont"/>
    <w:link w:val="Salutation"/>
    <w:qFormat/>
    <w:rPr>
      <w:rFonts w:ascii="Times New Roman" w:eastAsia="Calibri" w:hAnsi="Times New Roman"/>
      <w:sz w:val="24"/>
      <w:szCs w:val="24"/>
      <w:lang w:val="en-GB" w:eastAsia="ja-JP"/>
    </w:rPr>
  </w:style>
  <w:style w:type="character" w:customStyle="1" w:styleId="BodyText3Char">
    <w:name w:val="Body Text 3 Char"/>
    <w:basedOn w:val="DefaultParagraphFont"/>
    <w:link w:val="BodyText3"/>
    <w:qFormat/>
    <w:rPr>
      <w:rFonts w:ascii="Times New Roman" w:eastAsia="Calibri" w:hAnsi="Times New Roman"/>
      <w:sz w:val="16"/>
      <w:szCs w:val="16"/>
      <w:lang w:val="en-GB" w:eastAsia="ja-JP"/>
    </w:rPr>
  </w:style>
  <w:style w:type="character" w:customStyle="1" w:styleId="ClosingChar">
    <w:name w:val="Closing Char"/>
    <w:basedOn w:val="DefaultParagraphFont"/>
    <w:link w:val="Closing"/>
    <w:rPr>
      <w:rFonts w:ascii="Times New Roman" w:eastAsia="Calibri" w:hAnsi="Times New Roman"/>
      <w:sz w:val="24"/>
      <w:szCs w:val="24"/>
      <w:lang w:val="en-GB" w:eastAsia="ja-JP"/>
    </w:rPr>
  </w:style>
  <w:style w:type="character" w:customStyle="1" w:styleId="BodyTextChar">
    <w:name w:val="Body Text Char"/>
    <w:basedOn w:val="DefaultParagraphFont"/>
    <w:link w:val="BodyText"/>
    <w:qFormat/>
    <w:rPr>
      <w:rFonts w:ascii="Times New Roman" w:eastAsia="Calibri" w:hAnsi="Times New Roman"/>
      <w:sz w:val="24"/>
      <w:szCs w:val="24"/>
      <w:lang w:val="en-GB" w:eastAsia="ja-JP"/>
    </w:rPr>
  </w:style>
  <w:style w:type="character" w:customStyle="1" w:styleId="BodyTextIndentChar">
    <w:name w:val="Body Text Indent Char"/>
    <w:basedOn w:val="DefaultParagraphFont"/>
    <w:link w:val="BodyTextIndent"/>
    <w:qFormat/>
    <w:rPr>
      <w:rFonts w:ascii="Times New Roman" w:eastAsia="Calibri" w:hAnsi="Times New Roman"/>
      <w:sz w:val="24"/>
      <w:szCs w:val="24"/>
      <w:lang w:val="en-GB" w:eastAsia="ja-JP"/>
    </w:rPr>
  </w:style>
  <w:style w:type="character" w:customStyle="1" w:styleId="HTMLAddressChar">
    <w:name w:val="HTML Address Char"/>
    <w:basedOn w:val="DefaultParagraphFont"/>
    <w:link w:val="HTMLAddress"/>
    <w:qFormat/>
    <w:rPr>
      <w:rFonts w:ascii="Times New Roman" w:eastAsia="Calibri" w:hAnsi="Times New Roman"/>
      <w:i/>
      <w:iCs/>
      <w:sz w:val="24"/>
      <w:szCs w:val="24"/>
      <w:lang w:val="en-GB" w:eastAsia="ja-JP"/>
    </w:rPr>
  </w:style>
  <w:style w:type="character" w:customStyle="1" w:styleId="PlainTextChar">
    <w:name w:val="Plain Text Char"/>
    <w:basedOn w:val="DefaultParagraphFont"/>
    <w:link w:val="PlainText"/>
    <w:rPr>
      <w:rFonts w:ascii="Consolas" w:eastAsia="Calibri" w:hAnsi="Consolas"/>
      <w:sz w:val="21"/>
      <w:szCs w:val="21"/>
      <w:lang w:val="en-GB" w:eastAsia="ja-JP"/>
    </w:rPr>
  </w:style>
  <w:style w:type="character" w:customStyle="1" w:styleId="DateChar">
    <w:name w:val="Date Char"/>
    <w:basedOn w:val="DefaultParagraphFont"/>
    <w:link w:val="Date"/>
    <w:qFormat/>
    <w:rPr>
      <w:rFonts w:ascii="Times New Roman" w:eastAsia="Calibri" w:hAnsi="Times New Roman"/>
      <w:sz w:val="24"/>
      <w:szCs w:val="24"/>
      <w:lang w:val="en-GB" w:eastAsia="ja-JP"/>
    </w:rPr>
  </w:style>
  <w:style w:type="character" w:customStyle="1" w:styleId="BodyTextIndent2Char">
    <w:name w:val="Body Text Indent 2 Char"/>
    <w:basedOn w:val="DefaultParagraphFont"/>
    <w:link w:val="BodyTextIndent2"/>
    <w:qFormat/>
    <w:rPr>
      <w:rFonts w:ascii="Times New Roman" w:eastAsia="Calibri" w:hAnsi="Times New Roman"/>
      <w:sz w:val="24"/>
      <w:szCs w:val="24"/>
      <w:lang w:val="en-GB" w:eastAsia="ja-JP"/>
    </w:rPr>
  </w:style>
  <w:style w:type="character" w:customStyle="1" w:styleId="EndnoteTextChar">
    <w:name w:val="Endnote Text Char"/>
    <w:basedOn w:val="DefaultParagraphFont"/>
    <w:link w:val="EndnoteText"/>
    <w:qFormat/>
    <w:rPr>
      <w:rFonts w:ascii="Times New Roman" w:eastAsia="Calibri" w:hAnsi="Times New Roman"/>
      <w:szCs w:val="24"/>
      <w:lang w:val="en-GB" w:eastAsia="ja-JP"/>
    </w:rPr>
  </w:style>
  <w:style w:type="character" w:customStyle="1" w:styleId="SignatureChar">
    <w:name w:val="Signature Char"/>
    <w:basedOn w:val="DefaultParagraphFont"/>
    <w:link w:val="Signature"/>
    <w:qFormat/>
    <w:rPr>
      <w:rFonts w:ascii="Times New Roman" w:eastAsia="Calibri" w:hAnsi="Times New Roman"/>
      <w:sz w:val="24"/>
      <w:szCs w:val="24"/>
      <w:lang w:val="en-GB" w:eastAsia="ja-JP"/>
    </w:rPr>
  </w:style>
  <w:style w:type="character" w:customStyle="1" w:styleId="BodyTextIndent3Char">
    <w:name w:val="Body Text Indent 3 Char"/>
    <w:basedOn w:val="DefaultParagraphFont"/>
    <w:link w:val="BodyTextIndent3"/>
    <w:qFormat/>
    <w:rPr>
      <w:rFonts w:ascii="Times New Roman" w:eastAsia="Calibri" w:hAnsi="Times New Roman"/>
      <w:sz w:val="16"/>
      <w:szCs w:val="16"/>
      <w:lang w:val="en-GB" w:eastAsia="ja-JP"/>
    </w:rPr>
  </w:style>
  <w:style w:type="character" w:customStyle="1" w:styleId="BodyText2Char">
    <w:name w:val="Body Text 2 Char"/>
    <w:basedOn w:val="DefaultParagraphFont"/>
    <w:link w:val="BodyText2"/>
    <w:qFormat/>
    <w:rPr>
      <w:rFonts w:ascii="Times New Roman" w:eastAsia="Calibri" w:hAnsi="Times New Roman"/>
      <w:sz w:val="24"/>
      <w:szCs w:val="24"/>
      <w:lang w:val="en-GB" w:eastAsia="ja-JP"/>
    </w:rPr>
  </w:style>
  <w:style w:type="character" w:customStyle="1" w:styleId="MessageHeaderChar">
    <w:name w:val="Message Header Char"/>
    <w:basedOn w:val="DefaultParagraphFont"/>
    <w:link w:val="MessageHeader"/>
    <w:qFormat/>
    <w:rPr>
      <w:rFonts w:ascii="Calibri Light" w:eastAsiaTheme="minorHAnsi" w:hAnsi="Calibri Light"/>
      <w:sz w:val="24"/>
      <w:szCs w:val="24"/>
      <w:shd w:val="pct20" w:color="auto" w:fill="auto"/>
      <w:lang w:val="en-GB" w:eastAsia="ja-JP"/>
    </w:rPr>
  </w:style>
  <w:style w:type="character" w:customStyle="1" w:styleId="HTMLPreformattedChar">
    <w:name w:val="HTML Preformatted Char"/>
    <w:basedOn w:val="DefaultParagraphFont"/>
    <w:link w:val="HTMLPreformatted"/>
    <w:semiHidden/>
    <w:qFormat/>
    <w:rPr>
      <w:rFonts w:ascii="Consolas" w:eastAsia="Calibri" w:hAnsi="Consolas"/>
      <w:szCs w:val="24"/>
      <w:lang w:val="en-GB" w:eastAsia="ja-JP"/>
    </w:rPr>
  </w:style>
  <w:style w:type="character" w:customStyle="1" w:styleId="TitleChar">
    <w:name w:val="Title Char"/>
    <w:basedOn w:val="DefaultParagraphFont"/>
    <w:link w:val="Title"/>
    <w:qFormat/>
    <w:rPr>
      <w:rFonts w:ascii="Calibri Light" w:eastAsiaTheme="minorHAnsi" w:hAnsi="Calibri Light"/>
      <w:spacing w:val="-10"/>
      <w:kern w:val="28"/>
      <w:sz w:val="56"/>
      <w:szCs w:val="56"/>
      <w:lang w:val="en-GB" w:eastAsia="ja-JP"/>
    </w:rPr>
  </w:style>
  <w:style w:type="character" w:customStyle="1" w:styleId="CommentSubjectChar">
    <w:name w:val="Comment Subject Char"/>
    <w:basedOn w:val="CommentTextChar"/>
    <w:link w:val="CommentSubject"/>
    <w:qFormat/>
    <w:rPr>
      <w:rFonts w:ascii="Times New Roman" w:eastAsia="Calibri" w:hAnsi="Times New Roman"/>
      <w:b/>
      <w:bCs/>
      <w:szCs w:val="24"/>
      <w:lang w:val="en-GB" w:eastAsia="ja-JP"/>
    </w:rPr>
  </w:style>
  <w:style w:type="character" w:customStyle="1" w:styleId="BodyTextFirstIndentChar">
    <w:name w:val="Body Text First Indent Char"/>
    <w:basedOn w:val="BodyTextChar"/>
    <w:link w:val="BodyTextFirstIndent"/>
    <w:qFormat/>
    <w:rPr>
      <w:rFonts w:ascii="Times New Roman" w:eastAsia="Calibri" w:hAnsi="Times New Roman"/>
      <w:sz w:val="24"/>
      <w:szCs w:val="24"/>
      <w:lang w:val="en-GB" w:eastAsia="ja-JP"/>
    </w:rPr>
  </w:style>
  <w:style w:type="character" w:customStyle="1" w:styleId="BodyTextFirstIndent2Char">
    <w:name w:val="Body Text First Indent 2 Char"/>
    <w:basedOn w:val="BodyTextIndentChar"/>
    <w:link w:val="BodyTextFirstIndent2"/>
    <w:qFormat/>
    <w:rPr>
      <w:rFonts w:ascii="Times New Roman" w:eastAsia="Calibri" w:hAnsi="Times New Roman"/>
      <w:sz w:val="24"/>
      <w:szCs w:val="24"/>
      <w:lang w:val="en-GB" w:eastAsia="ja-JP"/>
    </w:rPr>
  </w:style>
  <w:style w:type="character" w:customStyle="1" w:styleId="UnresolvedMention10">
    <w:name w:val="Unresolved Mention1"/>
    <w:basedOn w:val="DefaultParagraphFont"/>
    <w:uiPriority w:val="99"/>
    <w:semiHidden/>
    <w:unhideWhenUsed/>
    <w:rPr>
      <w:color w:val="605E5C"/>
      <w:shd w:val="clear" w:color="auto" w:fill="E1DFDD"/>
    </w:rPr>
  </w:style>
  <w:style w:type="paragraph" w:customStyle="1" w:styleId="Revision10">
    <w:name w:val="Revision1"/>
    <w:uiPriority w:val="99"/>
    <w:semiHidden/>
    <w:rPr>
      <w:sz w:val="24"/>
      <w:szCs w:val="24"/>
      <w:lang w:eastAsia="ja-JP"/>
    </w:rPr>
  </w:style>
  <w:style w:type="paragraph" w:customStyle="1" w:styleId="Figurewithouttitle">
    <w:name w:val="Figure_without_title"/>
    <w:basedOn w:val="FigureNo"/>
    <w:next w:val="Normal"/>
    <w:uiPriority w:val="99"/>
    <w:semiHidden/>
    <w:pPr>
      <w:keepNext w:val="0"/>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pPr>
      <w:keepNext/>
      <w:keepLine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pPr>
      <w:overflowPunct/>
      <w:autoSpaceDE/>
      <w:autoSpaceDN/>
      <w:adjustRightInd/>
      <w:textAlignment w:val="auto"/>
    </w:pPr>
    <w:rPr>
      <w:rFonts w:eastAsia="Calibri"/>
      <w:szCs w:val="24"/>
      <w:lang w:eastAsia="ja-JP"/>
    </w:rPr>
  </w:style>
  <w:style w:type="character" w:customStyle="1" w:styleId="Hashtag1">
    <w:name w:val="Hashtag1"/>
    <w:basedOn w:val="DefaultParagraphFont"/>
    <w:uiPriority w:val="99"/>
    <w:semiHidden/>
    <w:unhideWhenUsed/>
    <w:rPr>
      <w:color w:val="2B579A"/>
      <w:shd w:val="clear" w:color="auto" w:fill="E1DFDD"/>
    </w:rPr>
  </w:style>
  <w:style w:type="character" w:customStyle="1" w:styleId="Hashtag10">
    <w:name w:val="Hashtag1"/>
    <w:uiPriority w:val="99"/>
    <w:semiHidden/>
    <w:unhideWhenUsed/>
    <w:rPr>
      <w:color w:val="2B579A"/>
      <w:shd w:val="clear" w:color="auto" w:fill="E1DFDD"/>
    </w:rPr>
  </w:style>
  <w:style w:type="character" w:customStyle="1" w:styleId="IntenseEmphasis1">
    <w:name w:val="Intense Emphasis1"/>
    <w:uiPriority w:val="21"/>
    <w:rPr>
      <w:i/>
      <w:iCs/>
      <w:color w:val="5B9BD5"/>
    </w:rPr>
  </w:style>
  <w:style w:type="paragraph" w:styleId="IntenseQuote">
    <w:name w:val="Intense Quote"/>
    <w:basedOn w:val="Normal"/>
    <w:next w:val="Normal"/>
    <w:link w:val="IntenseQuoteChar"/>
    <w:uiPriority w:val="30"/>
    <w:pPr>
      <w:pBdr>
        <w:top w:val="single" w:sz="4" w:space="10" w:color="5B9BD5"/>
        <w:bottom w:val="single" w:sz="4" w:space="10" w:color="5B9BD5"/>
      </w:pBdr>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Pr>
      <w:rFonts w:ascii="Times New Roman" w:eastAsia="Calibri" w:hAnsi="Times New Roman"/>
      <w:i/>
      <w:iCs/>
      <w:color w:val="5B9BD5"/>
      <w:sz w:val="24"/>
      <w:szCs w:val="24"/>
      <w:lang w:val="en-GB" w:eastAsia="ja-JP"/>
    </w:rPr>
  </w:style>
  <w:style w:type="character" w:customStyle="1" w:styleId="IntenseReference1">
    <w:name w:val="Intense Reference1"/>
    <w:uiPriority w:val="32"/>
    <w:rPr>
      <w:b/>
      <w:bCs/>
      <w:smallCaps/>
      <w:color w:val="5B9BD5"/>
      <w:spacing w:val="5"/>
    </w:rPr>
  </w:style>
  <w:style w:type="character" w:customStyle="1" w:styleId="Mention1">
    <w:name w:val="Mention1"/>
    <w:uiPriority w:val="99"/>
    <w:semiHidden/>
    <w:unhideWhenUsed/>
    <w:rPr>
      <w:color w:val="2B579A"/>
      <w:shd w:val="clear" w:color="auto" w:fill="E1DFDD"/>
    </w:rPr>
  </w:style>
  <w:style w:type="paragraph" w:styleId="NoSpacing">
    <w:name w:val="No Spacing"/>
    <w:uiPriority w:val="1"/>
    <w:rPr>
      <w:rFonts w:eastAsia="Calibri"/>
      <w:sz w:val="24"/>
      <w:szCs w:val="24"/>
      <w:lang w:eastAsia="ja-JP"/>
    </w:rPr>
  </w:style>
  <w:style w:type="character" w:customStyle="1" w:styleId="SmartHyperlink1">
    <w:name w:val="Smart Hyperlink1"/>
    <w:uiPriority w:val="99"/>
    <w:semiHidden/>
    <w:unhideWhenUsed/>
    <w:rPr>
      <w:u w:val="dotted"/>
    </w:rPr>
  </w:style>
  <w:style w:type="character" w:customStyle="1" w:styleId="SmartLink1">
    <w:name w:val="SmartLink1"/>
    <w:uiPriority w:val="99"/>
    <w:semiHidden/>
    <w:unhideWhenUsed/>
    <w:rPr>
      <w:color w:val="0563C1"/>
      <w:u w:val="single"/>
      <w:shd w:val="clear" w:color="auto" w:fill="E1DFDD"/>
    </w:rPr>
  </w:style>
  <w:style w:type="character" w:customStyle="1" w:styleId="SmartLinkError1">
    <w:name w:val="SmartLinkError1"/>
    <w:uiPriority w:val="99"/>
    <w:semiHidden/>
    <w:unhideWhenUsed/>
    <w:rPr>
      <w:color w:val="FF0000"/>
    </w:rPr>
  </w:style>
  <w:style w:type="character" w:customStyle="1" w:styleId="SubtleEmphasis1">
    <w:name w:val="Subtle Emphasis1"/>
    <w:uiPriority w:val="19"/>
    <w:rPr>
      <w:i/>
      <w:iCs/>
      <w:color w:val="404040"/>
    </w:rPr>
  </w:style>
  <w:style w:type="character" w:customStyle="1" w:styleId="SubtleReference1">
    <w:name w:val="Subtle Reference1"/>
    <w:uiPriority w:val="31"/>
    <w:rPr>
      <w:smallCaps/>
      <w:color w:val="5A5A5A"/>
    </w:rPr>
  </w:style>
  <w:style w:type="paragraph" w:customStyle="1" w:styleId="TOCHeading1">
    <w:name w:val="TOC Heading1"/>
    <w:basedOn w:val="Heading1"/>
    <w:next w:val="Normal"/>
    <w:uiPriority w:val="39"/>
    <w:unhideWhenUsed/>
    <w:pPr>
      <w:tabs>
        <w:tab w:val="left" w:pos="432"/>
      </w:tabs>
      <w:spacing w:before="360"/>
      <w:ind w:left="0" w:firstLine="0"/>
      <w:outlineLvl w:val="9"/>
    </w:pPr>
    <w:rPr>
      <w:rFonts w:ascii="Calibri Light" w:hAnsi="Calibri Light"/>
      <w:b w:val="0"/>
      <w:color w:val="2E74B5"/>
      <w:sz w:val="32"/>
    </w:rPr>
  </w:style>
  <w:style w:type="character" w:customStyle="1" w:styleId="UnresolvedMention11">
    <w:name w:val="Unresolved Mention11"/>
    <w:uiPriority w:val="99"/>
    <w:semiHidden/>
    <w:unhideWhenUsed/>
    <w:rPr>
      <w:color w:val="605E5C"/>
      <w:shd w:val="clear" w:color="auto" w:fill="E1DFDD"/>
    </w:rPr>
  </w:style>
  <w:style w:type="character" w:customStyle="1" w:styleId="ListParagraphChar">
    <w:name w:val="List Paragraph Char"/>
    <w:link w:val="ListParagraph"/>
    <w:uiPriority w:val="34"/>
    <w:qFormat/>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Pr>
      <w:color w:val="2B579A"/>
      <w:shd w:val="clear" w:color="auto" w:fill="E1DFDD"/>
    </w:rPr>
  </w:style>
  <w:style w:type="character" w:customStyle="1" w:styleId="Mention2">
    <w:name w:val="Mention2"/>
    <w:basedOn w:val="DefaultParagraphFont"/>
    <w:uiPriority w:val="99"/>
    <w:semiHidden/>
    <w:unhideWhenUsed/>
    <w:rPr>
      <w:color w:val="2B579A"/>
      <w:shd w:val="clear" w:color="auto" w:fill="E1DFDD"/>
    </w:rPr>
  </w:style>
  <w:style w:type="character" w:customStyle="1" w:styleId="SmartHyperlink2">
    <w:name w:val="Smart Hyperlink2"/>
    <w:basedOn w:val="DefaultParagraphFont"/>
    <w:uiPriority w:val="99"/>
    <w:semiHidden/>
    <w:unhideWhenUsed/>
    <w:rPr>
      <w:u w:val="dotted"/>
    </w:rPr>
  </w:style>
  <w:style w:type="character" w:customStyle="1" w:styleId="SmartLink2">
    <w:name w:val="SmartLink2"/>
    <w:basedOn w:val="DefaultParagraphFont"/>
    <w:uiPriority w:val="99"/>
    <w:semiHidden/>
    <w:unhideWhenUsed/>
    <w:rPr>
      <w:color w:val="0000FF" w:themeColor="hyperlink"/>
      <w:u w:val="single"/>
      <w:shd w:val="clear" w:color="auto" w:fill="E1DFDD"/>
    </w:rPr>
  </w:style>
  <w:style w:type="character" w:customStyle="1" w:styleId="SmartLinkError">
    <w:name w:val="Smart Link Error"/>
    <w:basedOn w:val="DefaultParagraphFont"/>
    <w:uiPriority w:val="99"/>
    <w:semiHidden/>
    <w:unhideWhenUsed/>
    <w:rPr>
      <w:color w:val="FF0000"/>
    </w:rPr>
  </w:style>
  <w:style w:type="character" w:customStyle="1" w:styleId="UnresolvedMention2">
    <w:name w:val="Unresolved Mention2"/>
    <w:basedOn w:val="DefaultParagraphFont"/>
    <w:uiPriority w:val="99"/>
    <w:semiHidden/>
    <w:unhideWhenUsed/>
    <w:rPr>
      <w:color w:val="605E5C"/>
      <w:shd w:val="clear" w:color="auto" w:fill="E1DFDD"/>
    </w:rPr>
  </w:style>
  <w:style w:type="character" w:customStyle="1" w:styleId="UnresolvedMention3">
    <w:name w:val="Unresolved Mention3"/>
    <w:basedOn w:val="DefaultParagraphFont"/>
    <w:uiPriority w:val="99"/>
    <w:semiHidden/>
    <w:unhideWhenUsed/>
    <w:rPr>
      <w:color w:val="605E5C"/>
      <w:shd w:val="clear" w:color="auto" w:fill="E1DFDD"/>
    </w:rPr>
  </w:style>
  <w:style w:type="paragraph" w:customStyle="1" w:styleId="Bibliography2">
    <w:name w:val="Bibliography2"/>
    <w:basedOn w:val="Normal"/>
    <w:next w:val="Normal"/>
    <w:uiPriority w:val="37"/>
    <w:semiHidden/>
    <w:unhideWhenUsed/>
    <w:pPr>
      <w:overflowPunct/>
      <w:autoSpaceDE/>
      <w:autoSpaceDN/>
      <w:adjustRightInd/>
      <w:textAlignment w:val="auto"/>
    </w:pPr>
    <w:rPr>
      <w:rFonts w:eastAsiaTheme="minorHAnsi"/>
      <w:szCs w:val="24"/>
      <w:lang w:eastAsia="ja-JP"/>
    </w:rPr>
  </w:style>
  <w:style w:type="character" w:customStyle="1" w:styleId="BookTitle1">
    <w:name w:val="Book Title1"/>
    <w:basedOn w:val="DefaultParagraphFont"/>
    <w:uiPriority w:val="33"/>
    <w:rPr>
      <w:b/>
      <w:bCs/>
      <w:i/>
      <w:iCs/>
      <w:spacing w:val="5"/>
    </w:rPr>
  </w:style>
  <w:style w:type="character" w:customStyle="1" w:styleId="Hashtag3">
    <w:name w:val="Hashtag3"/>
    <w:basedOn w:val="DefaultParagraphFont"/>
    <w:uiPriority w:val="99"/>
    <w:semiHidden/>
    <w:unhideWhenUsed/>
    <w:rPr>
      <w:color w:val="2B579A"/>
      <w:shd w:val="clear" w:color="auto" w:fill="E1DFDD"/>
    </w:rPr>
  </w:style>
  <w:style w:type="character" w:customStyle="1" w:styleId="IntenseEmphasis2">
    <w:name w:val="Intense Emphasis2"/>
    <w:basedOn w:val="DefaultParagraphFont"/>
    <w:uiPriority w:val="21"/>
    <w:rPr>
      <w:i/>
      <w:iCs/>
      <w:color w:val="4F81BD" w:themeColor="accent1"/>
    </w:rPr>
  </w:style>
  <w:style w:type="character" w:customStyle="1" w:styleId="IntenseReference2">
    <w:name w:val="Intense Reference2"/>
    <w:basedOn w:val="DefaultParagraphFont"/>
    <w:uiPriority w:val="32"/>
    <w:rPr>
      <w:b/>
      <w:bCs/>
      <w:smallCaps/>
      <w:color w:val="4F81BD" w:themeColor="accent1"/>
      <w:spacing w:val="5"/>
    </w:rPr>
  </w:style>
  <w:style w:type="character" w:customStyle="1" w:styleId="Mention3">
    <w:name w:val="Mention3"/>
    <w:basedOn w:val="DefaultParagraphFont"/>
    <w:uiPriority w:val="99"/>
    <w:semiHidden/>
    <w:unhideWhenUsed/>
    <w:rPr>
      <w:color w:val="2B579A"/>
      <w:shd w:val="clear" w:color="auto" w:fill="E1DFDD"/>
    </w:rPr>
  </w:style>
  <w:style w:type="character" w:customStyle="1" w:styleId="SmartHyperlink3">
    <w:name w:val="Smart Hyperlink3"/>
    <w:basedOn w:val="DefaultParagraphFont"/>
    <w:uiPriority w:val="99"/>
    <w:semiHidden/>
    <w:unhideWhenUsed/>
    <w:rPr>
      <w:u w:val="dotted"/>
    </w:rPr>
  </w:style>
  <w:style w:type="character" w:customStyle="1" w:styleId="SmartLink3">
    <w:name w:val="SmartLink3"/>
    <w:basedOn w:val="DefaultParagraphFont"/>
    <w:uiPriority w:val="99"/>
    <w:semiHidden/>
    <w:unhideWhenUsed/>
    <w:rPr>
      <w:color w:val="0000FF"/>
      <w:u w:val="single"/>
      <w:shd w:val="clear" w:color="auto" w:fill="F3F2F1"/>
    </w:rPr>
  </w:style>
  <w:style w:type="character" w:customStyle="1" w:styleId="SubtleEmphasis2">
    <w:name w:val="Subtle Emphasis2"/>
    <w:basedOn w:val="DefaultParagraphFont"/>
    <w:uiPriority w:val="19"/>
    <w:rPr>
      <w:i/>
      <w:iCs/>
      <w:color w:val="404040" w:themeColor="text1" w:themeTint="BF"/>
    </w:rPr>
  </w:style>
  <w:style w:type="character" w:customStyle="1" w:styleId="SubtleReference2">
    <w:name w:val="Subtle Reference2"/>
    <w:basedOn w:val="DefaultParagraphFont"/>
    <w:uiPriority w:val="31"/>
    <w:rPr>
      <w:smallCaps/>
      <w:color w:val="595959" w:themeColor="text1" w:themeTint="A6"/>
    </w:rPr>
  </w:style>
  <w:style w:type="paragraph" w:customStyle="1" w:styleId="TOCHeading2">
    <w:name w:val="TOC Heading2"/>
    <w:basedOn w:val="Heading1"/>
    <w:next w:val="Normal"/>
    <w:uiPriority w:val="39"/>
    <w:semiHidden/>
    <w:unhideWhenUsed/>
    <w:pPr>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customStyle="1" w:styleId="Mention4">
    <w:name w:val="Mention4"/>
    <w:basedOn w:val="DefaultParagraphFont"/>
    <w:uiPriority w:val="99"/>
    <w:semiHidden/>
    <w:unhideWhenUsed/>
    <w:rPr>
      <w:color w:val="2B579A"/>
      <w:shd w:val="clear" w:color="auto" w:fill="E1DFDD"/>
    </w:rPr>
  </w:style>
  <w:style w:type="character" w:customStyle="1" w:styleId="SmartHyperlink4">
    <w:name w:val="Smart Hyperlink4"/>
    <w:basedOn w:val="DefaultParagraphFont"/>
    <w:uiPriority w:val="99"/>
    <w:semiHidden/>
    <w:unhideWhenUsed/>
    <w:rPr>
      <w:u w:val="dotted"/>
    </w:rPr>
  </w:style>
  <w:style w:type="character" w:customStyle="1" w:styleId="SmartLink4">
    <w:name w:val="SmartLink4"/>
    <w:basedOn w:val="DefaultParagraphFont"/>
    <w:uiPriority w:val="99"/>
    <w:semiHidden/>
    <w:unhideWhenUsed/>
    <w:rPr>
      <w:color w:val="0000FF"/>
      <w:u w:val="single"/>
      <w:shd w:val="clear" w:color="auto" w:fill="F3F2F1"/>
    </w:rPr>
  </w:style>
  <w:style w:type="character" w:customStyle="1" w:styleId="ResNoChar">
    <w:name w:val="Res_No Char"/>
    <w:link w:val="ResNo"/>
    <w:rPr>
      <w:rFonts w:ascii="Times New Roman" w:hAnsi="Times New Roman Bold"/>
      <w:sz w:val="28"/>
      <w:lang w:val="en-GB" w:eastAsia="en-US"/>
    </w:rPr>
  </w:style>
  <w:style w:type="character" w:customStyle="1" w:styleId="ui-provider">
    <w:name w:val="ui-provider"/>
    <w:basedOn w:val="DefaultParagraphFont"/>
  </w:style>
  <w:style w:type="character" w:customStyle="1" w:styleId="href">
    <w:name w:val="href"/>
    <w:basedOn w:val="DefaultParagraphFont"/>
    <w:qFormat/>
  </w:style>
  <w:style w:type="character" w:customStyle="1" w:styleId="Italic">
    <w:name w:val="Italic"/>
    <w:rPr>
      <w:rFonts w:eastAsia="STKaiti"/>
      <w:lang w:val="fr-FR"/>
    </w:rPr>
  </w:style>
  <w:style w:type="paragraph" w:customStyle="1" w:styleId="Normalnoindent">
    <w:name w:val="Normal no indent"/>
    <w:basedOn w:val="Normal"/>
  </w:style>
  <w:style w:type="paragraph" w:styleId="Revision">
    <w:name w:val="Revision"/>
    <w:hidden/>
    <w:uiPriority w:val="99"/>
    <w:unhideWhenUsed/>
    <w:rsid w:val="009E0DE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PM_x0020_Author xmlns="d46e82f2-a3e5-4a5d-b668-dc397462d1c9">DPM</DPM_x0020_Author>
    <DPM_x0020_File_x0020_name xmlns="d46e82f2-a3e5-4a5d-b668-dc397462d1c9">T22-WTSA.24-C-0037!A8!MSW-C</DPM_x0020_File_x0020_name>
    <DPM_x0020_Version xmlns="d46e82f2-a3e5-4a5d-b668-dc397462d1c9">DPM_2022.05.12.01</DPM_x0020_Vers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46e82f2-a3e5-4a5d-b668-dc397462d1c9" targetNamespace="http://schemas.microsoft.com/office/2006/metadata/properties" ma:root="true" ma:fieldsID="d41af5c836d734370eb92e7ee5f83852" ns2:_="" ns3:_="">
    <xsd:import namespace="996b2e75-67fd-4955-a3b0-5ab9934cb50b"/>
    <xsd:import namespace="d46e82f2-a3e5-4a5d-b668-dc397462d1c9"/>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46e82f2-a3e5-4a5d-b668-dc397462d1c9"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93E26ED-57A6-443A-A4F1-CD976F7233B3}">
  <ds:schemaRefs/>
</ds:datastoreItem>
</file>

<file path=customXml/itemProps2.xml><?xml version="1.0" encoding="utf-8"?>
<ds:datastoreItem xmlns:ds="http://schemas.openxmlformats.org/officeDocument/2006/customXml" ds:itemID="{DF3D58E2-EC10-4DC5-9074-AF807B63C28A}">
  <ds:schemaRefs/>
</ds:datastoreItem>
</file>

<file path=customXml/itemProps3.xml><?xml version="1.0" encoding="utf-8"?>
<ds:datastoreItem xmlns:ds="http://schemas.openxmlformats.org/officeDocument/2006/customXml" ds:itemID="{B21B1F41-FCAB-4F2A-81E2-D384F50A6647}">
  <ds:schemaRefs/>
</ds:datastoreItem>
</file>

<file path=customXml/itemProps4.xml><?xml version="1.0" encoding="utf-8"?>
<ds:datastoreItem xmlns:ds="http://schemas.openxmlformats.org/officeDocument/2006/customXml" ds:itemID="{5CA035DF-A293-4EC3-AD58-DEFBB131D29E}">
  <ds:schemaRefs/>
</ds:datastoreItem>
</file>

<file path=customXml/itemProps5.xml><?xml version="1.0" encoding="utf-8"?>
<ds:datastoreItem xmlns:ds="http://schemas.openxmlformats.org/officeDocument/2006/customXml" ds:itemID="{0AF829E2-78C4-4AE9-B0CB-2D4C96A037AB}">
  <ds:schemaRefs/>
</ds:datastoreItem>
</file>

<file path=docProps/app.xml><?xml version="1.0" encoding="utf-8"?>
<Properties xmlns="http://schemas.openxmlformats.org/officeDocument/2006/extended-properties" xmlns:vt="http://schemas.openxmlformats.org/officeDocument/2006/docPropsVTypes">
  <Template>Normal.dotm</Template>
  <TotalTime>71</TotalTime>
  <Pages>11</Pages>
  <Words>7874</Words>
  <Characters>1416</Characters>
  <Application>Microsoft Office Word</Application>
  <DocSecurity>0</DocSecurity>
  <Lines>11</Lines>
  <Paragraphs>18</Paragraphs>
  <ScaleCrop>false</ScaleCrop>
  <HeadingPairs>
    <vt:vector size="2" baseType="variant">
      <vt:variant>
        <vt:lpstr>Title</vt:lpstr>
      </vt:variant>
      <vt:variant>
        <vt:i4>1</vt:i4>
      </vt:variant>
    </vt:vector>
  </HeadingPairs>
  <TitlesOfParts>
    <vt:vector size="1" baseType="lpstr">
      <vt:lpstr>T22-WTSA.24-C-0037!A8!MSW-C</vt:lpstr>
    </vt:vector>
  </TitlesOfParts>
  <Manager>General Secretariat - Pool</Manager>
  <Company>International Telecommunication Union (ITU)</Company>
  <LinksUpToDate>false</LinksUpToDate>
  <CharactersWithSpaces>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T22-WTSA.24-C-0037!A8!MSW-C</dc:title>
  <dc:subject>World Telecommunication Standardization Assembly</dc:subject>
  <dc:creator>Documents Proposals Manager (DPM)</dc:creator>
  <cp:keywords>DPM_v2024.7.23.2_prod</cp:keywords>
  <dc:description>Template used by DPM and CPI for the WTSA-24</dc:description>
  <cp:lastModifiedBy>LING-C(JL)</cp:lastModifiedBy>
  <cp:revision>5</cp:revision>
  <cp:lastPrinted>2016-06-06T07:49:00Z</cp:lastPrinted>
  <dcterms:created xsi:type="dcterms:W3CDTF">2024-09-30T07:59:00Z</dcterms:created>
  <dcterms:modified xsi:type="dcterms:W3CDTF">2024-09-30T09:15:00Z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y fmtid="{D5CDD505-2E9C-101B-9397-08002B2CF9AE}" pid="11" name="KSOProductBuildVer">
    <vt:lpwstr>2052-12.1.0.17857</vt:lpwstr>
  </property>
  <property fmtid="{D5CDD505-2E9C-101B-9397-08002B2CF9AE}" pid="12" name="ICV">
    <vt:lpwstr>1088AC749A494C4C809EC5385F32030A_12</vt:lpwstr>
  </property>
</Properties>
</file>