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0E272C" w14:paraId="7E08A928" w14:textId="77777777" w:rsidTr="008E0616">
        <w:trPr>
          <w:cantSplit/>
          <w:trHeight w:val="1132"/>
        </w:trPr>
        <w:tc>
          <w:tcPr>
            <w:tcW w:w="1290" w:type="dxa"/>
            <w:vAlign w:val="center"/>
          </w:tcPr>
          <w:p w14:paraId="3D7E8C0C" w14:textId="77777777" w:rsidR="00D2023F" w:rsidRPr="000E272C" w:rsidRDefault="0018215C" w:rsidP="00EB5053">
            <w:pPr>
              <w:rPr>
                <w:lang w:val="es-ES_tradnl"/>
              </w:rPr>
            </w:pPr>
            <w:r w:rsidRPr="000E272C">
              <w:rPr>
                <w:noProof/>
                <w:lang w:val="es-ES_tradnl"/>
              </w:rPr>
              <w:drawing>
                <wp:inline distT="0" distB="0" distL="0" distR="0" wp14:anchorId="5EFAEE94" wp14:editId="5B9F882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ACF8C04" w14:textId="77777777" w:rsidR="00E610A4" w:rsidRPr="000E272C" w:rsidRDefault="00E610A4" w:rsidP="00E610A4">
            <w:pPr>
              <w:rPr>
                <w:rFonts w:ascii="Verdana" w:hAnsi="Verdana" w:cs="Times New Roman Bold"/>
                <w:b/>
                <w:bCs/>
                <w:szCs w:val="24"/>
                <w:lang w:val="es-ES_tradnl"/>
              </w:rPr>
            </w:pPr>
            <w:r w:rsidRPr="000E272C">
              <w:rPr>
                <w:rFonts w:ascii="Verdana" w:hAnsi="Verdana" w:cs="Times New Roman Bold"/>
                <w:b/>
                <w:bCs/>
                <w:szCs w:val="24"/>
                <w:lang w:val="es-ES_tradnl"/>
              </w:rPr>
              <w:t>Asamblea Mundial de Normalización de las Telecomunicaciones (AMNT-24)</w:t>
            </w:r>
          </w:p>
          <w:p w14:paraId="473B3F42" w14:textId="77777777" w:rsidR="00D2023F" w:rsidRPr="000E272C" w:rsidRDefault="00E610A4" w:rsidP="00E610A4">
            <w:pPr>
              <w:pStyle w:val="TopHeader"/>
              <w:spacing w:before="0"/>
              <w:rPr>
                <w:lang w:val="es-ES_tradnl"/>
              </w:rPr>
            </w:pPr>
            <w:r w:rsidRPr="000E272C">
              <w:rPr>
                <w:sz w:val="18"/>
                <w:szCs w:val="18"/>
                <w:lang w:val="es-ES_tradnl"/>
              </w:rPr>
              <w:t>Nueva Delhi, 15-24 de octubre de 2024</w:t>
            </w:r>
          </w:p>
        </w:tc>
        <w:tc>
          <w:tcPr>
            <w:tcW w:w="1306" w:type="dxa"/>
            <w:tcBorders>
              <w:left w:val="nil"/>
            </w:tcBorders>
            <w:vAlign w:val="center"/>
          </w:tcPr>
          <w:p w14:paraId="46F69D98" w14:textId="77777777" w:rsidR="00D2023F" w:rsidRPr="000E272C" w:rsidRDefault="00D2023F" w:rsidP="00C30155">
            <w:pPr>
              <w:spacing w:before="0"/>
              <w:rPr>
                <w:lang w:val="es-ES_tradnl"/>
              </w:rPr>
            </w:pPr>
            <w:r w:rsidRPr="000E272C">
              <w:rPr>
                <w:noProof/>
                <w:lang w:val="es-ES_tradnl" w:eastAsia="zh-CN"/>
              </w:rPr>
              <w:drawing>
                <wp:inline distT="0" distB="0" distL="0" distR="0" wp14:anchorId="1237C2C0" wp14:editId="0036ED2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E272C" w14:paraId="31132F1D" w14:textId="77777777" w:rsidTr="008E0616">
        <w:trPr>
          <w:cantSplit/>
        </w:trPr>
        <w:tc>
          <w:tcPr>
            <w:tcW w:w="9811" w:type="dxa"/>
            <w:gridSpan w:val="4"/>
            <w:tcBorders>
              <w:bottom w:val="single" w:sz="12" w:space="0" w:color="auto"/>
            </w:tcBorders>
          </w:tcPr>
          <w:p w14:paraId="2D4E54AD" w14:textId="77777777" w:rsidR="00D2023F" w:rsidRPr="000E272C" w:rsidRDefault="00D2023F" w:rsidP="00C30155">
            <w:pPr>
              <w:spacing w:before="0"/>
              <w:rPr>
                <w:lang w:val="es-ES_tradnl"/>
              </w:rPr>
            </w:pPr>
          </w:p>
        </w:tc>
      </w:tr>
      <w:tr w:rsidR="00931298" w:rsidRPr="000E272C" w14:paraId="6F43E66B" w14:textId="77777777" w:rsidTr="008E0616">
        <w:trPr>
          <w:cantSplit/>
        </w:trPr>
        <w:tc>
          <w:tcPr>
            <w:tcW w:w="6237" w:type="dxa"/>
            <w:gridSpan w:val="2"/>
            <w:tcBorders>
              <w:top w:val="single" w:sz="12" w:space="0" w:color="auto"/>
            </w:tcBorders>
          </w:tcPr>
          <w:p w14:paraId="48034333" w14:textId="77777777" w:rsidR="00931298" w:rsidRPr="000E272C" w:rsidRDefault="00931298" w:rsidP="00EB5053">
            <w:pPr>
              <w:spacing w:before="0"/>
              <w:rPr>
                <w:sz w:val="20"/>
                <w:lang w:val="es-ES_tradnl"/>
              </w:rPr>
            </w:pPr>
          </w:p>
        </w:tc>
        <w:tc>
          <w:tcPr>
            <w:tcW w:w="3574" w:type="dxa"/>
            <w:gridSpan w:val="2"/>
          </w:tcPr>
          <w:p w14:paraId="4035E94C" w14:textId="77777777" w:rsidR="00931298" w:rsidRPr="000E272C" w:rsidRDefault="00931298" w:rsidP="00EB5053">
            <w:pPr>
              <w:spacing w:before="0"/>
              <w:rPr>
                <w:sz w:val="20"/>
                <w:lang w:val="es-ES_tradnl"/>
              </w:rPr>
            </w:pPr>
          </w:p>
        </w:tc>
      </w:tr>
      <w:tr w:rsidR="00752D4D" w:rsidRPr="000E272C" w14:paraId="4302FA77" w14:textId="77777777" w:rsidTr="008E0616">
        <w:trPr>
          <w:cantSplit/>
        </w:trPr>
        <w:tc>
          <w:tcPr>
            <w:tcW w:w="6237" w:type="dxa"/>
            <w:gridSpan w:val="2"/>
          </w:tcPr>
          <w:p w14:paraId="1AEB8099" w14:textId="77777777" w:rsidR="00752D4D" w:rsidRPr="000E272C" w:rsidRDefault="006C136E" w:rsidP="00C30155">
            <w:pPr>
              <w:pStyle w:val="Committee"/>
              <w:rPr>
                <w:lang w:val="es-ES_tradnl"/>
              </w:rPr>
            </w:pPr>
            <w:r w:rsidRPr="000E272C">
              <w:rPr>
                <w:lang w:val="es-ES_tradnl"/>
              </w:rPr>
              <w:t>SESIÓN PLENARIA</w:t>
            </w:r>
          </w:p>
        </w:tc>
        <w:tc>
          <w:tcPr>
            <w:tcW w:w="3574" w:type="dxa"/>
            <w:gridSpan w:val="2"/>
          </w:tcPr>
          <w:p w14:paraId="57B12C72" w14:textId="77777777" w:rsidR="00752D4D" w:rsidRPr="000E272C" w:rsidRDefault="006C136E" w:rsidP="00A52D1A">
            <w:pPr>
              <w:pStyle w:val="Docnumber"/>
              <w:rPr>
                <w:lang w:val="es-ES_tradnl"/>
              </w:rPr>
            </w:pPr>
            <w:r w:rsidRPr="000E272C">
              <w:rPr>
                <w:lang w:val="es-ES_tradnl"/>
              </w:rPr>
              <w:t>Addéndum 45 al</w:t>
            </w:r>
            <w:r w:rsidRPr="000E272C">
              <w:rPr>
                <w:lang w:val="es-ES_tradnl"/>
              </w:rPr>
              <w:br/>
              <w:t>Documento 37</w:t>
            </w:r>
            <w:r w:rsidR="00D34410" w:rsidRPr="000E272C">
              <w:rPr>
                <w:lang w:val="es-ES_tradnl"/>
              </w:rPr>
              <w:t>-S</w:t>
            </w:r>
          </w:p>
        </w:tc>
      </w:tr>
      <w:tr w:rsidR="00931298" w:rsidRPr="000E272C" w14:paraId="7D1D3507" w14:textId="77777777" w:rsidTr="008E0616">
        <w:trPr>
          <w:cantSplit/>
        </w:trPr>
        <w:tc>
          <w:tcPr>
            <w:tcW w:w="6237" w:type="dxa"/>
            <w:gridSpan w:val="2"/>
          </w:tcPr>
          <w:p w14:paraId="644F7408" w14:textId="77777777" w:rsidR="00931298" w:rsidRPr="000E272C" w:rsidRDefault="00931298" w:rsidP="00C30155">
            <w:pPr>
              <w:spacing w:before="0"/>
              <w:rPr>
                <w:sz w:val="20"/>
                <w:lang w:val="es-ES_tradnl"/>
              </w:rPr>
            </w:pPr>
          </w:p>
        </w:tc>
        <w:tc>
          <w:tcPr>
            <w:tcW w:w="3574" w:type="dxa"/>
            <w:gridSpan w:val="2"/>
          </w:tcPr>
          <w:p w14:paraId="572337B6" w14:textId="77777777" w:rsidR="00931298" w:rsidRPr="000E272C" w:rsidRDefault="006C136E" w:rsidP="00C30155">
            <w:pPr>
              <w:pStyle w:val="TopHeader"/>
              <w:spacing w:before="0"/>
              <w:rPr>
                <w:sz w:val="20"/>
                <w:szCs w:val="20"/>
                <w:lang w:val="es-ES_tradnl"/>
              </w:rPr>
            </w:pPr>
            <w:r w:rsidRPr="000E272C">
              <w:rPr>
                <w:sz w:val="20"/>
                <w:szCs w:val="16"/>
                <w:lang w:val="es-ES_tradnl"/>
              </w:rPr>
              <w:t>22 de septiembre de 2024</w:t>
            </w:r>
          </w:p>
        </w:tc>
      </w:tr>
      <w:tr w:rsidR="00931298" w:rsidRPr="000E272C" w14:paraId="347FF0B1" w14:textId="77777777" w:rsidTr="008E0616">
        <w:trPr>
          <w:cantSplit/>
        </w:trPr>
        <w:tc>
          <w:tcPr>
            <w:tcW w:w="6237" w:type="dxa"/>
            <w:gridSpan w:val="2"/>
          </w:tcPr>
          <w:p w14:paraId="64884DAB" w14:textId="77777777" w:rsidR="00931298" w:rsidRPr="000E272C" w:rsidRDefault="00931298" w:rsidP="00C30155">
            <w:pPr>
              <w:spacing w:before="0"/>
              <w:rPr>
                <w:sz w:val="20"/>
                <w:lang w:val="es-ES_tradnl"/>
              </w:rPr>
            </w:pPr>
          </w:p>
        </w:tc>
        <w:tc>
          <w:tcPr>
            <w:tcW w:w="3574" w:type="dxa"/>
            <w:gridSpan w:val="2"/>
          </w:tcPr>
          <w:p w14:paraId="5C188A56" w14:textId="77777777" w:rsidR="00931298" w:rsidRPr="000E272C" w:rsidRDefault="006C136E" w:rsidP="00C30155">
            <w:pPr>
              <w:pStyle w:val="TopHeader"/>
              <w:spacing w:before="0"/>
              <w:rPr>
                <w:sz w:val="20"/>
                <w:szCs w:val="20"/>
                <w:lang w:val="es-ES_tradnl"/>
              </w:rPr>
            </w:pPr>
            <w:r w:rsidRPr="000E272C">
              <w:rPr>
                <w:sz w:val="20"/>
                <w:szCs w:val="16"/>
                <w:lang w:val="es-ES_tradnl"/>
              </w:rPr>
              <w:t>Original: inglés</w:t>
            </w:r>
          </w:p>
        </w:tc>
      </w:tr>
      <w:tr w:rsidR="00931298" w:rsidRPr="000E272C" w14:paraId="0A3B69AC" w14:textId="77777777" w:rsidTr="008E0616">
        <w:trPr>
          <w:cantSplit/>
        </w:trPr>
        <w:tc>
          <w:tcPr>
            <w:tcW w:w="9811" w:type="dxa"/>
            <w:gridSpan w:val="4"/>
          </w:tcPr>
          <w:p w14:paraId="2B417BE9" w14:textId="77777777" w:rsidR="00931298" w:rsidRPr="000E272C" w:rsidRDefault="00931298" w:rsidP="00EB5053">
            <w:pPr>
              <w:spacing w:before="0"/>
              <w:rPr>
                <w:sz w:val="20"/>
                <w:lang w:val="es-ES_tradnl"/>
              </w:rPr>
            </w:pPr>
          </w:p>
        </w:tc>
      </w:tr>
      <w:tr w:rsidR="00931298" w:rsidRPr="000E272C" w14:paraId="6A40958E" w14:textId="77777777" w:rsidTr="008E0616">
        <w:trPr>
          <w:cantSplit/>
        </w:trPr>
        <w:tc>
          <w:tcPr>
            <w:tcW w:w="9811" w:type="dxa"/>
            <w:gridSpan w:val="4"/>
          </w:tcPr>
          <w:p w14:paraId="24519EAA" w14:textId="77777777" w:rsidR="00931298" w:rsidRPr="000E272C" w:rsidRDefault="006C136E" w:rsidP="00C30155">
            <w:pPr>
              <w:pStyle w:val="Source"/>
              <w:rPr>
                <w:lang w:val="es-ES_tradnl"/>
              </w:rPr>
            </w:pPr>
            <w:r w:rsidRPr="000E272C">
              <w:rPr>
                <w:lang w:val="es-ES_tradnl"/>
              </w:rPr>
              <w:t>Administraciones miembro de la Telecomunidad Asia-Pacífico</w:t>
            </w:r>
          </w:p>
        </w:tc>
      </w:tr>
      <w:tr w:rsidR="00931298" w:rsidRPr="000E272C" w14:paraId="4F864598" w14:textId="77777777" w:rsidTr="008E0616">
        <w:trPr>
          <w:cantSplit/>
        </w:trPr>
        <w:tc>
          <w:tcPr>
            <w:tcW w:w="9811" w:type="dxa"/>
            <w:gridSpan w:val="4"/>
          </w:tcPr>
          <w:p w14:paraId="4AB65276" w14:textId="654216F3" w:rsidR="00931298" w:rsidRPr="000E272C" w:rsidRDefault="00AB1641" w:rsidP="00C30155">
            <w:pPr>
              <w:pStyle w:val="Title1"/>
              <w:rPr>
                <w:lang w:val="es-ES_tradnl"/>
              </w:rPr>
            </w:pPr>
            <w:r w:rsidRPr="000E272C">
              <w:rPr>
                <w:lang w:val="es-ES_tradnl"/>
              </w:rPr>
              <w:t xml:space="preserve">PROYECTO DE NUEVA RESOLUCIÓN </w:t>
            </w:r>
            <w:r w:rsidR="006C136E" w:rsidRPr="000E272C">
              <w:rPr>
                <w:lang w:val="es-ES_tradnl"/>
              </w:rPr>
              <w:t xml:space="preserve">[APT-VC] - </w:t>
            </w:r>
            <w:r w:rsidR="00B669BF" w:rsidRPr="000E272C">
              <w:rPr>
                <w:lang w:val="es-ES_tradnl"/>
              </w:rPr>
              <w:t xml:space="preserve">FOMENTO Y REFUERZO DE LAS ACTIVIDADES DE NORMALIZACIÓN DE LAS COMUNICACIONES </w:t>
            </w:r>
            <w:r w:rsidR="00055A59" w:rsidRPr="000E272C">
              <w:rPr>
                <w:lang w:val="es-ES_tradnl"/>
              </w:rPr>
              <w:t>VEHICULARES</w:t>
            </w:r>
          </w:p>
        </w:tc>
      </w:tr>
      <w:tr w:rsidR="00657CDA" w:rsidRPr="000E272C" w14:paraId="4D43BB1F" w14:textId="77777777" w:rsidTr="008E0616">
        <w:trPr>
          <w:cantSplit/>
          <w:trHeight w:hRule="exact" w:val="240"/>
        </w:trPr>
        <w:tc>
          <w:tcPr>
            <w:tcW w:w="9811" w:type="dxa"/>
            <w:gridSpan w:val="4"/>
          </w:tcPr>
          <w:p w14:paraId="6D28B20E" w14:textId="77777777" w:rsidR="00657CDA" w:rsidRPr="000E272C" w:rsidRDefault="00657CDA" w:rsidP="006C136E">
            <w:pPr>
              <w:pStyle w:val="Title2"/>
              <w:spacing w:before="0"/>
              <w:rPr>
                <w:lang w:val="es-ES_tradnl"/>
              </w:rPr>
            </w:pPr>
          </w:p>
        </w:tc>
      </w:tr>
      <w:tr w:rsidR="00657CDA" w:rsidRPr="000E272C" w14:paraId="39772DA3" w14:textId="77777777" w:rsidTr="008E0616">
        <w:trPr>
          <w:cantSplit/>
          <w:trHeight w:hRule="exact" w:val="240"/>
        </w:trPr>
        <w:tc>
          <w:tcPr>
            <w:tcW w:w="9811" w:type="dxa"/>
            <w:gridSpan w:val="4"/>
          </w:tcPr>
          <w:p w14:paraId="3A6E6DCD" w14:textId="77777777" w:rsidR="00657CDA" w:rsidRPr="000E272C" w:rsidRDefault="00657CDA" w:rsidP="00293F9A">
            <w:pPr>
              <w:pStyle w:val="Agendaitem"/>
              <w:spacing w:before="0"/>
            </w:pPr>
          </w:p>
        </w:tc>
      </w:tr>
    </w:tbl>
    <w:p w14:paraId="2C1E89BA" w14:textId="77777777" w:rsidR="00931298" w:rsidRPr="000E272C"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0E272C" w14:paraId="5C85EF73" w14:textId="77777777" w:rsidTr="008E0616">
        <w:trPr>
          <w:cantSplit/>
        </w:trPr>
        <w:tc>
          <w:tcPr>
            <w:tcW w:w="1912" w:type="dxa"/>
          </w:tcPr>
          <w:p w14:paraId="2A96714C" w14:textId="77777777" w:rsidR="00931298" w:rsidRPr="000E272C" w:rsidRDefault="00E610A4" w:rsidP="00C30155">
            <w:pPr>
              <w:rPr>
                <w:lang w:val="es-ES_tradnl"/>
              </w:rPr>
            </w:pPr>
            <w:r w:rsidRPr="000E272C">
              <w:rPr>
                <w:b/>
                <w:bCs/>
                <w:lang w:val="es-ES_tradnl"/>
              </w:rPr>
              <w:t>Resumen:</w:t>
            </w:r>
          </w:p>
        </w:tc>
        <w:tc>
          <w:tcPr>
            <w:tcW w:w="7870" w:type="dxa"/>
            <w:gridSpan w:val="2"/>
          </w:tcPr>
          <w:p w14:paraId="68854A72" w14:textId="2587AF5E" w:rsidR="00931298" w:rsidRPr="000E272C" w:rsidRDefault="006E09E3" w:rsidP="00FA545C">
            <w:pPr>
              <w:pStyle w:val="Abstract"/>
              <w:rPr>
                <w:lang w:val="es-ES_tradnl"/>
              </w:rPr>
            </w:pPr>
            <w:r w:rsidRPr="000E272C">
              <w:rPr>
                <w:color w:val="000000" w:themeColor="text1"/>
                <w:lang w:val="es-ES_tradnl"/>
              </w:rPr>
              <w:t xml:space="preserve">En el presente documento se propone la adición de una nueva Resolución UIT-T APT-VC </w:t>
            </w:r>
            <w:r w:rsidR="00FA545C" w:rsidRPr="000E272C">
              <w:rPr>
                <w:color w:val="000000" w:themeColor="text1"/>
                <w:lang w:val="es-ES_tradnl"/>
              </w:rPr>
              <w:t>"</w:t>
            </w:r>
            <w:r w:rsidRPr="000E272C">
              <w:rPr>
                <w:color w:val="000000" w:themeColor="text1"/>
                <w:lang w:val="es-ES_tradnl"/>
              </w:rPr>
              <w:t>Fomento y refuerzo de las actividades de normalización de las comunicaciones vehiculares</w:t>
            </w:r>
            <w:r w:rsidR="00FA545C" w:rsidRPr="000E272C">
              <w:rPr>
                <w:color w:val="000000" w:themeColor="text1"/>
                <w:lang w:val="es-ES_tradnl"/>
              </w:rPr>
              <w:t>"</w:t>
            </w:r>
            <w:r w:rsidRPr="000E272C">
              <w:rPr>
                <w:color w:val="000000" w:themeColor="text1"/>
                <w:lang w:val="es-ES_tradnl"/>
              </w:rPr>
              <w:t xml:space="preserve">, necesaria para potenciar las actividades de normalización y la colaboración entre todas las partes interesadas con el fin de afrontar los retos de </w:t>
            </w:r>
            <w:r w:rsidR="00C93BB8" w:rsidRPr="000E272C">
              <w:rPr>
                <w:color w:val="000000" w:themeColor="text1"/>
                <w:lang w:val="es-ES_tradnl"/>
              </w:rPr>
              <w:t xml:space="preserve">la </w:t>
            </w:r>
            <w:r w:rsidRPr="000E272C">
              <w:rPr>
                <w:color w:val="000000" w:themeColor="text1"/>
                <w:lang w:val="es-ES_tradnl"/>
              </w:rPr>
              <w:t>movilidad de</w:t>
            </w:r>
            <w:r w:rsidR="00093168" w:rsidRPr="000E272C">
              <w:rPr>
                <w:color w:val="000000" w:themeColor="text1"/>
                <w:lang w:val="es-ES_tradnl"/>
              </w:rPr>
              <w:t xml:space="preserve"> cara a</w:t>
            </w:r>
            <w:r w:rsidRPr="000E272C">
              <w:rPr>
                <w:color w:val="000000" w:themeColor="text1"/>
                <w:lang w:val="es-ES_tradnl"/>
              </w:rPr>
              <w:t>l futuro.</w:t>
            </w:r>
          </w:p>
        </w:tc>
      </w:tr>
      <w:tr w:rsidR="00931298" w:rsidRPr="000E272C" w14:paraId="50985578" w14:textId="77777777" w:rsidTr="008E0616">
        <w:trPr>
          <w:cantSplit/>
        </w:trPr>
        <w:tc>
          <w:tcPr>
            <w:tcW w:w="1912" w:type="dxa"/>
          </w:tcPr>
          <w:p w14:paraId="193FE82B" w14:textId="77777777" w:rsidR="00931298" w:rsidRPr="000E272C" w:rsidRDefault="00E610A4" w:rsidP="00C30155">
            <w:pPr>
              <w:rPr>
                <w:b/>
                <w:bCs/>
                <w:szCs w:val="24"/>
                <w:lang w:val="es-ES_tradnl"/>
              </w:rPr>
            </w:pPr>
            <w:r w:rsidRPr="000E272C">
              <w:rPr>
                <w:b/>
                <w:bCs/>
                <w:lang w:val="es-ES_tradnl"/>
              </w:rPr>
              <w:t>Contacto:</w:t>
            </w:r>
          </w:p>
        </w:tc>
        <w:tc>
          <w:tcPr>
            <w:tcW w:w="3935" w:type="dxa"/>
          </w:tcPr>
          <w:p w14:paraId="43BA87D9" w14:textId="02EEC01F" w:rsidR="00FE5494" w:rsidRPr="000E272C" w:rsidRDefault="00FE1DF8" w:rsidP="00E6117A">
            <w:pPr>
              <w:rPr>
                <w:lang w:val="es-ES_tradnl"/>
              </w:rPr>
            </w:pPr>
            <w:r w:rsidRPr="000E272C">
              <w:rPr>
                <w:lang w:val="es-ES_tradnl"/>
              </w:rPr>
              <w:t xml:space="preserve">Sr. Masanori Kondo </w:t>
            </w:r>
            <w:r w:rsidRPr="000E272C">
              <w:rPr>
                <w:lang w:val="es-ES_tradnl"/>
              </w:rPr>
              <w:br/>
              <w:t>Secretario General</w:t>
            </w:r>
            <w:r w:rsidRPr="000E272C">
              <w:rPr>
                <w:lang w:val="es-ES_tradnl"/>
              </w:rPr>
              <w:br/>
              <w:t>Telecomunidad Asia-Pacífico</w:t>
            </w:r>
          </w:p>
        </w:tc>
        <w:tc>
          <w:tcPr>
            <w:tcW w:w="3935" w:type="dxa"/>
          </w:tcPr>
          <w:p w14:paraId="65FA5B95" w14:textId="3667931E" w:rsidR="00931298" w:rsidRPr="000E272C" w:rsidRDefault="00E610A4" w:rsidP="00E6117A">
            <w:pPr>
              <w:rPr>
                <w:lang w:val="es-ES_tradnl"/>
              </w:rPr>
            </w:pPr>
            <w:r w:rsidRPr="000E272C">
              <w:rPr>
                <w:lang w:val="es-ES_tradnl"/>
              </w:rPr>
              <w:t>Correo-e:</w:t>
            </w:r>
            <w:r w:rsidR="00F21E49" w:rsidRPr="000E272C">
              <w:rPr>
                <w:lang w:val="es-ES_tradnl"/>
              </w:rPr>
              <w:t xml:space="preserve"> </w:t>
            </w:r>
            <w:hyperlink r:id="rId14" w:history="1">
              <w:r w:rsidR="00F21E49" w:rsidRPr="000E272C">
                <w:rPr>
                  <w:rStyle w:val="Hyperlink"/>
                  <w:lang w:val="es-ES_tradnl"/>
                </w:rPr>
                <w:t>aptwtsa@apt.int</w:t>
              </w:r>
            </w:hyperlink>
          </w:p>
        </w:tc>
      </w:tr>
    </w:tbl>
    <w:p w14:paraId="4C688F55" w14:textId="067FB8DD" w:rsidR="00683CB6" w:rsidRPr="000E272C" w:rsidRDefault="003021E6" w:rsidP="00683CB6">
      <w:pPr>
        <w:pStyle w:val="Headingb"/>
        <w:rPr>
          <w:lang w:val="es-ES_tradnl"/>
        </w:rPr>
      </w:pPr>
      <w:r w:rsidRPr="000E272C">
        <w:rPr>
          <w:lang w:val="es-ES_tradnl"/>
        </w:rPr>
        <w:t>Introducción</w:t>
      </w:r>
    </w:p>
    <w:p w14:paraId="3BE7A174" w14:textId="2DE2902C" w:rsidR="00785FF3" w:rsidRPr="000E272C" w:rsidRDefault="00785FF3" w:rsidP="00785FF3">
      <w:pPr>
        <w:rPr>
          <w:lang w:val="es-ES_tradnl"/>
        </w:rPr>
      </w:pPr>
      <w:r w:rsidRPr="000E272C">
        <w:rPr>
          <w:lang w:val="es-ES_tradnl"/>
        </w:rPr>
        <w:t xml:space="preserve">En los últimos años, las comunicaciones vehiculares, como </w:t>
      </w:r>
      <w:r w:rsidR="00A1325F" w:rsidRPr="000E272C">
        <w:rPr>
          <w:lang w:val="es-ES_tradnl"/>
        </w:rPr>
        <w:t>las d</w:t>
      </w:r>
      <w:r w:rsidRPr="000E272C">
        <w:rPr>
          <w:lang w:val="es-ES_tradnl"/>
        </w:rPr>
        <w:t xml:space="preserve">el vehículo </w:t>
      </w:r>
      <w:r w:rsidR="00C224D4" w:rsidRPr="000E272C">
        <w:rPr>
          <w:lang w:val="es-ES_tradnl"/>
        </w:rPr>
        <w:t>y su entorno</w:t>
      </w:r>
      <w:r w:rsidRPr="000E272C">
        <w:rPr>
          <w:lang w:val="es-ES_tradnl"/>
        </w:rPr>
        <w:t xml:space="preserve"> (V2X) y los sistemas de transporte inteligentes (STI), han cobrado cada vez más importancia en el desarrollo de vehículos conectados y automatizados (</w:t>
      </w:r>
      <w:r w:rsidR="004B07EC" w:rsidRPr="000E272C">
        <w:rPr>
          <w:lang w:val="es-ES_tradnl"/>
        </w:rPr>
        <w:t>VC</w:t>
      </w:r>
      <w:r w:rsidR="00B0252E" w:rsidRPr="000E272C">
        <w:rPr>
          <w:lang w:val="es-ES_tradnl"/>
        </w:rPr>
        <w:t>A</w:t>
      </w:r>
      <w:r w:rsidRPr="000E272C">
        <w:rPr>
          <w:lang w:val="es-ES_tradnl"/>
        </w:rPr>
        <w:t>), que ayudan a prevenir colisiones, reducir la congestión y mejorar la fluidez del tráfico.</w:t>
      </w:r>
    </w:p>
    <w:p w14:paraId="1FA2922F" w14:textId="09122A2A" w:rsidR="00683CB6" w:rsidRPr="000E272C" w:rsidRDefault="004B07EC" w:rsidP="00683CB6">
      <w:pPr>
        <w:rPr>
          <w:rFonts w:eastAsia="SimSun"/>
          <w:lang w:val="es-ES_tradnl" w:eastAsia="zh-CN"/>
        </w:rPr>
      </w:pPr>
      <w:r w:rsidRPr="000E272C">
        <w:rPr>
          <w:rFonts w:eastAsia="SimSun"/>
          <w:lang w:val="es-ES_tradnl" w:eastAsia="zh-CN"/>
        </w:rPr>
        <w:t>Las comunicaciones vehiculares</w:t>
      </w:r>
      <w:r w:rsidR="00A1325F" w:rsidRPr="000E272C">
        <w:rPr>
          <w:rFonts w:eastAsia="SimSun"/>
          <w:lang w:val="es-ES_tradnl" w:eastAsia="zh-CN"/>
        </w:rPr>
        <w:t>,</w:t>
      </w:r>
      <w:r w:rsidRPr="000E272C">
        <w:rPr>
          <w:rFonts w:eastAsia="SimSun"/>
          <w:lang w:val="es-ES_tradnl" w:eastAsia="zh-CN"/>
        </w:rPr>
        <w:t xml:space="preserve"> como V2X y STI</w:t>
      </w:r>
      <w:r w:rsidR="00A1325F" w:rsidRPr="000E272C">
        <w:rPr>
          <w:rFonts w:eastAsia="SimSun"/>
          <w:lang w:val="es-ES_tradnl" w:eastAsia="zh-CN"/>
        </w:rPr>
        <w:t>,</w:t>
      </w:r>
      <w:r w:rsidRPr="000E272C">
        <w:rPr>
          <w:rFonts w:eastAsia="SimSun"/>
          <w:lang w:val="es-ES_tradnl" w:eastAsia="zh-CN"/>
        </w:rPr>
        <w:t xml:space="preserve"> desempeñan un papel crucial en el cumplimiento de los Objetivos de Desarrollo Sostenible (ODS) de las Naciones Unidas, por ejemplo, el ODS3</w:t>
      </w:r>
      <w:r w:rsidR="00E5760F" w:rsidRPr="000E272C">
        <w:rPr>
          <w:rFonts w:eastAsia="SimSun"/>
          <w:lang w:val="es-ES_tradnl" w:eastAsia="zh-CN"/>
        </w:rPr>
        <w:t xml:space="preserve"> relativo a la reducción d</w:t>
      </w:r>
      <w:r w:rsidRPr="000E272C">
        <w:rPr>
          <w:rFonts w:eastAsia="SimSun"/>
          <w:lang w:val="es-ES_tradnl" w:eastAsia="zh-CN"/>
        </w:rPr>
        <w:t>el número de víctimas mortales y heridos graves en carretera. Estas tecnologías también fomentan la modernización de las infraestructuras, transforman las infraestructuras urbanas y aceleran el crecimiento de la economía digital.</w:t>
      </w:r>
    </w:p>
    <w:p w14:paraId="3ACECFAB" w14:textId="34C72E93" w:rsidR="00683CB6" w:rsidRPr="000E272C" w:rsidRDefault="0073108E" w:rsidP="00683CB6">
      <w:pPr>
        <w:rPr>
          <w:lang w:val="es-ES_tradnl"/>
        </w:rPr>
      </w:pPr>
      <w:r w:rsidRPr="000E272C">
        <w:rPr>
          <w:lang w:val="es-ES_tradnl"/>
        </w:rPr>
        <w:t>Muchas organizaciones llevan un par de décadas dedicadas a la normalización y el fomento de comunicaciones vehiculares</w:t>
      </w:r>
      <w:r w:rsidR="00A1325F" w:rsidRPr="000E272C">
        <w:rPr>
          <w:lang w:val="es-ES_tradnl"/>
        </w:rPr>
        <w:t>,</w:t>
      </w:r>
      <w:r w:rsidRPr="000E272C">
        <w:rPr>
          <w:lang w:val="es-ES_tradnl"/>
        </w:rPr>
        <w:t xml:space="preserve"> como V2X y STI, pero no ha surgido ninguna tecnología que satisfaga las necesidades de la movilidad</w:t>
      </w:r>
      <w:r w:rsidR="00683CB6" w:rsidRPr="000E272C">
        <w:rPr>
          <w:lang w:val="es-ES_tradnl"/>
        </w:rPr>
        <w:t>.</w:t>
      </w:r>
    </w:p>
    <w:p w14:paraId="2B01AE9C" w14:textId="25B89209" w:rsidR="00683CB6" w:rsidRPr="000E272C" w:rsidRDefault="005E33BD" w:rsidP="00683CB6">
      <w:pPr>
        <w:rPr>
          <w:lang w:val="es-ES_tradnl"/>
        </w:rPr>
      </w:pPr>
      <w:r w:rsidRPr="000E272C">
        <w:rPr>
          <w:lang w:val="es-ES_tradnl"/>
        </w:rPr>
        <w:t xml:space="preserve">La Comisión Económica de las Naciones Unidas para Europa (CEPE) creó el Grupo de Trabajo sobre Comunicaciones Vehiculares para determinar el papel que podría desempeñar su Foro Mundial para la Armonización de la Reglamentación sobre Vehículos (WP.29) en el fomento de la sostenibilidad, </w:t>
      </w:r>
      <w:r w:rsidR="004C6112" w:rsidRPr="000E272C">
        <w:rPr>
          <w:lang w:val="es-ES_tradnl"/>
        </w:rPr>
        <w:t>el aumento</w:t>
      </w:r>
      <w:r w:rsidRPr="000E272C">
        <w:rPr>
          <w:lang w:val="es-ES_tradnl"/>
        </w:rPr>
        <w:t xml:space="preserve"> de la seguridad y </w:t>
      </w:r>
      <w:r w:rsidR="004C6112" w:rsidRPr="000E272C">
        <w:rPr>
          <w:lang w:val="es-ES_tradnl"/>
        </w:rPr>
        <w:t>la promoción de</w:t>
      </w:r>
      <w:r w:rsidRPr="000E272C">
        <w:rPr>
          <w:lang w:val="es-ES_tradnl"/>
        </w:rPr>
        <w:t xml:space="preserve"> la conducción automatizada</w:t>
      </w:r>
      <w:r w:rsidR="00683CB6" w:rsidRPr="000E272C">
        <w:rPr>
          <w:lang w:val="es-ES_tradnl"/>
        </w:rPr>
        <w:t>.</w:t>
      </w:r>
    </w:p>
    <w:p w14:paraId="7A946831" w14:textId="585285EF" w:rsidR="00683CB6" w:rsidRPr="000E272C" w:rsidRDefault="00E916C6" w:rsidP="00683CB6">
      <w:pPr>
        <w:rPr>
          <w:lang w:val="es-ES_tradnl"/>
        </w:rPr>
      </w:pPr>
      <w:r w:rsidRPr="000E272C">
        <w:rPr>
          <w:lang w:val="es-ES_tradnl"/>
        </w:rPr>
        <w:lastRenderedPageBreak/>
        <w:t>El UIT-R ha investigado los requisitos de radiocomunicaciones y las necesidades de espectro para las aplicaciones V2X/STI</w:t>
      </w:r>
      <w:r w:rsidR="00683CB6" w:rsidRPr="000E272C">
        <w:rPr>
          <w:lang w:val="es-ES_tradnl"/>
        </w:rPr>
        <w:t>.</w:t>
      </w:r>
    </w:p>
    <w:p w14:paraId="2A6E119E" w14:textId="70E8F511" w:rsidR="00683CB6" w:rsidRPr="000E272C" w:rsidRDefault="0011310F" w:rsidP="00683CB6">
      <w:pPr>
        <w:rPr>
          <w:lang w:val="es-ES_tradnl" w:eastAsia="zh-CN"/>
        </w:rPr>
      </w:pPr>
      <w:r w:rsidRPr="000E272C">
        <w:rPr>
          <w:rFonts w:eastAsia="SimSun"/>
          <w:lang w:val="es-ES_tradnl" w:eastAsia="zh-CN"/>
        </w:rPr>
        <w:t>Varias Comisiones de Estudio del UIT-T se dedican a distintos aspectos de la comunicación vehicular, como V2X y STI.</w:t>
      </w:r>
    </w:p>
    <w:p w14:paraId="5BA6B0F0" w14:textId="340E85D0" w:rsidR="00683CB6" w:rsidRPr="000E272C" w:rsidRDefault="003D2227" w:rsidP="00683CB6">
      <w:pPr>
        <w:rPr>
          <w:lang w:val="es-ES_tradnl" w:eastAsia="zh-CN"/>
        </w:rPr>
      </w:pPr>
      <w:r w:rsidRPr="000E272C">
        <w:rPr>
          <w:lang w:val="es-ES_tradnl" w:eastAsia="zh-CN"/>
        </w:rPr>
        <w:t>La UIT fomenta la coordinación entre diversas organizaciones de normalización por medio de la Colaboración en materia de Normas de Comunicación STI (CITS), que ha creado el Grupo de Expertos en Tecnología de Comunicaciones para la Conducción Automatizada.</w:t>
      </w:r>
    </w:p>
    <w:p w14:paraId="24DEDF86" w14:textId="2C304120" w:rsidR="00683CB6" w:rsidRPr="000E272C" w:rsidRDefault="00470235" w:rsidP="00683CB6">
      <w:pPr>
        <w:rPr>
          <w:color w:val="000000" w:themeColor="text1"/>
          <w:lang w:val="es-ES_tradnl"/>
        </w:rPr>
      </w:pPr>
      <w:r w:rsidRPr="000E272C">
        <w:rPr>
          <w:rFonts w:eastAsia="SimSun"/>
          <w:lang w:val="es-ES_tradnl" w:eastAsia="zh-CN"/>
        </w:rPr>
        <w:t xml:space="preserve">Habida cuenta de lo anterior, es necesario reforzar las actividades de normalización y la colaboración entre todas las partes interesadas para afrontar los retos de la movilidad de cara al futuro. Esta nueva Resolución del UIT-T servirá a tal </w:t>
      </w:r>
      <w:r w:rsidR="00C93BB8" w:rsidRPr="000E272C">
        <w:rPr>
          <w:rFonts w:eastAsia="SimSun"/>
          <w:lang w:val="es-ES_tradnl" w:eastAsia="zh-CN"/>
        </w:rPr>
        <w:t>efecto</w:t>
      </w:r>
      <w:r w:rsidR="00683CB6" w:rsidRPr="000E272C">
        <w:rPr>
          <w:rFonts w:eastAsia="SimSun"/>
          <w:lang w:val="es-ES_tradnl" w:eastAsia="zh-CN"/>
        </w:rPr>
        <w:t>.</w:t>
      </w:r>
    </w:p>
    <w:p w14:paraId="1531E695" w14:textId="07C4BED1" w:rsidR="00683CB6" w:rsidRPr="000E272C" w:rsidRDefault="00C93BB8" w:rsidP="004678DA">
      <w:pPr>
        <w:pStyle w:val="Headingb"/>
        <w:rPr>
          <w:lang w:val="es-ES_tradnl"/>
        </w:rPr>
      </w:pPr>
      <w:r w:rsidRPr="000E272C">
        <w:rPr>
          <w:lang w:val="es-ES_tradnl"/>
        </w:rPr>
        <w:t>Propuesta</w:t>
      </w:r>
    </w:p>
    <w:p w14:paraId="3358C5D7" w14:textId="747F5CFD" w:rsidR="00931298" w:rsidRPr="000E272C" w:rsidRDefault="00311BEB" w:rsidP="003021E6">
      <w:pPr>
        <w:rPr>
          <w:lang w:val="es-ES_tradnl"/>
        </w:rPr>
      </w:pPr>
      <w:r w:rsidRPr="000E272C">
        <w:rPr>
          <w:lang w:val="es-ES_tradnl" w:eastAsia="ko-KR"/>
        </w:rPr>
        <w:t xml:space="preserve">Las Administraciones Miembros de la APT proponen añadir una nueva Resolución sobre </w:t>
      </w:r>
      <w:r w:rsidR="003D79C3" w:rsidRPr="000E272C">
        <w:rPr>
          <w:lang w:val="es-ES_tradnl" w:eastAsia="ko-KR"/>
        </w:rPr>
        <w:t xml:space="preserve">el </w:t>
      </w:r>
      <w:r w:rsidR="00FA545C" w:rsidRPr="000E272C">
        <w:rPr>
          <w:lang w:val="es-ES_tradnl" w:eastAsia="ko-KR"/>
        </w:rPr>
        <w:t>"</w:t>
      </w:r>
      <w:r w:rsidRPr="000E272C">
        <w:rPr>
          <w:lang w:val="es-ES_tradnl" w:eastAsia="ko-KR"/>
        </w:rPr>
        <w:t xml:space="preserve">Fomento y refuerzo de las actividades de normalización </w:t>
      </w:r>
      <w:r w:rsidR="00B24AC1" w:rsidRPr="000E272C">
        <w:rPr>
          <w:lang w:val="es-ES_tradnl" w:eastAsia="ko-KR"/>
        </w:rPr>
        <w:t>de</w:t>
      </w:r>
      <w:r w:rsidRPr="000E272C">
        <w:rPr>
          <w:lang w:val="es-ES_tradnl" w:eastAsia="ko-KR"/>
        </w:rPr>
        <w:t xml:space="preserve"> las comunicaciones vehiculares</w:t>
      </w:r>
      <w:r w:rsidR="00FA545C" w:rsidRPr="000E272C">
        <w:rPr>
          <w:lang w:val="es-ES_tradnl" w:eastAsia="ko-KR"/>
        </w:rPr>
        <w:t>"</w:t>
      </w:r>
      <w:r w:rsidR="00683CB6" w:rsidRPr="000E272C">
        <w:rPr>
          <w:rFonts w:eastAsia="SimSun"/>
          <w:lang w:val="es-ES_tradnl" w:eastAsia="zh-CN"/>
        </w:rPr>
        <w:t>.</w:t>
      </w:r>
      <w:r w:rsidR="009F4801" w:rsidRPr="000E272C">
        <w:rPr>
          <w:lang w:val="es-ES_tradnl"/>
        </w:rPr>
        <w:br w:type="page"/>
      </w:r>
    </w:p>
    <w:p w14:paraId="6FAA9EBF" w14:textId="77777777" w:rsidR="00492626" w:rsidRPr="000E272C" w:rsidRDefault="00F240FA">
      <w:pPr>
        <w:pStyle w:val="Proposal"/>
        <w:rPr>
          <w:lang w:val="es-ES_tradnl"/>
        </w:rPr>
      </w:pPr>
      <w:r w:rsidRPr="000E272C">
        <w:rPr>
          <w:lang w:val="es-ES_tradnl"/>
        </w:rPr>
        <w:lastRenderedPageBreak/>
        <w:t>ADD</w:t>
      </w:r>
      <w:r w:rsidRPr="000E272C">
        <w:rPr>
          <w:lang w:val="es-ES_tradnl"/>
        </w:rPr>
        <w:tab/>
        <w:t>APT/37A45/1</w:t>
      </w:r>
    </w:p>
    <w:p w14:paraId="7F98F6D3" w14:textId="6F1552F0" w:rsidR="00492626" w:rsidRPr="000E272C" w:rsidRDefault="00F240FA">
      <w:pPr>
        <w:pStyle w:val="ResNo"/>
        <w:rPr>
          <w:lang w:val="es-ES_tradnl"/>
        </w:rPr>
      </w:pPr>
      <w:r w:rsidRPr="000E272C">
        <w:rPr>
          <w:lang w:val="es-ES_tradnl"/>
        </w:rPr>
        <w:t>PROYECTO DE NUEVA RESOLUCIÓN [APT-VC]</w:t>
      </w:r>
      <w:r w:rsidR="00E909E1" w:rsidRPr="000E272C">
        <w:rPr>
          <w:lang w:val="es-ES_tradnl"/>
        </w:rPr>
        <w:t xml:space="preserve"> </w:t>
      </w:r>
      <w:r w:rsidR="00E909E1" w:rsidRPr="000E272C">
        <w:rPr>
          <w:lang w:val="es-ES_tradnl"/>
        </w:rPr>
        <w:t>(</w:t>
      </w:r>
      <w:r w:rsidR="00E909E1" w:rsidRPr="000E272C">
        <w:rPr>
          <w:caps w:val="0"/>
          <w:lang w:val="es-ES_tradnl"/>
        </w:rPr>
        <w:t>N</w:t>
      </w:r>
      <w:r w:rsidR="00E909E1" w:rsidRPr="000E272C">
        <w:rPr>
          <w:caps w:val="0"/>
          <w:lang w:val="es-ES_tradnl"/>
        </w:rPr>
        <w:t>ueva</w:t>
      </w:r>
      <w:r w:rsidR="00E909E1" w:rsidRPr="000E272C">
        <w:rPr>
          <w:caps w:val="0"/>
          <w:lang w:val="es-ES_tradnl"/>
        </w:rPr>
        <w:t xml:space="preserve"> Delhi</w:t>
      </w:r>
      <w:r w:rsidR="00E909E1" w:rsidRPr="000E272C">
        <w:rPr>
          <w:lang w:val="es-ES_tradnl"/>
        </w:rPr>
        <w:t>, 2024)</w:t>
      </w:r>
    </w:p>
    <w:p w14:paraId="1C521279" w14:textId="1823D468" w:rsidR="00031A98" w:rsidRPr="000E272C" w:rsidRDefault="00B24AC1" w:rsidP="005651AA">
      <w:pPr>
        <w:pStyle w:val="Restitle"/>
        <w:rPr>
          <w:lang w:val="es-ES_tradnl"/>
        </w:rPr>
      </w:pPr>
      <w:r w:rsidRPr="000E272C">
        <w:rPr>
          <w:lang w:val="es-ES_tradnl"/>
        </w:rPr>
        <w:t xml:space="preserve">Fomento y refuerzo de las actividades de normalización </w:t>
      </w:r>
      <w:r w:rsidRPr="000E272C">
        <w:rPr>
          <w:lang w:val="es-ES_tradnl"/>
        </w:rPr>
        <w:br/>
        <w:t>de las comunicaciones vehiculares</w:t>
      </w:r>
    </w:p>
    <w:p w14:paraId="139B5F5C" w14:textId="475D176D" w:rsidR="00031A98" w:rsidRPr="000E272C" w:rsidRDefault="00031A98" w:rsidP="005651AA">
      <w:pPr>
        <w:pStyle w:val="Resref"/>
        <w:rPr>
          <w:rFonts w:eastAsia="Malgun Gothic"/>
          <w:lang w:val="es-ES_tradnl"/>
        </w:rPr>
      </w:pPr>
      <w:r w:rsidRPr="000E272C">
        <w:rPr>
          <w:lang w:val="es-ES_tradnl"/>
        </w:rPr>
        <w:t>(N</w:t>
      </w:r>
      <w:r w:rsidR="00B24AC1" w:rsidRPr="000E272C">
        <w:rPr>
          <w:lang w:val="es-ES_tradnl"/>
        </w:rPr>
        <w:t>ueva</w:t>
      </w:r>
      <w:r w:rsidRPr="000E272C">
        <w:rPr>
          <w:lang w:val="es-ES_tradnl"/>
        </w:rPr>
        <w:t xml:space="preserve"> Delhi, 2024)</w:t>
      </w:r>
    </w:p>
    <w:p w14:paraId="4AA61720" w14:textId="61DA8CA4" w:rsidR="00031A98" w:rsidRPr="000E272C" w:rsidRDefault="00B24AC1" w:rsidP="00031A98">
      <w:pPr>
        <w:pStyle w:val="Normalaftertitle"/>
        <w:rPr>
          <w:rFonts w:eastAsia="Malgun Gothic"/>
          <w:lang w:val="es-ES_tradnl"/>
        </w:rPr>
      </w:pPr>
      <w:r w:rsidRPr="000E272C">
        <w:rPr>
          <w:rFonts w:eastAsia="Malgun Gothic"/>
          <w:lang w:val="es-ES_tradnl"/>
        </w:rPr>
        <w:t>La Asamblea Mundial de Normalización de las Telecomunicaciones</w:t>
      </w:r>
      <w:r w:rsidR="00031A98" w:rsidRPr="000E272C">
        <w:rPr>
          <w:rFonts w:eastAsia="Malgun Gothic"/>
          <w:lang w:val="es-ES_tradnl"/>
        </w:rPr>
        <w:t xml:space="preserve"> (N</w:t>
      </w:r>
      <w:r w:rsidRPr="000E272C">
        <w:rPr>
          <w:rFonts w:eastAsia="Malgun Gothic"/>
          <w:lang w:val="es-ES_tradnl"/>
        </w:rPr>
        <w:t>ueva</w:t>
      </w:r>
      <w:r w:rsidR="00031A98" w:rsidRPr="000E272C">
        <w:rPr>
          <w:rFonts w:eastAsia="Malgun Gothic"/>
          <w:lang w:val="es-ES_tradnl"/>
        </w:rPr>
        <w:t xml:space="preserve"> Delhi, 2024),</w:t>
      </w:r>
    </w:p>
    <w:p w14:paraId="60D20422" w14:textId="6EB99CC2" w:rsidR="00031A98" w:rsidRPr="000E272C" w:rsidRDefault="00B24AC1" w:rsidP="004952E4">
      <w:pPr>
        <w:pStyle w:val="Call"/>
        <w:rPr>
          <w:lang w:val="es-ES_tradnl"/>
        </w:rPr>
      </w:pPr>
      <w:r w:rsidRPr="000E272C">
        <w:rPr>
          <w:lang w:val="es-ES_tradnl"/>
        </w:rPr>
        <w:t>recordando</w:t>
      </w:r>
    </w:p>
    <w:p w14:paraId="73F58090" w14:textId="4B7029EC" w:rsidR="00031A98" w:rsidRPr="000E272C" w:rsidRDefault="00031A98" w:rsidP="00031A98">
      <w:pPr>
        <w:rPr>
          <w:i/>
          <w:iCs/>
          <w:lang w:val="es-ES_tradnl" w:eastAsia="zh-CN"/>
        </w:rPr>
      </w:pPr>
      <w:r w:rsidRPr="000E272C">
        <w:rPr>
          <w:i/>
          <w:iCs/>
          <w:lang w:val="es-ES_tradnl" w:eastAsia="zh-CN"/>
        </w:rPr>
        <w:t>a)</w:t>
      </w:r>
      <w:r w:rsidRPr="000E272C">
        <w:rPr>
          <w:i/>
          <w:iCs/>
          <w:lang w:val="es-ES_tradnl" w:eastAsia="zh-CN"/>
        </w:rPr>
        <w:tab/>
      </w:r>
      <w:r w:rsidR="007A1B1A" w:rsidRPr="000E272C">
        <w:rPr>
          <w:lang w:val="es-ES_tradnl" w:eastAsia="zh-CN"/>
        </w:rPr>
        <w:t>la Resolución 70/1 de la Asamblea General de las Naciones Unidas (AGNU), Transformar nuestro mundo: la Agenda 2030 para el Desarrollo Sostenible</w:t>
      </w:r>
      <w:r w:rsidRPr="000E272C">
        <w:rPr>
          <w:rFonts w:eastAsia="Malgun Gothic"/>
          <w:lang w:val="es-ES_tradnl"/>
        </w:rPr>
        <w:t>;</w:t>
      </w:r>
    </w:p>
    <w:p w14:paraId="2C5209F4" w14:textId="28D9B4AF" w:rsidR="00031A98" w:rsidRPr="000E272C" w:rsidRDefault="00031A98" w:rsidP="00031A98">
      <w:pPr>
        <w:rPr>
          <w:lang w:val="es-ES_tradnl" w:eastAsia="zh-CN"/>
        </w:rPr>
      </w:pPr>
      <w:r w:rsidRPr="000E272C">
        <w:rPr>
          <w:i/>
          <w:iCs/>
          <w:lang w:val="es-ES_tradnl" w:eastAsia="zh-CN"/>
        </w:rPr>
        <w:t>b)</w:t>
      </w:r>
      <w:r w:rsidRPr="000E272C">
        <w:rPr>
          <w:i/>
          <w:iCs/>
          <w:lang w:val="es-ES_tradnl" w:eastAsia="zh-CN"/>
        </w:rPr>
        <w:tab/>
      </w:r>
      <w:r w:rsidR="006C2534" w:rsidRPr="000E272C">
        <w:rPr>
          <w:lang w:val="es-ES_tradnl" w:eastAsia="zh-CN"/>
        </w:rPr>
        <w:t>la Resolución 74/299 de la AGNU sobre el mejoramiento de la seguridad vial en el mundo, con el objetivo de reducir las muertes y lesiones graves en carretera en un 50</w:t>
      </w:r>
      <w:r w:rsidR="006D388A" w:rsidRPr="000E272C">
        <w:rPr>
          <w:lang w:val="es-ES_tradnl" w:eastAsia="zh-CN"/>
        </w:rPr>
        <w:t xml:space="preserve"> por ciento</w:t>
      </w:r>
      <w:r w:rsidR="006C2534" w:rsidRPr="000E272C">
        <w:rPr>
          <w:lang w:val="es-ES_tradnl" w:eastAsia="zh-CN"/>
        </w:rPr>
        <w:t xml:space="preserve"> para finales de 2030</w:t>
      </w:r>
      <w:r w:rsidRPr="000E272C">
        <w:rPr>
          <w:lang w:val="es-ES_tradnl" w:eastAsia="zh-CN"/>
        </w:rPr>
        <w:t>;</w:t>
      </w:r>
    </w:p>
    <w:p w14:paraId="62549002" w14:textId="3C3A90ED" w:rsidR="00031A98" w:rsidRPr="000E272C" w:rsidRDefault="00031A98" w:rsidP="00031A98">
      <w:pPr>
        <w:rPr>
          <w:lang w:val="es-ES_tradnl" w:eastAsia="zh-CN"/>
        </w:rPr>
      </w:pPr>
      <w:r w:rsidRPr="000E272C">
        <w:rPr>
          <w:i/>
          <w:iCs/>
          <w:lang w:val="es-ES_tradnl" w:eastAsia="zh-CN"/>
        </w:rPr>
        <w:t>c)</w:t>
      </w:r>
      <w:r w:rsidRPr="000E272C">
        <w:rPr>
          <w:i/>
          <w:iCs/>
          <w:lang w:val="es-ES_tradnl" w:eastAsia="zh-CN"/>
        </w:rPr>
        <w:tab/>
      </w:r>
      <w:r w:rsidR="00F55E0E" w:rsidRPr="000E272C">
        <w:rPr>
          <w:lang w:val="es-ES_tradnl" w:eastAsia="zh-CN"/>
        </w:rPr>
        <w:t>l</w:t>
      </w:r>
      <w:r w:rsidR="00DA6738" w:rsidRPr="000E272C">
        <w:rPr>
          <w:lang w:val="es-ES_tradnl" w:eastAsia="zh-CN"/>
        </w:rPr>
        <w:t>os Objetivos de Desarrollo Sostenible (ODS) pertinentes de las Naciones Unidas, en particular el ODS3 sobre la reducción sustancial del número mundial de muertos y heridos por accidentes de tráfico, el ODS7 sobre la mejora de la tasa mundial de eficiencia energética, el ODS11 sobre el acceso a sistemas de transporte seguros, asequibles, accesibles y sostenibles para todos</w:t>
      </w:r>
      <w:r w:rsidRPr="000E272C">
        <w:rPr>
          <w:lang w:val="es-ES_tradnl" w:eastAsia="zh-CN"/>
        </w:rPr>
        <w:t>;</w:t>
      </w:r>
    </w:p>
    <w:p w14:paraId="612589AC" w14:textId="3E4F4B61" w:rsidR="00031A98" w:rsidRPr="000E272C" w:rsidRDefault="00031A98" w:rsidP="00031A98">
      <w:pPr>
        <w:rPr>
          <w:i/>
          <w:iCs/>
          <w:lang w:val="es-ES_tradnl" w:eastAsia="zh-CN"/>
        </w:rPr>
      </w:pPr>
      <w:r w:rsidRPr="000E272C">
        <w:rPr>
          <w:i/>
          <w:iCs/>
          <w:lang w:val="es-ES_tradnl" w:eastAsia="zh-CN"/>
        </w:rPr>
        <w:t>d)</w:t>
      </w:r>
      <w:r w:rsidRPr="000E272C">
        <w:rPr>
          <w:i/>
          <w:iCs/>
          <w:lang w:val="es-ES_tradnl" w:eastAsia="zh-CN"/>
        </w:rPr>
        <w:tab/>
      </w:r>
      <w:r w:rsidR="00761171" w:rsidRPr="000E272C">
        <w:rPr>
          <w:lang w:val="es-ES_tradnl" w:eastAsia="zh-CN"/>
        </w:rPr>
        <w:t>la Resolución 37 (Rev. Kigali, 2022) de la Conferencia Mundial de Desarrollo de las Telecomunicaciones sobre la reducción de la brecha digital</w:t>
      </w:r>
      <w:r w:rsidRPr="000E272C">
        <w:rPr>
          <w:lang w:val="es-ES_tradnl" w:eastAsia="zh-CN"/>
        </w:rPr>
        <w:t>,</w:t>
      </w:r>
    </w:p>
    <w:p w14:paraId="781F695E" w14:textId="083EF7C3" w:rsidR="00031A98" w:rsidRPr="000E272C" w:rsidRDefault="00761171" w:rsidP="001123A5">
      <w:pPr>
        <w:pStyle w:val="Call"/>
        <w:rPr>
          <w:lang w:val="es-ES_tradnl"/>
        </w:rPr>
      </w:pPr>
      <w:r w:rsidRPr="000E272C">
        <w:rPr>
          <w:lang w:val="es-ES_tradnl"/>
        </w:rPr>
        <w:t>considerando</w:t>
      </w:r>
    </w:p>
    <w:p w14:paraId="681A2BD7" w14:textId="0A8FCE27" w:rsidR="00031A98" w:rsidRPr="000E272C" w:rsidRDefault="00031A98" w:rsidP="00031A98">
      <w:pPr>
        <w:rPr>
          <w:lang w:val="es-ES_tradnl" w:eastAsia="zh-CN"/>
        </w:rPr>
      </w:pPr>
      <w:r w:rsidRPr="000E272C">
        <w:rPr>
          <w:i/>
          <w:iCs/>
          <w:lang w:val="es-ES_tradnl" w:eastAsia="zh-CN"/>
        </w:rPr>
        <w:t>a)</w:t>
      </w:r>
      <w:r w:rsidRPr="000E272C">
        <w:rPr>
          <w:i/>
          <w:iCs/>
          <w:lang w:val="es-ES_tradnl" w:eastAsia="zh-CN"/>
        </w:rPr>
        <w:tab/>
      </w:r>
      <w:r w:rsidR="000B6E66" w:rsidRPr="000E272C">
        <w:rPr>
          <w:lang w:val="es-ES_tradnl" w:eastAsia="zh-CN"/>
        </w:rPr>
        <w:t>que el respaldo a las comunicaciones vehiculares</w:t>
      </w:r>
      <w:r w:rsidR="00F546CC" w:rsidRPr="000E272C">
        <w:rPr>
          <w:lang w:val="es-ES_tradnl" w:eastAsia="zh-CN"/>
        </w:rPr>
        <w:t>,</w:t>
      </w:r>
      <w:r w:rsidR="000B6E66" w:rsidRPr="000E272C">
        <w:rPr>
          <w:lang w:val="es-ES_tradnl" w:eastAsia="zh-CN"/>
        </w:rPr>
        <w:t xml:space="preserve"> como </w:t>
      </w:r>
      <w:r w:rsidR="00F546CC" w:rsidRPr="000E272C">
        <w:rPr>
          <w:lang w:val="es-ES_tradnl" w:eastAsia="zh-CN"/>
        </w:rPr>
        <w:t xml:space="preserve">las del </w:t>
      </w:r>
      <w:r w:rsidR="000B6E66" w:rsidRPr="000E272C">
        <w:rPr>
          <w:lang w:val="es-ES_tradnl" w:eastAsia="zh-CN"/>
        </w:rPr>
        <w:t xml:space="preserve">vehículo </w:t>
      </w:r>
      <w:r w:rsidR="00F546CC" w:rsidRPr="000E272C">
        <w:rPr>
          <w:lang w:val="es-ES_tradnl" w:eastAsia="zh-CN"/>
        </w:rPr>
        <w:t xml:space="preserve">y su entorno </w:t>
      </w:r>
      <w:r w:rsidR="000B6E66" w:rsidRPr="000E272C">
        <w:rPr>
          <w:lang w:val="es-ES_tradnl" w:eastAsia="zh-CN"/>
        </w:rPr>
        <w:t>(V2X) y los sistemas de transporte inteligentes (</w:t>
      </w:r>
      <w:r w:rsidR="00B0252E" w:rsidRPr="000E272C">
        <w:rPr>
          <w:lang w:val="es-ES_tradnl" w:eastAsia="zh-CN"/>
        </w:rPr>
        <w:t>STI</w:t>
      </w:r>
      <w:r w:rsidR="000B6E66" w:rsidRPr="000E272C">
        <w:rPr>
          <w:lang w:val="es-ES_tradnl" w:eastAsia="zh-CN"/>
        </w:rPr>
        <w:t>)</w:t>
      </w:r>
      <w:r w:rsidR="00F546CC" w:rsidRPr="000E272C">
        <w:rPr>
          <w:lang w:val="es-ES_tradnl" w:eastAsia="zh-CN"/>
        </w:rPr>
        <w:t>,</w:t>
      </w:r>
      <w:r w:rsidR="000B6E66" w:rsidRPr="000E272C">
        <w:rPr>
          <w:lang w:val="es-ES_tradnl" w:eastAsia="zh-CN"/>
        </w:rPr>
        <w:t xml:space="preserve"> permitirá aumentar la seguridad vial, mejorar la fluidez del tráfico y reducir las emisiones de carbono, además de posibilitar la modernización de las infraestructuras para acelerar el desarrollo de la economía digital, lo que </w:t>
      </w:r>
      <w:r w:rsidR="009C5AC6" w:rsidRPr="000E272C">
        <w:rPr>
          <w:lang w:val="es-ES_tradnl" w:eastAsia="zh-CN"/>
        </w:rPr>
        <w:t xml:space="preserve">a su vez </w:t>
      </w:r>
      <w:r w:rsidR="000B6E66" w:rsidRPr="000E272C">
        <w:rPr>
          <w:lang w:val="es-ES_tradnl" w:eastAsia="zh-CN"/>
        </w:rPr>
        <w:t>fomentará la transformación digital de los países en desarrollo</w:t>
      </w:r>
      <w:r w:rsidRPr="000E272C">
        <w:rPr>
          <w:lang w:val="es-ES_tradnl" w:eastAsia="zh-CN"/>
        </w:rPr>
        <w:t>;</w:t>
      </w:r>
    </w:p>
    <w:p w14:paraId="4F10B823" w14:textId="4545D38B" w:rsidR="00031A98" w:rsidRPr="000E272C" w:rsidRDefault="00031A98" w:rsidP="00031A98">
      <w:pPr>
        <w:rPr>
          <w:i/>
          <w:iCs/>
          <w:lang w:val="es-ES_tradnl"/>
        </w:rPr>
      </w:pPr>
      <w:r w:rsidRPr="000E272C">
        <w:rPr>
          <w:i/>
          <w:iCs/>
          <w:lang w:val="es-ES_tradnl" w:eastAsia="zh-CN"/>
        </w:rPr>
        <w:t>b)</w:t>
      </w:r>
      <w:r w:rsidRPr="000E272C">
        <w:rPr>
          <w:i/>
          <w:iCs/>
          <w:lang w:val="es-ES_tradnl" w:eastAsia="zh-CN"/>
        </w:rPr>
        <w:tab/>
      </w:r>
      <w:r w:rsidR="00FA7C34" w:rsidRPr="000E272C">
        <w:rPr>
          <w:lang w:val="es-ES_tradnl" w:eastAsia="zh-CN"/>
        </w:rPr>
        <w:t>el rápido desarrollo de los vehículos conectados y automatizados (</w:t>
      </w:r>
      <w:r w:rsidR="00B0252E" w:rsidRPr="000E272C">
        <w:rPr>
          <w:lang w:val="es-ES_tradnl" w:eastAsia="zh-CN"/>
        </w:rPr>
        <w:t>VCA</w:t>
      </w:r>
      <w:r w:rsidR="00FA7C34" w:rsidRPr="000E272C">
        <w:rPr>
          <w:lang w:val="es-ES_tradnl" w:eastAsia="zh-CN"/>
        </w:rPr>
        <w:t>), y el hecho de que muchas organizaciones se dedican a la normalización de las comunicaciones vehiculares</w:t>
      </w:r>
      <w:r w:rsidR="00E5760F" w:rsidRPr="000E272C">
        <w:rPr>
          <w:lang w:val="es-ES_tradnl" w:eastAsia="zh-CN"/>
        </w:rPr>
        <w:t>,</w:t>
      </w:r>
      <w:r w:rsidR="00FA7C34" w:rsidRPr="000E272C">
        <w:rPr>
          <w:lang w:val="es-ES_tradnl" w:eastAsia="zh-CN"/>
        </w:rPr>
        <w:t xml:space="preserve"> como V2X y STI</w:t>
      </w:r>
      <w:r w:rsidRPr="000E272C">
        <w:rPr>
          <w:lang w:val="es-ES_tradnl" w:eastAsia="zh-CN"/>
        </w:rPr>
        <w:t>;</w:t>
      </w:r>
    </w:p>
    <w:p w14:paraId="4F74F92C" w14:textId="789CF6F7" w:rsidR="00031A98" w:rsidRPr="000E272C" w:rsidRDefault="00031A98" w:rsidP="00031A98">
      <w:pPr>
        <w:rPr>
          <w:lang w:val="es-ES_tradnl"/>
        </w:rPr>
      </w:pPr>
      <w:r w:rsidRPr="000E272C">
        <w:rPr>
          <w:i/>
          <w:iCs/>
          <w:lang w:val="es-ES_tradnl" w:eastAsia="zh-CN"/>
        </w:rPr>
        <w:t>c)</w:t>
      </w:r>
      <w:r w:rsidRPr="000E272C">
        <w:rPr>
          <w:i/>
          <w:iCs/>
          <w:lang w:val="es-ES_tradnl" w:eastAsia="zh-CN"/>
        </w:rPr>
        <w:tab/>
      </w:r>
      <w:r w:rsidR="00585383" w:rsidRPr="000E272C">
        <w:rPr>
          <w:lang w:val="es-ES_tradnl" w:eastAsia="zh-CN"/>
        </w:rPr>
        <w:t xml:space="preserve">que el Foro Mundial para la Armonización de la Reglamentación sobre Vehículos (WP.29) de la Comisión Económica para Europa de las Naciones Unidas (CEPE) creó el Grupo de Trabajo sobre Comunicaciones Vehiculares (TF VC) con el objetivo de identificar el papel que podría desempeñar el WP.29 en el ámbito de las comunicaciones vehiculares, especialmente en </w:t>
      </w:r>
      <w:r w:rsidR="001D1889" w:rsidRPr="000E272C">
        <w:rPr>
          <w:lang w:val="es-ES_tradnl" w:eastAsia="zh-CN"/>
        </w:rPr>
        <w:t xml:space="preserve">el </w:t>
      </w:r>
      <w:r w:rsidR="004C6112" w:rsidRPr="000E272C">
        <w:rPr>
          <w:lang w:val="es-ES_tradnl" w:eastAsia="zh-CN"/>
        </w:rPr>
        <w:t xml:space="preserve">fomento </w:t>
      </w:r>
      <w:r w:rsidR="00585383" w:rsidRPr="000E272C">
        <w:rPr>
          <w:lang w:val="es-ES_tradnl" w:eastAsia="zh-CN"/>
        </w:rPr>
        <w:t xml:space="preserve">de la sostenibilidad, el aumento de la seguridad, </w:t>
      </w:r>
      <w:r w:rsidR="004C6112" w:rsidRPr="000E272C">
        <w:rPr>
          <w:lang w:val="es-ES_tradnl" w:eastAsia="zh-CN"/>
        </w:rPr>
        <w:t xml:space="preserve">la promoción de </w:t>
      </w:r>
      <w:r w:rsidR="00585383" w:rsidRPr="000E272C">
        <w:rPr>
          <w:lang w:val="es-ES_tradnl" w:eastAsia="zh-CN"/>
        </w:rPr>
        <w:t xml:space="preserve">la conducción automatizada y otros aspectos </w:t>
      </w:r>
      <w:r w:rsidR="004C6112" w:rsidRPr="000E272C">
        <w:rPr>
          <w:lang w:val="es-ES_tradnl" w:eastAsia="zh-CN"/>
        </w:rPr>
        <w:t>conexos</w:t>
      </w:r>
      <w:r w:rsidRPr="000E272C">
        <w:rPr>
          <w:lang w:val="es-ES_tradnl" w:eastAsia="zh-CN"/>
        </w:rPr>
        <w:t>;</w:t>
      </w:r>
    </w:p>
    <w:p w14:paraId="5587DA62" w14:textId="3FC20C9F" w:rsidR="00031A98" w:rsidRPr="000E272C" w:rsidRDefault="00031A98" w:rsidP="00031A98">
      <w:pPr>
        <w:rPr>
          <w:lang w:val="es-ES_tradnl"/>
        </w:rPr>
      </w:pPr>
      <w:r w:rsidRPr="000E272C">
        <w:rPr>
          <w:i/>
          <w:iCs/>
          <w:lang w:val="es-ES_tradnl" w:eastAsia="zh-CN"/>
        </w:rPr>
        <w:t>d)</w:t>
      </w:r>
      <w:r w:rsidRPr="000E272C">
        <w:rPr>
          <w:i/>
          <w:iCs/>
          <w:lang w:val="es-ES_tradnl" w:eastAsia="zh-CN"/>
        </w:rPr>
        <w:tab/>
      </w:r>
      <w:r w:rsidR="006470E5" w:rsidRPr="000E272C">
        <w:rPr>
          <w:lang w:val="es-ES_tradnl" w:eastAsia="zh-CN"/>
        </w:rPr>
        <w:t xml:space="preserve">que el desarrollo de </w:t>
      </w:r>
      <w:r w:rsidR="003A5D1D" w:rsidRPr="000E272C">
        <w:rPr>
          <w:lang w:val="es-ES_tradnl" w:eastAsia="zh-CN"/>
        </w:rPr>
        <w:t>V</w:t>
      </w:r>
      <w:r w:rsidR="006470E5" w:rsidRPr="000E272C">
        <w:rPr>
          <w:lang w:val="es-ES_tradnl" w:eastAsia="zh-CN"/>
        </w:rPr>
        <w:t>CA y V2X/</w:t>
      </w:r>
      <w:r w:rsidR="003A5D1D" w:rsidRPr="000E272C">
        <w:rPr>
          <w:lang w:val="es-ES_tradnl" w:eastAsia="zh-CN"/>
        </w:rPr>
        <w:t>ST</w:t>
      </w:r>
      <w:r w:rsidR="006470E5" w:rsidRPr="000E272C">
        <w:rPr>
          <w:lang w:val="es-ES_tradnl" w:eastAsia="zh-CN"/>
        </w:rPr>
        <w:t xml:space="preserve">I </w:t>
      </w:r>
      <w:r w:rsidR="003A5D1D" w:rsidRPr="000E272C">
        <w:rPr>
          <w:lang w:val="es-ES_tradnl" w:eastAsia="zh-CN"/>
        </w:rPr>
        <w:t xml:space="preserve">hace necesaria la coordinación, por cuanto </w:t>
      </w:r>
      <w:r w:rsidR="006470E5" w:rsidRPr="000E272C">
        <w:rPr>
          <w:lang w:val="es-ES_tradnl" w:eastAsia="zh-CN"/>
        </w:rPr>
        <w:t xml:space="preserve">implica a diferentes partes interesadas e industrias, </w:t>
      </w:r>
      <w:r w:rsidR="003A5D1D" w:rsidRPr="000E272C">
        <w:rPr>
          <w:lang w:val="es-ES_tradnl" w:eastAsia="zh-CN"/>
        </w:rPr>
        <w:t xml:space="preserve">en particular </w:t>
      </w:r>
      <w:r w:rsidR="006470E5" w:rsidRPr="000E272C">
        <w:rPr>
          <w:lang w:val="es-ES_tradnl" w:eastAsia="zh-CN"/>
        </w:rPr>
        <w:t>los sectores de la automoción, el transporte, las telecomunicaciones/TIC, la electrónica y la energía</w:t>
      </w:r>
      <w:r w:rsidRPr="000E272C">
        <w:rPr>
          <w:lang w:val="es-ES_tradnl"/>
        </w:rPr>
        <w:t>;</w:t>
      </w:r>
    </w:p>
    <w:p w14:paraId="57D1D3CB" w14:textId="49E468C3" w:rsidR="00031A98" w:rsidRPr="000E272C" w:rsidRDefault="00031A98" w:rsidP="00031A98">
      <w:pPr>
        <w:rPr>
          <w:lang w:val="es-ES_tradnl"/>
        </w:rPr>
      </w:pPr>
      <w:r w:rsidRPr="000E272C">
        <w:rPr>
          <w:i/>
          <w:iCs/>
          <w:lang w:val="es-ES_tradnl" w:eastAsia="zh-CN"/>
        </w:rPr>
        <w:t>e)</w:t>
      </w:r>
      <w:r w:rsidRPr="000E272C">
        <w:rPr>
          <w:i/>
          <w:iCs/>
          <w:lang w:val="es-ES_tradnl" w:eastAsia="zh-CN"/>
        </w:rPr>
        <w:tab/>
      </w:r>
      <w:r w:rsidR="00D577F2" w:rsidRPr="000E272C">
        <w:rPr>
          <w:lang w:val="es-ES_tradnl" w:eastAsia="zh-CN"/>
        </w:rPr>
        <w:t xml:space="preserve">que el desarrollo de </w:t>
      </w:r>
      <w:r w:rsidR="00FF3CF7" w:rsidRPr="000E272C">
        <w:rPr>
          <w:lang w:val="es-ES_tradnl" w:eastAsia="zh-CN"/>
        </w:rPr>
        <w:t xml:space="preserve">VCA </w:t>
      </w:r>
      <w:r w:rsidR="00D577F2" w:rsidRPr="000E272C">
        <w:rPr>
          <w:lang w:val="es-ES_tradnl" w:eastAsia="zh-CN"/>
        </w:rPr>
        <w:t>y V2X/</w:t>
      </w:r>
      <w:r w:rsidR="00FF3CF7" w:rsidRPr="000E272C">
        <w:rPr>
          <w:lang w:val="es-ES_tradnl" w:eastAsia="zh-CN"/>
        </w:rPr>
        <w:t>ST</w:t>
      </w:r>
      <w:r w:rsidR="00D577F2" w:rsidRPr="000E272C">
        <w:rPr>
          <w:lang w:val="es-ES_tradnl" w:eastAsia="zh-CN"/>
        </w:rPr>
        <w:t xml:space="preserve">I afecta a muchos campos y puede ser necesaria una estrecha cooperación entre los países, las regiones y las entidades internacionales pertinentes sobre </w:t>
      </w:r>
      <w:r w:rsidR="00BC1D39" w:rsidRPr="000E272C">
        <w:rPr>
          <w:lang w:val="es-ES_tradnl" w:eastAsia="zh-CN"/>
        </w:rPr>
        <w:t>diversos</w:t>
      </w:r>
      <w:r w:rsidR="00D577F2" w:rsidRPr="000E272C">
        <w:rPr>
          <w:lang w:val="es-ES_tradnl" w:eastAsia="zh-CN"/>
        </w:rPr>
        <w:t xml:space="preserve"> aspectos relevantes para obtener </w:t>
      </w:r>
      <w:r w:rsidR="00403B4D" w:rsidRPr="000E272C">
        <w:rPr>
          <w:lang w:val="es-ES_tradnl" w:eastAsia="zh-CN"/>
        </w:rPr>
        <w:t>el</w:t>
      </w:r>
      <w:r w:rsidR="00D577F2" w:rsidRPr="000E272C">
        <w:rPr>
          <w:lang w:val="es-ES_tradnl" w:eastAsia="zh-CN"/>
        </w:rPr>
        <w:t xml:space="preserve"> máximo beneficio de las aplicaciones conexas</w:t>
      </w:r>
      <w:r w:rsidRPr="000E272C">
        <w:rPr>
          <w:lang w:val="es-ES_tradnl" w:eastAsia="zh-CN"/>
        </w:rPr>
        <w:t>,</w:t>
      </w:r>
    </w:p>
    <w:p w14:paraId="27B6E5B2" w14:textId="15AE187C" w:rsidR="00031A98" w:rsidRPr="000E272C" w:rsidRDefault="00176B63" w:rsidP="001123A5">
      <w:pPr>
        <w:pStyle w:val="Call"/>
        <w:rPr>
          <w:lang w:val="es-ES_tradnl"/>
        </w:rPr>
      </w:pPr>
      <w:r w:rsidRPr="000E272C">
        <w:rPr>
          <w:lang w:val="es-ES_tradnl"/>
        </w:rPr>
        <w:lastRenderedPageBreak/>
        <w:t>observando</w:t>
      </w:r>
    </w:p>
    <w:p w14:paraId="2E969410" w14:textId="2CC40E46" w:rsidR="00031A98" w:rsidRPr="000E272C" w:rsidRDefault="00031A98" w:rsidP="00031A98">
      <w:pPr>
        <w:rPr>
          <w:rFonts w:eastAsia="SimSun"/>
          <w:lang w:val="es-ES_tradnl"/>
        </w:rPr>
      </w:pPr>
      <w:r w:rsidRPr="000E272C">
        <w:rPr>
          <w:i/>
          <w:iCs/>
          <w:lang w:val="es-ES_tradnl" w:eastAsia="zh-CN"/>
        </w:rPr>
        <w:t>a)</w:t>
      </w:r>
      <w:r w:rsidRPr="000E272C">
        <w:rPr>
          <w:i/>
          <w:iCs/>
          <w:lang w:val="es-ES_tradnl" w:eastAsia="zh-CN"/>
        </w:rPr>
        <w:tab/>
      </w:r>
      <w:r w:rsidR="00E15B1C" w:rsidRPr="000E272C">
        <w:rPr>
          <w:lang w:val="es-ES_tradnl" w:eastAsia="zh-CN"/>
        </w:rPr>
        <w:t>que las Comisiones de Estudio del UIT-T han iniciado estudios sobre los aspectos de V2X/STI relacionados con la identificación, la calidad del servicio de voz y audio, las llamadas de emergencia de vehículos, los sistemas multimedi</w:t>
      </w:r>
      <w:r w:rsidR="006B0C15" w:rsidRPr="000E272C">
        <w:rPr>
          <w:lang w:val="es-ES_tradnl" w:eastAsia="zh-CN"/>
        </w:rPr>
        <w:t>os</w:t>
      </w:r>
      <w:r w:rsidR="00E15B1C" w:rsidRPr="000E272C">
        <w:rPr>
          <w:lang w:val="es-ES_tradnl" w:eastAsia="zh-CN"/>
        </w:rPr>
        <w:t xml:space="preserve"> y de infoentretenimiento</w:t>
      </w:r>
      <w:r w:rsidR="006B0C15" w:rsidRPr="000E272C">
        <w:rPr>
          <w:lang w:val="es-ES_tradnl" w:eastAsia="zh-CN"/>
        </w:rPr>
        <w:t xml:space="preserve"> en vehículos</w:t>
      </w:r>
      <w:r w:rsidR="00E15B1C" w:rsidRPr="000E272C">
        <w:rPr>
          <w:lang w:val="es-ES_tradnl" w:eastAsia="zh-CN"/>
        </w:rPr>
        <w:t>, la seguridad (como la actualización inalámbrica segura del software) y las aplicaciones relacionadas con Internet de las cosas</w:t>
      </w:r>
      <w:r w:rsidRPr="000E272C">
        <w:rPr>
          <w:lang w:val="es-ES_tradnl" w:eastAsia="zh-CN"/>
        </w:rPr>
        <w:t>;</w:t>
      </w:r>
    </w:p>
    <w:p w14:paraId="61BAFEB4" w14:textId="1BF5CB65" w:rsidR="00031A98" w:rsidRPr="000E272C" w:rsidRDefault="00031A98" w:rsidP="00031A98">
      <w:pPr>
        <w:rPr>
          <w:i/>
          <w:iCs/>
          <w:lang w:val="es-ES_tradnl"/>
        </w:rPr>
      </w:pPr>
      <w:r w:rsidRPr="000E272C">
        <w:rPr>
          <w:i/>
          <w:iCs/>
          <w:lang w:val="es-ES_tradnl" w:eastAsia="zh-CN"/>
        </w:rPr>
        <w:t>b)</w:t>
      </w:r>
      <w:r w:rsidRPr="000E272C">
        <w:rPr>
          <w:i/>
          <w:iCs/>
          <w:lang w:val="es-ES_tradnl" w:eastAsia="zh-CN"/>
        </w:rPr>
        <w:tab/>
      </w:r>
      <w:r w:rsidR="00796FA3" w:rsidRPr="000E272C">
        <w:rPr>
          <w:lang w:val="es-ES_tradnl" w:eastAsia="zh-CN"/>
        </w:rPr>
        <w:t>que los anteriores Grupos Temáticos del UIT-T han estudiado los multimedios en vehículos (FG-VM) y la IA para la conducción autónoma y asistida (FG-AI4AD</w:t>
      </w:r>
      <w:r w:rsidRPr="000E272C">
        <w:rPr>
          <w:lang w:val="es-ES_tradnl" w:eastAsia="zh-CN"/>
        </w:rPr>
        <w:t>);</w:t>
      </w:r>
    </w:p>
    <w:p w14:paraId="5DCA37E0" w14:textId="38258DC9" w:rsidR="00031A98" w:rsidRPr="000E272C" w:rsidRDefault="00031A98" w:rsidP="00031A98">
      <w:pPr>
        <w:rPr>
          <w:lang w:val="es-ES_tradnl" w:eastAsia="zh-CN"/>
        </w:rPr>
      </w:pPr>
      <w:r w:rsidRPr="000E272C">
        <w:rPr>
          <w:i/>
          <w:iCs/>
          <w:lang w:val="es-ES_tradnl" w:eastAsia="zh-CN"/>
        </w:rPr>
        <w:t>c)</w:t>
      </w:r>
      <w:r w:rsidRPr="000E272C">
        <w:rPr>
          <w:i/>
          <w:iCs/>
          <w:lang w:val="es-ES_tradnl" w:eastAsia="zh-CN"/>
        </w:rPr>
        <w:tab/>
      </w:r>
      <w:r w:rsidR="002502A2" w:rsidRPr="000E272C">
        <w:rPr>
          <w:lang w:val="es-ES_tradnl" w:eastAsia="zh-CN"/>
        </w:rPr>
        <w:t xml:space="preserve">que la Colaboración </w:t>
      </w:r>
      <w:r w:rsidR="00607D4D" w:rsidRPr="000E272C">
        <w:rPr>
          <w:lang w:val="es-ES_tradnl" w:eastAsia="zh-CN"/>
        </w:rPr>
        <w:t>sobre</w:t>
      </w:r>
      <w:r w:rsidR="002502A2" w:rsidRPr="000E272C">
        <w:rPr>
          <w:lang w:val="es-ES_tradnl" w:eastAsia="zh-CN"/>
        </w:rPr>
        <w:t xml:space="preserve"> Normas de Comunicación </w:t>
      </w:r>
      <w:r w:rsidR="0011438D" w:rsidRPr="000E272C">
        <w:rPr>
          <w:lang w:val="es-ES_tradnl" w:eastAsia="zh-CN"/>
        </w:rPr>
        <w:t>para</w:t>
      </w:r>
      <w:r w:rsidR="002502A2" w:rsidRPr="000E272C">
        <w:rPr>
          <w:lang w:val="es-ES_tradnl" w:eastAsia="zh-CN"/>
        </w:rPr>
        <w:t xml:space="preserve"> STI (CITS) es una reconocida plataforma internacional abierta que mantiene una base de datos mundial en línea y gratuita de normas sobre STI y constituye un foro para intercambiar información y coordinar la normalización internacional de STI entre las organizaciones de normalización nacionales, regionales e internacionales</w:t>
      </w:r>
      <w:r w:rsidRPr="000E272C">
        <w:rPr>
          <w:lang w:val="es-ES_tradnl" w:eastAsia="zh-CN"/>
        </w:rPr>
        <w:t>;</w:t>
      </w:r>
    </w:p>
    <w:p w14:paraId="31CE6936" w14:textId="31E703BA" w:rsidR="00031A98" w:rsidRPr="000E272C" w:rsidRDefault="00031A98" w:rsidP="00031A98">
      <w:pPr>
        <w:rPr>
          <w:lang w:val="es-ES_tradnl"/>
        </w:rPr>
      </w:pPr>
      <w:r w:rsidRPr="000E272C">
        <w:rPr>
          <w:i/>
          <w:iCs/>
          <w:lang w:val="es-ES_tradnl" w:eastAsia="zh-CN"/>
        </w:rPr>
        <w:t>d)</w:t>
      </w:r>
      <w:r w:rsidRPr="000E272C">
        <w:rPr>
          <w:i/>
          <w:iCs/>
          <w:lang w:val="es-ES_tradnl" w:eastAsia="zh-CN"/>
        </w:rPr>
        <w:tab/>
      </w:r>
      <w:r w:rsidR="005B08B6" w:rsidRPr="000E272C">
        <w:rPr>
          <w:lang w:val="es-ES_tradnl" w:eastAsia="zh-CN"/>
        </w:rPr>
        <w:t>que la CITS creó el Grupo de Expertos en Tecnologías de la Comunicación para la Conducción Automatizada (EG ComAD), cuyo objetivo es facilitar el despliegue de sistemas de conducción automatizada seguros y fiables mediante tecnologías de comunicaciones avanzadas</w:t>
      </w:r>
      <w:r w:rsidRPr="000E272C">
        <w:rPr>
          <w:lang w:val="es-ES_tradnl" w:eastAsia="zh-CN"/>
        </w:rPr>
        <w:t>;</w:t>
      </w:r>
    </w:p>
    <w:p w14:paraId="56A7187A" w14:textId="5EAF7B0F" w:rsidR="00031A98" w:rsidRPr="000E272C" w:rsidRDefault="00031A98" w:rsidP="00031A98">
      <w:pPr>
        <w:rPr>
          <w:lang w:val="es-ES_tradnl" w:eastAsia="zh-CN"/>
        </w:rPr>
      </w:pPr>
      <w:r w:rsidRPr="000E272C">
        <w:rPr>
          <w:i/>
          <w:iCs/>
          <w:lang w:val="es-ES_tradnl" w:eastAsia="zh-CN"/>
        </w:rPr>
        <w:t>e)</w:t>
      </w:r>
      <w:r w:rsidRPr="000E272C">
        <w:rPr>
          <w:i/>
          <w:iCs/>
          <w:lang w:val="es-ES_tradnl" w:eastAsia="zh-CN"/>
        </w:rPr>
        <w:tab/>
      </w:r>
      <w:r w:rsidR="0011019A" w:rsidRPr="000E272C">
        <w:rPr>
          <w:lang w:val="es-ES_tradnl" w:eastAsia="zh-CN"/>
        </w:rPr>
        <w:t>que el UIT-T, en colaboración con la CEPE, organiza de consuno el Simposio sobre el automóvil conectado del futuro, que se ha convertido en un importante foro para debatir y examinar los últimos adelantos en materia de conectividad de vehículos, movilidad automatizada y el papel de la IA en el sector del transporte</w:t>
      </w:r>
      <w:r w:rsidRPr="000E272C">
        <w:rPr>
          <w:lang w:val="es-ES_tradnl" w:eastAsia="zh-CN"/>
        </w:rPr>
        <w:t>,</w:t>
      </w:r>
    </w:p>
    <w:p w14:paraId="6362F4AF" w14:textId="381F941B" w:rsidR="00031A98" w:rsidRPr="000E272C" w:rsidRDefault="00072890" w:rsidP="001123A5">
      <w:pPr>
        <w:pStyle w:val="Call"/>
        <w:rPr>
          <w:lang w:val="es-ES_tradnl"/>
        </w:rPr>
      </w:pPr>
      <w:r w:rsidRPr="000E272C">
        <w:rPr>
          <w:lang w:val="es-ES_tradnl"/>
        </w:rPr>
        <w:t>observando además</w:t>
      </w:r>
    </w:p>
    <w:p w14:paraId="6651BAC8" w14:textId="3C9D8192" w:rsidR="00031A98" w:rsidRPr="000E272C" w:rsidRDefault="00031A98" w:rsidP="00031A98">
      <w:pPr>
        <w:rPr>
          <w:lang w:val="es-ES_tradnl" w:eastAsia="zh-CN"/>
        </w:rPr>
      </w:pPr>
      <w:r w:rsidRPr="000E272C">
        <w:rPr>
          <w:i/>
          <w:iCs/>
          <w:lang w:val="es-ES_tradnl" w:eastAsia="zh-CN"/>
        </w:rPr>
        <w:t>a)</w:t>
      </w:r>
      <w:r w:rsidRPr="000E272C">
        <w:rPr>
          <w:i/>
          <w:iCs/>
          <w:lang w:val="es-ES_tradnl" w:eastAsia="zh-CN"/>
        </w:rPr>
        <w:tab/>
      </w:r>
      <w:r w:rsidR="000C632A" w:rsidRPr="000E272C">
        <w:rPr>
          <w:lang w:val="es-ES_tradnl" w:eastAsia="zh-CN"/>
        </w:rPr>
        <w:t>que el Sector de Radiocomunicaciones de la UIT (UIT-R), y en particular la Comisión de Estudio 5, se encarga de los aspectos relacionados con las radiocomunicaciones, las necesidades de espectro y las características técnicas y operativas con el fin de lograr la armonización del espectro radioeléctrico para las comunicaciones vehiculares</w:t>
      </w:r>
      <w:r w:rsidR="00DC17FB" w:rsidRPr="000E272C">
        <w:rPr>
          <w:lang w:val="es-ES_tradnl" w:eastAsia="zh-CN"/>
        </w:rPr>
        <w:t>,</w:t>
      </w:r>
      <w:r w:rsidR="000C632A" w:rsidRPr="000E272C">
        <w:rPr>
          <w:lang w:val="es-ES_tradnl" w:eastAsia="zh-CN"/>
        </w:rPr>
        <w:t xml:space="preserve"> como V2X, STI, radar para automóviles y </w:t>
      </w:r>
      <w:r w:rsidR="00FF3CF7" w:rsidRPr="000E272C">
        <w:rPr>
          <w:lang w:val="es-ES_tradnl" w:eastAsia="zh-CN"/>
        </w:rPr>
        <w:t>VCA</w:t>
      </w:r>
      <w:r w:rsidRPr="000E272C">
        <w:rPr>
          <w:lang w:val="es-ES_tradnl" w:eastAsia="zh-CN"/>
        </w:rPr>
        <w:t>;</w:t>
      </w:r>
    </w:p>
    <w:p w14:paraId="6877895C" w14:textId="4B259246" w:rsidR="00031A98" w:rsidRPr="000E272C" w:rsidRDefault="00031A98" w:rsidP="00031A98">
      <w:pPr>
        <w:rPr>
          <w:rFonts w:eastAsia="SimSun"/>
          <w:lang w:val="es-ES_tradnl" w:eastAsia="zh-CN"/>
        </w:rPr>
      </w:pPr>
      <w:r w:rsidRPr="000E272C">
        <w:rPr>
          <w:i/>
          <w:iCs/>
          <w:lang w:val="es-ES_tradnl" w:eastAsia="zh-CN"/>
        </w:rPr>
        <w:t>b)</w:t>
      </w:r>
      <w:r w:rsidRPr="000E272C">
        <w:rPr>
          <w:i/>
          <w:iCs/>
          <w:lang w:val="es-ES_tradnl" w:eastAsia="zh-CN"/>
        </w:rPr>
        <w:tab/>
      </w:r>
      <w:r w:rsidR="00967836" w:rsidRPr="000E272C">
        <w:rPr>
          <w:lang w:val="es-ES_tradnl" w:eastAsia="zh-CN"/>
        </w:rPr>
        <w:t>que la Comisión de Estudio 2 del Sector de Desarrollo de las Telecomunicaciones de la UIT (UIT-D) se ocupa de la transformación digital, especialmente en el marco de la Cuestión 1/2, con el objetivo de estudiar los problemas que plantea la promoción de ciudades y comunidades sostenibles e inteligentes y compartir experiencias sobre cómo mejorar la conectividad y las infraestructuras subyacentes para propiciar las sociedades y los transportes inteligentes</w:t>
      </w:r>
      <w:r w:rsidRPr="000E272C">
        <w:rPr>
          <w:lang w:val="es-ES_tradnl" w:eastAsia="zh-CN"/>
        </w:rPr>
        <w:t>,</w:t>
      </w:r>
    </w:p>
    <w:p w14:paraId="4CDD6E2E" w14:textId="274B4998" w:rsidR="00031A98" w:rsidRPr="000E272C" w:rsidRDefault="00BE0E21" w:rsidP="001123A5">
      <w:pPr>
        <w:pStyle w:val="Call"/>
        <w:rPr>
          <w:lang w:val="es-ES_tradnl"/>
        </w:rPr>
      </w:pPr>
      <w:r w:rsidRPr="000E272C">
        <w:rPr>
          <w:lang w:val="es-ES_tradnl"/>
        </w:rPr>
        <w:t>reconociendo</w:t>
      </w:r>
    </w:p>
    <w:p w14:paraId="65D8B9CB" w14:textId="01808560" w:rsidR="00031A98" w:rsidRPr="000E272C" w:rsidRDefault="00031A98" w:rsidP="00031A98">
      <w:pPr>
        <w:rPr>
          <w:lang w:val="es-ES_tradnl"/>
        </w:rPr>
      </w:pPr>
      <w:r w:rsidRPr="000E272C">
        <w:rPr>
          <w:i/>
          <w:iCs/>
          <w:lang w:val="es-ES_tradnl" w:eastAsia="zh-CN"/>
        </w:rPr>
        <w:t>a)</w:t>
      </w:r>
      <w:r w:rsidRPr="000E272C">
        <w:rPr>
          <w:i/>
          <w:iCs/>
          <w:lang w:val="es-ES_tradnl" w:eastAsia="zh-CN"/>
        </w:rPr>
        <w:tab/>
      </w:r>
      <w:r w:rsidR="0053231B" w:rsidRPr="000E272C">
        <w:rPr>
          <w:lang w:val="es-ES_tradnl" w:eastAsia="zh-CN"/>
        </w:rPr>
        <w:t>que el UIT-T debería desempeñar un papel primordial en el campo de las TIC para la elaboración de normas relativas a las comunicaciones vehiculares</w:t>
      </w:r>
      <w:r w:rsidR="00DC17FB" w:rsidRPr="000E272C">
        <w:rPr>
          <w:lang w:val="es-ES_tradnl" w:eastAsia="zh-CN"/>
        </w:rPr>
        <w:t>,</w:t>
      </w:r>
      <w:r w:rsidR="0053231B" w:rsidRPr="000E272C">
        <w:rPr>
          <w:lang w:val="es-ES_tradnl" w:eastAsia="zh-CN"/>
        </w:rPr>
        <w:t xml:space="preserve"> como V2X y STI</w:t>
      </w:r>
      <w:r w:rsidRPr="000E272C">
        <w:rPr>
          <w:lang w:val="es-ES_tradnl" w:eastAsia="zh-CN"/>
        </w:rPr>
        <w:t>;</w:t>
      </w:r>
    </w:p>
    <w:p w14:paraId="465C8DD7" w14:textId="0C8F1057" w:rsidR="00031A98" w:rsidRPr="000E272C" w:rsidRDefault="00031A98" w:rsidP="00031A98">
      <w:pPr>
        <w:rPr>
          <w:rFonts w:eastAsia="SimSun"/>
          <w:lang w:val="es-ES_tradnl" w:eastAsia="zh-CN"/>
        </w:rPr>
      </w:pPr>
      <w:r w:rsidRPr="000E272C">
        <w:rPr>
          <w:i/>
          <w:iCs/>
          <w:lang w:val="es-ES_tradnl" w:eastAsia="zh-CN"/>
        </w:rPr>
        <w:t>b)</w:t>
      </w:r>
      <w:r w:rsidRPr="000E272C">
        <w:rPr>
          <w:lang w:val="es-ES_tradnl" w:eastAsia="zh-CN"/>
        </w:rPr>
        <w:tab/>
      </w:r>
      <w:r w:rsidR="0047214D" w:rsidRPr="000E272C">
        <w:rPr>
          <w:lang w:val="es-ES_tradnl" w:eastAsia="zh-CN"/>
        </w:rPr>
        <w:t>que se necesita un marco normativo coordinado de telecomunicaciones/TIC para las comunicaciones vehiculares</w:t>
      </w:r>
      <w:r w:rsidR="00DC17FB" w:rsidRPr="000E272C">
        <w:rPr>
          <w:lang w:val="es-ES_tradnl" w:eastAsia="zh-CN"/>
        </w:rPr>
        <w:t>,</w:t>
      </w:r>
      <w:r w:rsidR="0047214D" w:rsidRPr="000E272C">
        <w:rPr>
          <w:lang w:val="es-ES_tradnl" w:eastAsia="zh-CN"/>
        </w:rPr>
        <w:t xml:space="preserve"> como V2X y STI, articulado entorno a la UIT</w:t>
      </w:r>
      <w:r w:rsidRPr="000E272C">
        <w:rPr>
          <w:lang w:val="es-ES_tradnl" w:eastAsia="zh-CN"/>
        </w:rPr>
        <w:t>;</w:t>
      </w:r>
    </w:p>
    <w:p w14:paraId="67BA5CED" w14:textId="43DBBE8B" w:rsidR="00031A98" w:rsidRPr="000E272C" w:rsidRDefault="00031A98" w:rsidP="00031A98">
      <w:pPr>
        <w:rPr>
          <w:lang w:val="es-ES_tradnl"/>
        </w:rPr>
      </w:pPr>
      <w:bookmarkStart w:id="0" w:name="_Hlk168393073"/>
      <w:r w:rsidRPr="000E272C">
        <w:rPr>
          <w:i/>
          <w:iCs/>
          <w:lang w:val="es-ES_tradnl" w:eastAsia="zh-CN"/>
        </w:rPr>
        <w:t>c)</w:t>
      </w:r>
      <w:r w:rsidRPr="000E272C">
        <w:rPr>
          <w:i/>
          <w:iCs/>
          <w:lang w:val="es-ES_tradnl" w:eastAsia="zh-CN"/>
        </w:rPr>
        <w:tab/>
      </w:r>
      <w:r w:rsidR="00644E03" w:rsidRPr="000E272C">
        <w:rPr>
          <w:lang w:val="es-ES_tradnl" w:eastAsia="zh-CN"/>
        </w:rPr>
        <w:t>que es fundamental adoptar un enfoque multilateral para permitir la normalización y el despliegue de comunicaciones vehiculares</w:t>
      </w:r>
      <w:r w:rsidR="00DC17FB" w:rsidRPr="000E272C">
        <w:rPr>
          <w:lang w:val="es-ES_tradnl" w:eastAsia="zh-CN"/>
        </w:rPr>
        <w:t>,</w:t>
      </w:r>
      <w:r w:rsidR="00644E03" w:rsidRPr="000E272C">
        <w:rPr>
          <w:lang w:val="es-ES_tradnl" w:eastAsia="zh-CN"/>
        </w:rPr>
        <w:t xml:space="preserve"> como V2X y STI, y que a tal efecto debería aprovecharse </w:t>
      </w:r>
      <w:r w:rsidR="00FE0AA9" w:rsidRPr="000E272C">
        <w:rPr>
          <w:lang w:val="es-ES_tradnl" w:eastAsia="zh-CN"/>
        </w:rPr>
        <w:t xml:space="preserve">la alianza y </w:t>
      </w:r>
      <w:r w:rsidR="00644E03" w:rsidRPr="000E272C">
        <w:rPr>
          <w:lang w:val="es-ES_tradnl" w:eastAsia="zh-CN"/>
        </w:rPr>
        <w:t>la colaboración entre la UIT y la CEPE</w:t>
      </w:r>
      <w:r w:rsidRPr="000E272C">
        <w:rPr>
          <w:lang w:val="es-ES_tradnl" w:eastAsia="zh-CN"/>
        </w:rPr>
        <w:t>,</w:t>
      </w:r>
      <w:bookmarkEnd w:id="0"/>
    </w:p>
    <w:p w14:paraId="738BD88B" w14:textId="51CD7E89" w:rsidR="00031A98" w:rsidRPr="000E272C" w:rsidRDefault="00FE0AA9" w:rsidP="001123A5">
      <w:pPr>
        <w:pStyle w:val="Call"/>
        <w:rPr>
          <w:lang w:val="es-ES_tradnl"/>
        </w:rPr>
      </w:pPr>
      <w:r w:rsidRPr="000E272C">
        <w:rPr>
          <w:lang w:val="es-ES_tradnl"/>
        </w:rPr>
        <w:t>resuelve</w:t>
      </w:r>
    </w:p>
    <w:p w14:paraId="56FF54A4" w14:textId="6029A460" w:rsidR="00031A98" w:rsidRPr="000E272C" w:rsidRDefault="00031A98" w:rsidP="00031A98">
      <w:pPr>
        <w:rPr>
          <w:rFonts w:eastAsia="SimSun"/>
          <w:lang w:val="es-ES_tradnl" w:eastAsia="zh-CN"/>
        </w:rPr>
      </w:pPr>
      <w:r w:rsidRPr="000E272C">
        <w:rPr>
          <w:lang w:val="es-ES_tradnl"/>
        </w:rPr>
        <w:t>1</w:t>
      </w:r>
      <w:r w:rsidRPr="000E272C">
        <w:rPr>
          <w:lang w:val="es-ES_tradnl"/>
        </w:rPr>
        <w:tab/>
      </w:r>
      <w:r w:rsidR="00CE40A6" w:rsidRPr="000E272C">
        <w:rPr>
          <w:lang w:val="es-ES_tradnl"/>
        </w:rPr>
        <w:t>apoyar la función de coordinación de la CITS para fomentar las normas internacionales de telecomunicaciones sobre comunicaciones vehiculares</w:t>
      </w:r>
      <w:r w:rsidR="00DC17FB" w:rsidRPr="000E272C">
        <w:rPr>
          <w:lang w:val="es-ES_tradnl"/>
        </w:rPr>
        <w:t>,</w:t>
      </w:r>
      <w:r w:rsidR="00CE40A6" w:rsidRPr="000E272C">
        <w:rPr>
          <w:lang w:val="es-ES_tradnl"/>
        </w:rPr>
        <w:t xml:space="preserve"> como V2X y STI, incluida la conducción automatizada, teniendo en cuenta a su vez las necesidades de las distintas regiones y Estados Miembros</w:t>
      </w:r>
      <w:r w:rsidRPr="000E272C">
        <w:rPr>
          <w:rFonts w:eastAsia="SimSun"/>
          <w:lang w:val="es-ES_tradnl" w:eastAsia="zh-CN"/>
        </w:rPr>
        <w:t>;</w:t>
      </w:r>
    </w:p>
    <w:p w14:paraId="1C5EF311" w14:textId="18F7A1D8" w:rsidR="00031A98" w:rsidRPr="000E272C" w:rsidRDefault="00031A98" w:rsidP="00031A98">
      <w:pPr>
        <w:rPr>
          <w:lang w:val="es-ES_tradnl"/>
        </w:rPr>
      </w:pPr>
      <w:r w:rsidRPr="000E272C">
        <w:rPr>
          <w:lang w:val="es-ES_tradnl"/>
        </w:rPr>
        <w:lastRenderedPageBreak/>
        <w:t>2</w:t>
      </w:r>
      <w:r w:rsidRPr="000E272C">
        <w:rPr>
          <w:lang w:val="es-ES_tradnl"/>
        </w:rPr>
        <w:tab/>
      </w:r>
      <w:r w:rsidR="000E03AC" w:rsidRPr="000E272C">
        <w:rPr>
          <w:lang w:val="es-ES_tradnl"/>
        </w:rPr>
        <w:t xml:space="preserve">colaborar con otras organizaciones de normalización (SDO), la CEPE y otras partes interesadas, como foros industriales, asociaciones y alianzas empresariales, así como con las Comisiones de </w:t>
      </w:r>
      <w:r w:rsidR="000E03AC" w:rsidRPr="000E272C">
        <w:rPr>
          <w:lang w:val="es-ES_tradnl" w:eastAsia="zh-CN"/>
        </w:rPr>
        <w:t>Estudio</w:t>
      </w:r>
      <w:r w:rsidR="000E03AC" w:rsidRPr="000E272C">
        <w:rPr>
          <w:lang w:val="es-ES_tradnl"/>
        </w:rPr>
        <w:t xml:space="preserve"> pertinentes del UIT-T y el UIT-R, en materia de comunicaciones vehiculares</w:t>
      </w:r>
      <w:r w:rsidR="00DC17FB" w:rsidRPr="000E272C">
        <w:rPr>
          <w:lang w:val="es-ES_tradnl"/>
        </w:rPr>
        <w:t>,</w:t>
      </w:r>
      <w:r w:rsidR="000E03AC" w:rsidRPr="000E272C">
        <w:rPr>
          <w:lang w:val="es-ES_tradnl"/>
        </w:rPr>
        <w:t xml:space="preserve"> como V2X </w:t>
      </w:r>
      <w:r w:rsidR="00DC17FB" w:rsidRPr="000E272C">
        <w:rPr>
          <w:lang w:val="es-ES_tradnl"/>
        </w:rPr>
        <w:t>y</w:t>
      </w:r>
      <w:r w:rsidR="000E03AC" w:rsidRPr="000E272C">
        <w:rPr>
          <w:lang w:val="es-ES_tradnl"/>
        </w:rPr>
        <w:t xml:space="preserve"> </w:t>
      </w:r>
      <w:r w:rsidR="00DC17FB" w:rsidRPr="000E272C">
        <w:rPr>
          <w:lang w:val="es-ES_tradnl"/>
        </w:rPr>
        <w:t>ST</w:t>
      </w:r>
      <w:r w:rsidR="000E03AC" w:rsidRPr="000E272C">
        <w:rPr>
          <w:lang w:val="es-ES_tradnl"/>
        </w:rPr>
        <w:t>I, incluida la conducción automatizada</w:t>
      </w:r>
      <w:r w:rsidRPr="000E272C">
        <w:rPr>
          <w:rFonts w:eastAsia="SimSun"/>
          <w:lang w:val="es-ES_tradnl" w:eastAsia="zh-CN"/>
        </w:rPr>
        <w:t>;</w:t>
      </w:r>
    </w:p>
    <w:p w14:paraId="019FA4B4" w14:textId="6F088B92" w:rsidR="00031A98" w:rsidRPr="000E272C" w:rsidRDefault="00031A98" w:rsidP="00031A98">
      <w:pPr>
        <w:rPr>
          <w:lang w:val="es-ES_tradnl"/>
        </w:rPr>
      </w:pPr>
      <w:r w:rsidRPr="000E272C">
        <w:rPr>
          <w:lang w:val="es-ES_tradnl"/>
        </w:rPr>
        <w:t>3</w:t>
      </w:r>
      <w:r w:rsidRPr="000E272C">
        <w:rPr>
          <w:lang w:val="es-ES_tradnl"/>
        </w:rPr>
        <w:tab/>
      </w:r>
      <w:r w:rsidR="008E7175" w:rsidRPr="000E272C">
        <w:rPr>
          <w:lang w:val="es-ES_tradnl"/>
        </w:rPr>
        <w:t xml:space="preserve">organizar, evaluar y valorar situaciones de aplicación y estudios de caso sobre </w:t>
      </w:r>
      <w:r w:rsidR="008E7175" w:rsidRPr="000E272C">
        <w:rPr>
          <w:lang w:val="es-ES_tradnl" w:eastAsia="zh-CN"/>
        </w:rPr>
        <w:t>comunicaciones</w:t>
      </w:r>
      <w:r w:rsidR="008E7175" w:rsidRPr="000E272C">
        <w:rPr>
          <w:lang w:val="es-ES_tradnl"/>
        </w:rPr>
        <w:t xml:space="preserve"> vehiculares</w:t>
      </w:r>
      <w:r w:rsidR="00DC17FB" w:rsidRPr="000E272C">
        <w:rPr>
          <w:lang w:val="es-ES_tradnl"/>
        </w:rPr>
        <w:t>,</w:t>
      </w:r>
      <w:r w:rsidR="008E7175" w:rsidRPr="000E272C">
        <w:rPr>
          <w:lang w:val="es-ES_tradnl"/>
        </w:rPr>
        <w:t xml:space="preserve"> como V2X y STI, y compartirlos con las partes interesadas pertinentes</w:t>
      </w:r>
      <w:r w:rsidRPr="000E272C">
        <w:rPr>
          <w:rFonts w:eastAsia="SimSun"/>
          <w:lang w:val="es-ES_tradnl" w:eastAsia="zh-CN"/>
        </w:rPr>
        <w:t>,</w:t>
      </w:r>
    </w:p>
    <w:p w14:paraId="647E327A" w14:textId="2B69E288" w:rsidR="00031A98" w:rsidRPr="000E272C" w:rsidRDefault="004C0472" w:rsidP="001123A5">
      <w:pPr>
        <w:pStyle w:val="Call"/>
        <w:rPr>
          <w:lang w:val="es-ES_tradnl"/>
        </w:rPr>
      </w:pPr>
      <w:r w:rsidRPr="000E272C">
        <w:rPr>
          <w:lang w:val="es-ES_tradnl"/>
        </w:rPr>
        <w:t>encarga al</w:t>
      </w:r>
      <w:r w:rsidR="00031A98" w:rsidRPr="000E272C">
        <w:rPr>
          <w:lang w:val="es-ES_tradnl"/>
        </w:rPr>
        <w:t xml:space="preserve"> Director </w:t>
      </w:r>
      <w:r w:rsidRPr="000E272C">
        <w:rPr>
          <w:lang w:val="es-ES_tradnl"/>
        </w:rPr>
        <w:t>de la Oficina de Normalización de las Telecomunicaciones</w:t>
      </w:r>
    </w:p>
    <w:p w14:paraId="58636F27" w14:textId="65A21EFC" w:rsidR="00031A98" w:rsidRPr="000E272C" w:rsidRDefault="00031A98" w:rsidP="00031A98">
      <w:pPr>
        <w:rPr>
          <w:lang w:val="es-ES_tradnl"/>
        </w:rPr>
      </w:pPr>
      <w:r w:rsidRPr="000E272C">
        <w:rPr>
          <w:lang w:val="es-ES_tradnl"/>
        </w:rPr>
        <w:t>1</w:t>
      </w:r>
      <w:r w:rsidRPr="000E272C">
        <w:rPr>
          <w:lang w:val="es-ES_tradnl"/>
        </w:rPr>
        <w:tab/>
      </w:r>
      <w:r w:rsidR="008A41B8" w:rsidRPr="000E272C">
        <w:rPr>
          <w:lang w:val="es-ES_tradnl"/>
        </w:rPr>
        <w:t>que preste la asistencia necesaria utilizando todos los recursos disponibles con sujeción al presupuesto asignado para promover oportunamente una labor de normalización de alta calidad, manteniendo páginas web de divulgación al respecto</w:t>
      </w:r>
      <w:r w:rsidR="003D67C1" w:rsidRPr="000E272C">
        <w:rPr>
          <w:lang w:val="es-ES_tradnl"/>
        </w:rPr>
        <w:t>,</w:t>
      </w:r>
      <w:r w:rsidR="008A41B8" w:rsidRPr="000E272C">
        <w:rPr>
          <w:lang w:val="es-ES_tradnl"/>
        </w:rPr>
        <w:t xml:space="preserve"> mejorar la comunicación con los sectores de la automoción y las telecomunicaciones/TIC y fomentar su participación en las actividades de </w:t>
      </w:r>
      <w:r w:rsidR="008A41B8" w:rsidRPr="000E272C">
        <w:rPr>
          <w:lang w:val="es-ES_tradnl" w:eastAsia="zh-CN"/>
        </w:rPr>
        <w:t>normalización</w:t>
      </w:r>
      <w:r w:rsidR="008A41B8" w:rsidRPr="000E272C">
        <w:rPr>
          <w:lang w:val="es-ES_tradnl"/>
        </w:rPr>
        <w:t xml:space="preserve"> del UIT-T relacionadas con las comunicaciones vehiculares, como V2X y STI, incluida la conducción automatizada</w:t>
      </w:r>
      <w:r w:rsidRPr="000E272C">
        <w:rPr>
          <w:lang w:val="es-ES_tradnl"/>
        </w:rPr>
        <w:t>;</w:t>
      </w:r>
    </w:p>
    <w:p w14:paraId="79AC01A2" w14:textId="2B0E090E" w:rsidR="00031A98" w:rsidRPr="000E272C" w:rsidRDefault="00031A98" w:rsidP="00031A98">
      <w:pPr>
        <w:rPr>
          <w:lang w:val="es-ES_tradnl"/>
        </w:rPr>
      </w:pPr>
      <w:r w:rsidRPr="000E272C">
        <w:rPr>
          <w:lang w:val="es-ES_tradnl"/>
        </w:rPr>
        <w:t>2</w:t>
      </w:r>
      <w:r w:rsidRPr="000E272C">
        <w:rPr>
          <w:lang w:val="es-ES_tradnl"/>
        </w:rPr>
        <w:tab/>
      </w:r>
      <w:r w:rsidR="00CF5C96" w:rsidRPr="000E272C">
        <w:rPr>
          <w:lang w:val="es-ES_tradnl"/>
        </w:rPr>
        <w:t xml:space="preserve">que aproveche la asociación con la CEPE a través del Simposio sobre el automóvil conectado del futuro y los eventos conexos, y que </w:t>
      </w:r>
      <w:r w:rsidR="003D67C1" w:rsidRPr="000E272C">
        <w:rPr>
          <w:lang w:val="es-ES_tradnl"/>
        </w:rPr>
        <w:t>respalde</w:t>
      </w:r>
      <w:r w:rsidR="00CF5C96" w:rsidRPr="000E272C">
        <w:rPr>
          <w:lang w:val="es-ES_tradnl"/>
        </w:rPr>
        <w:t xml:space="preserve"> las reuniones de la CITS para </w:t>
      </w:r>
      <w:r w:rsidR="007E33F9" w:rsidRPr="000E272C">
        <w:rPr>
          <w:lang w:val="es-ES_tradnl"/>
        </w:rPr>
        <w:t>facilitar</w:t>
      </w:r>
      <w:r w:rsidR="00CF5C96" w:rsidRPr="000E272C">
        <w:rPr>
          <w:lang w:val="es-ES_tradnl"/>
        </w:rPr>
        <w:t xml:space="preserve"> la colaboración con otr</w:t>
      </w:r>
      <w:r w:rsidR="007E33F9" w:rsidRPr="000E272C">
        <w:rPr>
          <w:lang w:val="es-ES_tradnl"/>
        </w:rPr>
        <w:t>o</w:t>
      </w:r>
      <w:r w:rsidR="00CF5C96" w:rsidRPr="000E272C">
        <w:rPr>
          <w:lang w:val="es-ES_tradnl"/>
        </w:rPr>
        <w:t xml:space="preserve">s SDO, foros industriales y otras organizaciones e iniciativas pertinentes </w:t>
      </w:r>
      <w:r w:rsidR="007E33F9" w:rsidRPr="000E272C">
        <w:rPr>
          <w:lang w:val="es-ES_tradnl"/>
        </w:rPr>
        <w:t>con el fin de</w:t>
      </w:r>
      <w:r w:rsidR="00CF5C96" w:rsidRPr="000E272C">
        <w:rPr>
          <w:lang w:val="es-ES_tradnl"/>
        </w:rPr>
        <w:t xml:space="preserve"> promover el desarrollo de normas internacionales de telecomunicaciones/TIC y otros productos destinados a lograr la interoperabilidad de las comunicaciones vehiculares</w:t>
      </w:r>
      <w:r w:rsidR="000C0E38" w:rsidRPr="000E272C">
        <w:rPr>
          <w:lang w:val="es-ES_tradnl"/>
        </w:rPr>
        <w:t>,</w:t>
      </w:r>
      <w:r w:rsidR="00CF5C96" w:rsidRPr="000E272C">
        <w:rPr>
          <w:lang w:val="es-ES_tradnl"/>
        </w:rPr>
        <w:t xml:space="preserve"> como V2X y STI, incluida la conducción automatizada</w:t>
      </w:r>
      <w:r w:rsidRPr="000E272C">
        <w:rPr>
          <w:lang w:val="es-ES_tradnl"/>
        </w:rPr>
        <w:t>,</w:t>
      </w:r>
    </w:p>
    <w:p w14:paraId="56C79538" w14:textId="1824352E" w:rsidR="00031A98" w:rsidRPr="000E272C" w:rsidRDefault="003737D6" w:rsidP="001123A5">
      <w:pPr>
        <w:pStyle w:val="Call"/>
        <w:rPr>
          <w:lang w:val="es-ES_tradnl"/>
        </w:rPr>
      </w:pPr>
      <w:r w:rsidRPr="000E272C">
        <w:rPr>
          <w:lang w:val="es-ES_tradnl"/>
        </w:rPr>
        <w:t>encarga al Director de la Oficina de Normalización de las Telecomunicaciones en colaboración con el Director de la Oficina de Desarrollo de las Telecomunicaciones</w:t>
      </w:r>
    </w:p>
    <w:p w14:paraId="41B45870" w14:textId="547E1F6C" w:rsidR="00031A98" w:rsidRPr="000E272C" w:rsidRDefault="00031A98" w:rsidP="00031A98">
      <w:pPr>
        <w:rPr>
          <w:lang w:val="es-ES_tradnl"/>
        </w:rPr>
      </w:pPr>
      <w:r w:rsidRPr="000E272C">
        <w:rPr>
          <w:lang w:val="es-ES_tradnl"/>
        </w:rPr>
        <w:t>1</w:t>
      </w:r>
      <w:r w:rsidRPr="000E272C">
        <w:rPr>
          <w:lang w:val="es-ES_tradnl"/>
        </w:rPr>
        <w:tab/>
      </w:r>
      <w:r w:rsidR="00057CBF" w:rsidRPr="000E272C">
        <w:rPr>
          <w:lang w:val="es-ES_tradnl"/>
        </w:rPr>
        <w:t>que respalde a los Estados Miembros en la puesta en marcha de aplicaciones y el despliegue de comunicaciones vehiculares</w:t>
      </w:r>
      <w:r w:rsidR="000C0E38" w:rsidRPr="000E272C">
        <w:rPr>
          <w:lang w:val="es-ES_tradnl"/>
        </w:rPr>
        <w:t>,</w:t>
      </w:r>
      <w:r w:rsidR="00057CBF" w:rsidRPr="000E272C">
        <w:rPr>
          <w:lang w:val="es-ES_tradnl"/>
        </w:rPr>
        <w:t xml:space="preserve"> como V2X y STI, incluida la conducción automatizada</w:t>
      </w:r>
      <w:r w:rsidRPr="000E272C">
        <w:rPr>
          <w:lang w:val="es-ES_tradnl"/>
        </w:rPr>
        <w:t>;</w:t>
      </w:r>
    </w:p>
    <w:p w14:paraId="3EB1AB63" w14:textId="05885B10" w:rsidR="00031A98" w:rsidRPr="000E272C" w:rsidRDefault="00031A98" w:rsidP="00031A98">
      <w:pPr>
        <w:rPr>
          <w:lang w:val="es-ES_tradnl"/>
        </w:rPr>
      </w:pPr>
      <w:r w:rsidRPr="000E272C">
        <w:rPr>
          <w:lang w:val="es-ES_tradnl"/>
        </w:rPr>
        <w:t>2</w:t>
      </w:r>
      <w:r w:rsidRPr="000E272C">
        <w:rPr>
          <w:lang w:val="es-ES_tradnl"/>
        </w:rPr>
        <w:tab/>
      </w:r>
      <w:r w:rsidR="00A77FCD" w:rsidRPr="000E272C">
        <w:rPr>
          <w:lang w:val="es-ES_tradnl"/>
        </w:rPr>
        <w:t>que respalde a los Estados Miembros, especialmente a los países en desarrollo</w:t>
      </w:r>
      <w:r w:rsidR="007B1A82" w:rsidRPr="000E272C">
        <w:rPr>
          <w:lang w:val="es-ES_tradnl"/>
        </w:rPr>
        <w:footnoteReference w:id="1"/>
      </w:r>
      <w:r w:rsidR="00A77FCD" w:rsidRPr="000E272C">
        <w:rPr>
          <w:lang w:val="es-ES_tradnl"/>
        </w:rPr>
        <w:t>, en la organización de foros, seminarios y talleres sobre comunicaciones vehiculares</w:t>
      </w:r>
      <w:r w:rsidR="000C0E38" w:rsidRPr="000E272C">
        <w:rPr>
          <w:lang w:val="es-ES_tradnl"/>
        </w:rPr>
        <w:t>,</w:t>
      </w:r>
      <w:r w:rsidR="00A77FCD" w:rsidRPr="000E272C">
        <w:rPr>
          <w:lang w:val="es-ES_tradnl"/>
        </w:rPr>
        <w:t xml:space="preserve"> como V2X y STI, incluida la conducción automatizada, para promover la innovación, el desarrollo y el crecimiento de la tecnología y las soluciones</w:t>
      </w:r>
      <w:r w:rsidRPr="000E272C">
        <w:rPr>
          <w:lang w:val="es-ES_tradnl"/>
        </w:rPr>
        <w:t>;</w:t>
      </w:r>
    </w:p>
    <w:p w14:paraId="4108C19E" w14:textId="4018DAE9" w:rsidR="00031A98" w:rsidRPr="000E272C" w:rsidRDefault="00031A98" w:rsidP="00031A98">
      <w:pPr>
        <w:rPr>
          <w:lang w:val="es-ES_tradnl"/>
        </w:rPr>
      </w:pPr>
      <w:r w:rsidRPr="000E272C">
        <w:rPr>
          <w:lang w:val="es-ES_tradnl"/>
        </w:rPr>
        <w:t>3</w:t>
      </w:r>
      <w:r w:rsidRPr="000E272C">
        <w:rPr>
          <w:lang w:val="es-ES_tradnl"/>
        </w:rPr>
        <w:tab/>
      </w:r>
      <w:r w:rsidR="00425D71" w:rsidRPr="000E272C">
        <w:rPr>
          <w:lang w:val="es-ES_tradnl"/>
        </w:rPr>
        <w:t>que ayude a los países en desarrollo a poner en servicio comunicaciones vehiculares</w:t>
      </w:r>
      <w:r w:rsidR="000C0E38" w:rsidRPr="000E272C">
        <w:rPr>
          <w:lang w:val="es-ES_tradnl"/>
        </w:rPr>
        <w:t>,</w:t>
      </w:r>
      <w:r w:rsidR="00425D71" w:rsidRPr="000E272C">
        <w:rPr>
          <w:lang w:val="es-ES_tradnl"/>
        </w:rPr>
        <w:t xml:space="preserve"> como V2X y STI, incluida la conducción automatizada, mediante la elaboración de Recomendaciones, informes técnicos y directrices del UIT-T</w:t>
      </w:r>
      <w:r w:rsidRPr="000E272C">
        <w:rPr>
          <w:lang w:val="es-ES_tradnl"/>
        </w:rPr>
        <w:t>,</w:t>
      </w:r>
    </w:p>
    <w:p w14:paraId="07F89D46" w14:textId="73AC190D" w:rsidR="00031A98" w:rsidRPr="000E272C" w:rsidRDefault="009311B1" w:rsidP="001123A5">
      <w:pPr>
        <w:pStyle w:val="Call"/>
        <w:rPr>
          <w:lang w:val="es-ES_tradnl"/>
        </w:rPr>
      </w:pPr>
      <w:r w:rsidRPr="000E272C">
        <w:rPr>
          <w:lang w:val="es-ES_tradnl"/>
        </w:rPr>
        <w:t>encarga a las Comisiones de Estudio del Sector de Normalización de las Telecomunicaciones de la UIT</w:t>
      </w:r>
    </w:p>
    <w:p w14:paraId="67B635DB" w14:textId="7BB59F6C" w:rsidR="00031A98" w:rsidRPr="000E272C" w:rsidRDefault="00031A98" w:rsidP="00031A98">
      <w:pPr>
        <w:rPr>
          <w:lang w:val="es-ES_tradnl"/>
        </w:rPr>
      </w:pPr>
      <w:r w:rsidRPr="000E272C">
        <w:rPr>
          <w:lang w:val="es-ES_tradnl"/>
        </w:rPr>
        <w:t>1</w:t>
      </w:r>
      <w:r w:rsidRPr="000E272C">
        <w:rPr>
          <w:lang w:val="es-ES_tradnl"/>
        </w:rPr>
        <w:tab/>
      </w:r>
      <w:r w:rsidR="00C57F1B" w:rsidRPr="000E272C">
        <w:rPr>
          <w:lang w:val="es-ES_tradnl"/>
        </w:rPr>
        <w:t>a</w:t>
      </w:r>
      <w:r w:rsidR="0012189C" w:rsidRPr="000E272C">
        <w:rPr>
          <w:lang w:val="es-ES_tradnl"/>
        </w:rPr>
        <w:t xml:space="preserve"> la Comisión de Estudio 2</w:t>
      </w:r>
      <w:r w:rsidR="00C57F1B" w:rsidRPr="000E272C">
        <w:rPr>
          <w:lang w:val="es-ES_tradnl"/>
        </w:rPr>
        <w:t>, que</w:t>
      </w:r>
      <w:r w:rsidR="0012189C" w:rsidRPr="000E272C">
        <w:rPr>
          <w:lang w:val="es-ES_tradnl"/>
        </w:rPr>
        <w:t xml:space="preserve"> fomente las actividades de normalización relativas a cuestiones de numeración, denominación, direccionamiento e identificación (NNAI) en relación con las comunicaciones vehiculares</w:t>
      </w:r>
      <w:r w:rsidR="00C224D4" w:rsidRPr="000E272C">
        <w:rPr>
          <w:lang w:val="es-ES_tradnl"/>
        </w:rPr>
        <w:t>,</w:t>
      </w:r>
      <w:r w:rsidR="0012189C" w:rsidRPr="000E272C">
        <w:rPr>
          <w:lang w:val="es-ES_tradnl"/>
        </w:rPr>
        <w:t xml:space="preserve"> como V2X y STI, incluida la conducción automatizada</w:t>
      </w:r>
      <w:r w:rsidRPr="000E272C">
        <w:rPr>
          <w:lang w:val="es-ES_tradnl"/>
        </w:rPr>
        <w:t>;</w:t>
      </w:r>
    </w:p>
    <w:p w14:paraId="543D11F0" w14:textId="53F5ED78" w:rsidR="00031A98" w:rsidRPr="000E272C" w:rsidRDefault="00031A98" w:rsidP="00031A98">
      <w:pPr>
        <w:rPr>
          <w:lang w:val="es-ES_tradnl"/>
        </w:rPr>
      </w:pPr>
      <w:r w:rsidRPr="000E272C">
        <w:rPr>
          <w:lang w:val="es-ES_tradnl"/>
        </w:rPr>
        <w:t>2</w:t>
      </w:r>
      <w:r w:rsidRPr="000E272C">
        <w:rPr>
          <w:lang w:val="es-ES_tradnl"/>
        </w:rPr>
        <w:tab/>
      </w:r>
      <w:r w:rsidR="00C57F1B" w:rsidRPr="000E272C">
        <w:rPr>
          <w:lang w:val="es-ES_tradnl"/>
        </w:rPr>
        <w:t>a</w:t>
      </w:r>
      <w:r w:rsidR="009855B5" w:rsidRPr="000E272C">
        <w:rPr>
          <w:lang w:val="es-ES_tradnl"/>
        </w:rPr>
        <w:t xml:space="preserve"> la Comisión de Estudio 12</w:t>
      </w:r>
      <w:r w:rsidR="00C57F1B" w:rsidRPr="000E272C">
        <w:rPr>
          <w:lang w:val="es-ES_tradnl"/>
        </w:rPr>
        <w:t>, que</w:t>
      </w:r>
      <w:r w:rsidR="009855B5" w:rsidRPr="000E272C">
        <w:rPr>
          <w:lang w:val="es-ES_tradnl"/>
        </w:rPr>
        <w:t xml:space="preserve"> fomente las actividades de normalización de la calidad de servicio y la calidad p</w:t>
      </w:r>
      <w:r w:rsidR="00B36500" w:rsidRPr="000E272C">
        <w:rPr>
          <w:lang w:val="es-ES_tradnl"/>
        </w:rPr>
        <w:t>ercibida</w:t>
      </w:r>
      <w:r w:rsidR="009855B5" w:rsidRPr="000E272C">
        <w:rPr>
          <w:lang w:val="es-ES_tradnl"/>
        </w:rPr>
        <w:t xml:space="preserve"> </w:t>
      </w:r>
      <w:r w:rsidR="00B36500" w:rsidRPr="000E272C">
        <w:rPr>
          <w:lang w:val="es-ES_tradnl"/>
        </w:rPr>
        <w:t xml:space="preserve">en relación </w:t>
      </w:r>
      <w:r w:rsidR="009855B5" w:rsidRPr="000E272C">
        <w:rPr>
          <w:lang w:val="es-ES_tradnl"/>
        </w:rPr>
        <w:t>con las comunicaciones vehiculares</w:t>
      </w:r>
      <w:r w:rsidR="00C83C1A" w:rsidRPr="000E272C">
        <w:rPr>
          <w:lang w:val="es-ES_tradnl"/>
        </w:rPr>
        <w:t>,</w:t>
      </w:r>
      <w:r w:rsidR="009855B5" w:rsidRPr="000E272C">
        <w:rPr>
          <w:lang w:val="es-ES_tradnl"/>
        </w:rPr>
        <w:t xml:space="preserve"> como V2X y STI, incluida la conducción automatizada</w:t>
      </w:r>
      <w:r w:rsidRPr="000E272C">
        <w:rPr>
          <w:lang w:val="es-ES_tradnl"/>
        </w:rPr>
        <w:t>;</w:t>
      </w:r>
    </w:p>
    <w:p w14:paraId="45E5F5EF" w14:textId="13DB025A" w:rsidR="00031A98" w:rsidRPr="000E272C" w:rsidRDefault="00031A98" w:rsidP="00031A98">
      <w:pPr>
        <w:rPr>
          <w:lang w:val="es-ES_tradnl"/>
        </w:rPr>
      </w:pPr>
      <w:r w:rsidRPr="000E272C">
        <w:rPr>
          <w:lang w:val="es-ES_tradnl"/>
        </w:rPr>
        <w:t>3</w:t>
      </w:r>
      <w:r w:rsidRPr="000E272C">
        <w:rPr>
          <w:lang w:val="es-ES_tradnl"/>
        </w:rPr>
        <w:tab/>
      </w:r>
      <w:r w:rsidR="005A5C47" w:rsidRPr="000E272C">
        <w:rPr>
          <w:lang w:val="es-ES_tradnl"/>
        </w:rPr>
        <w:t>la Comisión de Estudio C</w:t>
      </w:r>
      <w:r w:rsidR="00C83C1A" w:rsidRPr="000E272C">
        <w:rPr>
          <w:lang w:val="es-ES_tradnl"/>
        </w:rPr>
        <w:t>, que</w:t>
      </w:r>
      <w:r w:rsidR="005A5C47" w:rsidRPr="000E272C">
        <w:rPr>
          <w:lang w:val="es-ES_tradnl"/>
        </w:rPr>
        <w:t xml:space="preserve"> elabore Recomendaciones UIT-T destinadas a la puesta en servicio de comunicaciones vehiculares</w:t>
      </w:r>
      <w:r w:rsidR="00C83C1A" w:rsidRPr="000E272C">
        <w:rPr>
          <w:lang w:val="es-ES_tradnl"/>
        </w:rPr>
        <w:t>,</w:t>
      </w:r>
      <w:r w:rsidR="005A5C47" w:rsidRPr="000E272C">
        <w:rPr>
          <w:lang w:val="es-ES_tradnl"/>
        </w:rPr>
        <w:t xml:space="preserve"> como V2X y STI, incluida la conducción automatizada, que contemplen requisitos, casos de uso, arquitectura funcional, interfaces, hojas de ruta de las</w:t>
      </w:r>
      <w:r w:rsidR="005A5C47" w:rsidRPr="000E272C">
        <w:rPr>
          <w:rFonts w:eastAsia="SimSun"/>
          <w:lang w:val="es-ES_tradnl" w:eastAsia="zh-CN"/>
        </w:rPr>
        <w:t xml:space="preserve"> </w:t>
      </w:r>
      <w:r w:rsidR="005A5C47" w:rsidRPr="000E272C">
        <w:rPr>
          <w:lang w:val="es-ES_tradnl"/>
        </w:rPr>
        <w:lastRenderedPageBreak/>
        <w:t>normas, etc., teniendo en cuenta los resultados del estudio del CITS/EG-ComAD, así como el resultado de la Comisión de Estudio 5 del UIT-R sobre las necesidades de espectro</w:t>
      </w:r>
      <w:r w:rsidRPr="000E272C">
        <w:rPr>
          <w:lang w:val="es-ES_tradnl"/>
        </w:rPr>
        <w:t>;</w:t>
      </w:r>
    </w:p>
    <w:p w14:paraId="2218B22F" w14:textId="3D15FE07" w:rsidR="00031A98" w:rsidRPr="000E272C" w:rsidRDefault="00031A98" w:rsidP="00031A98">
      <w:pPr>
        <w:rPr>
          <w:lang w:val="es-ES_tradnl"/>
        </w:rPr>
      </w:pPr>
      <w:r w:rsidRPr="000E272C">
        <w:rPr>
          <w:lang w:val="es-ES_tradnl"/>
        </w:rPr>
        <w:t>4</w:t>
      </w:r>
      <w:r w:rsidRPr="000E272C">
        <w:rPr>
          <w:lang w:val="es-ES_tradnl"/>
        </w:rPr>
        <w:tab/>
      </w:r>
      <w:r w:rsidR="00C83C1A" w:rsidRPr="000E272C">
        <w:rPr>
          <w:lang w:val="es-ES_tradnl"/>
        </w:rPr>
        <w:t>a</w:t>
      </w:r>
      <w:r w:rsidR="00E07756" w:rsidRPr="000E272C">
        <w:rPr>
          <w:lang w:val="es-ES_tradnl"/>
        </w:rPr>
        <w:t xml:space="preserve"> la Comisión de Estudio 17</w:t>
      </w:r>
      <w:r w:rsidR="00C83C1A" w:rsidRPr="000E272C">
        <w:rPr>
          <w:lang w:val="es-ES_tradnl"/>
        </w:rPr>
        <w:t>, que</w:t>
      </w:r>
      <w:r w:rsidR="00E07756" w:rsidRPr="000E272C">
        <w:rPr>
          <w:lang w:val="es-ES_tradnl"/>
        </w:rPr>
        <w:t xml:space="preserve"> fomente las actividades de normalización relacionadas con la seguridad de las comunicaciones vehiculares</w:t>
      </w:r>
      <w:r w:rsidR="00767CE9" w:rsidRPr="000E272C">
        <w:rPr>
          <w:lang w:val="es-ES_tradnl"/>
        </w:rPr>
        <w:t>,</w:t>
      </w:r>
      <w:r w:rsidR="00E07756" w:rsidRPr="000E272C">
        <w:rPr>
          <w:lang w:val="es-ES_tradnl"/>
        </w:rPr>
        <w:t xml:space="preserve"> como V2X y STI, incluida la conducción automatizada, que incluya soluciones integrales de seguridad, mecanismos de seguridad, etc</w:t>
      </w:r>
      <w:r w:rsidRPr="000E272C">
        <w:rPr>
          <w:lang w:val="es-ES_tradnl"/>
        </w:rPr>
        <w:t xml:space="preserve">.; </w:t>
      </w:r>
    </w:p>
    <w:p w14:paraId="28787F2E" w14:textId="426965B8" w:rsidR="00031A98" w:rsidRPr="000E272C" w:rsidRDefault="00031A98" w:rsidP="00031A98">
      <w:pPr>
        <w:rPr>
          <w:lang w:val="es-ES_tradnl"/>
        </w:rPr>
      </w:pPr>
      <w:r w:rsidRPr="000E272C">
        <w:rPr>
          <w:lang w:val="es-ES_tradnl"/>
        </w:rPr>
        <w:t>5</w:t>
      </w:r>
      <w:r w:rsidRPr="000E272C">
        <w:rPr>
          <w:lang w:val="es-ES_tradnl"/>
        </w:rPr>
        <w:tab/>
      </w:r>
      <w:r w:rsidR="00C83C1A" w:rsidRPr="000E272C">
        <w:rPr>
          <w:lang w:val="es-ES_tradnl"/>
        </w:rPr>
        <w:t>a</w:t>
      </w:r>
      <w:r w:rsidR="00AB1162" w:rsidRPr="000E272C">
        <w:rPr>
          <w:lang w:val="es-ES_tradnl"/>
        </w:rPr>
        <w:t xml:space="preserve"> la Comisión de Estudio 20</w:t>
      </w:r>
      <w:r w:rsidR="00C83C1A" w:rsidRPr="000E272C">
        <w:rPr>
          <w:lang w:val="es-ES_tradnl"/>
        </w:rPr>
        <w:t>, que</w:t>
      </w:r>
      <w:r w:rsidR="00AB1162" w:rsidRPr="000E272C">
        <w:rPr>
          <w:lang w:val="es-ES_tradnl"/>
        </w:rPr>
        <w:t xml:space="preserve"> aproveche el despliegue de las aplicaciones de Internet de las cosas para contribuir a un transporte más conectado, sostenible y seguro</w:t>
      </w:r>
      <w:r w:rsidRPr="000E272C">
        <w:rPr>
          <w:lang w:val="es-ES_tradnl"/>
        </w:rPr>
        <w:t>,</w:t>
      </w:r>
    </w:p>
    <w:p w14:paraId="31B3D3D7" w14:textId="06EBAF35" w:rsidR="00031A98" w:rsidRPr="000E272C" w:rsidRDefault="00D70309" w:rsidP="004952E4">
      <w:pPr>
        <w:pStyle w:val="Call"/>
        <w:rPr>
          <w:lang w:val="es-ES_tradnl"/>
        </w:rPr>
      </w:pPr>
      <w:r w:rsidRPr="000E272C">
        <w:rPr>
          <w:lang w:val="es-ES_tradnl"/>
        </w:rPr>
        <w:t>invita a los Estados Miembros, Miembros de Sector, Asociados e Instituciones Académicas</w:t>
      </w:r>
    </w:p>
    <w:p w14:paraId="5AD2A78F" w14:textId="4725FBFF" w:rsidR="00031A98" w:rsidRPr="000E272C" w:rsidRDefault="00031A98" w:rsidP="00031A98">
      <w:pPr>
        <w:rPr>
          <w:lang w:val="es-ES_tradnl"/>
        </w:rPr>
      </w:pPr>
      <w:r w:rsidRPr="000E272C">
        <w:rPr>
          <w:lang w:val="es-ES_tradnl"/>
        </w:rPr>
        <w:t>1</w:t>
      </w:r>
      <w:r w:rsidRPr="000E272C">
        <w:rPr>
          <w:lang w:val="es-ES_tradnl"/>
        </w:rPr>
        <w:tab/>
      </w:r>
      <w:r w:rsidR="0079232B" w:rsidRPr="000E272C">
        <w:rPr>
          <w:lang w:val="es-ES_tradnl"/>
        </w:rPr>
        <w:t>a presentar contribuciones y participar activamente en la investigación de las comunicaciones vehiculares</w:t>
      </w:r>
      <w:r w:rsidR="00767CE9" w:rsidRPr="000E272C">
        <w:rPr>
          <w:lang w:val="es-ES_tradnl"/>
        </w:rPr>
        <w:t>,</w:t>
      </w:r>
      <w:r w:rsidR="0079232B" w:rsidRPr="000E272C">
        <w:rPr>
          <w:lang w:val="es-ES_tradnl"/>
        </w:rPr>
        <w:t xml:space="preserve"> como V2X y STI, incluida la conducción automatizada, que realice el UIT-T</w:t>
      </w:r>
      <w:r w:rsidRPr="000E272C">
        <w:rPr>
          <w:lang w:val="es-ES_tradnl"/>
        </w:rPr>
        <w:t>;</w:t>
      </w:r>
    </w:p>
    <w:p w14:paraId="5E730B97" w14:textId="17413EE1" w:rsidR="00031A98" w:rsidRPr="000E272C" w:rsidRDefault="00031A98" w:rsidP="00031A98">
      <w:pPr>
        <w:rPr>
          <w:lang w:val="es-ES_tradnl"/>
        </w:rPr>
      </w:pPr>
      <w:r w:rsidRPr="000E272C">
        <w:rPr>
          <w:lang w:val="es-ES_tradnl"/>
        </w:rPr>
        <w:t>2</w:t>
      </w:r>
      <w:r w:rsidRPr="000E272C">
        <w:rPr>
          <w:lang w:val="es-ES_tradnl"/>
        </w:rPr>
        <w:tab/>
      </w:r>
      <w:r w:rsidR="006F0055" w:rsidRPr="000E272C">
        <w:rPr>
          <w:lang w:val="es-ES_tradnl"/>
        </w:rPr>
        <w:t>a elaborar planes generales, intercambiar casos de uso y compartir prácticas idóneas, para promover el ecosistema de las comunicaciones vehiculares</w:t>
      </w:r>
      <w:r w:rsidR="00767CE9" w:rsidRPr="000E272C">
        <w:rPr>
          <w:lang w:val="es-ES_tradnl"/>
        </w:rPr>
        <w:t>,</w:t>
      </w:r>
      <w:r w:rsidR="006F0055" w:rsidRPr="000E272C">
        <w:rPr>
          <w:lang w:val="es-ES_tradnl"/>
        </w:rPr>
        <w:t xml:space="preserve"> como V2X y STI, incluida la conducción automatizada, y facilitar el desarrollo social y el crecimiento económico para alcanzar los ODS</w:t>
      </w:r>
      <w:r w:rsidRPr="000E272C">
        <w:rPr>
          <w:lang w:val="es-ES_tradnl"/>
        </w:rPr>
        <w:t xml:space="preserve">; </w:t>
      </w:r>
    </w:p>
    <w:p w14:paraId="7E90763F" w14:textId="4EAAA1FE" w:rsidR="00031A98" w:rsidRPr="000E272C" w:rsidRDefault="00031A98" w:rsidP="00031A98">
      <w:pPr>
        <w:rPr>
          <w:lang w:val="es-ES_tradnl"/>
        </w:rPr>
      </w:pPr>
      <w:r w:rsidRPr="000E272C">
        <w:rPr>
          <w:lang w:val="es-ES_tradnl"/>
        </w:rPr>
        <w:t>3</w:t>
      </w:r>
      <w:r w:rsidRPr="000E272C">
        <w:rPr>
          <w:lang w:val="es-ES_tradnl"/>
        </w:rPr>
        <w:tab/>
      </w:r>
      <w:r w:rsidR="00D220CF" w:rsidRPr="000E272C">
        <w:rPr>
          <w:lang w:val="es-ES_tradnl"/>
        </w:rPr>
        <w:t>a organizar foros, seminarios y talleres relacionados con las comunicaciones vehiculares, como V2X y STI, para promover y apoyar la innovación, la investigación, el desarrollo y el crecimiento de tecnologías y soluciones</w:t>
      </w:r>
      <w:r w:rsidRPr="000E272C">
        <w:rPr>
          <w:lang w:val="es-ES_tradnl"/>
        </w:rPr>
        <w:t>;</w:t>
      </w:r>
    </w:p>
    <w:p w14:paraId="62D34B41" w14:textId="54DDC05F" w:rsidR="00492626" w:rsidRPr="000E272C" w:rsidRDefault="00031A98" w:rsidP="00886466">
      <w:pPr>
        <w:rPr>
          <w:lang w:val="es-ES_tradnl"/>
        </w:rPr>
      </w:pPr>
      <w:r w:rsidRPr="000E272C">
        <w:rPr>
          <w:lang w:val="es-ES_tradnl"/>
        </w:rPr>
        <w:t>4</w:t>
      </w:r>
      <w:r w:rsidRPr="000E272C">
        <w:rPr>
          <w:lang w:val="es-ES_tradnl"/>
        </w:rPr>
        <w:tab/>
      </w:r>
      <w:r w:rsidR="006505C0" w:rsidRPr="000E272C">
        <w:rPr>
          <w:lang w:val="es-ES_tradnl"/>
        </w:rPr>
        <w:t>a tomar las medidas necesarias para promover y aplicar la normalización de las comunicaciones vehiculares</w:t>
      </w:r>
      <w:r w:rsidR="00C83C1A" w:rsidRPr="000E272C">
        <w:rPr>
          <w:lang w:val="es-ES_tradnl"/>
        </w:rPr>
        <w:t>,</w:t>
      </w:r>
      <w:r w:rsidR="006505C0" w:rsidRPr="000E272C">
        <w:rPr>
          <w:lang w:val="es-ES_tradnl"/>
        </w:rPr>
        <w:t xml:space="preserve"> como V2X y STI</w:t>
      </w:r>
      <w:r w:rsidRPr="000E272C">
        <w:rPr>
          <w:lang w:val="es-ES_tradnl"/>
        </w:rPr>
        <w:t>.</w:t>
      </w:r>
    </w:p>
    <w:p w14:paraId="142A9430" w14:textId="77777777" w:rsidR="00886466" w:rsidRPr="000E272C" w:rsidRDefault="00886466" w:rsidP="00886466">
      <w:pPr>
        <w:pStyle w:val="Reasons"/>
        <w:rPr>
          <w:lang w:val="es-ES_tradnl"/>
        </w:rPr>
      </w:pPr>
    </w:p>
    <w:p w14:paraId="5A29E45C" w14:textId="3A7C11CA" w:rsidR="00886466" w:rsidRPr="007A1B1A" w:rsidRDefault="00886466" w:rsidP="00886466">
      <w:pPr>
        <w:jc w:val="center"/>
        <w:rPr>
          <w:lang w:val="es-ES"/>
        </w:rPr>
      </w:pPr>
      <w:r w:rsidRPr="000E272C">
        <w:rPr>
          <w:lang w:val="es-ES_tradnl"/>
        </w:rPr>
        <w:t>______________</w:t>
      </w:r>
    </w:p>
    <w:sectPr w:rsidR="00886466" w:rsidRPr="007A1B1A" w:rsidSect="00291A0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C933" w14:textId="77777777" w:rsidR="00E45E18" w:rsidRDefault="00E45E18">
      <w:r>
        <w:separator/>
      </w:r>
    </w:p>
  </w:endnote>
  <w:endnote w:type="continuationSeparator" w:id="0">
    <w:p w14:paraId="57ED48E8" w14:textId="77777777" w:rsidR="00E45E18" w:rsidRDefault="00E45E18">
      <w:r>
        <w:continuationSeparator/>
      </w:r>
    </w:p>
  </w:endnote>
  <w:endnote w:type="continuationNotice" w:id="1">
    <w:p w14:paraId="7E63CC9E" w14:textId="77777777" w:rsidR="00E45E18" w:rsidRDefault="00E45E1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98BB" w14:textId="77777777" w:rsidR="009D4900" w:rsidRDefault="009D4900">
    <w:pPr>
      <w:framePr w:wrap="around" w:vAnchor="text" w:hAnchor="margin" w:xAlign="right" w:y="1"/>
    </w:pPr>
    <w:r>
      <w:fldChar w:fldCharType="begin"/>
    </w:r>
    <w:r>
      <w:instrText xml:space="preserve">PAGE  </w:instrText>
    </w:r>
    <w:r>
      <w:fldChar w:fldCharType="end"/>
    </w:r>
  </w:p>
  <w:p w14:paraId="5DA01154" w14:textId="3D2BD9C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21835">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D2BE"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B8CD"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23F8" w14:textId="77777777" w:rsidR="00E45E18" w:rsidRDefault="00E45E18">
      <w:r>
        <w:rPr>
          <w:b/>
        </w:rPr>
        <w:t>_______________</w:t>
      </w:r>
    </w:p>
  </w:footnote>
  <w:footnote w:type="continuationSeparator" w:id="0">
    <w:p w14:paraId="464E93CB" w14:textId="77777777" w:rsidR="00E45E18" w:rsidRDefault="00E45E18">
      <w:r>
        <w:continuationSeparator/>
      </w:r>
    </w:p>
  </w:footnote>
  <w:footnote w:id="1">
    <w:p w14:paraId="02180B43" w14:textId="21A7E86E" w:rsidR="007B1A82" w:rsidRPr="00C224D4" w:rsidRDefault="007B1A82" w:rsidP="007B1A82">
      <w:pPr>
        <w:pStyle w:val="FootnoteText"/>
        <w:rPr>
          <w:lang w:val="es-ES"/>
        </w:rPr>
      </w:pPr>
      <w:r w:rsidRPr="00C224D4">
        <w:rPr>
          <w:rStyle w:val="FootnoteReference"/>
          <w:position w:val="0"/>
          <w:sz w:val="20"/>
          <w:lang w:val="es-ES"/>
        </w:rPr>
        <w:footnoteRef/>
      </w:r>
      <w:r w:rsidRPr="00C224D4">
        <w:rPr>
          <w:lang w:val="es-ES"/>
        </w:rPr>
        <w:t xml:space="preserve"> </w:t>
      </w:r>
      <w:r w:rsidR="006B3662" w:rsidRPr="00C224D4">
        <w:rPr>
          <w:lang w:val="es-ES"/>
        </w:rPr>
        <w:t>Este término comprende los países menos adelantados, los pequeños Estados insulares en desarrollo, los países en desarrollo sin litoral y los países con economías en transición</w:t>
      </w:r>
      <w:r w:rsidRPr="00C224D4">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D7BB"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9F61"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WTSA-24/37(Add.45)-</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079D"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2116"/>
    <w:rsid w:val="0001425B"/>
    <w:rsid w:val="0001616D"/>
    <w:rsid w:val="00022A29"/>
    <w:rsid w:val="00024294"/>
    <w:rsid w:val="00031A98"/>
    <w:rsid w:val="00034F78"/>
    <w:rsid w:val="000355FD"/>
    <w:rsid w:val="00051E39"/>
    <w:rsid w:val="00055A59"/>
    <w:rsid w:val="000560D0"/>
    <w:rsid w:val="00057CBF"/>
    <w:rsid w:val="0006220C"/>
    <w:rsid w:val="00062F05"/>
    <w:rsid w:val="00063D0B"/>
    <w:rsid w:val="00063EBE"/>
    <w:rsid w:val="0006471F"/>
    <w:rsid w:val="00072890"/>
    <w:rsid w:val="00077239"/>
    <w:rsid w:val="000807E9"/>
    <w:rsid w:val="00086491"/>
    <w:rsid w:val="00091346"/>
    <w:rsid w:val="00093168"/>
    <w:rsid w:val="0009706C"/>
    <w:rsid w:val="000A4F50"/>
    <w:rsid w:val="000B6E66"/>
    <w:rsid w:val="000C0E38"/>
    <w:rsid w:val="000C632A"/>
    <w:rsid w:val="000D0578"/>
    <w:rsid w:val="000D708A"/>
    <w:rsid w:val="000E03AC"/>
    <w:rsid w:val="000E272C"/>
    <w:rsid w:val="000F57C3"/>
    <w:rsid w:val="000F73FF"/>
    <w:rsid w:val="001043FF"/>
    <w:rsid w:val="001059D5"/>
    <w:rsid w:val="0011019A"/>
    <w:rsid w:val="001123A5"/>
    <w:rsid w:val="0011310F"/>
    <w:rsid w:val="0011438D"/>
    <w:rsid w:val="00114CF7"/>
    <w:rsid w:val="0011715B"/>
    <w:rsid w:val="0012189C"/>
    <w:rsid w:val="00123B68"/>
    <w:rsid w:val="00126F2E"/>
    <w:rsid w:val="001301F4"/>
    <w:rsid w:val="00130789"/>
    <w:rsid w:val="00137CF6"/>
    <w:rsid w:val="00146F6F"/>
    <w:rsid w:val="00161472"/>
    <w:rsid w:val="00163E58"/>
    <w:rsid w:val="0017074E"/>
    <w:rsid w:val="0017103F"/>
    <w:rsid w:val="00176B63"/>
    <w:rsid w:val="00182117"/>
    <w:rsid w:val="0018215C"/>
    <w:rsid w:val="00187BD9"/>
    <w:rsid w:val="00190B55"/>
    <w:rsid w:val="001C3B5F"/>
    <w:rsid w:val="001D058F"/>
    <w:rsid w:val="001D1889"/>
    <w:rsid w:val="001E6F73"/>
    <w:rsid w:val="002009EA"/>
    <w:rsid w:val="00202CA0"/>
    <w:rsid w:val="002075A4"/>
    <w:rsid w:val="00216B6D"/>
    <w:rsid w:val="00227927"/>
    <w:rsid w:val="00236EBA"/>
    <w:rsid w:val="00245127"/>
    <w:rsid w:val="00246525"/>
    <w:rsid w:val="002502A2"/>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021E6"/>
    <w:rsid w:val="00311BEB"/>
    <w:rsid w:val="00316B80"/>
    <w:rsid w:val="003251EA"/>
    <w:rsid w:val="00336ABE"/>
    <w:rsid w:val="00336B4E"/>
    <w:rsid w:val="0034635C"/>
    <w:rsid w:val="003737D6"/>
    <w:rsid w:val="00377BD3"/>
    <w:rsid w:val="00384088"/>
    <w:rsid w:val="003879F0"/>
    <w:rsid w:val="0039169B"/>
    <w:rsid w:val="00394470"/>
    <w:rsid w:val="003A5470"/>
    <w:rsid w:val="003A5D1D"/>
    <w:rsid w:val="003A7F8C"/>
    <w:rsid w:val="003B09A1"/>
    <w:rsid w:val="003B532E"/>
    <w:rsid w:val="003C33B7"/>
    <w:rsid w:val="003D0F8B"/>
    <w:rsid w:val="003D2227"/>
    <w:rsid w:val="003D67C1"/>
    <w:rsid w:val="003D79C3"/>
    <w:rsid w:val="003F020A"/>
    <w:rsid w:val="00403B4D"/>
    <w:rsid w:val="0041348E"/>
    <w:rsid w:val="004142ED"/>
    <w:rsid w:val="00420EDB"/>
    <w:rsid w:val="00421AA4"/>
    <w:rsid w:val="00425D71"/>
    <w:rsid w:val="004373CA"/>
    <w:rsid w:val="004420C9"/>
    <w:rsid w:val="00443CCE"/>
    <w:rsid w:val="00465799"/>
    <w:rsid w:val="004678DA"/>
    <w:rsid w:val="00470235"/>
    <w:rsid w:val="00471EF9"/>
    <w:rsid w:val="0047214D"/>
    <w:rsid w:val="00492075"/>
    <w:rsid w:val="00492626"/>
    <w:rsid w:val="004952E4"/>
    <w:rsid w:val="00495699"/>
    <w:rsid w:val="004969AD"/>
    <w:rsid w:val="004A26C4"/>
    <w:rsid w:val="004B07EC"/>
    <w:rsid w:val="004B13CB"/>
    <w:rsid w:val="004B4AAE"/>
    <w:rsid w:val="004C0472"/>
    <w:rsid w:val="004C6112"/>
    <w:rsid w:val="004C6FBE"/>
    <w:rsid w:val="004D5D5C"/>
    <w:rsid w:val="004D6DFC"/>
    <w:rsid w:val="004E05BE"/>
    <w:rsid w:val="004E268A"/>
    <w:rsid w:val="004E2B16"/>
    <w:rsid w:val="004E30F2"/>
    <w:rsid w:val="004F630A"/>
    <w:rsid w:val="0050139F"/>
    <w:rsid w:val="00510C3D"/>
    <w:rsid w:val="00524283"/>
    <w:rsid w:val="00524478"/>
    <w:rsid w:val="0053231B"/>
    <w:rsid w:val="0055140B"/>
    <w:rsid w:val="00553247"/>
    <w:rsid w:val="0056378B"/>
    <w:rsid w:val="005651AA"/>
    <w:rsid w:val="0056747D"/>
    <w:rsid w:val="00581B01"/>
    <w:rsid w:val="00585383"/>
    <w:rsid w:val="00587F8C"/>
    <w:rsid w:val="00590E6A"/>
    <w:rsid w:val="00595780"/>
    <w:rsid w:val="005964AB"/>
    <w:rsid w:val="005A1A6A"/>
    <w:rsid w:val="005A5C47"/>
    <w:rsid w:val="005B08B6"/>
    <w:rsid w:val="005C099A"/>
    <w:rsid w:val="005C31A5"/>
    <w:rsid w:val="005D01EB"/>
    <w:rsid w:val="005D431B"/>
    <w:rsid w:val="005D4D62"/>
    <w:rsid w:val="005D5400"/>
    <w:rsid w:val="005E10C9"/>
    <w:rsid w:val="005E33BD"/>
    <w:rsid w:val="005E61DD"/>
    <w:rsid w:val="006023DF"/>
    <w:rsid w:val="00602F64"/>
    <w:rsid w:val="00605B11"/>
    <w:rsid w:val="00607D4D"/>
    <w:rsid w:val="00622829"/>
    <w:rsid w:val="00623F15"/>
    <w:rsid w:val="006256C0"/>
    <w:rsid w:val="00643684"/>
    <w:rsid w:val="00644E03"/>
    <w:rsid w:val="006470E5"/>
    <w:rsid w:val="006505C0"/>
    <w:rsid w:val="00657CDA"/>
    <w:rsid w:val="00657DE0"/>
    <w:rsid w:val="006714A3"/>
    <w:rsid w:val="00672EE6"/>
    <w:rsid w:val="0067500B"/>
    <w:rsid w:val="006763BF"/>
    <w:rsid w:val="00683CB6"/>
    <w:rsid w:val="00685313"/>
    <w:rsid w:val="0069276B"/>
    <w:rsid w:val="00692833"/>
    <w:rsid w:val="006A0D14"/>
    <w:rsid w:val="006A6E9B"/>
    <w:rsid w:val="006A72A4"/>
    <w:rsid w:val="006B0C15"/>
    <w:rsid w:val="006B3662"/>
    <w:rsid w:val="006B7C2A"/>
    <w:rsid w:val="006C136E"/>
    <w:rsid w:val="006C23DA"/>
    <w:rsid w:val="006C2534"/>
    <w:rsid w:val="006D388A"/>
    <w:rsid w:val="006D4032"/>
    <w:rsid w:val="006E09E3"/>
    <w:rsid w:val="006E3D45"/>
    <w:rsid w:val="006E6EE0"/>
    <w:rsid w:val="006F0055"/>
    <w:rsid w:val="006F0DB7"/>
    <w:rsid w:val="00700547"/>
    <w:rsid w:val="00706263"/>
    <w:rsid w:val="00707E39"/>
    <w:rsid w:val="007149F9"/>
    <w:rsid w:val="0073108E"/>
    <w:rsid w:val="00733A30"/>
    <w:rsid w:val="00742988"/>
    <w:rsid w:val="00742F1D"/>
    <w:rsid w:val="00744830"/>
    <w:rsid w:val="007452F0"/>
    <w:rsid w:val="00745AEE"/>
    <w:rsid w:val="00750F10"/>
    <w:rsid w:val="00752D4D"/>
    <w:rsid w:val="00761171"/>
    <w:rsid w:val="00761B19"/>
    <w:rsid w:val="00767CE9"/>
    <w:rsid w:val="007742CA"/>
    <w:rsid w:val="00776230"/>
    <w:rsid w:val="00777235"/>
    <w:rsid w:val="00780F10"/>
    <w:rsid w:val="00785E1D"/>
    <w:rsid w:val="00785FF3"/>
    <w:rsid w:val="00790D70"/>
    <w:rsid w:val="0079232B"/>
    <w:rsid w:val="00796FA3"/>
    <w:rsid w:val="00797C4B"/>
    <w:rsid w:val="007A1B1A"/>
    <w:rsid w:val="007B1A82"/>
    <w:rsid w:val="007B55A0"/>
    <w:rsid w:val="007B5698"/>
    <w:rsid w:val="007C60C2"/>
    <w:rsid w:val="007D1EC0"/>
    <w:rsid w:val="007D5320"/>
    <w:rsid w:val="007E33F9"/>
    <w:rsid w:val="007E51BA"/>
    <w:rsid w:val="007E66EA"/>
    <w:rsid w:val="007F3C67"/>
    <w:rsid w:val="007F6D49"/>
    <w:rsid w:val="00800972"/>
    <w:rsid w:val="00804475"/>
    <w:rsid w:val="00811633"/>
    <w:rsid w:val="008176A5"/>
    <w:rsid w:val="00821835"/>
    <w:rsid w:val="00822B56"/>
    <w:rsid w:val="00840F52"/>
    <w:rsid w:val="008508D8"/>
    <w:rsid w:val="00850EEE"/>
    <w:rsid w:val="00864CD2"/>
    <w:rsid w:val="00867A11"/>
    <w:rsid w:val="00872FC8"/>
    <w:rsid w:val="00874789"/>
    <w:rsid w:val="008777B8"/>
    <w:rsid w:val="008845D0"/>
    <w:rsid w:val="00886466"/>
    <w:rsid w:val="008959A0"/>
    <w:rsid w:val="008A186A"/>
    <w:rsid w:val="008A41B8"/>
    <w:rsid w:val="008B1AEA"/>
    <w:rsid w:val="008B43F2"/>
    <w:rsid w:val="008B6CFF"/>
    <w:rsid w:val="008D056B"/>
    <w:rsid w:val="008E0616"/>
    <w:rsid w:val="008E2A7A"/>
    <w:rsid w:val="008E4BBE"/>
    <w:rsid w:val="008E67E5"/>
    <w:rsid w:val="008E7175"/>
    <w:rsid w:val="008F08A1"/>
    <w:rsid w:val="008F7D1E"/>
    <w:rsid w:val="00905803"/>
    <w:rsid w:val="009163CF"/>
    <w:rsid w:val="00921DD4"/>
    <w:rsid w:val="0092425C"/>
    <w:rsid w:val="009274B4"/>
    <w:rsid w:val="00930EBD"/>
    <w:rsid w:val="009311B1"/>
    <w:rsid w:val="00931298"/>
    <w:rsid w:val="00931323"/>
    <w:rsid w:val="00934EA2"/>
    <w:rsid w:val="00940614"/>
    <w:rsid w:val="00944A5C"/>
    <w:rsid w:val="00952A66"/>
    <w:rsid w:val="0095691C"/>
    <w:rsid w:val="00961DA9"/>
    <w:rsid w:val="00967836"/>
    <w:rsid w:val="00974965"/>
    <w:rsid w:val="009855B5"/>
    <w:rsid w:val="009B2216"/>
    <w:rsid w:val="009B59BB"/>
    <w:rsid w:val="009B7300"/>
    <w:rsid w:val="009C56E5"/>
    <w:rsid w:val="009C5AC6"/>
    <w:rsid w:val="009D1B93"/>
    <w:rsid w:val="009D4900"/>
    <w:rsid w:val="009D6289"/>
    <w:rsid w:val="009E1967"/>
    <w:rsid w:val="009E5FC8"/>
    <w:rsid w:val="009E687A"/>
    <w:rsid w:val="009F1890"/>
    <w:rsid w:val="009F4801"/>
    <w:rsid w:val="009F4D71"/>
    <w:rsid w:val="00A066F1"/>
    <w:rsid w:val="00A06D54"/>
    <w:rsid w:val="00A1325F"/>
    <w:rsid w:val="00A141AF"/>
    <w:rsid w:val="00A1549A"/>
    <w:rsid w:val="00A16D29"/>
    <w:rsid w:val="00A30305"/>
    <w:rsid w:val="00A309C5"/>
    <w:rsid w:val="00A31D2D"/>
    <w:rsid w:val="00A36DF9"/>
    <w:rsid w:val="00A41A0D"/>
    <w:rsid w:val="00A41C6D"/>
    <w:rsid w:val="00A41CB8"/>
    <w:rsid w:val="00A4600A"/>
    <w:rsid w:val="00A46C09"/>
    <w:rsid w:val="00A47EC0"/>
    <w:rsid w:val="00A52D1A"/>
    <w:rsid w:val="00A538A6"/>
    <w:rsid w:val="00A54C25"/>
    <w:rsid w:val="00A710E7"/>
    <w:rsid w:val="00A7372E"/>
    <w:rsid w:val="00A77FCD"/>
    <w:rsid w:val="00A82A73"/>
    <w:rsid w:val="00A87A0A"/>
    <w:rsid w:val="00A93B85"/>
    <w:rsid w:val="00A94576"/>
    <w:rsid w:val="00AA0B18"/>
    <w:rsid w:val="00AA6097"/>
    <w:rsid w:val="00AA666F"/>
    <w:rsid w:val="00AB1162"/>
    <w:rsid w:val="00AB1641"/>
    <w:rsid w:val="00AB416A"/>
    <w:rsid w:val="00AB6A82"/>
    <w:rsid w:val="00AB7C5F"/>
    <w:rsid w:val="00AC30A6"/>
    <w:rsid w:val="00AC476A"/>
    <w:rsid w:val="00AC5B55"/>
    <w:rsid w:val="00AE0E1B"/>
    <w:rsid w:val="00B0252E"/>
    <w:rsid w:val="00B067BF"/>
    <w:rsid w:val="00B24AC1"/>
    <w:rsid w:val="00B305D7"/>
    <w:rsid w:val="00B36500"/>
    <w:rsid w:val="00B36D53"/>
    <w:rsid w:val="00B529AD"/>
    <w:rsid w:val="00B621E3"/>
    <w:rsid w:val="00B6324B"/>
    <w:rsid w:val="00B639E9"/>
    <w:rsid w:val="00B66385"/>
    <w:rsid w:val="00B669BF"/>
    <w:rsid w:val="00B66C2B"/>
    <w:rsid w:val="00B817CD"/>
    <w:rsid w:val="00B94AD0"/>
    <w:rsid w:val="00BA5265"/>
    <w:rsid w:val="00BB350D"/>
    <w:rsid w:val="00BB3A95"/>
    <w:rsid w:val="00BB6222"/>
    <w:rsid w:val="00BC1D39"/>
    <w:rsid w:val="00BC2FB6"/>
    <w:rsid w:val="00BC7D84"/>
    <w:rsid w:val="00BE0E21"/>
    <w:rsid w:val="00BE7790"/>
    <w:rsid w:val="00BF490E"/>
    <w:rsid w:val="00C0018F"/>
    <w:rsid w:val="00C0539A"/>
    <w:rsid w:val="00C060A1"/>
    <w:rsid w:val="00C120F4"/>
    <w:rsid w:val="00C16A5A"/>
    <w:rsid w:val="00C20466"/>
    <w:rsid w:val="00C214ED"/>
    <w:rsid w:val="00C224D4"/>
    <w:rsid w:val="00C234E6"/>
    <w:rsid w:val="00C30155"/>
    <w:rsid w:val="00C324A8"/>
    <w:rsid w:val="00C33C53"/>
    <w:rsid w:val="00C34489"/>
    <w:rsid w:val="00C35338"/>
    <w:rsid w:val="00C479FD"/>
    <w:rsid w:val="00C50EF4"/>
    <w:rsid w:val="00C54517"/>
    <w:rsid w:val="00C57F1B"/>
    <w:rsid w:val="00C64CD8"/>
    <w:rsid w:val="00C701BF"/>
    <w:rsid w:val="00C72D5C"/>
    <w:rsid w:val="00C77E1A"/>
    <w:rsid w:val="00C83C1A"/>
    <w:rsid w:val="00C93BB8"/>
    <w:rsid w:val="00C97C68"/>
    <w:rsid w:val="00CA1A47"/>
    <w:rsid w:val="00CC247A"/>
    <w:rsid w:val="00CD70EF"/>
    <w:rsid w:val="00CD7CC4"/>
    <w:rsid w:val="00CE388F"/>
    <w:rsid w:val="00CE40A6"/>
    <w:rsid w:val="00CE5E47"/>
    <w:rsid w:val="00CF020F"/>
    <w:rsid w:val="00CF1E9D"/>
    <w:rsid w:val="00CF2B5B"/>
    <w:rsid w:val="00CF5C96"/>
    <w:rsid w:val="00D03BEC"/>
    <w:rsid w:val="00D055D3"/>
    <w:rsid w:val="00D1228C"/>
    <w:rsid w:val="00D14CE0"/>
    <w:rsid w:val="00D2023F"/>
    <w:rsid w:val="00D220CF"/>
    <w:rsid w:val="00D24E8D"/>
    <w:rsid w:val="00D278AC"/>
    <w:rsid w:val="00D34410"/>
    <w:rsid w:val="00D41719"/>
    <w:rsid w:val="00D54009"/>
    <w:rsid w:val="00D5651D"/>
    <w:rsid w:val="00D577F2"/>
    <w:rsid w:val="00D57A34"/>
    <w:rsid w:val="00D643B3"/>
    <w:rsid w:val="00D70309"/>
    <w:rsid w:val="00D74898"/>
    <w:rsid w:val="00D801ED"/>
    <w:rsid w:val="00D936BC"/>
    <w:rsid w:val="00D96530"/>
    <w:rsid w:val="00DA6738"/>
    <w:rsid w:val="00DA7E2F"/>
    <w:rsid w:val="00DB13C5"/>
    <w:rsid w:val="00DC17FB"/>
    <w:rsid w:val="00DC4F7E"/>
    <w:rsid w:val="00DD441E"/>
    <w:rsid w:val="00DD44AF"/>
    <w:rsid w:val="00DE2AC3"/>
    <w:rsid w:val="00DE5692"/>
    <w:rsid w:val="00DE70B3"/>
    <w:rsid w:val="00DF3E19"/>
    <w:rsid w:val="00DF6908"/>
    <w:rsid w:val="00DF700D"/>
    <w:rsid w:val="00E0231F"/>
    <w:rsid w:val="00E03C94"/>
    <w:rsid w:val="00E07756"/>
    <w:rsid w:val="00E15B1C"/>
    <w:rsid w:val="00E2134A"/>
    <w:rsid w:val="00E26226"/>
    <w:rsid w:val="00E3103C"/>
    <w:rsid w:val="00E45D05"/>
    <w:rsid w:val="00E45E18"/>
    <w:rsid w:val="00E55816"/>
    <w:rsid w:val="00E55AEF"/>
    <w:rsid w:val="00E5760F"/>
    <w:rsid w:val="00E610A4"/>
    <w:rsid w:val="00E6117A"/>
    <w:rsid w:val="00E765C9"/>
    <w:rsid w:val="00E82677"/>
    <w:rsid w:val="00E870AC"/>
    <w:rsid w:val="00E909E1"/>
    <w:rsid w:val="00E916C6"/>
    <w:rsid w:val="00E9184B"/>
    <w:rsid w:val="00E92B02"/>
    <w:rsid w:val="00E94DBA"/>
    <w:rsid w:val="00E976C1"/>
    <w:rsid w:val="00EA12E5"/>
    <w:rsid w:val="00EB5053"/>
    <w:rsid w:val="00EB55C6"/>
    <w:rsid w:val="00EC34AB"/>
    <w:rsid w:val="00EC7F04"/>
    <w:rsid w:val="00ED30BC"/>
    <w:rsid w:val="00F00DDC"/>
    <w:rsid w:val="00F01223"/>
    <w:rsid w:val="00F02766"/>
    <w:rsid w:val="00F05BD4"/>
    <w:rsid w:val="00F21E49"/>
    <w:rsid w:val="00F2404A"/>
    <w:rsid w:val="00F240FA"/>
    <w:rsid w:val="00F30C7C"/>
    <w:rsid w:val="00F3630D"/>
    <w:rsid w:val="00F4677D"/>
    <w:rsid w:val="00F46E90"/>
    <w:rsid w:val="00F528B4"/>
    <w:rsid w:val="00F546CC"/>
    <w:rsid w:val="00F55E0E"/>
    <w:rsid w:val="00F60D05"/>
    <w:rsid w:val="00F6155B"/>
    <w:rsid w:val="00F65C19"/>
    <w:rsid w:val="00F7356B"/>
    <w:rsid w:val="00F80977"/>
    <w:rsid w:val="00F83F75"/>
    <w:rsid w:val="00F972D2"/>
    <w:rsid w:val="00FA545C"/>
    <w:rsid w:val="00FA7C34"/>
    <w:rsid w:val="00FC1DB9"/>
    <w:rsid w:val="00FD2546"/>
    <w:rsid w:val="00FD772E"/>
    <w:rsid w:val="00FE0144"/>
    <w:rsid w:val="00FE0AA9"/>
    <w:rsid w:val="00FE1DF8"/>
    <w:rsid w:val="00FE5494"/>
    <w:rsid w:val="00FE78C7"/>
    <w:rsid w:val="00FF35B6"/>
    <w:rsid w:val="00FF3CF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561C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3478">
      <w:bodyDiv w:val="1"/>
      <w:marLeft w:val="0"/>
      <w:marRight w:val="0"/>
      <w:marTop w:val="0"/>
      <w:marBottom w:val="0"/>
      <w:divBdr>
        <w:top w:val="none" w:sz="0" w:space="0" w:color="auto"/>
        <w:left w:val="none" w:sz="0" w:space="0" w:color="auto"/>
        <w:bottom w:val="none" w:sz="0" w:space="0" w:color="auto"/>
        <w:right w:val="none" w:sz="0" w:space="0" w:color="auto"/>
      </w:divBdr>
    </w:div>
    <w:div w:id="179273360">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08337826">
      <w:bodyDiv w:val="1"/>
      <w:marLeft w:val="0"/>
      <w:marRight w:val="0"/>
      <w:marTop w:val="0"/>
      <w:marBottom w:val="0"/>
      <w:divBdr>
        <w:top w:val="none" w:sz="0" w:space="0" w:color="auto"/>
        <w:left w:val="none" w:sz="0" w:space="0" w:color="auto"/>
        <w:bottom w:val="none" w:sz="0" w:space="0" w:color="auto"/>
        <w:right w:val="none" w:sz="0" w:space="0" w:color="auto"/>
      </w:divBdr>
    </w:div>
    <w:div w:id="763453340">
      <w:bodyDiv w:val="1"/>
      <w:marLeft w:val="0"/>
      <w:marRight w:val="0"/>
      <w:marTop w:val="0"/>
      <w:marBottom w:val="0"/>
      <w:divBdr>
        <w:top w:val="none" w:sz="0" w:space="0" w:color="auto"/>
        <w:left w:val="none" w:sz="0" w:space="0" w:color="auto"/>
        <w:bottom w:val="none" w:sz="0" w:space="0" w:color="auto"/>
        <w:right w:val="none" w:sz="0" w:space="0" w:color="auto"/>
      </w:divBdr>
    </w:div>
    <w:div w:id="1053500734">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168400910">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575971323">
      <w:bodyDiv w:val="1"/>
      <w:marLeft w:val="0"/>
      <w:marRight w:val="0"/>
      <w:marTop w:val="0"/>
      <w:marBottom w:val="0"/>
      <w:divBdr>
        <w:top w:val="none" w:sz="0" w:space="0" w:color="auto"/>
        <w:left w:val="none" w:sz="0" w:space="0" w:color="auto"/>
        <w:bottom w:val="none" w:sz="0" w:space="0" w:color="auto"/>
        <w:right w:val="none" w:sz="0" w:space="0" w:color="auto"/>
      </w:divBdr>
    </w:div>
    <w:div w:id="1731616472">
      <w:bodyDiv w:val="1"/>
      <w:marLeft w:val="0"/>
      <w:marRight w:val="0"/>
      <w:marTop w:val="0"/>
      <w:marBottom w:val="0"/>
      <w:divBdr>
        <w:top w:val="none" w:sz="0" w:space="0" w:color="auto"/>
        <w:left w:val="none" w:sz="0" w:space="0" w:color="auto"/>
        <w:bottom w:val="none" w:sz="0" w:space="0" w:color="auto"/>
        <w:right w:val="none" w:sz="0" w:space="0" w:color="auto"/>
      </w:divBdr>
    </w:div>
    <w:div w:id="1732654264">
      <w:bodyDiv w:val="1"/>
      <w:marLeft w:val="0"/>
      <w:marRight w:val="0"/>
      <w:marTop w:val="0"/>
      <w:marBottom w:val="0"/>
      <w:divBdr>
        <w:top w:val="none" w:sz="0" w:space="0" w:color="auto"/>
        <w:left w:val="none" w:sz="0" w:space="0" w:color="auto"/>
        <w:bottom w:val="none" w:sz="0" w:space="0" w:color="auto"/>
        <w:right w:val="none" w:sz="0" w:space="0" w:color="auto"/>
      </w:divBdr>
    </w:div>
    <w:div w:id="1814374658">
      <w:bodyDiv w:val="1"/>
      <w:marLeft w:val="0"/>
      <w:marRight w:val="0"/>
      <w:marTop w:val="0"/>
      <w:marBottom w:val="0"/>
      <w:divBdr>
        <w:top w:val="none" w:sz="0" w:space="0" w:color="auto"/>
        <w:left w:val="none" w:sz="0" w:space="0" w:color="auto"/>
        <w:bottom w:val="none" w:sz="0" w:space="0" w:color="auto"/>
        <w:right w:val="none" w:sz="0" w:space="0" w:color="auto"/>
      </w:divBdr>
    </w:div>
    <w:div w:id="1836603516">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eabeff-f59b-4f9e-889f-fc8ab4c73de7" targetNamespace="http://schemas.microsoft.com/office/2006/metadata/properties" ma:root="true" ma:fieldsID="d41af5c836d734370eb92e7ee5f83852" ns2:_="" ns3:_="">
    <xsd:import namespace="996b2e75-67fd-4955-a3b0-5ab9934cb50b"/>
    <xsd:import namespace="8feabeff-f59b-4f9e-889f-fc8ab4c73de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eabeff-f59b-4f9e-889f-fc8ab4c73de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8feabeff-f59b-4f9e-889f-fc8ab4c73de7">DPM</DPM_x0020_Author>
    <DPM_x0020_File_x0020_name xmlns="8feabeff-f59b-4f9e-889f-fc8ab4c73de7">T22-WTSA.24-C-0037!A45!MSW-S</DPM_x0020_File_x0020_name>
    <DPM_x0020_Version xmlns="8feabeff-f59b-4f9e-889f-fc8ab4c73de7">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eabeff-f59b-4f9e-889f-fc8ab4c73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feabeff-f59b-4f9e-889f-fc8ab4c73de7"/>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2124</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T22-WTSA.24-C-0037!A45!MSW-S</vt:lpstr>
    </vt:vector>
  </TitlesOfParts>
  <Manager>General Secretariat - Pool</Manager>
  <Company>International Telecommunication Union (ITU)</Company>
  <LinksUpToDate>false</LinksUpToDate>
  <CharactersWithSpaces>14224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T22-WTSA.24-C-0037!A45!MSW-S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8</cp:revision>
  <cp:lastPrinted>2016-06-06T07:49:00Z</cp:lastPrinted>
  <dcterms:created xsi:type="dcterms:W3CDTF">2024-10-07T10:03:00Z</dcterms:created>
  <dcterms:modified xsi:type="dcterms:W3CDTF">2024-10-07T10:24:00Z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