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0E6E3CF6" w14:textId="77777777" w:rsidTr="008077A5">
        <w:trPr>
          <w:cantSplit/>
          <w:trHeight w:val="20"/>
        </w:trPr>
        <w:tc>
          <w:tcPr>
            <w:tcW w:w="1310" w:type="dxa"/>
          </w:tcPr>
          <w:p w14:paraId="5F228695" w14:textId="77777777" w:rsidR="00314F41" w:rsidRPr="00B344B6" w:rsidRDefault="00863FEE" w:rsidP="009D0810">
            <w:pPr>
              <w:rPr>
                <w:sz w:val="24"/>
                <w:szCs w:val="24"/>
                <w:rtl/>
              </w:rPr>
            </w:pPr>
            <w:r w:rsidRPr="00B344B6">
              <w:rPr>
                <w:noProof/>
              </w:rPr>
              <w:drawing>
                <wp:inline distT="0" distB="0" distL="0" distR="0" wp14:anchorId="73316501" wp14:editId="48FCCFB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4A91E9D4"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AC452D7"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38AAE05E" w14:textId="77777777" w:rsidR="00314F41" w:rsidRPr="00B344B6" w:rsidRDefault="00314F41" w:rsidP="009D0810">
            <w:pPr>
              <w:rPr>
                <w:rtl/>
                <w:lang w:bidi="ar-EG"/>
              </w:rPr>
            </w:pPr>
            <w:r w:rsidRPr="00B344B6">
              <w:rPr>
                <w:noProof/>
                <w:lang w:eastAsia="zh-CN"/>
              </w:rPr>
              <w:drawing>
                <wp:inline distT="0" distB="0" distL="0" distR="0" wp14:anchorId="25B8D514" wp14:editId="3ED32BF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0A1E00A" w14:textId="77777777" w:rsidTr="008077A5">
        <w:trPr>
          <w:cantSplit/>
          <w:trHeight w:val="20"/>
        </w:trPr>
        <w:tc>
          <w:tcPr>
            <w:tcW w:w="6456" w:type="dxa"/>
            <w:gridSpan w:val="2"/>
            <w:tcBorders>
              <w:bottom w:val="single" w:sz="12" w:space="0" w:color="auto"/>
            </w:tcBorders>
          </w:tcPr>
          <w:p w14:paraId="36254F6F"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5065134A" w14:textId="77777777" w:rsidR="00280E04" w:rsidRPr="00B344B6" w:rsidRDefault="00280E04" w:rsidP="003309DA">
            <w:pPr>
              <w:spacing w:before="0" w:line="120" w:lineRule="auto"/>
              <w:rPr>
                <w:lang w:bidi="ar-EG"/>
              </w:rPr>
            </w:pPr>
          </w:p>
        </w:tc>
      </w:tr>
      <w:tr w:rsidR="00280E04" w:rsidRPr="00B344B6" w14:paraId="4170C0B9" w14:textId="77777777" w:rsidTr="000B0891">
        <w:trPr>
          <w:cantSplit/>
          <w:trHeight w:val="240"/>
        </w:trPr>
        <w:tc>
          <w:tcPr>
            <w:tcW w:w="6456" w:type="dxa"/>
            <w:gridSpan w:val="2"/>
            <w:tcBorders>
              <w:top w:val="single" w:sz="12" w:space="0" w:color="auto"/>
            </w:tcBorders>
          </w:tcPr>
          <w:p w14:paraId="6D1CB785"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01B96BFF" w14:textId="77777777" w:rsidR="00280E04" w:rsidRPr="000B0891" w:rsidRDefault="00280E04" w:rsidP="000B0891">
            <w:pPr>
              <w:spacing w:before="0" w:line="240" w:lineRule="exact"/>
              <w:rPr>
                <w:rFonts w:eastAsia="SimSun"/>
                <w:b/>
                <w:bCs/>
              </w:rPr>
            </w:pPr>
          </w:p>
        </w:tc>
      </w:tr>
      <w:tr w:rsidR="00AD538E" w:rsidRPr="00B344B6" w14:paraId="6B7632C0" w14:textId="77777777" w:rsidTr="008077A5">
        <w:trPr>
          <w:cantSplit/>
        </w:trPr>
        <w:tc>
          <w:tcPr>
            <w:tcW w:w="6456" w:type="dxa"/>
            <w:gridSpan w:val="2"/>
          </w:tcPr>
          <w:p w14:paraId="1D9E3DB2" w14:textId="77777777" w:rsidR="00AD538E" w:rsidRPr="00B51671" w:rsidRDefault="00D21D8E" w:rsidP="00497212">
            <w:pPr>
              <w:pStyle w:val="Committee"/>
              <w:framePr w:hSpace="0" w:wrap="auto" w:hAnchor="text" w:yAlign="inline"/>
              <w:bidi/>
              <w:spacing w:before="40" w:after="40" w:line="300" w:lineRule="atLeast"/>
              <w:rPr>
                <w:rtl/>
              </w:rPr>
            </w:pPr>
            <w:r w:rsidRPr="00B51671">
              <w:rPr>
                <w:rtl/>
              </w:rPr>
              <w:t>الجلسة العامة</w:t>
            </w:r>
          </w:p>
        </w:tc>
        <w:tc>
          <w:tcPr>
            <w:tcW w:w="3123" w:type="dxa"/>
            <w:gridSpan w:val="2"/>
          </w:tcPr>
          <w:p w14:paraId="5AB1A0E4" w14:textId="77777777" w:rsidR="00AD538E" w:rsidRPr="00B51671" w:rsidRDefault="00D21D8E" w:rsidP="00497212">
            <w:pPr>
              <w:pStyle w:val="Docnumber"/>
              <w:bidi/>
              <w:spacing w:before="40" w:after="40" w:line="300" w:lineRule="atLeast"/>
              <w:rPr>
                <w:rtl/>
              </w:rPr>
            </w:pPr>
            <w:r w:rsidRPr="00B51671">
              <w:rPr>
                <w:rtl/>
              </w:rPr>
              <w:t>الإضافة 43</w:t>
            </w:r>
            <w:r w:rsidRPr="00B51671">
              <w:rPr>
                <w:rtl/>
              </w:rPr>
              <w:br/>
              <w:t xml:space="preserve">للوثيقة </w:t>
            </w:r>
            <w:r w:rsidRPr="00B51671">
              <w:rPr>
                <w:rFonts w:eastAsia="SimSun"/>
              </w:rPr>
              <w:t>37-A</w:t>
            </w:r>
          </w:p>
        </w:tc>
      </w:tr>
      <w:tr w:rsidR="006175E7" w:rsidRPr="00B344B6" w14:paraId="652330CD" w14:textId="77777777" w:rsidTr="008077A5">
        <w:trPr>
          <w:cantSplit/>
        </w:trPr>
        <w:tc>
          <w:tcPr>
            <w:tcW w:w="6456" w:type="dxa"/>
            <w:gridSpan w:val="2"/>
          </w:tcPr>
          <w:p w14:paraId="3085ED7B" w14:textId="77777777" w:rsidR="006175E7" w:rsidRPr="00B51671" w:rsidRDefault="006175E7" w:rsidP="00497212">
            <w:pPr>
              <w:spacing w:before="40" w:after="40" w:line="300" w:lineRule="atLeast"/>
              <w:rPr>
                <w:b/>
                <w:bCs/>
                <w:rtl/>
              </w:rPr>
            </w:pPr>
          </w:p>
        </w:tc>
        <w:tc>
          <w:tcPr>
            <w:tcW w:w="3123" w:type="dxa"/>
            <w:gridSpan w:val="2"/>
          </w:tcPr>
          <w:p w14:paraId="1CF459BC" w14:textId="77777777" w:rsidR="006175E7" w:rsidRPr="00B51671" w:rsidRDefault="00EC0AD3" w:rsidP="00497212">
            <w:pPr>
              <w:pStyle w:val="TopHeader"/>
              <w:bidi/>
              <w:spacing w:before="40" w:after="40" w:line="300" w:lineRule="atLeast"/>
              <w:rPr>
                <w:rFonts w:ascii="Dubai" w:hAnsi="Dubai" w:cs="Dubai"/>
                <w:sz w:val="22"/>
                <w:szCs w:val="22"/>
                <w:rtl/>
              </w:rPr>
            </w:pPr>
            <w:r w:rsidRPr="00B51671">
              <w:rPr>
                <w:rFonts w:ascii="Dubai" w:eastAsia="SimSun" w:hAnsi="Dubai" w:cs="Dubai"/>
                <w:sz w:val="22"/>
                <w:szCs w:val="22"/>
                <w:rtl/>
              </w:rPr>
              <w:t>22 سبتمبر 2024</w:t>
            </w:r>
          </w:p>
        </w:tc>
      </w:tr>
      <w:tr w:rsidR="006175E7" w:rsidRPr="00B344B6" w14:paraId="697D58B8" w14:textId="77777777" w:rsidTr="008077A5">
        <w:trPr>
          <w:cantSplit/>
        </w:trPr>
        <w:tc>
          <w:tcPr>
            <w:tcW w:w="6456" w:type="dxa"/>
            <w:gridSpan w:val="2"/>
          </w:tcPr>
          <w:p w14:paraId="12140875" w14:textId="77777777" w:rsidR="006175E7" w:rsidRPr="00B51671" w:rsidRDefault="006175E7" w:rsidP="00497212">
            <w:pPr>
              <w:spacing w:before="40" w:after="40" w:line="300" w:lineRule="atLeast"/>
              <w:rPr>
                <w:b/>
                <w:bCs/>
                <w:rtl/>
              </w:rPr>
            </w:pPr>
          </w:p>
        </w:tc>
        <w:tc>
          <w:tcPr>
            <w:tcW w:w="3123" w:type="dxa"/>
            <w:gridSpan w:val="2"/>
          </w:tcPr>
          <w:p w14:paraId="25953E22" w14:textId="77777777" w:rsidR="006175E7" w:rsidRPr="00B51671" w:rsidRDefault="00EC0AD3" w:rsidP="00497212">
            <w:pPr>
              <w:pStyle w:val="TopHeader"/>
              <w:bidi/>
              <w:spacing w:before="40" w:after="40" w:line="300" w:lineRule="atLeast"/>
              <w:rPr>
                <w:rFonts w:ascii="Dubai" w:eastAsia="SimSun" w:hAnsi="Dubai" w:cs="Dubai"/>
                <w:sz w:val="22"/>
                <w:szCs w:val="22"/>
                <w:rtl/>
              </w:rPr>
            </w:pPr>
            <w:r w:rsidRPr="00B51671">
              <w:rPr>
                <w:rFonts w:ascii="Dubai" w:hAnsi="Dubai" w:cs="Dubai"/>
                <w:sz w:val="22"/>
                <w:szCs w:val="22"/>
                <w:rtl/>
              </w:rPr>
              <w:t>الأصل: بالإنكليزية</w:t>
            </w:r>
          </w:p>
        </w:tc>
      </w:tr>
      <w:tr w:rsidR="006175E7" w:rsidRPr="00B344B6" w14:paraId="011D5E46" w14:textId="77777777" w:rsidTr="008077A5">
        <w:trPr>
          <w:cantSplit/>
        </w:trPr>
        <w:tc>
          <w:tcPr>
            <w:tcW w:w="9579" w:type="dxa"/>
            <w:gridSpan w:val="4"/>
          </w:tcPr>
          <w:p w14:paraId="08C177CB" w14:textId="77777777" w:rsidR="006175E7" w:rsidRPr="009D0810" w:rsidRDefault="006175E7" w:rsidP="000B0891">
            <w:pPr>
              <w:spacing w:before="0" w:line="240" w:lineRule="exact"/>
              <w:rPr>
                <w:rFonts w:eastAsia="SimSun"/>
                <w:b/>
                <w:bCs/>
              </w:rPr>
            </w:pPr>
          </w:p>
        </w:tc>
      </w:tr>
      <w:tr w:rsidR="006175E7" w:rsidRPr="00B344B6" w14:paraId="11DDCEBA" w14:textId="77777777" w:rsidTr="008077A5">
        <w:trPr>
          <w:cantSplit/>
        </w:trPr>
        <w:tc>
          <w:tcPr>
            <w:tcW w:w="9579" w:type="dxa"/>
            <w:gridSpan w:val="4"/>
          </w:tcPr>
          <w:p w14:paraId="5EB64765"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7BDD205E" w14:textId="77777777" w:rsidTr="008077A5">
        <w:trPr>
          <w:cantSplit/>
        </w:trPr>
        <w:tc>
          <w:tcPr>
            <w:tcW w:w="9579" w:type="dxa"/>
            <w:gridSpan w:val="4"/>
          </w:tcPr>
          <w:p w14:paraId="05507D21" w14:textId="5EC680D6" w:rsidR="006175E7" w:rsidRPr="00ED2EC6" w:rsidRDefault="00ED2EC6" w:rsidP="006175E7">
            <w:pPr>
              <w:pStyle w:val="Title1"/>
              <w:spacing w:before="240"/>
              <w:rPr>
                <w:rtl/>
                <w:lang w:bidi="ar-SA"/>
              </w:rPr>
            </w:pPr>
            <w:r>
              <w:rPr>
                <w:rFonts w:hint="cs"/>
                <w:rtl/>
                <w:lang w:bidi="ar-SA"/>
              </w:rPr>
              <w:t xml:space="preserve">مشروع القرار الجديد </w:t>
            </w:r>
            <w:r>
              <w:t>[APT-AI]</w:t>
            </w:r>
            <w:r>
              <w:rPr>
                <w:rFonts w:hint="cs"/>
                <w:rtl/>
              </w:rPr>
              <w:t xml:space="preserve"> </w:t>
            </w:r>
            <w:r>
              <w:rPr>
                <w:rtl/>
              </w:rPr>
              <w:t>–</w:t>
            </w:r>
            <w:r>
              <w:rPr>
                <w:rFonts w:hint="cs"/>
                <w:rtl/>
              </w:rPr>
              <w:t xml:space="preserve"> أنشطة التقييس </w:t>
            </w:r>
            <w:r w:rsidR="006D003B">
              <w:rPr>
                <w:rFonts w:hint="cs"/>
                <w:rtl/>
              </w:rPr>
              <w:t>اللازمة في</w:t>
            </w:r>
            <w:r>
              <w:rPr>
                <w:rFonts w:hint="cs"/>
                <w:rtl/>
              </w:rPr>
              <w:t xml:space="preserve"> قطاع تقييس الاتصالات بالاتحاد</w:t>
            </w:r>
            <w:r w:rsidR="00A04BF3">
              <w:rPr>
                <w:rFonts w:hint="cs"/>
                <w:rtl/>
              </w:rPr>
              <w:t xml:space="preserve"> </w:t>
            </w:r>
            <w:r>
              <w:rPr>
                <w:rFonts w:hint="cs"/>
                <w:rtl/>
              </w:rPr>
              <w:t>لضمان سلامة</w:t>
            </w:r>
            <w:r w:rsidR="00A04BF3">
              <w:rPr>
                <w:rFonts w:hint="cs"/>
                <w:rtl/>
              </w:rPr>
              <w:t xml:space="preserve"> الذكاء الاصطناعي وجدارته بالثقة في </w:t>
            </w:r>
            <w:r w:rsidR="00DA2BF7">
              <w:rPr>
                <w:rFonts w:hint="cs"/>
                <w:rtl/>
              </w:rPr>
              <w:t>بيئة</w:t>
            </w:r>
            <w:r w:rsidR="00A04BF3">
              <w:rPr>
                <w:rFonts w:hint="cs"/>
                <w:rtl/>
              </w:rPr>
              <w:t xml:space="preserve"> الاتصالات/تكنولوجيا المعلومات والاتصالات</w:t>
            </w:r>
          </w:p>
        </w:tc>
      </w:tr>
      <w:tr w:rsidR="006175E7" w:rsidRPr="00B344B6" w14:paraId="5B989F40" w14:textId="77777777" w:rsidTr="008077A5">
        <w:trPr>
          <w:cantSplit/>
          <w:trHeight w:hRule="exact" w:val="240"/>
        </w:trPr>
        <w:tc>
          <w:tcPr>
            <w:tcW w:w="9579" w:type="dxa"/>
            <w:gridSpan w:val="4"/>
          </w:tcPr>
          <w:p w14:paraId="6D2FBDFE" w14:textId="77777777" w:rsidR="006175E7" w:rsidRPr="00B344B6" w:rsidRDefault="006175E7" w:rsidP="006175E7">
            <w:pPr>
              <w:pStyle w:val="Title2"/>
              <w:spacing w:before="240"/>
            </w:pPr>
          </w:p>
        </w:tc>
      </w:tr>
      <w:tr w:rsidR="006175E7" w:rsidRPr="00B344B6" w14:paraId="017159CE" w14:textId="77777777" w:rsidTr="008B30D2">
        <w:trPr>
          <w:cantSplit/>
          <w:trHeight w:hRule="exact" w:val="285"/>
        </w:trPr>
        <w:tc>
          <w:tcPr>
            <w:tcW w:w="9579" w:type="dxa"/>
            <w:gridSpan w:val="4"/>
          </w:tcPr>
          <w:p w14:paraId="09223C56" w14:textId="6F4C31D4" w:rsidR="006175E7" w:rsidRPr="00B344B6" w:rsidRDefault="006175E7" w:rsidP="00ED2EC6">
            <w:pPr>
              <w:pStyle w:val="Agendaitem"/>
              <w:spacing w:before="0" w:after="0"/>
              <w:jc w:val="both"/>
              <w:rPr>
                <w:rtl/>
              </w:rPr>
            </w:pPr>
          </w:p>
        </w:tc>
      </w:tr>
    </w:tbl>
    <w:p w14:paraId="748EEDE7"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C947E17" w14:textId="77777777" w:rsidTr="008077A5">
        <w:tc>
          <w:tcPr>
            <w:tcW w:w="1355" w:type="dxa"/>
            <w:shd w:val="clear" w:color="auto" w:fill="FFFFFF"/>
          </w:tcPr>
          <w:p w14:paraId="2A49AE5B" w14:textId="77777777" w:rsidR="00314F41" w:rsidRPr="00B344B6" w:rsidRDefault="00314F41" w:rsidP="00497212">
            <w:pPr>
              <w:spacing w:after="40" w:line="260" w:lineRule="exact"/>
              <w:rPr>
                <w:rFonts w:eastAsia="SimSun"/>
                <w:b/>
                <w:bCs/>
                <w:position w:val="2"/>
                <w:rtl/>
                <w:lang w:val="fr-FR" w:eastAsia="zh-CN" w:bidi="ar-EG"/>
              </w:rPr>
            </w:pPr>
            <w:r w:rsidRPr="00497212">
              <w:rPr>
                <w:b/>
                <w:bCs/>
                <w:rtl/>
              </w:rPr>
              <w:t>ملخص</w:t>
            </w:r>
            <w:r w:rsidRPr="00B344B6">
              <w:rPr>
                <w:b/>
                <w:bCs/>
                <w:rtl/>
              </w:rPr>
              <w:t>:</w:t>
            </w:r>
          </w:p>
        </w:tc>
        <w:tc>
          <w:tcPr>
            <w:tcW w:w="8284" w:type="dxa"/>
            <w:gridSpan w:val="2"/>
            <w:shd w:val="clear" w:color="auto" w:fill="FFFFFF"/>
          </w:tcPr>
          <w:p w14:paraId="67B2AC9A" w14:textId="750510BC" w:rsidR="00314F41" w:rsidRPr="00497212" w:rsidRDefault="00A04BF3" w:rsidP="00497212">
            <w:pPr>
              <w:rPr>
                <w:rFonts w:eastAsia="SimSun"/>
                <w:spacing w:val="-2"/>
                <w:rtl/>
                <w:lang w:val="fr-FR" w:eastAsia="zh-CN" w:bidi="ar-EG"/>
              </w:rPr>
            </w:pPr>
            <w:r w:rsidRPr="00497212">
              <w:rPr>
                <w:rFonts w:eastAsia="SimSun"/>
                <w:spacing w:val="-2"/>
                <w:rtl/>
                <w:lang w:val="fr-FR" w:eastAsia="zh-CN" w:bidi="ar-EG"/>
              </w:rPr>
              <w:t>تتضمن هذه الوثيقة مقترحا</w:t>
            </w:r>
            <w:r w:rsidRPr="00497212">
              <w:rPr>
                <w:rFonts w:eastAsia="SimSun" w:hint="cs"/>
                <w:spacing w:val="-2"/>
                <w:rtl/>
                <w:lang w:val="fr-FR" w:eastAsia="zh-CN" w:bidi="ar-EG"/>
              </w:rPr>
              <w:t>ً</w:t>
            </w:r>
            <w:r w:rsidRPr="00497212">
              <w:rPr>
                <w:rFonts w:eastAsia="SimSun"/>
                <w:spacing w:val="-2"/>
                <w:rtl/>
                <w:lang w:val="fr-FR" w:eastAsia="zh-CN" w:bidi="ar-EG"/>
              </w:rPr>
              <w:t xml:space="preserve"> </w:t>
            </w:r>
            <w:r w:rsidRPr="00497212">
              <w:rPr>
                <w:rFonts w:eastAsia="SimSun" w:hint="cs"/>
                <w:spacing w:val="-2"/>
                <w:rtl/>
                <w:lang w:val="fr-FR" w:eastAsia="zh-CN" w:bidi="ar-EG"/>
              </w:rPr>
              <w:t>ل</w:t>
            </w:r>
            <w:r w:rsidRPr="00497212">
              <w:rPr>
                <w:rFonts w:eastAsia="SimSun"/>
                <w:spacing w:val="-2"/>
                <w:rtl/>
                <w:lang w:val="fr-FR" w:eastAsia="zh-CN" w:bidi="ar-EG"/>
              </w:rPr>
              <w:t xml:space="preserve">إضافة قرار جديد لقطاع تقييس الاتصالات بعنوان "أنشطة التقييس </w:t>
            </w:r>
            <w:r w:rsidR="006D003B" w:rsidRPr="00497212">
              <w:rPr>
                <w:rFonts w:eastAsia="SimSun" w:hint="cs"/>
                <w:spacing w:val="-2"/>
                <w:rtl/>
                <w:lang w:val="fr-FR" w:eastAsia="zh-CN" w:bidi="ar-EG"/>
              </w:rPr>
              <w:t>اللازمة في</w:t>
            </w:r>
            <w:r w:rsidR="00497212" w:rsidRPr="00497212">
              <w:rPr>
                <w:rFonts w:eastAsia="SimSun" w:hint="cs"/>
                <w:spacing w:val="-2"/>
                <w:rtl/>
                <w:lang w:val="fr-FR" w:eastAsia="zh-CN" w:bidi="ar-EG"/>
              </w:rPr>
              <w:t> </w:t>
            </w:r>
            <w:r w:rsidRPr="00497212">
              <w:rPr>
                <w:rFonts w:eastAsia="SimSun"/>
                <w:spacing w:val="-2"/>
                <w:rtl/>
                <w:lang w:val="fr-FR" w:eastAsia="zh-CN" w:bidi="ar-EG"/>
              </w:rPr>
              <w:t>قطاع تقييس الاتصالات</w:t>
            </w:r>
            <w:r w:rsidRPr="00497212">
              <w:rPr>
                <w:rFonts w:eastAsia="SimSun" w:hint="cs"/>
                <w:spacing w:val="-2"/>
                <w:rtl/>
                <w:lang w:val="fr-FR" w:eastAsia="zh-CN" w:bidi="ar-EG"/>
              </w:rPr>
              <w:t xml:space="preserve"> بالاتحاد </w:t>
            </w:r>
            <w:r w:rsidRPr="00497212">
              <w:rPr>
                <w:rFonts w:eastAsia="SimSun"/>
                <w:spacing w:val="-2"/>
                <w:rtl/>
                <w:lang w:val="fr-FR" w:eastAsia="zh-CN" w:bidi="ar-EG"/>
              </w:rPr>
              <w:t xml:space="preserve">لضمان سلامة الذكاء الاصطناعي وجدارته بالثقة في </w:t>
            </w:r>
            <w:r w:rsidR="00DA2BF7" w:rsidRPr="00497212">
              <w:rPr>
                <w:rFonts w:eastAsia="SimSun" w:hint="cs"/>
                <w:spacing w:val="-2"/>
                <w:rtl/>
                <w:lang w:val="fr-FR" w:eastAsia="zh-CN" w:bidi="ar-EG"/>
              </w:rPr>
              <w:t>بيئة</w:t>
            </w:r>
            <w:r w:rsidRPr="00497212">
              <w:rPr>
                <w:rFonts w:eastAsia="SimSun"/>
                <w:spacing w:val="-2"/>
                <w:rtl/>
                <w:lang w:val="fr-FR" w:eastAsia="zh-CN" w:bidi="ar-EG"/>
              </w:rPr>
              <w:t xml:space="preserve"> الاتصالات/تكنولوجيا المعلومات والاتصالات"</w:t>
            </w:r>
            <w:r w:rsidRPr="00497212">
              <w:rPr>
                <w:rFonts w:eastAsia="SimSun" w:hint="cs"/>
                <w:spacing w:val="-2"/>
                <w:rtl/>
                <w:lang w:val="fr-FR" w:eastAsia="zh-CN" w:bidi="ar-EG"/>
              </w:rPr>
              <w:t>.</w:t>
            </w:r>
          </w:p>
        </w:tc>
      </w:tr>
      <w:tr w:rsidR="00314F41" w:rsidRPr="00B344B6" w14:paraId="55F287CB" w14:textId="77777777" w:rsidTr="008077A5">
        <w:tc>
          <w:tcPr>
            <w:tcW w:w="1355" w:type="dxa"/>
            <w:shd w:val="clear" w:color="auto" w:fill="FFFFFF"/>
            <w:hideMark/>
          </w:tcPr>
          <w:p w14:paraId="77B612A4" w14:textId="77777777" w:rsidR="00314F41" w:rsidRPr="00B344B6" w:rsidRDefault="00314F41" w:rsidP="00497212">
            <w:pPr>
              <w:spacing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1EF61910" w14:textId="3B692E75" w:rsidR="00314F41" w:rsidRPr="00B344B6" w:rsidRDefault="00A04BF3" w:rsidP="00497212">
            <w:pPr>
              <w:spacing w:after="40" w:line="260" w:lineRule="exact"/>
              <w:jc w:val="left"/>
              <w:rPr>
                <w:rFonts w:eastAsia="SimSun"/>
                <w:position w:val="2"/>
                <w:lang w:val="en-GB" w:eastAsia="zh-CN"/>
              </w:rPr>
            </w:pPr>
            <w:r>
              <w:rPr>
                <w:rFonts w:hint="cs"/>
                <w:rtl/>
              </w:rPr>
              <w:t xml:space="preserve">السيد </w:t>
            </w:r>
            <w:r w:rsidRPr="00336EBB">
              <w:rPr>
                <w:lang w:val="en-GB"/>
              </w:rPr>
              <w:t>Masanori Kondo</w:t>
            </w:r>
            <w:r w:rsidR="00497212">
              <w:rPr>
                <w:rtl/>
                <w:lang w:val="en-GB"/>
              </w:rPr>
              <w:br/>
            </w:r>
            <w:r>
              <w:rPr>
                <w:rFonts w:hint="cs"/>
                <w:rtl/>
                <w:lang w:val="en-GB"/>
              </w:rPr>
              <w:t>الأمين العام لجماعة آسيا والمحيط الهادئ للاتصالات</w:t>
            </w:r>
          </w:p>
        </w:tc>
        <w:tc>
          <w:tcPr>
            <w:tcW w:w="4250" w:type="dxa"/>
            <w:shd w:val="clear" w:color="auto" w:fill="FFFFFF"/>
          </w:tcPr>
          <w:p w14:paraId="622C3B79" w14:textId="45C038E6" w:rsidR="00314F41" w:rsidRPr="00B344B6" w:rsidRDefault="00314F41" w:rsidP="00336EBB">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336EBB" w:rsidRPr="00336EBB">
                <w:rPr>
                  <w:rStyle w:val="Hyperlink"/>
                  <w:rFonts w:eastAsia="SimSun"/>
                  <w:position w:val="2"/>
                  <w:lang w:val="en-GB" w:eastAsia="zh-CN" w:bidi="ar-EG"/>
                </w:rPr>
                <w:t>aptwtsa@apt.int</w:t>
              </w:r>
            </w:hyperlink>
          </w:p>
        </w:tc>
      </w:tr>
    </w:tbl>
    <w:p w14:paraId="6D0D40E2" w14:textId="77777777" w:rsidR="00C82056" w:rsidRPr="00C82056" w:rsidRDefault="00C82056" w:rsidP="006D7D18">
      <w:pPr>
        <w:pStyle w:val="Headingb"/>
        <w:spacing w:before="240"/>
        <w:rPr>
          <w:rtl/>
        </w:rPr>
      </w:pPr>
      <w:r w:rsidRPr="00C82056">
        <w:rPr>
          <w:rFonts w:hint="cs"/>
          <w:rtl/>
        </w:rPr>
        <w:t>مقدمة</w:t>
      </w:r>
    </w:p>
    <w:p w14:paraId="307F08BA" w14:textId="361E50DD" w:rsidR="00C82056" w:rsidRDefault="00BB12AE" w:rsidP="00C82056">
      <w:pPr>
        <w:rPr>
          <w:rtl/>
        </w:rPr>
      </w:pPr>
      <w:r w:rsidRPr="00BB12AE">
        <w:rPr>
          <w:rtl/>
        </w:rPr>
        <w:t>تشير سلامة الذكاء الاصطناعي</w:t>
      </w:r>
      <w:r w:rsidR="00DA2BF7">
        <w:rPr>
          <w:rFonts w:hint="cs"/>
          <w:rtl/>
        </w:rPr>
        <w:t xml:space="preserve"> </w:t>
      </w:r>
      <w:r w:rsidRPr="00BB12AE">
        <w:rPr>
          <w:rtl/>
        </w:rPr>
        <w:t>(</w:t>
      </w:r>
      <w:r w:rsidRPr="00BB12AE">
        <w:t>AI</w:t>
      </w:r>
      <w:r w:rsidRPr="00BB12AE">
        <w:rPr>
          <w:rtl/>
        </w:rPr>
        <w:t xml:space="preserve">) وجدارته بالثقة في </w:t>
      </w:r>
      <w:r w:rsidR="00DA2BF7">
        <w:rPr>
          <w:rFonts w:hint="cs"/>
          <w:rtl/>
        </w:rPr>
        <w:t>بيئة</w:t>
      </w:r>
      <w:r w:rsidRPr="00BB12AE">
        <w:rPr>
          <w:rtl/>
        </w:rPr>
        <w:t xml:space="preserve"> الاتصالات/تكنولوجيا المعلومات والاتصالات إلى التدابير والممارسات اللازمة لضمان أن أنظمة الذكاء الاصطناعي المستخدمة في </w:t>
      </w:r>
      <w:r w:rsidR="00DA2BF7">
        <w:rPr>
          <w:rFonts w:hint="cs"/>
          <w:rtl/>
        </w:rPr>
        <w:t>بيئة</w:t>
      </w:r>
      <w:r w:rsidRPr="00BB12AE">
        <w:rPr>
          <w:rtl/>
        </w:rPr>
        <w:t xml:space="preserve"> الاتصالات/تكنولوجيا المعلومات والاتصالات تعمل بشكل موثوق وشفاف ووفقاً للمعايير</w:t>
      </w:r>
      <w:r>
        <w:rPr>
          <w:rFonts w:hint="cs"/>
          <w:rtl/>
        </w:rPr>
        <w:t>.</w:t>
      </w:r>
      <w:r w:rsidRPr="00BB12AE">
        <w:rPr>
          <w:rtl/>
        </w:rPr>
        <w:t xml:space="preserve"> ويشمل ذلك ضمان متانة وموثوقية أنظمة الذكاء الاصطناعي، وحماية بيانات المستعمل، والتخفيف من التحيزات، والحفاظ على ثقة المستعمل من خلال توفير حلول للذكاء الاصطناعي تكون واضحة وخاضعة للمساءلة وتركز على المستعمل</w:t>
      </w:r>
      <w:r>
        <w:rPr>
          <w:rFonts w:hint="cs"/>
          <w:rtl/>
        </w:rPr>
        <w:t>.</w:t>
      </w:r>
    </w:p>
    <w:p w14:paraId="5BFD0EA8" w14:textId="3E4D50E0" w:rsidR="00BB12AE" w:rsidRDefault="00BB12AE" w:rsidP="00C82056">
      <w:r w:rsidRPr="00BB12AE">
        <w:rPr>
          <w:rtl/>
        </w:rPr>
        <w:t xml:space="preserve">ويمكن تفسير سلامة الذكاء الاصطناعي وجدارته بالثقة في </w:t>
      </w:r>
      <w:r w:rsidR="00DA2BF7">
        <w:rPr>
          <w:rFonts w:hint="cs"/>
          <w:rtl/>
        </w:rPr>
        <w:t>بيئة</w:t>
      </w:r>
      <w:r w:rsidRPr="00BB12AE">
        <w:rPr>
          <w:rtl/>
        </w:rPr>
        <w:t xml:space="preserve"> الاتصالات/تكنولوجيا المعلومات والاتصالات على النحو التالي:</w:t>
      </w:r>
    </w:p>
    <w:p w14:paraId="75D81500" w14:textId="16C440B4" w:rsidR="006B2BD4" w:rsidRDefault="006B2BD4" w:rsidP="006B2BD4">
      <w:pPr>
        <w:pStyle w:val="enumlev1"/>
      </w:pPr>
      <w:r>
        <w:rPr>
          <w:rFonts w:hint="cs"/>
          <w:rtl/>
        </w:rPr>
        <w:t>-</w:t>
      </w:r>
      <w:r>
        <w:rPr>
          <w:rtl/>
        </w:rPr>
        <w:tab/>
      </w:r>
      <w:r w:rsidR="00DA2BF7" w:rsidRPr="00DA2BF7">
        <w:rPr>
          <w:rtl/>
        </w:rPr>
        <w:t xml:space="preserve">سلامة الذكاء الاصطناعي في </w:t>
      </w:r>
      <w:r w:rsidR="00DA2BF7">
        <w:rPr>
          <w:rFonts w:hint="cs"/>
          <w:rtl/>
        </w:rPr>
        <w:t>بيئة</w:t>
      </w:r>
      <w:r w:rsidR="00DA2BF7" w:rsidRPr="00DA2BF7">
        <w:rPr>
          <w:rtl/>
        </w:rPr>
        <w:t xml:space="preserve"> الاتصالات/تكنولوجيا المعلومات والاتصالات: ضمان أن أنظمة الذكاء الاصطناعي تعمل دون أن تشكل مخاطر لا يمكن تحملها أو قبولها في بيئات الاتصالات/تكنولوجيا المعلومات والاتصالات مع عدم التسبب في أخطار</w:t>
      </w:r>
      <w:r w:rsidR="00DA2BF7">
        <w:rPr>
          <w:rFonts w:hint="cs"/>
          <w:rtl/>
        </w:rPr>
        <w:t>.</w:t>
      </w:r>
    </w:p>
    <w:p w14:paraId="2BCBF73C" w14:textId="06D60FA7" w:rsidR="006B2BD4" w:rsidRDefault="006B2BD4" w:rsidP="006B2BD4">
      <w:pPr>
        <w:pStyle w:val="enumlev1"/>
        <w:rPr>
          <w:rtl/>
        </w:rPr>
      </w:pPr>
      <w:r>
        <w:rPr>
          <w:rFonts w:hint="cs"/>
          <w:rtl/>
        </w:rPr>
        <w:t>-</w:t>
      </w:r>
      <w:r>
        <w:rPr>
          <w:rtl/>
        </w:rPr>
        <w:tab/>
      </w:r>
      <w:r w:rsidR="00DA2BF7" w:rsidRPr="00DA2BF7">
        <w:rPr>
          <w:rtl/>
        </w:rPr>
        <w:t>جدارة الذكاء الاصطناعي بالثقة في بيئة الاتصالات/تكنولوجيا المعلومات والاتصالات: ضمان أن المستعملين وأصحاب المصلحة يمكنهم الاعتماد بثقة على هذه الأنظمة من أجل دقة الأداء في مختلف التطبيقات في بيئات الاتصالات/تكنولوجيا المعلومات والاتصالات</w:t>
      </w:r>
      <w:r w:rsidR="00DA2BF7">
        <w:rPr>
          <w:rFonts w:hint="cs"/>
          <w:rtl/>
        </w:rPr>
        <w:t>.</w:t>
      </w:r>
    </w:p>
    <w:p w14:paraId="5D233DED" w14:textId="1DEBEBDB" w:rsidR="00DA2BF7" w:rsidRDefault="00D67724" w:rsidP="00DA2BF7">
      <w:pPr>
        <w:rPr>
          <w:rtl/>
        </w:rPr>
      </w:pPr>
      <w:r w:rsidRPr="00D67724">
        <w:rPr>
          <w:rtl/>
        </w:rPr>
        <w:t xml:space="preserve">ويمكن أن يؤثر سوء الأداء المحتمل لأنظمة الذكاء الاصطناعي وإساءة استعمال تكنولوجيات الذكاء الاصطناعي تأثيراً كبيراً على سلامة وموثوقية الاتصالات/تكنولوجيا المعلومات والاتصالات ويعرقل التقدم نحو تحقيق أهداف التنمية المستدامة لعام 2030. </w:t>
      </w:r>
      <w:r w:rsidRPr="00D67724">
        <w:rPr>
          <w:rtl/>
        </w:rPr>
        <w:lastRenderedPageBreak/>
        <w:t>ويتمثل الدور الحاسم لقطاع تقييس الاتصالات في التحديد الاستباقي للعواقب السلبية غير المتوقعة المرتبطة باستعمال الذكاء الاصطناعي في بيئة الاتصالات</w:t>
      </w:r>
      <w:r w:rsidR="006D003B">
        <w:rPr>
          <w:rFonts w:hint="cs"/>
          <w:rtl/>
        </w:rPr>
        <w:t>/</w:t>
      </w:r>
      <w:r w:rsidRPr="00D67724">
        <w:rPr>
          <w:rtl/>
        </w:rPr>
        <w:t>تكنولوجيا المعلومات والاتصالات والتخفيف منها، وضمان نشر هذه التكنولوجيات على نحو مسؤول وآمن</w:t>
      </w:r>
      <w:r>
        <w:rPr>
          <w:rFonts w:hint="cs"/>
          <w:rtl/>
        </w:rPr>
        <w:t>.</w:t>
      </w:r>
    </w:p>
    <w:p w14:paraId="70247437" w14:textId="015B415C" w:rsidR="007049B7" w:rsidRDefault="00591270" w:rsidP="00D16532">
      <w:pPr>
        <w:rPr>
          <w:rtl/>
        </w:rPr>
      </w:pPr>
      <w:r w:rsidRPr="00591270">
        <w:rPr>
          <w:rtl/>
        </w:rPr>
        <w:t xml:space="preserve">وفي دورة مجلس الاتحاد لعام 2024، قدمت الأمينة العامة تقريراً </w:t>
      </w:r>
      <w:hyperlink r:id="rId15" w:history="1">
        <w:r w:rsidRPr="000E788C">
          <w:rPr>
            <w:rStyle w:val="Hyperlink"/>
            <w:rtl/>
          </w:rPr>
          <w:t>(</w:t>
        </w:r>
        <w:r w:rsidRPr="000E788C">
          <w:rPr>
            <w:rStyle w:val="Hyperlink"/>
          </w:rPr>
          <w:t>C24/67</w:t>
        </w:r>
        <w:r w:rsidRPr="000E788C">
          <w:rPr>
            <w:rStyle w:val="Hyperlink"/>
            <w:rtl/>
          </w:rPr>
          <w:t>)</w:t>
        </w:r>
      </w:hyperlink>
      <w:r w:rsidRPr="00591270">
        <w:rPr>
          <w:rtl/>
        </w:rPr>
        <w:t xml:space="preserve"> عن أنشطة الاتحاد المتعلقة بالذكاء الاصطناعي المسترش</w:t>
      </w:r>
      <w:r w:rsidR="006D003B">
        <w:rPr>
          <w:rFonts w:hint="cs"/>
          <w:rtl/>
        </w:rPr>
        <w:t>ِ</w:t>
      </w:r>
      <w:r w:rsidRPr="00591270">
        <w:rPr>
          <w:rtl/>
        </w:rPr>
        <w:t>دة بالقرار 214 (بوخارست، 2022) لمؤتمر المندوبين المفوضين، الذي ينص على أن الاتحاد ينبغي أن يواصل الأعمال ال</w:t>
      </w:r>
      <w:r w:rsidR="000D1C4F">
        <w:rPr>
          <w:rFonts w:hint="cs"/>
          <w:rtl/>
          <w:lang w:bidi="ar-EG"/>
        </w:rPr>
        <w:t>ت</w:t>
      </w:r>
      <w:r w:rsidRPr="00591270">
        <w:rPr>
          <w:rtl/>
        </w:rPr>
        <w:t>ي يضطلع بها في مجال الذكاء الاصطناعي والمتعلقة بالاتصالات/تكنولوجيا المعلومات والاتصالات.</w:t>
      </w:r>
      <w:r>
        <w:rPr>
          <w:rFonts w:hint="cs"/>
          <w:rtl/>
        </w:rPr>
        <w:t xml:space="preserve"> </w:t>
      </w:r>
      <w:r w:rsidR="005D7398" w:rsidRPr="005D7398">
        <w:rPr>
          <w:rtl/>
        </w:rPr>
        <w:t xml:space="preserve">ويفيد التقرير بأن الاتحاد </w:t>
      </w:r>
      <w:r w:rsidR="006D003B">
        <w:rPr>
          <w:rFonts w:hint="cs"/>
          <w:rtl/>
        </w:rPr>
        <w:t>نشر</w:t>
      </w:r>
      <w:r w:rsidR="005D7398" w:rsidRPr="005D7398">
        <w:rPr>
          <w:rtl/>
        </w:rPr>
        <w:t xml:space="preserve"> أكثر من 220 معياراً بشأن الذكاء الاصطناعي أو </w:t>
      </w:r>
      <w:r w:rsidR="00126DA1">
        <w:rPr>
          <w:rFonts w:hint="cs"/>
          <w:rtl/>
        </w:rPr>
        <w:t>يعكف على</w:t>
      </w:r>
      <w:r w:rsidR="005D7398" w:rsidRPr="005D7398">
        <w:rPr>
          <w:rtl/>
        </w:rPr>
        <w:t xml:space="preserve"> إعداد</w:t>
      </w:r>
      <w:r w:rsidR="00126DA1">
        <w:rPr>
          <w:rFonts w:hint="cs"/>
          <w:rtl/>
        </w:rPr>
        <w:t>ها</w:t>
      </w:r>
      <w:r w:rsidR="005D7398" w:rsidRPr="005D7398">
        <w:rPr>
          <w:rtl/>
        </w:rPr>
        <w:t>.</w:t>
      </w:r>
      <w:r w:rsidR="005D7398">
        <w:rPr>
          <w:rFonts w:hint="cs"/>
          <w:rtl/>
        </w:rPr>
        <w:t xml:space="preserve"> ومع ذلك، تدعو الحاجة إلى التركيز على أنشطة التقييس </w:t>
      </w:r>
      <w:r w:rsidR="00126DA1">
        <w:rPr>
          <w:rFonts w:hint="cs"/>
          <w:rtl/>
        </w:rPr>
        <w:t>اللازمة ل</w:t>
      </w:r>
      <w:r w:rsidR="005D7398">
        <w:rPr>
          <w:rFonts w:hint="cs"/>
          <w:rtl/>
        </w:rPr>
        <w:t>معالجة سلامة الذكاء الاصطناعي وجدارته بالثقة في بيئة الاتصالات/تكنولوجيا المعلومات والاتصالا</w:t>
      </w:r>
      <w:r w:rsidR="000D1C4F">
        <w:rPr>
          <w:rFonts w:hint="cs"/>
          <w:rtl/>
        </w:rPr>
        <w:t>ت.</w:t>
      </w:r>
    </w:p>
    <w:p w14:paraId="725200A7" w14:textId="2EAE4F49" w:rsidR="005D7398" w:rsidRPr="00DA2BF7" w:rsidRDefault="005D7398" w:rsidP="00D16532">
      <w:r w:rsidRPr="005D7398">
        <w:rPr>
          <w:rtl/>
        </w:rPr>
        <w:t>ويؤكد عدد من المبادرات العالمية على أهمية سلامة الذكاء الاصطناعي وجدارته بالثقة.</w:t>
      </w:r>
      <w:r>
        <w:rPr>
          <w:rFonts w:hint="cs"/>
          <w:rtl/>
        </w:rPr>
        <w:t xml:space="preserve"> وترى إدارات أعضاء جماعة آسيا والمحيط الهادئ للاتصالات </w:t>
      </w:r>
      <w:r w:rsidR="00905C3D">
        <w:rPr>
          <w:rFonts w:hint="cs"/>
          <w:rtl/>
        </w:rPr>
        <w:t xml:space="preserve">أن لقطاع تقييس الاتصالات دوراً في وضع </w:t>
      </w:r>
      <w:r w:rsidR="00905C3D" w:rsidRPr="00905C3D">
        <w:rPr>
          <w:rtl/>
        </w:rPr>
        <w:t xml:space="preserve">معايير </w:t>
      </w:r>
      <w:r w:rsidR="00126DA1">
        <w:rPr>
          <w:rFonts w:hint="cs"/>
          <w:rtl/>
        </w:rPr>
        <w:t xml:space="preserve">بشأن </w:t>
      </w:r>
      <w:r w:rsidR="00905C3D" w:rsidRPr="00905C3D">
        <w:rPr>
          <w:rtl/>
        </w:rPr>
        <w:t>سلامة الذكاء الاصطناعي وجدارته بالثقة في بيئة الاتصالات/تكنولوجيا المعلومات والاتصالات</w:t>
      </w:r>
      <w:r w:rsidR="00905C3D">
        <w:rPr>
          <w:rFonts w:hint="cs"/>
          <w:rtl/>
        </w:rPr>
        <w:t>.</w:t>
      </w:r>
    </w:p>
    <w:p w14:paraId="147E8D55" w14:textId="77777777" w:rsidR="00C82056" w:rsidRPr="00C82056" w:rsidRDefault="00C82056" w:rsidP="00C82056">
      <w:pPr>
        <w:pStyle w:val="Headingb"/>
        <w:rPr>
          <w:rtl/>
        </w:rPr>
      </w:pPr>
      <w:r w:rsidRPr="00C82056">
        <w:rPr>
          <w:rFonts w:hint="cs"/>
          <w:rtl/>
        </w:rPr>
        <w:t>المقترح</w:t>
      </w:r>
    </w:p>
    <w:p w14:paraId="5600AD7A" w14:textId="6699A37B" w:rsidR="00C82056" w:rsidRPr="00C82056" w:rsidRDefault="00905C3D" w:rsidP="00C82056">
      <w:r w:rsidRPr="00905C3D">
        <w:rPr>
          <w:rtl/>
        </w:rPr>
        <w:t xml:space="preserve">تقترح إدارات أعضاء جماعة آسيا والمحيط الهادئ للاتصالات وضع قرار جديد للجمعية العالمية لتقييس الاتصالات ("أنشطة التقييس </w:t>
      </w:r>
      <w:r w:rsidR="00126DA1">
        <w:rPr>
          <w:rFonts w:hint="cs"/>
          <w:rtl/>
        </w:rPr>
        <w:t>اللازمة في</w:t>
      </w:r>
      <w:r w:rsidRPr="00905C3D">
        <w:rPr>
          <w:rtl/>
        </w:rPr>
        <w:t xml:space="preserve"> قطاع تقييس الاتصالات</w:t>
      </w:r>
      <w:r w:rsidR="00126DA1">
        <w:rPr>
          <w:rFonts w:hint="cs"/>
          <w:rtl/>
        </w:rPr>
        <w:t xml:space="preserve"> بالاتحاد</w:t>
      </w:r>
      <w:r w:rsidRPr="00905C3D">
        <w:rPr>
          <w:rtl/>
        </w:rPr>
        <w:t xml:space="preserve"> لضمان سلامة الذكاء الاصطناعي وجدارته بالثقة في بيئة الاتصالات/تكنولوجيا المعلومات والاتصالات") لدعم </w:t>
      </w:r>
      <w:r>
        <w:rPr>
          <w:rFonts w:hint="cs"/>
          <w:rtl/>
        </w:rPr>
        <w:t>ال</w:t>
      </w:r>
      <w:r w:rsidRPr="00905C3D">
        <w:rPr>
          <w:rtl/>
        </w:rPr>
        <w:t>جهود اللازمة</w:t>
      </w:r>
      <w:r>
        <w:rPr>
          <w:rFonts w:hint="cs"/>
          <w:rtl/>
        </w:rPr>
        <w:t xml:space="preserve"> في قطاع تقييس الاتصالات.</w:t>
      </w:r>
      <w:r w:rsidR="00126DA1" w:rsidRPr="00126DA1">
        <w:rPr>
          <w:rtl/>
        </w:rPr>
        <w:t xml:space="preserve"> ويهدف هذا القرار الجديد إلى تكملة القرار 214 لمؤتمر المندوبين المفوضين</w:t>
      </w:r>
      <w:r w:rsidR="00126DA1">
        <w:rPr>
          <w:rFonts w:hint="cs"/>
          <w:rtl/>
        </w:rPr>
        <w:t>.</w:t>
      </w:r>
    </w:p>
    <w:p w14:paraId="545053BB" w14:textId="77777777" w:rsidR="00314F41" w:rsidRPr="00B344B6" w:rsidRDefault="00314F41" w:rsidP="00C82056"/>
    <w:p w14:paraId="79D9F00D" w14:textId="77777777" w:rsidR="0012545F" w:rsidRPr="00B344B6" w:rsidRDefault="0012545F" w:rsidP="00C82056">
      <w:pPr>
        <w:spacing w:before="0" w:line="240" w:lineRule="auto"/>
        <w:jc w:val="left"/>
        <w:rPr>
          <w:rtl/>
        </w:rPr>
      </w:pPr>
      <w:r w:rsidRPr="00B344B6">
        <w:rPr>
          <w:rtl/>
        </w:rPr>
        <w:br w:type="page"/>
      </w:r>
    </w:p>
    <w:p w14:paraId="38DB270C" w14:textId="627AC0FD" w:rsidR="00B70A1D" w:rsidRDefault="00466E14" w:rsidP="00B51671">
      <w:pPr>
        <w:pStyle w:val="Proposal"/>
        <w:tabs>
          <w:tab w:val="left" w:pos="5349"/>
        </w:tabs>
      </w:pPr>
      <w:r>
        <w:lastRenderedPageBreak/>
        <w:t>ADD</w:t>
      </w:r>
      <w:r>
        <w:tab/>
        <w:t>APT/37A43/1</w:t>
      </w:r>
    </w:p>
    <w:p w14:paraId="4A75C8CE" w14:textId="696B0529" w:rsidR="00B70A1D" w:rsidRPr="00C82056" w:rsidRDefault="00466E14" w:rsidP="00C82056">
      <w:pPr>
        <w:pStyle w:val="ResNo"/>
        <w:rPr>
          <w:rtl/>
        </w:rPr>
      </w:pPr>
      <w:r w:rsidRPr="00C82056">
        <w:rPr>
          <w:rtl/>
        </w:rPr>
        <w:t xml:space="preserve">مشـروع </w:t>
      </w:r>
      <w:r w:rsidR="002C1486">
        <w:rPr>
          <w:rFonts w:hint="cs"/>
          <w:rtl/>
        </w:rPr>
        <w:t>ال</w:t>
      </w:r>
      <w:r w:rsidRPr="00C82056">
        <w:rPr>
          <w:rtl/>
        </w:rPr>
        <w:t xml:space="preserve">قـرار </w:t>
      </w:r>
      <w:r w:rsidR="002C1486">
        <w:rPr>
          <w:rFonts w:hint="cs"/>
          <w:rtl/>
        </w:rPr>
        <w:t>ال</w:t>
      </w:r>
      <w:r w:rsidRPr="00C82056">
        <w:rPr>
          <w:rtl/>
        </w:rPr>
        <w:t xml:space="preserve">جديـد </w:t>
      </w:r>
      <w:r w:rsidRPr="00C82056">
        <w:t>[APT-AI]</w:t>
      </w:r>
      <w:r w:rsidR="00054CC5">
        <w:rPr>
          <w:rFonts w:hint="cs"/>
          <w:rtl/>
        </w:rPr>
        <w:t xml:space="preserve"> (نيودلهي، 2024)</w:t>
      </w:r>
    </w:p>
    <w:p w14:paraId="23A571B0" w14:textId="4E0003FC" w:rsidR="00B70A1D" w:rsidRDefault="006D003B" w:rsidP="00C82056">
      <w:pPr>
        <w:pStyle w:val="Restitle"/>
      </w:pPr>
      <w:r w:rsidRPr="006D003B">
        <w:rPr>
          <w:rtl/>
        </w:rPr>
        <w:t xml:space="preserve">أنشطة التقييس </w:t>
      </w:r>
      <w:r>
        <w:rPr>
          <w:rFonts w:hint="cs"/>
          <w:rtl/>
        </w:rPr>
        <w:t>اللازمة في</w:t>
      </w:r>
      <w:r w:rsidRPr="006D003B">
        <w:rPr>
          <w:rtl/>
        </w:rPr>
        <w:t xml:space="preserve"> قطاع تقييس الاتصالات بالاتحاد لضمان سلامة الذكاء الاصطناعي وجدارته بالثقة في بيئة الاتصالات/تكنولوجيا المعلومات والاتصالات</w:t>
      </w:r>
    </w:p>
    <w:p w14:paraId="4D173679" w14:textId="25A3DF4D" w:rsidR="00C82056" w:rsidRPr="00C82056" w:rsidRDefault="00D30045" w:rsidP="00C82056">
      <w:pPr>
        <w:pStyle w:val="Resref"/>
      </w:pPr>
      <w:r>
        <w:rPr>
          <w:rFonts w:hint="cs"/>
          <w:rtl/>
        </w:rPr>
        <w:t>(نيودلهي، 2024</w:t>
      </w:r>
      <w:r w:rsidR="000C292F">
        <w:rPr>
          <w:rFonts w:hint="cs"/>
          <w:rtl/>
        </w:rPr>
        <w:t>)</w:t>
      </w:r>
    </w:p>
    <w:p w14:paraId="1D07212A" w14:textId="2C0ECA33" w:rsidR="00B70A1D" w:rsidRPr="007049B7" w:rsidRDefault="005A027E" w:rsidP="007049B7">
      <w:pPr>
        <w:pStyle w:val="Normalaftertitle"/>
        <w:rPr>
          <w:rtl/>
        </w:rPr>
      </w:pPr>
      <w:r w:rsidRPr="007049B7">
        <w:rPr>
          <w:rFonts w:hint="cs"/>
          <w:rtl/>
        </w:rPr>
        <w:t>إن الجمعية العالمية لتقييس الاتصالات (نيودلهي، 2024)،</w:t>
      </w:r>
    </w:p>
    <w:p w14:paraId="4B507C75" w14:textId="7C3E777D" w:rsidR="002D5F67" w:rsidRPr="005A027E" w:rsidRDefault="005A027E" w:rsidP="005A027E">
      <w:pPr>
        <w:pStyle w:val="Call"/>
      </w:pPr>
      <w:r w:rsidRPr="005A027E">
        <w:rPr>
          <w:rFonts w:hint="cs"/>
          <w:rtl/>
          <w:lang w:bidi="ar-EG"/>
        </w:rPr>
        <w:t>إذ تذكِّر</w:t>
      </w:r>
    </w:p>
    <w:p w14:paraId="3A3BC064" w14:textId="42A2DD35" w:rsidR="00C82056" w:rsidRDefault="00D30045" w:rsidP="002C1486">
      <w:pPr>
        <w:rPr>
          <w:rtl/>
        </w:rPr>
      </w:pPr>
      <w:r w:rsidRPr="00D30045">
        <w:rPr>
          <w:rFonts w:hint="cs"/>
          <w:i/>
          <w:iCs/>
          <w:rtl/>
        </w:rPr>
        <w:t> أ )</w:t>
      </w:r>
      <w:r>
        <w:rPr>
          <w:rtl/>
        </w:rPr>
        <w:tab/>
      </w:r>
      <w:r w:rsidR="00126DA1">
        <w:rPr>
          <w:rFonts w:hint="cs"/>
          <w:rtl/>
        </w:rPr>
        <w:t>بالقرار 71 (المراجَع في بوخارست، 2022) لمؤتمر المندوبين المفوضين، بشأن الخطة الاستراتيجية للاتحاد للفترة 2024-2027</w:t>
      </w:r>
      <w:r w:rsidR="00253F79">
        <w:rPr>
          <w:rFonts w:hint="cs"/>
          <w:rtl/>
        </w:rPr>
        <w:t>؛</w:t>
      </w:r>
    </w:p>
    <w:p w14:paraId="552B5C5A" w14:textId="40C64953" w:rsidR="00D30045" w:rsidRDefault="00D30045" w:rsidP="002C1486">
      <w:pPr>
        <w:rPr>
          <w:rtl/>
        </w:rPr>
      </w:pPr>
      <w:r w:rsidRPr="00D30045">
        <w:rPr>
          <w:rFonts w:hint="cs"/>
          <w:i/>
          <w:iCs/>
          <w:rtl/>
        </w:rPr>
        <w:t>ب)</w:t>
      </w:r>
      <w:r>
        <w:rPr>
          <w:rtl/>
        </w:rPr>
        <w:tab/>
      </w:r>
      <w:r w:rsidR="00253F79">
        <w:rPr>
          <w:rFonts w:hint="cs"/>
          <w:rtl/>
        </w:rPr>
        <w:t>ب</w:t>
      </w:r>
      <w:r w:rsidR="00253F79" w:rsidRPr="00253F79">
        <w:rPr>
          <w:rtl/>
        </w:rPr>
        <w:t>القرار 214 (بوخارست، 2022) لمؤتمر المندوبين المفوضين، بشأن تكنولوجيات الذكاء الاصطناعي والاتصالات/تكنولوجيا المعلومات والاتصالات؛</w:t>
      </w:r>
    </w:p>
    <w:p w14:paraId="3B0CCA24" w14:textId="0AF9E743" w:rsidR="00D30045" w:rsidRDefault="00D30045" w:rsidP="002C1486">
      <w:pPr>
        <w:rPr>
          <w:rtl/>
        </w:rPr>
      </w:pPr>
      <w:r w:rsidRPr="00D30045">
        <w:rPr>
          <w:rFonts w:hint="cs"/>
          <w:i/>
          <w:iCs/>
          <w:rtl/>
        </w:rPr>
        <w:t>ج)</w:t>
      </w:r>
      <w:r>
        <w:rPr>
          <w:rtl/>
        </w:rPr>
        <w:tab/>
      </w:r>
      <w:r w:rsidR="00253F79">
        <w:rPr>
          <w:rFonts w:hint="cs"/>
          <w:rtl/>
        </w:rPr>
        <w:t xml:space="preserve">بالقرار </w:t>
      </w:r>
      <w:r w:rsidR="00253F79" w:rsidRPr="00253F79">
        <w:t>A/RES/78/265</w:t>
      </w:r>
      <w:r w:rsidR="00253F79">
        <w:rPr>
          <w:rFonts w:hint="cs"/>
          <w:rtl/>
        </w:rPr>
        <w:t xml:space="preserve"> الصادر عن الجمعية العامة للأمم المتحدة</w:t>
      </w:r>
      <w:r w:rsidR="002C1486">
        <w:rPr>
          <w:rFonts w:hint="cs"/>
          <w:rtl/>
        </w:rPr>
        <w:t xml:space="preserve"> </w:t>
      </w:r>
      <w:r w:rsidR="002C1486">
        <w:t>(UNGA)</w:t>
      </w:r>
      <w:r w:rsidR="00253F79">
        <w:rPr>
          <w:rFonts w:hint="cs"/>
          <w:rtl/>
        </w:rPr>
        <w:t>، بعنوان</w:t>
      </w:r>
      <w:r w:rsidR="005C64DE">
        <w:rPr>
          <w:rFonts w:hint="cs"/>
          <w:rtl/>
        </w:rPr>
        <w:t xml:space="preserve"> </w:t>
      </w:r>
      <w:r w:rsidR="00253F79" w:rsidRPr="00253F79">
        <w:rPr>
          <w:rtl/>
        </w:rPr>
        <w:t>”اغتنام الفرص التي تتيحها نظم الذكاء الاصطناعي المأمونة والمؤمَّنة والموثوقة لأغراض التنمية المستدامة“</w:t>
      </w:r>
      <w:r w:rsidR="00253F79">
        <w:rPr>
          <w:rFonts w:hint="cs"/>
          <w:rtl/>
        </w:rPr>
        <w:t xml:space="preserve">، </w:t>
      </w:r>
      <w:r w:rsidR="00253F79" w:rsidRPr="00253F79">
        <w:rPr>
          <w:rtl/>
        </w:rPr>
        <w:t xml:space="preserve">والقرار </w:t>
      </w:r>
      <w:r w:rsidR="00253F79" w:rsidRPr="00253F79">
        <w:t>A/RES/78/311</w:t>
      </w:r>
      <w:r w:rsidR="00253F79" w:rsidRPr="00253F79">
        <w:rPr>
          <w:rtl/>
        </w:rPr>
        <w:t xml:space="preserve"> الصادر عن الجمعية العامة للأمم المتحدة بعنوان "تعزيز التعاون الدولي بش</w:t>
      </w:r>
      <w:r w:rsidR="00253F79">
        <w:rPr>
          <w:rFonts w:hint="cs"/>
          <w:rtl/>
        </w:rPr>
        <w:t>أ</w:t>
      </w:r>
      <w:r w:rsidR="00253F79" w:rsidRPr="00253F79">
        <w:rPr>
          <w:rtl/>
        </w:rPr>
        <w:t>ن بناء القدرات في مجال الذكاء الاصطناعي"؛</w:t>
      </w:r>
    </w:p>
    <w:p w14:paraId="55D7D79E" w14:textId="4A806533" w:rsidR="00D30045" w:rsidRDefault="00D30045" w:rsidP="002C1486">
      <w:pPr>
        <w:rPr>
          <w:rtl/>
        </w:rPr>
      </w:pPr>
      <w:r w:rsidRPr="00D30045">
        <w:rPr>
          <w:rFonts w:hint="cs"/>
          <w:i/>
          <w:iCs/>
          <w:rtl/>
        </w:rPr>
        <w:t>د )</w:t>
      </w:r>
      <w:r>
        <w:rPr>
          <w:rtl/>
        </w:rPr>
        <w:tab/>
      </w:r>
      <w:r w:rsidR="001F56FB" w:rsidRPr="001F56FB">
        <w:rPr>
          <w:rtl/>
        </w:rPr>
        <w:t>بخطوط عمل القمة العالمية لمجتمع المعلومات ذات الصلة وأهداف التنمية المستدامة (</w:t>
      </w:r>
      <w:r w:rsidR="001F56FB" w:rsidRPr="001F56FB">
        <w:t>SDG</w:t>
      </w:r>
      <w:r w:rsidR="001F56FB" w:rsidRPr="001F56FB">
        <w:rPr>
          <w:rtl/>
        </w:rPr>
        <w:t>) ذات الصلة للأمم المتحدة</w:t>
      </w:r>
      <w:r w:rsidR="001F56FB">
        <w:rPr>
          <w:rFonts w:hint="cs"/>
          <w:rtl/>
        </w:rPr>
        <w:t xml:space="preserve">، </w:t>
      </w:r>
      <w:r w:rsidR="001F56FB" w:rsidRPr="001F56FB">
        <w:rPr>
          <w:rtl/>
        </w:rPr>
        <w:t>ولا</w:t>
      </w:r>
      <w:r w:rsidR="007049B7">
        <w:rPr>
          <w:rFonts w:hint="cs"/>
          <w:rtl/>
        </w:rPr>
        <w:t> </w:t>
      </w:r>
      <w:r w:rsidR="001F56FB" w:rsidRPr="001F56FB">
        <w:rPr>
          <w:rtl/>
        </w:rPr>
        <w:t>سيما الهدف 9 بشأن إقامة ب</w:t>
      </w:r>
      <w:r w:rsidR="001F56FB">
        <w:rPr>
          <w:rFonts w:hint="cs"/>
          <w:rtl/>
        </w:rPr>
        <w:t>ُ</w:t>
      </w:r>
      <w:r w:rsidR="001F56FB" w:rsidRPr="001F56FB">
        <w:rPr>
          <w:rtl/>
        </w:rPr>
        <w:t>نى تحتية قادرة على الصمود وتحفيز التصنيع المستدام الشامل للجميع وتشجيع الابتكار، والهدف 17 بشأن تعزيز وسائل تنفيذ وتنشيط الشراكة العالمية من أجل التنمية المستدامة؛</w:t>
      </w:r>
    </w:p>
    <w:p w14:paraId="2B464811" w14:textId="6F286F87" w:rsidR="00D30045" w:rsidRPr="001F56FB" w:rsidRDefault="00D30045" w:rsidP="002C1486">
      <w:pPr>
        <w:rPr>
          <w:rtl/>
        </w:rPr>
      </w:pPr>
      <w:r w:rsidRPr="00D30045">
        <w:rPr>
          <w:rFonts w:hint="cs"/>
          <w:i/>
          <w:iCs/>
          <w:rtl/>
        </w:rPr>
        <w:t>هـ )</w:t>
      </w:r>
      <w:r>
        <w:rPr>
          <w:rtl/>
        </w:rPr>
        <w:tab/>
      </w:r>
      <w:r w:rsidR="001F56FB">
        <w:rPr>
          <w:rFonts w:hint="cs"/>
          <w:rtl/>
        </w:rPr>
        <w:t xml:space="preserve">بعدد من المبادرات العالمية التي تؤكد على أهمية سلامة الذكاء الاصطناعي </w:t>
      </w:r>
      <w:r w:rsidR="001F56FB">
        <w:t>(AI)</w:t>
      </w:r>
      <w:r w:rsidR="001F56FB">
        <w:rPr>
          <w:rFonts w:hint="cs"/>
          <w:rtl/>
        </w:rPr>
        <w:t xml:space="preserve"> وجدارته بالثقة،</w:t>
      </w:r>
    </w:p>
    <w:p w14:paraId="65B52DAD" w14:textId="3EBCFD1A" w:rsidR="00D30045" w:rsidRDefault="001F56FB" w:rsidP="00D13BB1">
      <w:pPr>
        <w:pStyle w:val="Call"/>
        <w:rPr>
          <w:rtl/>
        </w:rPr>
      </w:pPr>
      <w:r>
        <w:rPr>
          <w:rFonts w:hint="cs"/>
          <w:rtl/>
        </w:rPr>
        <w:t>وإذ تضع في اعتبارها</w:t>
      </w:r>
    </w:p>
    <w:p w14:paraId="019AF255" w14:textId="14610F61" w:rsidR="002D5F67" w:rsidRDefault="002D5F67" w:rsidP="002C1486">
      <w:pPr>
        <w:rPr>
          <w:rtl/>
        </w:rPr>
      </w:pPr>
      <w:r w:rsidRPr="00D30045">
        <w:rPr>
          <w:rFonts w:hint="cs"/>
          <w:i/>
          <w:iCs/>
          <w:rtl/>
        </w:rPr>
        <w:t> أ )</w:t>
      </w:r>
      <w:r>
        <w:rPr>
          <w:rtl/>
        </w:rPr>
        <w:tab/>
      </w:r>
      <w:r w:rsidR="001F56FB">
        <w:rPr>
          <w:rFonts w:hint="cs"/>
          <w:rtl/>
        </w:rPr>
        <w:t>التقدم السريع لتكنولوجيات الذكاء الاصطناعي ودمجها في الاتصالات/تكنولوجيا المعلومات والاتصالات</w:t>
      </w:r>
      <w:r w:rsidR="00871261">
        <w:rPr>
          <w:rFonts w:hint="cs"/>
          <w:rtl/>
        </w:rPr>
        <w:t xml:space="preserve"> وتأثيرها الكبير على النظام الإيكولوجي الرقمي العالمي؛</w:t>
      </w:r>
    </w:p>
    <w:p w14:paraId="304F4D78" w14:textId="5A6691B5" w:rsidR="002D5F67" w:rsidRDefault="002D5F67" w:rsidP="002C1486">
      <w:pPr>
        <w:rPr>
          <w:rtl/>
        </w:rPr>
      </w:pPr>
      <w:r w:rsidRPr="00D30045">
        <w:rPr>
          <w:rFonts w:hint="cs"/>
          <w:i/>
          <w:iCs/>
          <w:rtl/>
        </w:rPr>
        <w:t>ب)</w:t>
      </w:r>
      <w:r>
        <w:rPr>
          <w:rtl/>
        </w:rPr>
        <w:tab/>
      </w:r>
      <w:r w:rsidR="00871261" w:rsidRPr="00871261">
        <w:rPr>
          <w:rtl/>
        </w:rPr>
        <w:t>أن التطوير المبتكر لتكنولوجيات الذكاء الاصطناعي في بيئة الاتصالات/تكنولوجيا المعلومات والاتصالات يسهم في</w:t>
      </w:r>
      <w:r w:rsidR="00C30029">
        <w:rPr>
          <w:rFonts w:hint="cs"/>
          <w:rtl/>
        </w:rPr>
        <w:t> </w:t>
      </w:r>
      <w:r w:rsidR="00871261" w:rsidRPr="00871261">
        <w:rPr>
          <w:rtl/>
        </w:rPr>
        <w:t xml:space="preserve">تحقيق أهداف التنمية المستدامة </w:t>
      </w:r>
      <w:r w:rsidR="00871261">
        <w:rPr>
          <w:rFonts w:hint="cs"/>
          <w:rtl/>
        </w:rPr>
        <w:t>التي وضعتها ا</w:t>
      </w:r>
      <w:r w:rsidR="00871261" w:rsidRPr="00871261">
        <w:rPr>
          <w:rtl/>
        </w:rPr>
        <w:t>لأمم المتحدة</w:t>
      </w:r>
      <w:r w:rsidR="002C1486">
        <w:rPr>
          <w:rFonts w:hint="cs"/>
          <w:rtl/>
        </w:rPr>
        <w:t xml:space="preserve"> </w:t>
      </w:r>
      <w:r w:rsidR="002C1486">
        <w:t>(UN)</w:t>
      </w:r>
      <w:r w:rsidR="00871261" w:rsidRPr="00871261">
        <w:rPr>
          <w:rtl/>
        </w:rPr>
        <w:t>؛</w:t>
      </w:r>
    </w:p>
    <w:p w14:paraId="6D5BBCF9" w14:textId="28B1D209" w:rsidR="002D5F67" w:rsidRDefault="002D5F67" w:rsidP="002C1486">
      <w:pPr>
        <w:rPr>
          <w:rtl/>
        </w:rPr>
      </w:pPr>
      <w:r w:rsidRPr="00D30045">
        <w:rPr>
          <w:rFonts w:hint="cs"/>
          <w:i/>
          <w:iCs/>
          <w:rtl/>
        </w:rPr>
        <w:t>ج)</w:t>
      </w:r>
      <w:r>
        <w:rPr>
          <w:rtl/>
        </w:rPr>
        <w:tab/>
      </w:r>
      <w:r w:rsidR="00871261" w:rsidRPr="00871261">
        <w:rPr>
          <w:rtl/>
        </w:rPr>
        <w:t xml:space="preserve">أن الاستخدام المتزايد لتكنولوجيات الذكاء الاصطناعي في مختلف القطاعات يشكل </w:t>
      </w:r>
      <w:proofErr w:type="gramStart"/>
      <w:r w:rsidR="00871261" w:rsidRPr="00871261">
        <w:rPr>
          <w:rtl/>
        </w:rPr>
        <w:t>مخاطر</w:t>
      </w:r>
      <w:proofErr w:type="gramEnd"/>
      <w:r w:rsidR="00871261" w:rsidRPr="00871261">
        <w:rPr>
          <w:rtl/>
        </w:rPr>
        <w:t xml:space="preserve"> محتملة في بيئة الاتصالات/تكنولوجيا المعلومات والاتصالات؛</w:t>
      </w:r>
    </w:p>
    <w:p w14:paraId="736D93A1" w14:textId="43CFDC6E" w:rsidR="002D5F67" w:rsidRDefault="002D5F67" w:rsidP="002C1486">
      <w:pPr>
        <w:rPr>
          <w:rtl/>
        </w:rPr>
      </w:pPr>
      <w:r w:rsidRPr="00D30045">
        <w:rPr>
          <w:rFonts w:hint="cs"/>
          <w:i/>
          <w:iCs/>
          <w:rtl/>
        </w:rPr>
        <w:t>د )</w:t>
      </w:r>
      <w:r>
        <w:rPr>
          <w:rtl/>
        </w:rPr>
        <w:tab/>
      </w:r>
      <w:r w:rsidR="000F0EFE" w:rsidRPr="000F0EFE">
        <w:rPr>
          <w:rtl/>
        </w:rPr>
        <w:t>أن تطور الذكاء الاصطناعي مهم وأن جميع البلدان ينبغي أن تتاح لها فرص متساوية للانتفاع من فوائد الذكاء الاصطناعي مع التخفيف من مخاطره؛</w:t>
      </w:r>
    </w:p>
    <w:p w14:paraId="4DC570C3" w14:textId="5E238174" w:rsidR="002D5F67" w:rsidRDefault="002D5F67" w:rsidP="002C1486">
      <w:pPr>
        <w:rPr>
          <w:rtl/>
        </w:rPr>
      </w:pPr>
      <w:r w:rsidRPr="00D30045">
        <w:rPr>
          <w:rFonts w:hint="cs"/>
          <w:i/>
          <w:iCs/>
          <w:rtl/>
        </w:rPr>
        <w:t>هـ )</w:t>
      </w:r>
      <w:r>
        <w:rPr>
          <w:rtl/>
        </w:rPr>
        <w:tab/>
      </w:r>
      <w:r w:rsidR="000F0EFE" w:rsidRPr="000F0EFE">
        <w:rPr>
          <w:rtl/>
        </w:rPr>
        <w:t>أن سوء الأداء المحتمل لأنظمة الذكاء الاصطناعي وإساءة استعمال تكنولوجيات الذكاء الاصطناعي يمكن أن يؤثرا بشكل كبير على سلامة وموثوقية الاتصالات/تكنولوجيا المعلومات والاتصالات ويعرقلا التقدم نحو تحقيق أهداف التنمية المستدامة لعام 2030</w:t>
      </w:r>
      <w:r w:rsidR="000F0EFE">
        <w:rPr>
          <w:rFonts w:hint="cs"/>
          <w:rtl/>
        </w:rPr>
        <w:t>؛</w:t>
      </w:r>
    </w:p>
    <w:p w14:paraId="2A83CA9F" w14:textId="20DDF592" w:rsidR="002D5F67" w:rsidRDefault="002D5F67" w:rsidP="002C1486">
      <w:pPr>
        <w:rPr>
          <w:rtl/>
        </w:rPr>
      </w:pPr>
      <w:r>
        <w:rPr>
          <w:rFonts w:hint="cs"/>
          <w:i/>
          <w:iCs/>
          <w:rtl/>
        </w:rPr>
        <w:t>و</w:t>
      </w:r>
      <w:r w:rsidRPr="00D30045">
        <w:rPr>
          <w:rFonts w:hint="cs"/>
          <w:i/>
          <w:iCs/>
          <w:rtl/>
        </w:rPr>
        <w:t> )</w:t>
      </w:r>
      <w:r>
        <w:rPr>
          <w:rtl/>
        </w:rPr>
        <w:tab/>
      </w:r>
      <w:r w:rsidR="00523AE7" w:rsidRPr="00973304">
        <w:rPr>
          <w:spacing w:val="-4"/>
          <w:rtl/>
        </w:rPr>
        <w:t xml:space="preserve">التحديات التي </w:t>
      </w:r>
      <w:r w:rsidR="00523AE7" w:rsidRPr="00973304">
        <w:rPr>
          <w:rFonts w:hint="cs"/>
          <w:spacing w:val="-4"/>
          <w:rtl/>
        </w:rPr>
        <w:t>تطرحها</w:t>
      </w:r>
      <w:r w:rsidR="00523AE7" w:rsidRPr="00973304">
        <w:rPr>
          <w:spacing w:val="-4"/>
          <w:rtl/>
        </w:rPr>
        <w:t xml:space="preserve"> الأنظمة والخوارزميات المؤتمتة التي تستخدم الذكاء الاصطناعي في مجال الاتصالات، والتي إذا لم تتم إدارتها بشكل مناسب، يمكن أن تؤدي إلى ممارسات غير عادلة أو نتائج تمييزية أو </w:t>
      </w:r>
      <w:r w:rsidR="00523AE7" w:rsidRPr="00973304">
        <w:rPr>
          <w:rFonts w:hint="cs"/>
          <w:spacing w:val="-4"/>
          <w:rtl/>
        </w:rPr>
        <w:t xml:space="preserve">إلى التقليل من </w:t>
      </w:r>
      <w:r w:rsidR="00523AE7" w:rsidRPr="00973304">
        <w:rPr>
          <w:spacing w:val="-4"/>
          <w:rtl/>
        </w:rPr>
        <w:t>المساءلة في تقديم الخدمات</w:t>
      </w:r>
      <w:r w:rsidR="00523AE7" w:rsidRPr="00973304">
        <w:rPr>
          <w:rFonts w:hint="cs"/>
          <w:spacing w:val="-4"/>
          <w:rtl/>
        </w:rPr>
        <w:t>؛</w:t>
      </w:r>
    </w:p>
    <w:p w14:paraId="1D01112D" w14:textId="54392B8F" w:rsidR="002D5F67" w:rsidRDefault="002D5F67" w:rsidP="002C1486">
      <w:pPr>
        <w:rPr>
          <w:rtl/>
        </w:rPr>
      </w:pPr>
      <w:r>
        <w:rPr>
          <w:rFonts w:hint="cs"/>
          <w:i/>
          <w:iCs/>
          <w:rtl/>
        </w:rPr>
        <w:t>ز </w:t>
      </w:r>
      <w:r w:rsidRPr="00D30045">
        <w:rPr>
          <w:rFonts w:hint="cs"/>
          <w:i/>
          <w:iCs/>
          <w:rtl/>
        </w:rPr>
        <w:t>)</w:t>
      </w:r>
      <w:r>
        <w:rPr>
          <w:rtl/>
        </w:rPr>
        <w:tab/>
      </w:r>
      <w:r w:rsidR="00523AE7" w:rsidRPr="00523AE7">
        <w:rPr>
          <w:rtl/>
        </w:rPr>
        <w:t>أن سلامة الذكاء الاصطناعي وجدارته بالثقة أمران ضروريان لحماية حقوق المستهلك وضمان بيئة رقمية موثوقة وآمنة وجديرة بالثقة،</w:t>
      </w:r>
    </w:p>
    <w:p w14:paraId="6DB24B39" w14:textId="19856C8C" w:rsidR="00D30045" w:rsidRDefault="00523AE7" w:rsidP="00D13BB1">
      <w:pPr>
        <w:pStyle w:val="Call"/>
        <w:rPr>
          <w:rtl/>
        </w:rPr>
      </w:pPr>
      <w:r>
        <w:rPr>
          <w:rFonts w:hint="cs"/>
          <w:rtl/>
        </w:rPr>
        <w:t>وإذ تدرك</w:t>
      </w:r>
    </w:p>
    <w:p w14:paraId="533069A9" w14:textId="75D843E8" w:rsidR="002D5F67" w:rsidRDefault="002D5F67" w:rsidP="002C1486">
      <w:pPr>
        <w:rPr>
          <w:rtl/>
        </w:rPr>
      </w:pPr>
      <w:r w:rsidRPr="00D30045">
        <w:rPr>
          <w:rFonts w:hint="cs"/>
          <w:i/>
          <w:iCs/>
          <w:rtl/>
        </w:rPr>
        <w:t> أ )</w:t>
      </w:r>
      <w:r>
        <w:rPr>
          <w:rtl/>
        </w:rPr>
        <w:tab/>
      </w:r>
      <w:r w:rsidR="00226A47" w:rsidRPr="002C1486">
        <w:rPr>
          <w:rFonts w:hint="cs"/>
          <w:spacing w:val="-4"/>
          <w:rtl/>
        </w:rPr>
        <w:t xml:space="preserve">دور قطاع تقييس الاتصالات بالاتحاد في وضع </w:t>
      </w:r>
      <w:r w:rsidR="00226A47" w:rsidRPr="002C1486">
        <w:rPr>
          <w:spacing w:val="-4"/>
          <w:rtl/>
        </w:rPr>
        <w:t>معايير دولية للاتصالات/تكنولوجيا المعلومات والاتصالات، والمساهمة في بناء مجتمع رقمي أكثر أماناً وجدارة بالثقة، ودعم الأمم المتحدة (</w:t>
      </w:r>
      <w:r w:rsidR="00226A47" w:rsidRPr="002C1486">
        <w:rPr>
          <w:spacing w:val="-4"/>
        </w:rPr>
        <w:t>UN</w:t>
      </w:r>
      <w:r w:rsidR="00226A47" w:rsidRPr="002C1486">
        <w:rPr>
          <w:spacing w:val="-4"/>
          <w:rtl/>
        </w:rPr>
        <w:t xml:space="preserve">) في أداء دور مركزي وتنسيقي في </w:t>
      </w:r>
      <w:r w:rsidR="00226A47" w:rsidRPr="002C1486">
        <w:rPr>
          <w:rFonts w:hint="cs"/>
          <w:spacing w:val="-4"/>
          <w:rtl/>
        </w:rPr>
        <w:t xml:space="preserve">مجال </w:t>
      </w:r>
      <w:r w:rsidR="00226A47" w:rsidRPr="002C1486">
        <w:rPr>
          <w:spacing w:val="-4"/>
          <w:rtl/>
        </w:rPr>
        <w:t>التعاون الإنمائي الدولي؛</w:t>
      </w:r>
    </w:p>
    <w:p w14:paraId="03526831" w14:textId="6BACC8D2" w:rsidR="002D5F67" w:rsidRDefault="002D5F67" w:rsidP="002C1486">
      <w:pPr>
        <w:rPr>
          <w:rtl/>
        </w:rPr>
      </w:pPr>
      <w:r w:rsidRPr="00D30045">
        <w:rPr>
          <w:rFonts w:hint="cs"/>
          <w:i/>
          <w:iCs/>
          <w:rtl/>
        </w:rPr>
        <w:lastRenderedPageBreak/>
        <w:t>ب)</w:t>
      </w:r>
      <w:r>
        <w:rPr>
          <w:rtl/>
        </w:rPr>
        <w:tab/>
      </w:r>
      <w:r w:rsidR="00226A47" w:rsidRPr="00226A47">
        <w:rPr>
          <w:rtl/>
        </w:rPr>
        <w:t>ضرورة التعاون والحوار العالميين بين الدول الأعضاء وأعضاء القطاع وأصحاب المصلحة الآخرين في التصدي للتحديات المحتملة المتعلقة بسلامة الذكاء الاصطناعي وجدارته بالثقة في بيئة الاتصالات/تكنولوجيا المعلومات والاتصالات؛</w:t>
      </w:r>
    </w:p>
    <w:p w14:paraId="0B73D394" w14:textId="48D35B77" w:rsidR="002D5F67" w:rsidRDefault="002D5F67" w:rsidP="002C1486">
      <w:pPr>
        <w:rPr>
          <w:rtl/>
        </w:rPr>
      </w:pPr>
      <w:r w:rsidRPr="00D30045">
        <w:rPr>
          <w:rFonts w:hint="cs"/>
          <w:i/>
          <w:iCs/>
          <w:rtl/>
        </w:rPr>
        <w:t>ج)</w:t>
      </w:r>
      <w:r>
        <w:rPr>
          <w:rtl/>
        </w:rPr>
        <w:tab/>
      </w:r>
      <w:r w:rsidR="00226A47" w:rsidRPr="00226A47">
        <w:rPr>
          <w:rtl/>
        </w:rPr>
        <w:t>الدراسات المتعلقة بالذكاء الاصطناعي في جميع لجان الدراسات والأفرقة المتخصصة التابعة لقطاع تقييس الاتصالات والأفرقة الأخرى ذات الصلة ومبادرات الذكاء الاصطناعي المختلفة التي تؤثر بشكل مباشر على الاتصالات/تكنولوجيا المعلومات والاتصالات، بما في ذلك مبادرة الذكاء الاصطناعي من أجل المصلحة العامة، التي تهدف إلى تحديد تطبيقات الذكاء الاصطناعي العملية الكفيلة بالنهوض بأهداف التنمية المستدامة للأمم المتحدة وتوسيع نطاق هذه الحلول لإحداث تأثير عالمي؛</w:t>
      </w:r>
    </w:p>
    <w:p w14:paraId="75889BF2" w14:textId="6F68C6E9" w:rsidR="002D5F67" w:rsidRDefault="002D5F67" w:rsidP="002C1486">
      <w:pPr>
        <w:rPr>
          <w:rtl/>
        </w:rPr>
      </w:pPr>
      <w:r w:rsidRPr="00D30045">
        <w:rPr>
          <w:rFonts w:hint="cs"/>
          <w:i/>
          <w:iCs/>
          <w:rtl/>
        </w:rPr>
        <w:t>د )</w:t>
      </w:r>
      <w:r>
        <w:rPr>
          <w:rtl/>
        </w:rPr>
        <w:tab/>
      </w:r>
      <w:r w:rsidR="007E603B" w:rsidRPr="007E603B">
        <w:rPr>
          <w:rtl/>
        </w:rPr>
        <w:t xml:space="preserve">تعاون قطاع تقييس الاتصالات مع وكالات ومنظمات أخرى تابعة للأمم المتحدة في إطار فريق العمل المشترك بين الوكالات المعني بالذكاء الاصطناعي </w:t>
      </w:r>
      <w:r w:rsidR="007E603B" w:rsidRPr="00C648FE">
        <w:rPr>
          <w:rtl/>
        </w:rPr>
        <w:t>في منتدى القمة العالمية لمجتمع المعلومات</w:t>
      </w:r>
      <w:r w:rsidR="007E603B" w:rsidRPr="00060FE4">
        <w:rPr>
          <w:rtl/>
        </w:rPr>
        <w:t xml:space="preserve"> </w:t>
      </w:r>
      <w:r w:rsidR="007E603B" w:rsidRPr="00060FE4">
        <w:t>(WSIS)</w:t>
      </w:r>
      <w:r w:rsidR="007E603B" w:rsidRPr="00C648FE">
        <w:rPr>
          <w:rtl/>
        </w:rPr>
        <w:t xml:space="preserve"> لعام 2023</w:t>
      </w:r>
      <w:r w:rsidR="007E603B" w:rsidRPr="007E603B">
        <w:rPr>
          <w:rtl/>
        </w:rPr>
        <w:t>، الذي يجمع بين الركائز التكنولوجية للأمم المتحدة لتوفير أساس متين للجهود المبذولة على نطاق المنظومة بشأن الذكاء الاصطناعي؛</w:t>
      </w:r>
    </w:p>
    <w:p w14:paraId="14D3992E" w14:textId="188385F7" w:rsidR="002D5F67" w:rsidRDefault="002D5F67" w:rsidP="002C1486">
      <w:pPr>
        <w:rPr>
          <w:rtl/>
        </w:rPr>
      </w:pPr>
      <w:r w:rsidRPr="00D30045">
        <w:rPr>
          <w:rFonts w:hint="cs"/>
          <w:i/>
          <w:iCs/>
          <w:rtl/>
        </w:rPr>
        <w:t>هـ )</w:t>
      </w:r>
      <w:r>
        <w:rPr>
          <w:rtl/>
        </w:rPr>
        <w:tab/>
      </w:r>
      <w:r w:rsidR="007E603B" w:rsidRPr="007E603B">
        <w:rPr>
          <w:rtl/>
        </w:rPr>
        <w:t>استخدام القدرات المتعلقة بالذكاء الاصطناعي في مجال الاتصالات/تكنولوجيا المعلومات والاتصالات لتمكين التطبيقات والخدمات الجديدة، ولكن في الوقت نفسه، معالجة المخاطر المحتملة المرتبطة بها والشواغل المتعلقة بالسلامة،</w:t>
      </w:r>
    </w:p>
    <w:p w14:paraId="1737773C" w14:textId="65234BF1" w:rsidR="002D5F67" w:rsidRDefault="007E603B" w:rsidP="00D13BB1">
      <w:pPr>
        <w:pStyle w:val="Call"/>
        <w:rPr>
          <w:rtl/>
        </w:rPr>
      </w:pPr>
      <w:r>
        <w:rPr>
          <w:rFonts w:hint="cs"/>
          <w:rtl/>
        </w:rPr>
        <w:t>وإذ تلاحظ</w:t>
      </w:r>
    </w:p>
    <w:p w14:paraId="280A1AB7" w14:textId="401FD43C" w:rsidR="002D5F67" w:rsidRDefault="002D5F67" w:rsidP="002C1486">
      <w:pPr>
        <w:rPr>
          <w:rtl/>
        </w:rPr>
      </w:pPr>
      <w:r w:rsidRPr="00D30045">
        <w:rPr>
          <w:rFonts w:hint="cs"/>
          <w:i/>
          <w:iCs/>
          <w:rtl/>
        </w:rPr>
        <w:t> أ )</w:t>
      </w:r>
      <w:r>
        <w:rPr>
          <w:rtl/>
        </w:rPr>
        <w:tab/>
      </w:r>
      <w:r w:rsidR="007E603B" w:rsidRPr="007E603B">
        <w:rPr>
          <w:rtl/>
        </w:rPr>
        <w:t>التطور السريع لتكنولوجيات الذكاء الاصطناعي ودمجها في مختلف التكنولوجيات، ما يثير تحديات جديدة لضمان السلامة والجدارة بالثقة في بيئة الاتصالات/تكنولوجيا المعلومات والاتصالات؛</w:t>
      </w:r>
    </w:p>
    <w:p w14:paraId="26AFA5BD" w14:textId="120AACD5" w:rsidR="002D5F67" w:rsidRDefault="002D5F67" w:rsidP="002C1486">
      <w:pPr>
        <w:rPr>
          <w:rtl/>
        </w:rPr>
      </w:pPr>
      <w:r w:rsidRPr="00D30045">
        <w:rPr>
          <w:rFonts w:hint="cs"/>
          <w:i/>
          <w:iCs/>
          <w:rtl/>
        </w:rPr>
        <w:t>ب)</w:t>
      </w:r>
      <w:r>
        <w:rPr>
          <w:rtl/>
        </w:rPr>
        <w:tab/>
      </w:r>
      <w:r w:rsidR="002529F0" w:rsidRPr="002529F0">
        <w:rPr>
          <w:rtl/>
        </w:rPr>
        <w:t>الأهمية المتزايدة للذكاء الاصطناعي في التنمية الاجتماعية والاقتصادية العالمية، ما يستلزم إطاراً متيناً لسلامة الذكاء الاصطناعي وجدارته بالثقة في بيئة الاتصالات/تكنولوجيا المعلومات والاتصالات؛</w:t>
      </w:r>
    </w:p>
    <w:p w14:paraId="3B761389" w14:textId="0D963FB1" w:rsidR="002D5F67" w:rsidRDefault="002D5F67" w:rsidP="002C1486">
      <w:pPr>
        <w:rPr>
          <w:rtl/>
        </w:rPr>
      </w:pPr>
      <w:r w:rsidRPr="00D30045">
        <w:rPr>
          <w:rFonts w:hint="cs"/>
          <w:i/>
          <w:iCs/>
          <w:rtl/>
        </w:rPr>
        <w:t>ج)</w:t>
      </w:r>
      <w:r>
        <w:rPr>
          <w:rtl/>
        </w:rPr>
        <w:tab/>
      </w:r>
      <w:r w:rsidR="002529F0" w:rsidRPr="002529F0">
        <w:rPr>
          <w:rtl/>
        </w:rPr>
        <w:t>الدور الحاسم لقطاع تقييس الاتصالات في التحديد الاستباقي للعواقب السلبية غير المتوقعة المرتبطة باستعمال الذكاء الاصطناعي في بيئة الاتصالات</w:t>
      </w:r>
      <w:r w:rsidR="00973304">
        <w:rPr>
          <w:rFonts w:hint="cs"/>
          <w:rtl/>
        </w:rPr>
        <w:t>/</w:t>
      </w:r>
      <w:r w:rsidR="002529F0" w:rsidRPr="002529F0">
        <w:rPr>
          <w:rtl/>
        </w:rPr>
        <w:t>تكنولوجيا المعلومات والاتصالات والتخفيف منها، وضمان نشر هذه التكنولوجيات على نحو مسؤول وآمن</w:t>
      </w:r>
      <w:r w:rsidR="002529F0">
        <w:rPr>
          <w:rFonts w:hint="cs"/>
          <w:rtl/>
        </w:rPr>
        <w:t>؛</w:t>
      </w:r>
    </w:p>
    <w:p w14:paraId="3BD83A5F" w14:textId="6F86E02C" w:rsidR="002D5F67" w:rsidRDefault="002D5F67" w:rsidP="002C1486">
      <w:pPr>
        <w:rPr>
          <w:rtl/>
        </w:rPr>
      </w:pPr>
      <w:r w:rsidRPr="00D30045">
        <w:rPr>
          <w:rFonts w:hint="cs"/>
          <w:i/>
          <w:iCs/>
          <w:rtl/>
        </w:rPr>
        <w:t>د )</w:t>
      </w:r>
      <w:r>
        <w:rPr>
          <w:rtl/>
        </w:rPr>
        <w:tab/>
      </w:r>
      <w:r w:rsidR="002529F0" w:rsidRPr="002529F0">
        <w:rPr>
          <w:rtl/>
        </w:rPr>
        <w:t xml:space="preserve">الحاجة الملحة إلى وضع معايير عالمية لاختبار </w:t>
      </w:r>
      <w:r w:rsidR="002529F0">
        <w:rPr>
          <w:rFonts w:hint="cs"/>
          <w:rtl/>
        </w:rPr>
        <w:t xml:space="preserve">وإقرار </w:t>
      </w:r>
      <w:r w:rsidR="002529F0" w:rsidRPr="002529F0">
        <w:rPr>
          <w:rtl/>
        </w:rPr>
        <w:t>سلامة تكنولوجيات الذكاء الاصطناعي في بيئة الاتصالات/تكنولوجيا المعلومات والاتصالات، مع الاعتراف بأن التكنولوجيا تتجاوز الحدود وتتطلب نهجا</w:t>
      </w:r>
      <w:r w:rsidR="002529F0">
        <w:rPr>
          <w:rFonts w:hint="cs"/>
          <w:rtl/>
        </w:rPr>
        <w:t>ً</w:t>
      </w:r>
      <w:r w:rsidR="002529F0" w:rsidRPr="002529F0">
        <w:rPr>
          <w:rtl/>
        </w:rPr>
        <w:t xml:space="preserve"> منسقا</w:t>
      </w:r>
      <w:r w:rsidR="002529F0">
        <w:rPr>
          <w:rFonts w:hint="cs"/>
          <w:rtl/>
        </w:rPr>
        <w:t>ً</w:t>
      </w:r>
      <w:r w:rsidR="002529F0" w:rsidRPr="002529F0">
        <w:rPr>
          <w:rtl/>
        </w:rPr>
        <w:t xml:space="preserve"> لضمان قابلية التشغيل البيني والثقة على الصعيد العالمي؛</w:t>
      </w:r>
    </w:p>
    <w:p w14:paraId="714432EA" w14:textId="1BA5E3DD" w:rsidR="002D5F67" w:rsidRDefault="002D5F67" w:rsidP="002C1486">
      <w:pPr>
        <w:rPr>
          <w:rtl/>
        </w:rPr>
      </w:pPr>
      <w:r w:rsidRPr="00D30045">
        <w:rPr>
          <w:rFonts w:hint="cs"/>
          <w:i/>
          <w:iCs/>
          <w:rtl/>
        </w:rPr>
        <w:t>هـ )</w:t>
      </w:r>
      <w:r>
        <w:rPr>
          <w:rtl/>
        </w:rPr>
        <w:tab/>
      </w:r>
      <w:r w:rsidR="002529F0" w:rsidRPr="002529F0">
        <w:rPr>
          <w:rtl/>
        </w:rPr>
        <w:t>أن من شأن سلامة الذكاء الاصطناعي وجدارته بالثقة في بيئة الاتصالات/تكنولوجيا المعلومات والاتصالات تحفيز التقدم نحو تحقيق أهداف التنمية المستدامة للأمم المتحدة وتعزيز الاستدامة الاقتصادية والاجتماعية والبيئية؛</w:t>
      </w:r>
    </w:p>
    <w:p w14:paraId="2063EE14" w14:textId="189916C5" w:rsidR="002D5F67" w:rsidRDefault="002D5F67" w:rsidP="002C1486">
      <w:pPr>
        <w:rPr>
          <w:rtl/>
        </w:rPr>
      </w:pPr>
      <w:r>
        <w:rPr>
          <w:rFonts w:hint="cs"/>
          <w:i/>
          <w:iCs/>
          <w:rtl/>
        </w:rPr>
        <w:t>و</w:t>
      </w:r>
      <w:r w:rsidRPr="00D30045">
        <w:rPr>
          <w:rFonts w:hint="cs"/>
          <w:i/>
          <w:iCs/>
          <w:rtl/>
        </w:rPr>
        <w:t> )</w:t>
      </w:r>
      <w:r>
        <w:rPr>
          <w:rtl/>
        </w:rPr>
        <w:tab/>
      </w:r>
      <w:r w:rsidR="002529F0">
        <w:rPr>
          <w:rFonts w:hint="cs"/>
          <w:rtl/>
        </w:rPr>
        <w:t xml:space="preserve">أن البلدان النامية تواجه تحديات فريدة </w:t>
      </w:r>
      <w:r w:rsidR="002529F0" w:rsidRPr="002529F0">
        <w:rPr>
          <w:rtl/>
        </w:rPr>
        <w:t xml:space="preserve">في مواكبة </w:t>
      </w:r>
      <w:r w:rsidR="002529F0">
        <w:rPr>
          <w:rFonts w:hint="cs"/>
          <w:rtl/>
        </w:rPr>
        <w:t>الوتيرة السريعة</w:t>
      </w:r>
      <w:r w:rsidR="002529F0" w:rsidRPr="002529F0">
        <w:rPr>
          <w:rtl/>
        </w:rPr>
        <w:t xml:space="preserve"> لت</w:t>
      </w:r>
      <w:r w:rsidR="002529F0">
        <w:rPr>
          <w:rFonts w:hint="cs"/>
          <w:rtl/>
        </w:rPr>
        <w:t>طور</w:t>
      </w:r>
      <w:r w:rsidR="002529F0" w:rsidRPr="002529F0">
        <w:rPr>
          <w:rtl/>
        </w:rPr>
        <w:t xml:space="preserve"> الذكاء الاصطناعي، ما يؤكد الحاجة الملحة إلى تضييق </w:t>
      </w:r>
      <w:r w:rsidR="00B2282A">
        <w:rPr>
          <w:rFonts w:hint="cs"/>
          <w:rtl/>
        </w:rPr>
        <w:t>الفجوات</w:t>
      </w:r>
      <w:r w:rsidR="002529F0" w:rsidRPr="002529F0">
        <w:rPr>
          <w:rtl/>
        </w:rPr>
        <w:t xml:space="preserve"> ومساعدة البلدان النامية في بناء قدرات</w:t>
      </w:r>
      <w:r w:rsidR="00B2282A">
        <w:rPr>
          <w:rFonts w:hint="cs"/>
          <w:rtl/>
        </w:rPr>
        <w:t xml:space="preserve">ها في مجال </w:t>
      </w:r>
      <w:r w:rsidR="00B2282A" w:rsidRPr="002529F0">
        <w:rPr>
          <w:rtl/>
        </w:rPr>
        <w:t>الذكاء الاصطناعي</w:t>
      </w:r>
      <w:r w:rsidR="002529F0" w:rsidRPr="002529F0">
        <w:rPr>
          <w:rtl/>
        </w:rPr>
        <w:t xml:space="preserve"> لتجنب المخاطر المحتملة،</w:t>
      </w:r>
    </w:p>
    <w:p w14:paraId="0E18544F" w14:textId="07411439" w:rsidR="002D5F67" w:rsidRDefault="00B2282A" w:rsidP="00D13BB1">
      <w:pPr>
        <w:pStyle w:val="Call"/>
        <w:rPr>
          <w:rtl/>
        </w:rPr>
      </w:pPr>
      <w:r>
        <w:rPr>
          <w:rFonts w:hint="cs"/>
          <w:rtl/>
        </w:rPr>
        <w:t>وإذ تؤكد</w:t>
      </w:r>
    </w:p>
    <w:p w14:paraId="7CC9BE3E" w14:textId="5C3D7DD1" w:rsidR="00D13BB1" w:rsidRDefault="00B2282A" w:rsidP="00D13BB1">
      <w:pPr>
        <w:rPr>
          <w:rtl/>
        </w:rPr>
      </w:pPr>
      <w:r w:rsidRPr="00B2282A">
        <w:rPr>
          <w:rtl/>
        </w:rPr>
        <w:t>أن التقدم السريع للذكاء الاصطناعي يؤكد الحاجة الملحة إلى توافق عالمي في الآراء بشأن التعاون الدولي في مجال المعايير العالمية لضمان سلامة الذكاء الاصطناعي وجدارته بالثقة في بيئة الاتصالات/تكنولوجيا المعلومات والاتصالات، وإلى دعم محدد الأهداف لسد الفجوات الرقمية، خاصةً في البلدان النامية،</w:t>
      </w:r>
    </w:p>
    <w:p w14:paraId="7EBE34B4" w14:textId="5E2A2B10" w:rsidR="00D13BB1" w:rsidRDefault="00B2282A" w:rsidP="00D13BB1">
      <w:pPr>
        <w:pStyle w:val="Call"/>
        <w:rPr>
          <w:rtl/>
        </w:rPr>
      </w:pPr>
      <w:r>
        <w:rPr>
          <w:rFonts w:hint="cs"/>
          <w:rtl/>
        </w:rPr>
        <w:t xml:space="preserve">تقرر أن تكلف لجان الدراسات </w:t>
      </w:r>
      <w:r w:rsidR="004E30FF">
        <w:rPr>
          <w:rFonts w:hint="cs"/>
          <w:rtl/>
        </w:rPr>
        <w:t>ب</w:t>
      </w:r>
      <w:r>
        <w:rPr>
          <w:rFonts w:hint="cs"/>
          <w:rtl/>
        </w:rPr>
        <w:t>قطاع تقييس الاتصالات في الاتحاد</w:t>
      </w:r>
    </w:p>
    <w:p w14:paraId="491F16F6" w14:textId="58161894" w:rsidR="002D5F67" w:rsidRDefault="002D5F67" w:rsidP="00D13BB1">
      <w:pPr>
        <w:rPr>
          <w:rtl/>
          <w:lang w:bidi="ar-EG"/>
        </w:rPr>
      </w:pPr>
      <w:r>
        <w:rPr>
          <w:rFonts w:hint="cs"/>
          <w:rtl/>
          <w:lang w:bidi="ar-EG"/>
        </w:rPr>
        <w:t>1</w:t>
      </w:r>
      <w:r>
        <w:rPr>
          <w:rtl/>
          <w:lang w:bidi="ar-EG"/>
        </w:rPr>
        <w:tab/>
      </w:r>
      <w:r w:rsidR="003F4A2C" w:rsidRPr="003F4A2C">
        <w:rPr>
          <w:rtl/>
          <w:lang w:bidi="ar-EG"/>
        </w:rPr>
        <w:t xml:space="preserve">بوضع توصيات لقطاع تقييس الاتصالات، بما في ذلك، على سبيل المثال لا الحصر، المصطلحات/التعاريف والمبادئ التوجيهية </w:t>
      </w:r>
      <w:r w:rsidR="00A25192">
        <w:rPr>
          <w:rFonts w:hint="cs"/>
          <w:rtl/>
          <w:lang w:bidi="ar-EG"/>
        </w:rPr>
        <w:t>والممارسات الفضلى</w:t>
      </w:r>
      <w:r w:rsidR="003F4A2C" w:rsidRPr="003F4A2C">
        <w:rPr>
          <w:rtl/>
          <w:lang w:bidi="ar-EG"/>
        </w:rPr>
        <w:t xml:space="preserve"> وإجراءات التقييم والأدوات المتعلقة بسلامة الذكاء الاصطناعي وجدار</w:t>
      </w:r>
      <w:r w:rsidR="003F4A2C">
        <w:rPr>
          <w:rFonts w:hint="cs"/>
          <w:rtl/>
          <w:lang w:bidi="ar-EG"/>
        </w:rPr>
        <w:t>ته</w:t>
      </w:r>
      <w:r w:rsidR="003F4A2C" w:rsidRPr="003F4A2C">
        <w:rPr>
          <w:rtl/>
          <w:lang w:bidi="ar-EG"/>
        </w:rPr>
        <w:t xml:space="preserve"> بالثقة في </w:t>
      </w:r>
      <w:r w:rsidR="003F4A2C">
        <w:rPr>
          <w:rFonts w:hint="cs"/>
          <w:rtl/>
          <w:lang w:bidi="ar-EG"/>
        </w:rPr>
        <w:t>بيئة</w:t>
      </w:r>
      <w:r w:rsidR="003F4A2C" w:rsidRPr="003F4A2C">
        <w:rPr>
          <w:rtl/>
          <w:lang w:bidi="ar-EG"/>
        </w:rPr>
        <w:t xml:space="preserve"> الاتصالات/تكنولوجيا المعلومات والاتصالات؛</w:t>
      </w:r>
    </w:p>
    <w:p w14:paraId="244D9FEB" w14:textId="593A1A28" w:rsidR="002D5F67" w:rsidRDefault="002D5F67" w:rsidP="00D13BB1">
      <w:pPr>
        <w:rPr>
          <w:rtl/>
          <w:lang w:bidi="ar-EG"/>
        </w:rPr>
      </w:pPr>
      <w:r>
        <w:rPr>
          <w:rFonts w:hint="cs"/>
          <w:rtl/>
          <w:lang w:bidi="ar-EG"/>
        </w:rPr>
        <w:t>2</w:t>
      </w:r>
      <w:r>
        <w:rPr>
          <w:rtl/>
          <w:lang w:bidi="ar-EG"/>
        </w:rPr>
        <w:tab/>
      </w:r>
      <w:r w:rsidR="003F4A2C">
        <w:rPr>
          <w:rFonts w:hint="cs"/>
          <w:rtl/>
          <w:lang w:bidi="ar-EG"/>
        </w:rPr>
        <w:t>بأخذ</w:t>
      </w:r>
      <w:r w:rsidR="003F4A2C" w:rsidRPr="003F4A2C">
        <w:rPr>
          <w:rtl/>
          <w:lang w:bidi="ar-EG"/>
        </w:rPr>
        <w:t xml:space="preserve"> سلامة الذكاء الاصطناعي وجدارته بالثقة </w:t>
      </w:r>
      <w:r w:rsidR="003F4A2C">
        <w:rPr>
          <w:rFonts w:hint="cs"/>
          <w:rtl/>
          <w:lang w:bidi="ar-EG"/>
        </w:rPr>
        <w:t xml:space="preserve">في الاعتبار </w:t>
      </w:r>
      <w:r w:rsidR="003F4A2C" w:rsidRPr="003F4A2C">
        <w:rPr>
          <w:rtl/>
          <w:lang w:bidi="ar-EG"/>
        </w:rPr>
        <w:t xml:space="preserve">عند وضع توصيات بشأن تشغيل الاتصالات وإدارتها، وجوانب كفاءة </w:t>
      </w:r>
      <w:r w:rsidR="003F4A2C">
        <w:rPr>
          <w:rFonts w:hint="cs"/>
          <w:rtl/>
          <w:lang w:bidi="ar-EG"/>
        </w:rPr>
        <w:t xml:space="preserve">استهلاك </w:t>
      </w:r>
      <w:r w:rsidR="003F4A2C" w:rsidRPr="003F4A2C">
        <w:rPr>
          <w:rtl/>
          <w:lang w:bidi="ar-EG"/>
        </w:rPr>
        <w:t>الطاقة، والشبكات والبروتوكولات القائمة على الذكاء الاصطناعي، وخدمات وتطبيقات الوسائط المتعددة، وإنترنت الأشياء والمدن الذكية، وما إلى ذلك؛</w:t>
      </w:r>
    </w:p>
    <w:p w14:paraId="7313029E" w14:textId="09F23976" w:rsidR="002D5F67" w:rsidRDefault="002D5F67" w:rsidP="00D13BB1">
      <w:pPr>
        <w:rPr>
          <w:rtl/>
          <w:lang w:bidi="ar-EG"/>
        </w:rPr>
      </w:pPr>
      <w:r>
        <w:rPr>
          <w:rFonts w:hint="cs"/>
          <w:rtl/>
          <w:lang w:bidi="ar-EG"/>
        </w:rPr>
        <w:t>3</w:t>
      </w:r>
      <w:r>
        <w:rPr>
          <w:rtl/>
          <w:lang w:bidi="ar-EG"/>
        </w:rPr>
        <w:tab/>
      </w:r>
      <w:r w:rsidR="003F4A2C" w:rsidRPr="003F4A2C">
        <w:rPr>
          <w:rtl/>
          <w:lang w:bidi="ar-EG"/>
        </w:rPr>
        <w:t xml:space="preserve">بتشجيع الدراسات المتعلقة بتقييم </w:t>
      </w:r>
      <w:proofErr w:type="gramStart"/>
      <w:r w:rsidR="003F4A2C" w:rsidRPr="003F4A2C">
        <w:rPr>
          <w:rtl/>
          <w:lang w:bidi="ar-EG"/>
        </w:rPr>
        <w:t>مخاطر</w:t>
      </w:r>
      <w:proofErr w:type="gramEnd"/>
      <w:r w:rsidR="003F4A2C" w:rsidRPr="003F4A2C">
        <w:rPr>
          <w:rtl/>
          <w:lang w:bidi="ar-EG"/>
        </w:rPr>
        <w:t xml:space="preserve"> الذكاء الاصطناعي، واستراتيجيات التصدي للهجمات العدائية، وتدابير التخفيف من التحيز، مع مراعاة التنوع اللغوي/الثقافي لضمان سلامة الذكاء الاصطناعي وجدارته بالثقة في بيئة الاتصالات/تكنولوجيا المعلومات والاتصالات، وتبادل </w:t>
      </w:r>
      <w:r w:rsidR="0070662B">
        <w:rPr>
          <w:rFonts w:hint="cs"/>
          <w:rtl/>
          <w:lang w:bidi="ar-EG"/>
        </w:rPr>
        <w:t>الممارسات الفُضلى</w:t>
      </w:r>
      <w:r w:rsidR="003F4A2C" w:rsidRPr="003F4A2C">
        <w:rPr>
          <w:rtl/>
          <w:lang w:bidi="ar-EG"/>
        </w:rPr>
        <w:t xml:space="preserve"> بين الدول الأعضاء وأعضاء القطاع؛</w:t>
      </w:r>
    </w:p>
    <w:p w14:paraId="3874AB90" w14:textId="7B4590CA" w:rsidR="002D5F67" w:rsidRDefault="002D5F67" w:rsidP="00D13BB1">
      <w:pPr>
        <w:rPr>
          <w:rtl/>
          <w:lang w:bidi="ar-EG"/>
        </w:rPr>
      </w:pPr>
      <w:r>
        <w:rPr>
          <w:rFonts w:hint="cs"/>
          <w:rtl/>
          <w:lang w:bidi="ar-EG"/>
        </w:rPr>
        <w:lastRenderedPageBreak/>
        <w:t>4</w:t>
      </w:r>
      <w:r>
        <w:rPr>
          <w:rtl/>
          <w:lang w:bidi="ar-EG"/>
        </w:rPr>
        <w:tab/>
      </w:r>
      <w:r w:rsidR="003F4A2C" w:rsidRPr="003F4A2C">
        <w:rPr>
          <w:rtl/>
          <w:lang w:bidi="ar-EG"/>
        </w:rPr>
        <w:t>باستعراض التوصيات المتعلقة بالذكاء الاصطناعي في مجال الاتصالات/تكنولوجيا المعلومات والاتصالات وتحديثها دورياً لضمان السلامة والجدارة بالثقة في ضوء التطورات التكنولوجية والتحديات الناشئة،</w:t>
      </w:r>
    </w:p>
    <w:p w14:paraId="0C6EE3ED" w14:textId="25674A0C" w:rsidR="002D5F67" w:rsidRDefault="003F4A2C" w:rsidP="00D13BB1">
      <w:pPr>
        <w:pStyle w:val="Call"/>
        <w:rPr>
          <w:rtl/>
          <w:lang w:bidi="ar-EG"/>
        </w:rPr>
      </w:pPr>
      <w:r w:rsidRPr="003F4A2C">
        <w:rPr>
          <w:rtl/>
          <w:lang w:bidi="ar-EG"/>
        </w:rPr>
        <w:t>تُكلّف مدير مكتب تقييس الاتصالات</w:t>
      </w:r>
    </w:p>
    <w:p w14:paraId="73168849" w14:textId="492BD873" w:rsidR="002D5F67" w:rsidRDefault="002D5F67" w:rsidP="00D13BB1">
      <w:pPr>
        <w:rPr>
          <w:rtl/>
          <w:lang w:bidi="ar-EG"/>
        </w:rPr>
      </w:pPr>
      <w:r>
        <w:rPr>
          <w:rFonts w:hint="cs"/>
          <w:rtl/>
          <w:lang w:bidi="ar-EG"/>
        </w:rPr>
        <w:t>1</w:t>
      </w:r>
      <w:r>
        <w:rPr>
          <w:rtl/>
          <w:lang w:bidi="ar-EG"/>
        </w:rPr>
        <w:tab/>
      </w:r>
      <w:r w:rsidR="003F4A2C" w:rsidRPr="003F4A2C">
        <w:rPr>
          <w:rtl/>
          <w:lang w:bidi="ar-EG"/>
        </w:rPr>
        <w:t>بتيسير نشر المعلومات والتوعية بسلامة الذكاء الاصطناعي وجدارته بالثقة في بيئة الاتصالات/تكنولوجيا المعلومات والاتصالات بين أعضاء قطاع تقييس الاتصالات، بوسائل منها ورش العمل والحلقات الدراسية والبرامج التدريبية؛</w:t>
      </w:r>
    </w:p>
    <w:p w14:paraId="42774D2F" w14:textId="6C59C22B" w:rsidR="002D5F67" w:rsidRPr="004E30FF" w:rsidRDefault="002D5F67" w:rsidP="00D13BB1">
      <w:pPr>
        <w:rPr>
          <w:spacing w:val="-4"/>
          <w:kern w:val="22"/>
          <w:rtl/>
          <w:lang w:bidi="ar-EG"/>
        </w:rPr>
      </w:pPr>
      <w:r w:rsidRPr="004E30FF">
        <w:rPr>
          <w:rFonts w:hint="cs"/>
          <w:spacing w:val="-4"/>
          <w:kern w:val="22"/>
          <w:rtl/>
          <w:lang w:bidi="ar-EG"/>
        </w:rPr>
        <w:t>2</w:t>
      </w:r>
      <w:r w:rsidRPr="004E30FF">
        <w:rPr>
          <w:spacing w:val="-4"/>
          <w:kern w:val="22"/>
          <w:rtl/>
          <w:lang w:bidi="ar-EG"/>
        </w:rPr>
        <w:tab/>
      </w:r>
      <w:r w:rsidR="00DD340F" w:rsidRPr="004E30FF">
        <w:rPr>
          <w:spacing w:val="-4"/>
          <w:kern w:val="22"/>
          <w:rtl/>
          <w:lang w:bidi="ar-EG"/>
        </w:rPr>
        <w:t>بدعم عمل لجان دراسات قطاع تقييس الاتصالات المكرسة لدراسة دور الذكاء الاصطناعي في مجال الاتصالات/تكنولوجيا المعلومات والاتصالات، مع التركيز على الجوانب التقنية لضمان الاستخدام الآمن والمفيد للذكاء الاصطناعي؛</w:t>
      </w:r>
    </w:p>
    <w:p w14:paraId="75D8D6DE" w14:textId="6A6E769F" w:rsidR="002D5F67" w:rsidRDefault="002D5F67" w:rsidP="00D13BB1">
      <w:pPr>
        <w:rPr>
          <w:rtl/>
          <w:lang w:bidi="ar-EG"/>
        </w:rPr>
      </w:pPr>
      <w:r>
        <w:rPr>
          <w:rFonts w:hint="cs"/>
          <w:rtl/>
          <w:lang w:bidi="ar-EG"/>
        </w:rPr>
        <w:t>3</w:t>
      </w:r>
      <w:r>
        <w:rPr>
          <w:rtl/>
          <w:lang w:bidi="ar-EG"/>
        </w:rPr>
        <w:tab/>
      </w:r>
      <w:r w:rsidR="00DD340F" w:rsidRPr="00DD340F">
        <w:rPr>
          <w:rtl/>
          <w:lang w:bidi="ar-EG"/>
        </w:rPr>
        <w:t>بتعزيز الشراكات بين القطاعين العام والخاص والتعاون الدولي في جهود التقييس، بما في ذلك وضع مبادئ توجيهية وأطر لسلامة الذكاء الاصطناعي وجدارته بالثقة في بيئة الاتصالات/تكنولوجيا المعلومات والاتصالات؛</w:t>
      </w:r>
    </w:p>
    <w:p w14:paraId="1AB7F7D7" w14:textId="592F05CE" w:rsidR="002D5F67" w:rsidRDefault="002D5F67" w:rsidP="00D13BB1">
      <w:pPr>
        <w:rPr>
          <w:rtl/>
          <w:lang w:bidi="ar-EG"/>
        </w:rPr>
      </w:pPr>
      <w:r>
        <w:rPr>
          <w:rFonts w:hint="cs"/>
          <w:rtl/>
          <w:lang w:bidi="ar-EG"/>
        </w:rPr>
        <w:t>4</w:t>
      </w:r>
      <w:r>
        <w:rPr>
          <w:rtl/>
          <w:lang w:bidi="ar-EG"/>
        </w:rPr>
        <w:tab/>
      </w:r>
      <w:r w:rsidR="00DD340F" w:rsidRPr="00DD340F">
        <w:rPr>
          <w:rtl/>
          <w:lang w:bidi="ar-EG"/>
        </w:rPr>
        <w:t>بتقديم إرشادات تقنية للبلدان النامية في تنفيذ المعايير المتعلقة بسلامة الذكاء الاصطناعي وجدارته بالثقة في بيئة الاتصالات/تكنولوجيا المعلومات والاتصالات مع مراعاة احتياجات كل منطقة؛</w:t>
      </w:r>
    </w:p>
    <w:p w14:paraId="203EBD2C" w14:textId="409A6CA8" w:rsidR="002D5F67" w:rsidRDefault="002D5F67" w:rsidP="00D13BB1">
      <w:pPr>
        <w:rPr>
          <w:rtl/>
        </w:rPr>
      </w:pPr>
      <w:r>
        <w:rPr>
          <w:rFonts w:hint="cs"/>
          <w:rtl/>
        </w:rPr>
        <w:t>5</w:t>
      </w:r>
      <w:r>
        <w:rPr>
          <w:rtl/>
        </w:rPr>
        <w:tab/>
      </w:r>
      <w:r w:rsidR="00DD340F" w:rsidRPr="00DD340F">
        <w:rPr>
          <w:rtl/>
        </w:rPr>
        <w:t>برفع تقرير إلى الجمعية العالمية المقبلة لتقييس الاتصالات بشأن التقدم المحرز في تنفيذ هذا القرار،</w:t>
      </w:r>
    </w:p>
    <w:p w14:paraId="59A75ABD" w14:textId="19F00850" w:rsidR="00D30045" w:rsidRDefault="00DD340F" w:rsidP="00D13BB1">
      <w:pPr>
        <w:pStyle w:val="Call"/>
        <w:rPr>
          <w:rtl/>
          <w:lang w:bidi="ar-EG"/>
        </w:rPr>
      </w:pPr>
      <w:r w:rsidRPr="00DD340F">
        <w:rPr>
          <w:rtl/>
          <w:lang w:bidi="ar-EG"/>
        </w:rPr>
        <w:t>تدعو أعضاء الاتحاد الدولي للاتصالات إلى</w:t>
      </w:r>
    </w:p>
    <w:p w14:paraId="2C6524E3" w14:textId="4E669805" w:rsidR="002D5F67" w:rsidRDefault="002D5F67" w:rsidP="00D13BB1">
      <w:pPr>
        <w:rPr>
          <w:rtl/>
          <w:lang w:bidi="ar-EG"/>
        </w:rPr>
      </w:pPr>
      <w:r>
        <w:rPr>
          <w:rFonts w:hint="cs"/>
          <w:rtl/>
          <w:lang w:bidi="ar-EG"/>
        </w:rPr>
        <w:t>1</w:t>
      </w:r>
      <w:r>
        <w:rPr>
          <w:rtl/>
          <w:lang w:bidi="ar-EG"/>
        </w:rPr>
        <w:tab/>
      </w:r>
      <w:r w:rsidR="00DD340F" w:rsidRPr="00DD340F">
        <w:rPr>
          <w:rtl/>
          <w:lang w:bidi="ar-EG"/>
        </w:rPr>
        <w:t>تنسيق الجهود الرامية إلى تعزيز وضع توصيات لقطاع تقييس الاتصالات واعتمادها لضمان أن يكون نشر تكنولوجيات الذكاء الاصطناعي في بيئة الاتصالات/تكنولوجيا المعلومات والاتصالات آمنا</w:t>
      </w:r>
      <w:r w:rsidR="00DD340F">
        <w:rPr>
          <w:rFonts w:hint="cs"/>
          <w:rtl/>
          <w:lang w:bidi="ar-EG"/>
        </w:rPr>
        <w:t>ً</w:t>
      </w:r>
      <w:r w:rsidR="00DD340F" w:rsidRPr="00DD340F">
        <w:rPr>
          <w:rtl/>
          <w:lang w:bidi="ar-EG"/>
        </w:rPr>
        <w:t xml:space="preserve"> ومفيداً وشاملاً للجميع؛</w:t>
      </w:r>
    </w:p>
    <w:p w14:paraId="3F44E03F" w14:textId="3D257AF2" w:rsidR="002D5F67" w:rsidRDefault="002D5F67" w:rsidP="00D13BB1">
      <w:pPr>
        <w:rPr>
          <w:rtl/>
          <w:lang w:bidi="ar-EG"/>
        </w:rPr>
      </w:pPr>
      <w:r>
        <w:rPr>
          <w:rFonts w:hint="cs"/>
          <w:rtl/>
          <w:lang w:bidi="ar-EG"/>
        </w:rPr>
        <w:t>2</w:t>
      </w:r>
      <w:r>
        <w:rPr>
          <w:rtl/>
          <w:lang w:bidi="ar-EG"/>
        </w:rPr>
        <w:tab/>
      </w:r>
      <w:r w:rsidR="00DD340F" w:rsidRPr="00DD340F">
        <w:rPr>
          <w:rtl/>
          <w:lang w:bidi="ar-EG"/>
        </w:rPr>
        <w:t>المساهمة في وضع المعايير وتبادل خبراتهم والتحديات التي يواجهونها في تنفيذ هذه المعايير لضمان سلامة الذكاء الاصطناعي وجدارته بالثقة في بيئة الاتصالات/تكنولوجيا المعلومات والاتصالات؛</w:t>
      </w:r>
    </w:p>
    <w:p w14:paraId="505BAB2D" w14:textId="546FE4A0" w:rsidR="002D5F67" w:rsidRDefault="002D5F67" w:rsidP="00D13BB1">
      <w:pPr>
        <w:rPr>
          <w:rtl/>
          <w:lang w:bidi="ar-EG"/>
        </w:rPr>
      </w:pPr>
      <w:r>
        <w:rPr>
          <w:rFonts w:hint="cs"/>
          <w:rtl/>
          <w:lang w:bidi="ar-EG"/>
        </w:rPr>
        <w:t>3</w:t>
      </w:r>
      <w:r>
        <w:rPr>
          <w:rtl/>
          <w:lang w:bidi="ar-EG"/>
        </w:rPr>
        <w:tab/>
      </w:r>
      <w:r w:rsidR="004B4D4C" w:rsidRPr="004B4D4C">
        <w:rPr>
          <w:rtl/>
          <w:lang w:bidi="ar-EG"/>
        </w:rPr>
        <w:t>تشجيع مختلف دوائر الصناعة على المشاركة في أنشطة الاتحاد لضمان سلامة الذكاء الاصطناعي وجدارته بالثقة في بيئة الاتصالات/تكنولوجيا المعلومات والاتصالات؛</w:t>
      </w:r>
    </w:p>
    <w:p w14:paraId="67C2B277" w14:textId="415E9910" w:rsidR="002D5F67" w:rsidRDefault="002D5F67" w:rsidP="00D13BB1">
      <w:pPr>
        <w:rPr>
          <w:rtl/>
          <w:lang w:bidi="ar-EG"/>
        </w:rPr>
      </w:pPr>
      <w:r>
        <w:rPr>
          <w:rFonts w:hint="cs"/>
          <w:rtl/>
          <w:lang w:bidi="ar-EG"/>
        </w:rPr>
        <w:t>4</w:t>
      </w:r>
      <w:r>
        <w:rPr>
          <w:rtl/>
          <w:lang w:bidi="ar-EG"/>
        </w:rPr>
        <w:tab/>
      </w:r>
      <w:r w:rsidR="004B4D4C" w:rsidRPr="004B4D4C">
        <w:rPr>
          <w:rtl/>
          <w:lang w:bidi="ar-EG"/>
        </w:rPr>
        <w:t>تعزيز</w:t>
      </w:r>
      <w:r w:rsidR="004B4D4C">
        <w:rPr>
          <w:rFonts w:hint="cs"/>
          <w:rtl/>
          <w:lang w:bidi="ar-EG"/>
        </w:rPr>
        <w:t xml:space="preserve"> </w:t>
      </w:r>
      <w:r w:rsidR="004B4D4C" w:rsidRPr="004B4D4C">
        <w:rPr>
          <w:rtl/>
          <w:lang w:bidi="ar-EG"/>
        </w:rPr>
        <w:t>إنشاء نظام إيكولوجي واسع للذكاء الاصطناعي، بما يشمل تيسير الابتكار والتطوير لضمان سلامة الذكاء الاصطناعي وجدارته بالثقة في بيئة الاتصالات/تكنولوجيا المعلومات والاتصالات؛</w:t>
      </w:r>
    </w:p>
    <w:p w14:paraId="59C2DFAD" w14:textId="28734B6E" w:rsidR="00C82056" w:rsidRDefault="002D5F67" w:rsidP="00C61EE1">
      <w:pPr>
        <w:rPr>
          <w:rtl/>
        </w:rPr>
      </w:pPr>
      <w:r>
        <w:rPr>
          <w:rFonts w:hint="cs"/>
          <w:rtl/>
        </w:rPr>
        <w:t>5</w:t>
      </w:r>
      <w:r>
        <w:rPr>
          <w:rtl/>
        </w:rPr>
        <w:tab/>
      </w:r>
      <w:r w:rsidR="004B4D4C" w:rsidRPr="004B4D4C">
        <w:rPr>
          <w:rtl/>
        </w:rPr>
        <w:t>إذكاء الوعي وتثقيف الجمهور بشأن تكنولوجيات الذكاء الاصطناعي وفوائدها ومخاطرها المحتملة في بيئة الاتصالات/تكنولوجيا المعلومات والاتصالات.</w:t>
      </w:r>
    </w:p>
    <w:p w14:paraId="6A2175B4" w14:textId="77777777" w:rsidR="00C61EE1" w:rsidRPr="00C82056" w:rsidRDefault="00C61EE1" w:rsidP="00C61EE1">
      <w:pPr>
        <w:pStyle w:val="Reasons"/>
      </w:pPr>
    </w:p>
    <w:sectPr w:rsidR="00C61EE1" w:rsidRPr="00C82056" w:rsidSect="00B775AF">
      <w:headerReference w:type="even" r:id="rId16"/>
      <w:headerReference w:type="default" r:id="rId17"/>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A30A" w14:textId="77777777" w:rsidR="0013052F" w:rsidRDefault="0013052F" w:rsidP="002919E1">
      <w:r>
        <w:separator/>
      </w:r>
    </w:p>
    <w:p w14:paraId="4A819544" w14:textId="77777777" w:rsidR="0013052F" w:rsidRDefault="0013052F" w:rsidP="002919E1"/>
    <w:p w14:paraId="68483B5A" w14:textId="77777777" w:rsidR="0013052F" w:rsidRDefault="0013052F" w:rsidP="002919E1"/>
    <w:p w14:paraId="3619C9E2" w14:textId="77777777" w:rsidR="0013052F" w:rsidRDefault="0013052F"/>
  </w:endnote>
  <w:endnote w:type="continuationSeparator" w:id="0">
    <w:p w14:paraId="6111C819" w14:textId="77777777" w:rsidR="0013052F" w:rsidRDefault="0013052F" w:rsidP="002919E1">
      <w:r>
        <w:continuationSeparator/>
      </w:r>
    </w:p>
    <w:p w14:paraId="02364B0A" w14:textId="77777777" w:rsidR="0013052F" w:rsidRDefault="0013052F" w:rsidP="002919E1"/>
    <w:p w14:paraId="77E97DF2" w14:textId="77777777" w:rsidR="0013052F" w:rsidRDefault="0013052F" w:rsidP="002919E1"/>
    <w:p w14:paraId="53919969" w14:textId="77777777" w:rsidR="0013052F" w:rsidRDefault="00130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8EA6" w14:textId="77777777" w:rsidR="0013052F" w:rsidRDefault="0013052F" w:rsidP="002919E1">
      <w:r>
        <w:t>___________________</w:t>
      </w:r>
    </w:p>
  </w:footnote>
  <w:footnote w:type="continuationSeparator" w:id="0">
    <w:p w14:paraId="6EE7C210" w14:textId="77777777" w:rsidR="0013052F" w:rsidRDefault="0013052F" w:rsidP="002919E1">
      <w:r>
        <w:continuationSeparator/>
      </w:r>
    </w:p>
    <w:p w14:paraId="4C0CC8A3" w14:textId="77777777" w:rsidR="0013052F" w:rsidRDefault="0013052F" w:rsidP="002919E1"/>
    <w:p w14:paraId="2179F38D" w14:textId="77777777" w:rsidR="0013052F" w:rsidRDefault="0013052F" w:rsidP="002919E1"/>
    <w:p w14:paraId="5E8135FF" w14:textId="77777777" w:rsidR="0013052F" w:rsidRDefault="00130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1421" w14:textId="77777777" w:rsidR="00281F5F" w:rsidRDefault="00281F5F" w:rsidP="002919E1"/>
  <w:p w14:paraId="380EEC03" w14:textId="77777777" w:rsidR="00281F5F" w:rsidRDefault="00281F5F" w:rsidP="002919E1"/>
  <w:p w14:paraId="2F81078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9D3" w14:textId="77777777" w:rsidR="00654230" w:rsidRPr="00B51671" w:rsidRDefault="006175E7" w:rsidP="00B51671">
    <w:pPr>
      <w:pStyle w:val="Header"/>
      <w:spacing w:after="120"/>
      <w:rPr>
        <w:sz w:val="18"/>
        <w:szCs w:val="18"/>
      </w:rPr>
    </w:pPr>
    <w:r w:rsidRPr="00B51671">
      <w:rPr>
        <w:sz w:val="18"/>
        <w:szCs w:val="18"/>
      </w:rPr>
      <w:fldChar w:fldCharType="begin"/>
    </w:r>
    <w:r w:rsidRPr="00B51671">
      <w:rPr>
        <w:sz w:val="18"/>
        <w:szCs w:val="18"/>
      </w:rPr>
      <w:instrText xml:space="preserve"> PAGE  \* MERGEFORMAT </w:instrText>
    </w:r>
    <w:r w:rsidRPr="00B51671">
      <w:rPr>
        <w:sz w:val="18"/>
        <w:szCs w:val="18"/>
      </w:rPr>
      <w:fldChar w:fldCharType="separate"/>
    </w:r>
    <w:r w:rsidRPr="00B51671">
      <w:rPr>
        <w:sz w:val="18"/>
        <w:szCs w:val="18"/>
      </w:rPr>
      <w:t>2</w:t>
    </w:r>
    <w:r w:rsidRPr="00B51671">
      <w:rPr>
        <w:sz w:val="18"/>
        <w:szCs w:val="18"/>
      </w:rPr>
      <w:fldChar w:fldCharType="end"/>
    </w:r>
    <w:r w:rsidR="00EB52D8" w:rsidRPr="00B51671">
      <w:rPr>
        <w:sz w:val="18"/>
        <w:szCs w:val="18"/>
      </w:rPr>
      <w:br/>
    </w:r>
    <w:r w:rsidR="00966FA2" w:rsidRPr="00B51671">
      <w:rPr>
        <w:sz w:val="18"/>
        <w:szCs w:val="18"/>
      </w:rPr>
      <w:t>WTSA-24/37(Add.43)-A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6C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16BF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18E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2E94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E5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17972313">
    <w:abstractNumId w:val="9"/>
  </w:num>
  <w:num w:numId="2" w16cid:durableId="1381124177">
    <w:abstractNumId w:val="13"/>
  </w:num>
  <w:num w:numId="3" w16cid:durableId="375131885">
    <w:abstractNumId w:val="10"/>
  </w:num>
  <w:num w:numId="4" w16cid:durableId="1104574194">
    <w:abstractNumId w:val="14"/>
  </w:num>
  <w:num w:numId="5" w16cid:durableId="706955693">
    <w:abstractNumId w:val="7"/>
  </w:num>
  <w:num w:numId="6" w16cid:durableId="410664623">
    <w:abstractNumId w:val="6"/>
  </w:num>
  <w:num w:numId="7" w16cid:durableId="525212836">
    <w:abstractNumId w:val="5"/>
  </w:num>
  <w:num w:numId="8" w16cid:durableId="642733180">
    <w:abstractNumId w:val="4"/>
  </w:num>
  <w:num w:numId="9" w16cid:durableId="88896234">
    <w:abstractNumId w:val="8"/>
  </w:num>
  <w:num w:numId="10" w16cid:durableId="247078409">
    <w:abstractNumId w:val="3"/>
  </w:num>
  <w:num w:numId="11" w16cid:durableId="791558605">
    <w:abstractNumId w:val="2"/>
  </w:num>
  <w:num w:numId="12" w16cid:durableId="1643072488">
    <w:abstractNumId w:val="1"/>
  </w:num>
  <w:num w:numId="13" w16cid:durableId="1348479895">
    <w:abstractNumId w:val="0"/>
  </w:num>
  <w:num w:numId="14" w16cid:durableId="85613504">
    <w:abstractNumId w:val="11"/>
  </w:num>
  <w:num w:numId="15" w16cid:durableId="1458376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51EE0"/>
    <w:rsid w:val="00054CC5"/>
    <w:rsid w:val="00060FE4"/>
    <w:rsid w:val="00075A3F"/>
    <w:rsid w:val="000A1B16"/>
    <w:rsid w:val="000A3F81"/>
    <w:rsid w:val="000B0891"/>
    <w:rsid w:val="000B3896"/>
    <w:rsid w:val="000B5404"/>
    <w:rsid w:val="000C292F"/>
    <w:rsid w:val="000D1708"/>
    <w:rsid w:val="000D1C4F"/>
    <w:rsid w:val="000E1229"/>
    <w:rsid w:val="000E2AFC"/>
    <w:rsid w:val="000E6D30"/>
    <w:rsid w:val="000E788C"/>
    <w:rsid w:val="000F05F5"/>
    <w:rsid w:val="000F0EFE"/>
    <w:rsid w:val="000F518F"/>
    <w:rsid w:val="0010081C"/>
    <w:rsid w:val="001013E3"/>
    <w:rsid w:val="0010363F"/>
    <w:rsid w:val="001236C1"/>
    <w:rsid w:val="00123AA6"/>
    <w:rsid w:val="0012545F"/>
    <w:rsid w:val="00126DA1"/>
    <w:rsid w:val="0013052F"/>
    <w:rsid w:val="00136B82"/>
    <w:rsid w:val="001445AE"/>
    <w:rsid w:val="001464F2"/>
    <w:rsid w:val="00167364"/>
    <w:rsid w:val="00184643"/>
    <w:rsid w:val="001903B2"/>
    <w:rsid w:val="00195D74"/>
    <w:rsid w:val="001B5953"/>
    <w:rsid w:val="001D746E"/>
    <w:rsid w:val="001E190C"/>
    <w:rsid w:val="001E51EE"/>
    <w:rsid w:val="001E54F6"/>
    <w:rsid w:val="001E5A8C"/>
    <w:rsid w:val="001F56FB"/>
    <w:rsid w:val="00201A0A"/>
    <w:rsid w:val="002075D4"/>
    <w:rsid w:val="00211B2A"/>
    <w:rsid w:val="00223C6C"/>
    <w:rsid w:val="00226A47"/>
    <w:rsid w:val="0023289F"/>
    <w:rsid w:val="002333A0"/>
    <w:rsid w:val="00246BAF"/>
    <w:rsid w:val="002529F0"/>
    <w:rsid w:val="00253F79"/>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C1486"/>
    <w:rsid w:val="002D5F64"/>
    <w:rsid w:val="002D5F67"/>
    <w:rsid w:val="002D6BB4"/>
    <w:rsid w:val="002D6FBF"/>
    <w:rsid w:val="002E48BF"/>
    <w:rsid w:val="002E552F"/>
    <w:rsid w:val="002E61C2"/>
    <w:rsid w:val="002F3E46"/>
    <w:rsid w:val="0030201B"/>
    <w:rsid w:val="00311E3F"/>
    <w:rsid w:val="00313871"/>
    <w:rsid w:val="00314B1E"/>
    <w:rsid w:val="00314F41"/>
    <w:rsid w:val="00317A67"/>
    <w:rsid w:val="003309DA"/>
    <w:rsid w:val="00336EBB"/>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3F4A2C"/>
    <w:rsid w:val="00400CD4"/>
    <w:rsid w:val="00401C58"/>
    <w:rsid w:val="00403317"/>
    <w:rsid w:val="004147B9"/>
    <w:rsid w:val="00422C04"/>
    <w:rsid w:val="00423A40"/>
    <w:rsid w:val="00426144"/>
    <w:rsid w:val="004606D0"/>
    <w:rsid w:val="004636E2"/>
    <w:rsid w:val="00466E14"/>
    <w:rsid w:val="00470CBD"/>
    <w:rsid w:val="0047407D"/>
    <w:rsid w:val="00485F9E"/>
    <w:rsid w:val="00486B2B"/>
    <w:rsid w:val="0049083B"/>
    <w:rsid w:val="004909DD"/>
    <w:rsid w:val="00497212"/>
    <w:rsid w:val="004A05E6"/>
    <w:rsid w:val="004A6230"/>
    <w:rsid w:val="004A6C66"/>
    <w:rsid w:val="004A7AA0"/>
    <w:rsid w:val="004B4D4C"/>
    <w:rsid w:val="004C11BC"/>
    <w:rsid w:val="004C5C04"/>
    <w:rsid w:val="004D0448"/>
    <w:rsid w:val="004D4AE6"/>
    <w:rsid w:val="004E2A5D"/>
    <w:rsid w:val="004E30FF"/>
    <w:rsid w:val="00500DC2"/>
    <w:rsid w:val="00505AA6"/>
    <w:rsid w:val="00505FCA"/>
    <w:rsid w:val="00510C2D"/>
    <w:rsid w:val="00510C3D"/>
    <w:rsid w:val="005166A4"/>
    <w:rsid w:val="005169F4"/>
    <w:rsid w:val="005210D1"/>
    <w:rsid w:val="00523146"/>
    <w:rsid w:val="00523275"/>
    <w:rsid w:val="00523AE7"/>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1270"/>
    <w:rsid w:val="00592F7A"/>
    <w:rsid w:val="005953EC"/>
    <w:rsid w:val="005A027E"/>
    <w:rsid w:val="005B00A1"/>
    <w:rsid w:val="005C29C8"/>
    <w:rsid w:val="005C3880"/>
    <w:rsid w:val="005C5D25"/>
    <w:rsid w:val="005C64DE"/>
    <w:rsid w:val="005D2606"/>
    <w:rsid w:val="005D6D48"/>
    <w:rsid w:val="005D72A4"/>
    <w:rsid w:val="005D7398"/>
    <w:rsid w:val="005F05CC"/>
    <w:rsid w:val="005F65DE"/>
    <w:rsid w:val="00613492"/>
    <w:rsid w:val="0061364A"/>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A403B"/>
    <w:rsid w:val="006B2BD4"/>
    <w:rsid w:val="006B4B90"/>
    <w:rsid w:val="006B600C"/>
    <w:rsid w:val="006B658C"/>
    <w:rsid w:val="006D003B"/>
    <w:rsid w:val="006D2674"/>
    <w:rsid w:val="006D7D18"/>
    <w:rsid w:val="006E38D0"/>
    <w:rsid w:val="006E465B"/>
    <w:rsid w:val="006F70BF"/>
    <w:rsid w:val="007028CB"/>
    <w:rsid w:val="007049B7"/>
    <w:rsid w:val="0070662B"/>
    <w:rsid w:val="00716B1D"/>
    <w:rsid w:val="007246AF"/>
    <w:rsid w:val="007248EC"/>
    <w:rsid w:val="007263B4"/>
    <w:rsid w:val="00726744"/>
    <w:rsid w:val="00731150"/>
    <w:rsid w:val="00734E41"/>
    <w:rsid w:val="00736DCC"/>
    <w:rsid w:val="00741855"/>
    <w:rsid w:val="00742B73"/>
    <w:rsid w:val="0074444F"/>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2137"/>
    <w:rsid w:val="007E603B"/>
    <w:rsid w:val="007E6847"/>
    <w:rsid w:val="007E6B0A"/>
    <w:rsid w:val="007F08CA"/>
    <w:rsid w:val="007F6388"/>
    <w:rsid w:val="007F7FC3"/>
    <w:rsid w:val="00802497"/>
    <w:rsid w:val="008077A5"/>
    <w:rsid w:val="00810482"/>
    <w:rsid w:val="00817568"/>
    <w:rsid w:val="008204AC"/>
    <w:rsid w:val="008261C2"/>
    <w:rsid w:val="00830D96"/>
    <w:rsid w:val="008362DC"/>
    <w:rsid w:val="0085569D"/>
    <w:rsid w:val="00855B59"/>
    <w:rsid w:val="0085774F"/>
    <w:rsid w:val="008614B8"/>
    <w:rsid w:val="00863FEE"/>
    <w:rsid w:val="008657CB"/>
    <w:rsid w:val="00871261"/>
    <w:rsid w:val="00873A6F"/>
    <w:rsid w:val="00882378"/>
    <w:rsid w:val="0088384B"/>
    <w:rsid w:val="00884282"/>
    <w:rsid w:val="008879AE"/>
    <w:rsid w:val="00893E53"/>
    <w:rsid w:val="008A1137"/>
    <w:rsid w:val="008A1788"/>
    <w:rsid w:val="008A1E64"/>
    <w:rsid w:val="008A3E57"/>
    <w:rsid w:val="008A4185"/>
    <w:rsid w:val="008A4847"/>
    <w:rsid w:val="008A6552"/>
    <w:rsid w:val="008B30D2"/>
    <w:rsid w:val="008B4E93"/>
    <w:rsid w:val="008B52B7"/>
    <w:rsid w:val="008C3818"/>
    <w:rsid w:val="008D6ACC"/>
    <w:rsid w:val="008D7AF0"/>
    <w:rsid w:val="008E1A32"/>
    <w:rsid w:val="008E2CBE"/>
    <w:rsid w:val="008E32DD"/>
    <w:rsid w:val="008F4626"/>
    <w:rsid w:val="009004DF"/>
    <w:rsid w:val="00902E2A"/>
    <w:rsid w:val="00903DB9"/>
    <w:rsid w:val="00904AA5"/>
    <w:rsid w:val="00905C3D"/>
    <w:rsid w:val="009151F1"/>
    <w:rsid w:val="009234D3"/>
    <w:rsid w:val="0093046E"/>
    <w:rsid w:val="00941CDF"/>
    <w:rsid w:val="00951718"/>
    <w:rsid w:val="00960962"/>
    <w:rsid w:val="00966FA2"/>
    <w:rsid w:val="00972CE0"/>
    <w:rsid w:val="00973304"/>
    <w:rsid w:val="0097742C"/>
    <w:rsid w:val="009A3D30"/>
    <w:rsid w:val="009C13BE"/>
    <w:rsid w:val="009D0810"/>
    <w:rsid w:val="009D6348"/>
    <w:rsid w:val="009D6F51"/>
    <w:rsid w:val="009E5007"/>
    <w:rsid w:val="009E613F"/>
    <w:rsid w:val="009F042B"/>
    <w:rsid w:val="00A03FD6"/>
    <w:rsid w:val="00A04BF3"/>
    <w:rsid w:val="00A04CF4"/>
    <w:rsid w:val="00A116A8"/>
    <w:rsid w:val="00A17E61"/>
    <w:rsid w:val="00A227C9"/>
    <w:rsid w:val="00A22AE9"/>
    <w:rsid w:val="00A24D4E"/>
    <w:rsid w:val="00A24D5C"/>
    <w:rsid w:val="00A25192"/>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05CC"/>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282A"/>
    <w:rsid w:val="00B344B6"/>
    <w:rsid w:val="00B357E9"/>
    <w:rsid w:val="00B4164D"/>
    <w:rsid w:val="00B425C1"/>
    <w:rsid w:val="00B51671"/>
    <w:rsid w:val="00B606BA"/>
    <w:rsid w:val="00B63EAC"/>
    <w:rsid w:val="00B66817"/>
    <w:rsid w:val="00B672BD"/>
    <w:rsid w:val="00B70A1D"/>
    <w:rsid w:val="00B71E3B"/>
    <w:rsid w:val="00B721D5"/>
    <w:rsid w:val="00B775AF"/>
    <w:rsid w:val="00B81CB5"/>
    <w:rsid w:val="00B8351F"/>
    <w:rsid w:val="00B844A5"/>
    <w:rsid w:val="00B86C44"/>
    <w:rsid w:val="00B933AA"/>
    <w:rsid w:val="00B946B6"/>
    <w:rsid w:val="00B9727C"/>
    <w:rsid w:val="00BA7D44"/>
    <w:rsid w:val="00BB12AE"/>
    <w:rsid w:val="00BD6291"/>
    <w:rsid w:val="00BD6EF3"/>
    <w:rsid w:val="00BE3AAE"/>
    <w:rsid w:val="00BE69C3"/>
    <w:rsid w:val="00C05E12"/>
    <w:rsid w:val="00C1165E"/>
    <w:rsid w:val="00C22074"/>
    <w:rsid w:val="00C2377B"/>
    <w:rsid w:val="00C30029"/>
    <w:rsid w:val="00C32D73"/>
    <w:rsid w:val="00C341E0"/>
    <w:rsid w:val="00C34E09"/>
    <w:rsid w:val="00C35338"/>
    <w:rsid w:val="00C3693C"/>
    <w:rsid w:val="00C37F27"/>
    <w:rsid w:val="00C446F1"/>
    <w:rsid w:val="00C51C89"/>
    <w:rsid w:val="00C53F6F"/>
    <w:rsid w:val="00C5489D"/>
    <w:rsid w:val="00C61EE1"/>
    <w:rsid w:val="00C648FE"/>
    <w:rsid w:val="00C71759"/>
    <w:rsid w:val="00C8199C"/>
    <w:rsid w:val="00C82056"/>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3BB1"/>
    <w:rsid w:val="00D1576B"/>
    <w:rsid w:val="00D16532"/>
    <w:rsid w:val="00D21D8E"/>
    <w:rsid w:val="00D25120"/>
    <w:rsid w:val="00D30045"/>
    <w:rsid w:val="00D419CB"/>
    <w:rsid w:val="00D44350"/>
    <w:rsid w:val="00D44E3F"/>
    <w:rsid w:val="00D51BB8"/>
    <w:rsid w:val="00D525F5"/>
    <w:rsid w:val="00D535D0"/>
    <w:rsid w:val="00D577D8"/>
    <w:rsid w:val="00D62C78"/>
    <w:rsid w:val="00D67724"/>
    <w:rsid w:val="00D77EAA"/>
    <w:rsid w:val="00D8121C"/>
    <w:rsid w:val="00D81703"/>
    <w:rsid w:val="00D82929"/>
    <w:rsid w:val="00D84214"/>
    <w:rsid w:val="00D943E5"/>
    <w:rsid w:val="00D94BB8"/>
    <w:rsid w:val="00DA1AE0"/>
    <w:rsid w:val="00DA2BF7"/>
    <w:rsid w:val="00DA4259"/>
    <w:rsid w:val="00DC29DD"/>
    <w:rsid w:val="00DC7C0E"/>
    <w:rsid w:val="00DD0DE7"/>
    <w:rsid w:val="00DD340F"/>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19C1"/>
    <w:rsid w:val="00E833BC"/>
    <w:rsid w:val="00E8580E"/>
    <w:rsid w:val="00E97E21"/>
    <w:rsid w:val="00EA1B76"/>
    <w:rsid w:val="00EA77D7"/>
    <w:rsid w:val="00EB52D8"/>
    <w:rsid w:val="00EC09B9"/>
    <w:rsid w:val="00EC0AD3"/>
    <w:rsid w:val="00ED048C"/>
    <w:rsid w:val="00ED2EC6"/>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720B3"/>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CA048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styleId="UnresolvedMention">
    <w:name w:val="Unresolved Mention"/>
    <w:basedOn w:val="DefaultParagraphFont"/>
    <w:uiPriority w:val="99"/>
    <w:semiHidden/>
    <w:unhideWhenUsed/>
    <w:rsid w:val="00336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4696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4-CL-C-0067/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aba8acec-315f-4f58-80e0-c4d9533d18ce">DPM</DPM_x0020_Author>
    <DPM_x0020_File_x0020_name xmlns="aba8acec-315f-4f58-80e0-c4d9533d18ce">T22-WTSA.24-C-0037!A43!MSW-A</DPM_x0020_File_x0020_name>
    <DPM_x0020_Version xmlns="aba8acec-315f-4f58-80e0-c4d9533d18ce">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a8acec-315f-4f58-80e0-c4d9533d18ce" targetNamespace="http://schemas.microsoft.com/office/2006/metadata/properties" ma:root="true" ma:fieldsID="d41af5c836d734370eb92e7ee5f83852" ns2:_="" ns3:_="">
    <xsd:import namespace="996b2e75-67fd-4955-a3b0-5ab9934cb50b"/>
    <xsd:import namespace="aba8acec-315f-4f58-80e0-c4d9533d18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a8acec-315f-4f58-80e0-c4d9533d18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ba8acec-315f-4f58-80e0-c4d9533d18ce"/>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a8acec-315f-4f58-80e0-c4d9533d1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1669</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T22-WTSA.24-C-0037!A43!MSW-A</vt:lpstr>
    </vt:vector>
  </TitlesOfParts>
  <Manager>General Secretariat - Pool</Manager>
  <Company>International Telecommunication Union (ITU)</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T22-WTSA.24-C-0037!A43!MSW-A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8</cp:revision>
  <cp:lastPrinted>2019-06-26T10:10:00Z</cp:lastPrinted>
  <dcterms:created xsi:type="dcterms:W3CDTF">2024-10-07T14:11:00Z</dcterms:created>
  <dcterms:modified xsi:type="dcterms:W3CDTF">2024-10-08T10:09:00Z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