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91F27F0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A7802BE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BCDAF68" wp14:editId="1CCF1FB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90DEB98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6140562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50FFAD54" wp14:editId="7BA95C2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F24324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B4C09E3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25F84AE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AAA1F2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B799540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5AC5F9C1" w14:textId="77777777" w:rsidTr="0068791E">
        <w:trPr>
          <w:cantSplit/>
        </w:trPr>
        <w:tc>
          <w:tcPr>
            <w:tcW w:w="6237" w:type="dxa"/>
            <w:gridSpan w:val="2"/>
          </w:tcPr>
          <w:p w14:paraId="4571C52D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8A63181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42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A07765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584BA0EB" w14:textId="77777777" w:rsidTr="0068791E">
        <w:trPr>
          <w:cantSplit/>
        </w:trPr>
        <w:tc>
          <w:tcPr>
            <w:tcW w:w="6237" w:type="dxa"/>
            <w:gridSpan w:val="2"/>
          </w:tcPr>
          <w:p w14:paraId="780B3D6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240500B" w14:textId="133F19AE" w:rsidR="00931298" w:rsidRPr="00A0776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A07765">
              <w:rPr>
                <w:sz w:val="18"/>
                <w:szCs w:val="18"/>
                <w:lang w:val="en-US"/>
              </w:rPr>
              <w:t xml:space="preserve"> </w:t>
            </w:r>
            <w:r w:rsidR="00A07765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1D5FA903" w14:textId="77777777" w:rsidTr="0068791E">
        <w:trPr>
          <w:cantSplit/>
        </w:trPr>
        <w:tc>
          <w:tcPr>
            <w:tcW w:w="6237" w:type="dxa"/>
            <w:gridSpan w:val="2"/>
          </w:tcPr>
          <w:p w14:paraId="686938ED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7B9C8F8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2D78DCCB" w14:textId="77777777" w:rsidTr="0068791E">
        <w:trPr>
          <w:cantSplit/>
        </w:trPr>
        <w:tc>
          <w:tcPr>
            <w:tcW w:w="9811" w:type="dxa"/>
            <w:gridSpan w:val="4"/>
          </w:tcPr>
          <w:p w14:paraId="79E3A689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7481C62B" w14:textId="77777777" w:rsidTr="0068791E">
        <w:trPr>
          <w:cantSplit/>
        </w:trPr>
        <w:tc>
          <w:tcPr>
            <w:tcW w:w="9811" w:type="dxa"/>
            <w:gridSpan w:val="4"/>
          </w:tcPr>
          <w:p w14:paraId="10BB1783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F3F84" w14:paraId="53775D0B" w14:textId="77777777" w:rsidTr="0068791E">
        <w:trPr>
          <w:cantSplit/>
        </w:trPr>
        <w:tc>
          <w:tcPr>
            <w:tcW w:w="9811" w:type="dxa"/>
            <w:gridSpan w:val="4"/>
          </w:tcPr>
          <w:p w14:paraId="319C47B3" w14:textId="6E4A45BC" w:rsidR="00931298" w:rsidRPr="008F3F84" w:rsidRDefault="008F3F84" w:rsidP="00C30155">
            <w:pPr>
              <w:pStyle w:val="Title1"/>
            </w:pPr>
            <w:r>
              <w:t>ПРОЕКТ</w:t>
            </w:r>
            <w:r w:rsidRPr="008F3F84">
              <w:t xml:space="preserve"> </w:t>
            </w:r>
            <w:r>
              <w:t>РЕЗОЛЮЦИИ</w:t>
            </w:r>
            <w:r w:rsidR="00BE7C34" w:rsidRPr="008F3F84">
              <w:t xml:space="preserve"> [</w:t>
            </w:r>
            <w:r w:rsidR="00BE7C34" w:rsidRPr="00A07765">
              <w:rPr>
                <w:lang w:val="en-GB"/>
              </w:rPr>
              <w:t>APT</w:t>
            </w:r>
            <w:r w:rsidR="00BE7C34" w:rsidRPr="008F3F84">
              <w:t>-</w:t>
            </w:r>
            <w:r w:rsidR="00BE7C34" w:rsidRPr="00A07765">
              <w:rPr>
                <w:lang w:val="en-GB"/>
              </w:rPr>
              <w:t>PQC</w:t>
            </w:r>
            <w:r w:rsidR="00BE7C34" w:rsidRPr="008F3F84">
              <w:t xml:space="preserve">] </w:t>
            </w:r>
            <w:r>
              <w:t>–</w:t>
            </w:r>
            <w:r w:rsidR="00BE7C34" w:rsidRPr="008F3F84">
              <w:t xml:space="preserve"> </w:t>
            </w:r>
            <w:r>
              <w:t>содействие внедрению постквантовой криптографии и переходу на нее</w:t>
            </w:r>
          </w:p>
        </w:tc>
      </w:tr>
      <w:tr w:rsidR="00657CDA" w:rsidRPr="008F3F84" w14:paraId="204A7B5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5393F9F" w14:textId="77777777" w:rsidR="00657CDA" w:rsidRPr="008F3F84" w:rsidRDefault="00657CDA" w:rsidP="00BE7C34">
            <w:pPr>
              <w:pStyle w:val="Title2"/>
              <w:spacing w:before="0"/>
            </w:pPr>
          </w:p>
        </w:tc>
      </w:tr>
      <w:tr w:rsidR="00657CDA" w:rsidRPr="008F3F84" w14:paraId="4BEA4ED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469DA58" w14:textId="77777777" w:rsidR="00657CDA" w:rsidRPr="008F3F8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6DF6505" w14:textId="77777777" w:rsidR="00931298" w:rsidRPr="008F3F8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8F3F84" w14:paraId="3597FB5E" w14:textId="77777777" w:rsidTr="00ED50CE">
        <w:trPr>
          <w:cantSplit/>
        </w:trPr>
        <w:tc>
          <w:tcPr>
            <w:tcW w:w="1957" w:type="dxa"/>
          </w:tcPr>
          <w:p w14:paraId="733365A0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5CEB239" w14:textId="1001E35A" w:rsidR="00931298" w:rsidRPr="008F3F84" w:rsidRDefault="008F3F84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>В настоящем документе содержится предложение новой Резолюции ВАСЭ о</w:t>
            </w:r>
            <w:r w:rsidR="00C21121">
              <w:t> </w:t>
            </w:r>
            <w:r>
              <w:rPr>
                <w:lang w:val="ru-RU"/>
              </w:rPr>
              <w:t>содействии внедрению постквантовой криптографии и переходу на нее</w:t>
            </w:r>
            <w:r w:rsidR="00ED50CE" w:rsidRPr="008F3F84">
              <w:rPr>
                <w:rFonts w:eastAsia="Malgun Gothic"/>
                <w:lang w:val="ru-RU" w:eastAsia="ko-KR"/>
              </w:rPr>
              <w:t>.</w:t>
            </w:r>
          </w:p>
        </w:tc>
      </w:tr>
      <w:tr w:rsidR="00931298" w:rsidRPr="008D37A5" w14:paraId="25FB2489" w14:textId="77777777" w:rsidTr="00ED50CE">
        <w:trPr>
          <w:cantSplit/>
        </w:trPr>
        <w:tc>
          <w:tcPr>
            <w:tcW w:w="1957" w:type="dxa"/>
          </w:tcPr>
          <w:p w14:paraId="229303A4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7CFF70C8" w14:textId="64C6664D" w:rsidR="00FE5494" w:rsidRPr="008F3F84" w:rsidRDefault="008F3F84" w:rsidP="00E45467">
            <w:r>
              <w:t xml:space="preserve">г-н Масанори Кондо </w:t>
            </w:r>
            <w:r w:rsidR="00C21121">
              <w:br/>
            </w:r>
            <w:r>
              <w:t>(Mr Masanori Kondo)</w:t>
            </w:r>
            <w:r w:rsidR="00C21121">
              <w:br/>
            </w:r>
            <w:r>
              <w:t>Генеральный секретарь Азиатско-Тихоокеанское сообщество электросвязи</w:t>
            </w:r>
          </w:p>
        </w:tc>
        <w:tc>
          <w:tcPr>
            <w:tcW w:w="3877" w:type="dxa"/>
          </w:tcPr>
          <w:p w14:paraId="6E96B06C" w14:textId="5C60DA99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ED50CE" w:rsidRPr="00624113">
                <w:rPr>
                  <w:rStyle w:val="Hyperlink"/>
                </w:rPr>
                <w:t>aptwtsa@apt.int</w:t>
              </w:r>
            </w:hyperlink>
          </w:p>
        </w:tc>
      </w:tr>
    </w:tbl>
    <w:p w14:paraId="450CCEFF" w14:textId="4108738D" w:rsidR="00ED50CE" w:rsidRPr="008F3F84" w:rsidRDefault="008F3F84" w:rsidP="00ED50CE">
      <w:pPr>
        <w:pStyle w:val="Headingb"/>
        <w:rPr>
          <w:rFonts w:eastAsia="MS Mincho"/>
          <w:lang w:val="ru-RU" w:eastAsia="ja-JP"/>
        </w:rPr>
      </w:pPr>
      <w:r>
        <w:rPr>
          <w:rFonts w:eastAsia="MS Mincho"/>
          <w:lang w:val="ru-RU" w:eastAsia="ja-JP"/>
        </w:rPr>
        <w:t>Введение</w:t>
      </w:r>
    </w:p>
    <w:p w14:paraId="1C73FFA8" w14:textId="77777777" w:rsidR="008F3F84" w:rsidRPr="006307E5" w:rsidRDefault="008F3F84" w:rsidP="008F3F84">
      <w:pPr>
        <w:rPr>
          <w:rFonts w:eastAsia="Malgun Gothic"/>
        </w:rPr>
      </w:pPr>
      <w:r>
        <w:t>Криптографические алгоритмы представляют собой ключевую основу сетей для укрепления доверия и безопасности при использовании ИКТ.</w:t>
      </w:r>
    </w:p>
    <w:p w14:paraId="292381A3" w14:textId="7F18131D" w:rsidR="008F3F84" w:rsidRPr="006307E5" w:rsidRDefault="008F3F84" w:rsidP="008F3F84">
      <w:pPr>
        <w:rPr>
          <w:rFonts w:eastAsia="MS Mincho"/>
        </w:rPr>
      </w:pPr>
      <w:r>
        <w:t xml:space="preserve">При появлении доступа к криптографически </w:t>
      </w:r>
      <w:r w:rsidR="00CF7199">
        <w:t>значим</w:t>
      </w:r>
      <w:r w:rsidR="009B60F9">
        <w:t>ым</w:t>
      </w:r>
      <w:r>
        <w:t xml:space="preserve"> квантовым компьютерам большинство существующих алгоритмов с открытыми ключами и связанных с ними протоколов окажутся уязвимыми для атак на основе использования квантовых компьютеров. Благодаря исключительной вычислительной мощности квантовые компьютеры представляют собой квантовую угрозу и потенциально могут взломать широко используемые криптографические алгоритмы, включая RSA и ECC (криптография на основе эллиптических кривых). В настоящее время разрабатывается набор криптографических алгоритмов, называемых постквантовой криптографией (PQC), которые считаются </w:t>
      </w:r>
      <w:r w:rsidR="000725AB">
        <w:t>обеспечивающими квантовую безопасность</w:t>
      </w:r>
      <w:r>
        <w:t xml:space="preserve"> или квантовоустойчивыми, что означает, что они, как ожидается, останутся безопасными даже при наличии криптографически </w:t>
      </w:r>
      <w:r w:rsidR="00CF7199">
        <w:t>значим</w:t>
      </w:r>
      <w:r w:rsidR="009B60F9">
        <w:t>ых</w:t>
      </w:r>
      <w:r>
        <w:t xml:space="preserve"> квантовых компьютеров.</w:t>
      </w:r>
    </w:p>
    <w:p w14:paraId="52310721" w14:textId="77777777" w:rsidR="008F3F84" w:rsidRPr="006307E5" w:rsidRDefault="008F3F84" w:rsidP="008F3F84">
      <w:pPr>
        <w:rPr>
          <w:rFonts w:eastAsia="Malgun Gothic"/>
        </w:rPr>
      </w:pPr>
      <w:r>
        <w:t>В этой Резолюции признается, что определение PQC ИК17 относится к классическим квантовоустойчивым алгоритмам.</w:t>
      </w:r>
    </w:p>
    <w:p w14:paraId="3DEB70AE" w14:textId="7341BE2F" w:rsidR="008F3F84" w:rsidRPr="006307E5" w:rsidRDefault="008F3F84" w:rsidP="008F3F84">
      <w:pPr>
        <w:rPr>
          <w:rFonts w:eastAsia="Malgun Gothic"/>
        </w:rPr>
      </w:pPr>
      <w:r>
        <w:t xml:space="preserve">В настоящее время доверительная инфраструктура сетей связи основана на традиционных криптографических алгоритмах, таких как алгоритм Диффи-Хеллмана и RSA, которые уязвимы для квантовых угроз. Таким образом, в преддверии появления квантовых компьютеров крайне важным становится переход сетей ИКТ </w:t>
      </w:r>
      <w:r w:rsidR="00344796">
        <w:t>на</w:t>
      </w:r>
      <w:r>
        <w:t xml:space="preserve"> квантовоустойчив</w:t>
      </w:r>
      <w:r w:rsidR="00344796">
        <w:t>ую</w:t>
      </w:r>
      <w:r>
        <w:t xml:space="preserve"> доверительн</w:t>
      </w:r>
      <w:r w:rsidR="00344796">
        <w:t>ую</w:t>
      </w:r>
      <w:r>
        <w:t xml:space="preserve"> инфраструктур</w:t>
      </w:r>
      <w:r w:rsidR="00344796">
        <w:t>у</w:t>
      </w:r>
      <w:r>
        <w:t>.</w:t>
      </w:r>
    </w:p>
    <w:p w14:paraId="0C4E8813" w14:textId="596356B8" w:rsidR="008F3F84" w:rsidRPr="006307E5" w:rsidRDefault="008F3F84" w:rsidP="008F3F84">
      <w:pPr>
        <w:rPr>
          <w:rFonts w:eastAsia="Malgun Gothic"/>
        </w:rPr>
      </w:pPr>
      <w:r>
        <w:t>Несмотря на то что PQC использует существующую инфраструктуру и предлагает экономически эффективное и хорошо зарекомендовавшее себя решение,</w:t>
      </w:r>
      <w:r w:rsidR="00344796">
        <w:t xml:space="preserve"> обеспечивающее квантовую безопасность,</w:t>
      </w:r>
      <w:r>
        <w:t xml:space="preserve"> для полного перехода на PQC организациям потребу</w:t>
      </w:r>
      <w:r w:rsidR="00344796">
        <w:t>ю</w:t>
      </w:r>
      <w:r>
        <w:t>тся значительное время и ресурсы.</w:t>
      </w:r>
    </w:p>
    <w:p w14:paraId="3BC6F19B" w14:textId="77777777" w:rsidR="008F3F84" w:rsidRPr="006307E5" w:rsidRDefault="008F3F84" w:rsidP="008F3F84">
      <w:pPr>
        <w:rPr>
          <w:rFonts w:eastAsia="Malgun Gothic"/>
        </w:rPr>
      </w:pPr>
      <w:r>
        <w:lastRenderedPageBreak/>
        <w:t>В связи с этим перед исследовательскими комиссиями МСЭ-Т неизбежно возникает необходимость активного ведения работы по стандартизации в целях содействия внедрению постквантовой криптографии в сетях электросвязи/ИКТ и переходу на нее.</w:t>
      </w:r>
    </w:p>
    <w:p w14:paraId="5A2FA3B2" w14:textId="372A98F3" w:rsidR="008F3F84" w:rsidRPr="006307E5" w:rsidRDefault="008F3F84" w:rsidP="008F3F84">
      <w:pPr>
        <w:rPr>
          <w:rFonts w:eastAsia="Malgun Gothic"/>
        </w:rPr>
      </w:pPr>
      <w:r>
        <w:t>Кроме того, ИК17 МСЭ-Т в процессе подготовки к ВАСЭ-24 согласовала "использование постквантовой криптографии" в качестве новой темы на следующий исследовательский период (</w:t>
      </w:r>
      <w:r w:rsidR="009B60F9">
        <w:t>2025–2028</w:t>
      </w:r>
      <w:r>
        <w:t xml:space="preserve"> гг.).</w:t>
      </w:r>
    </w:p>
    <w:p w14:paraId="70A7BC14" w14:textId="77777777" w:rsidR="008F3F84" w:rsidRPr="00501D0D" w:rsidRDefault="008F3F84" w:rsidP="008F3F84">
      <w:pPr>
        <w:pStyle w:val="Headingb"/>
        <w:rPr>
          <w:rFonts w:eastAsia="MS Mincho"/>
          <w:lang w:val="ru-RU"/>
        </w:rPr>
      </w:pPr>
      <w:r>
        <w:rPr>
          <w:bCs/>
          <w:lang w:val="ru-RU"/>
        </w:rPr>
        <w:t>Предложение</w:t>
      </w:r>
    </w:p>
    <w:p w14:paraId="6DE731FD" w14:textId="77777777" w:rsidR="008F3F84" w:rsidRPr="006307E5" w:rsidRDefault="008F3F84" w:rsidP="008F3F84">
      <w:pPr>
        <w:rPr>
          <w:rFonts w:eastAsia="Malgun Gothic"/>
        </w:rPr>
      </w:pPr>
      <w:bookmarkStart w:id="0" w:name="_Hlk170394771"/>
      <w:r>
        <w:t>На основании вышеизложенной информации администрации стран – членов АТСЭ предлагают рассмотреть на ВАСЭ-24 возможность принятия новой Резолюции ВАСЭ о содействии внедрению постквантовой криптографии и переходу на нее.</w:t>
      </w:r>
      <w:bookmarkEnd w:id="0"/>
    </w:p>
    <w:p w14:paraId="7D7CEC3E" w14:textId="77777777" w:rsidR="00461C79" w:rsidRPr="008F3F84" w:rsidRDefault="009F4801" w:rsidP="00781A83">
      <w:r w:rsidRPr="008F3F84">
        <w:br w:type="page"/>
      </w:r>
    </w:p>
    <w:p w14:paraId="3C801078" w14:textId="77777777" w:rsidR="00A4340C" w:rsidRDefault="00E17BF0">
      <w:pPr>
        <w:pStyle w:val="Proposal"/>
      </w:pPr>
      <w:r>
        <w:lastRenderedPageBreak/>
        <w:t>ADD</w:t>
      </w:r>
      <w:r>
        <w:tab/>
        <w:t>APT/37A42/1</w:t>
      </w:r>
    </w:p>
    <w:p w14:paraId="18048E82" w14:textId="041C8FF3" w:rsidR="00A4340C" w:rsidRDefault="00E17BF0">
      <w:pPr>
        <w:pStyle w:val="ResNo"/>
      </w:pPr>
      <w:r>
        <w:t>ПРОЕКТ НОВОЙ РЕЗОЛЮЦИИ [APT-PQC]</w:t>
      </w:r>
      <w:r w:rsidR="00ED50CE">
        <w:t xml:space="preserve"> (Нью-Дели, 2024 г</w:t>
      </w:r>
      <w:r>
        <w:t>.</w:t>
      </w:r>
      <w:r w:rsidR="00ED50CE">
        <w:t>)</w:t>
      </w:r>
    </w:p>
    <w:p w14:paraId="01DBCC93" w14:textId="3C1991B9" w:rsidR="00A4340C" w:rsidRPr="008F3F84" w:rsidRDefault="008F3F84">
      <w:pPr>
        <w:pStyle w:val="Restitle"/>
      </w:pPr>
      <w:bookmarkStart w:id="1" w:name="_Toc104459796"/>
      <w:bookmarkStart w:id="2" w:name="_Toc104476604"/>
      <w:bookmarkStart w:id="3" w:name="_Toc111638497"/>
      <w:r>
        <w:t>Содействие внедрению постквантовой криптографии и переходу на нее</w:t>
      </w:r>
      <w:bookmarkEnd w:id="1"/>
      <w:bookmarkEnd w:id="2"/>
      <w:bookmarkEnd w:id="3"/>
    </w:p>
    <w:p w14:paraId="6843D17B" w14:textId="3F3B72BB" w:rsidR="00A4340C" w:rsidRDefault="00A317ED" w:rsidP="00A317ED">
      <w:pPr>
        <w:pStyle w:val="Resref"/>
      </w:pPr>
      <w:r w:rsidRPr="000B4B70">
        <w:t>(</w:t>
      </w:r>
      <w:r w:rsidR="00A4761E">
        <w:t>Нью-Дели</w:t>
      </w:r>
      <w:r w:rsidRPr="000B4B70">
        <w:t>, 2024</w:t>
      </w:r>
      <w:r w:rsidR="00A4761E">
        <w:t xml:space="preserve"> г.</w:t>
      </w:r>
      <w:r w:rsidRPr="000B4B70">
        <w:t>)</w:t>
      </w:r>
    </w:p>
    <w:p w14:paraId="0E87FCD8" w14:textId="77196344" w:rsidR="00A317ED" w:rsidRDefault="00A317ED" w:rsidP="00A317ED">
      <w:pPr>
        <w:pStyle w:val="Normalaftertitle"/>
      </w:pPr>
      <w:r w:rsidRPr="006038AA">
        <w:t>Всемирная ассамблея по стандартизации электросвязи (</w:t>
      </w:r>
      <w:r>
        <w:t>Нью-Дели</w:t>
      </w:r>
      <w:r w:rsidRPr="006038AA">
        <w:t>, 202</w:t>
      </w:r>
      <w:r>
        <w:t>4</w:t>
      </w:r>
      <w:r w:rsidRPr="006038AA">
        <w:t xml:space="preserve"> г.),</w:t>
      </w:r>
    </w:p>
    <w:p w14:paraId="13DF9841" w14:textId="726C83B2" w:rsidR="00A4761E" w:rsidRPr="008F3F84" w:rsidRDefault="00A4761E" w:rsidP="00A4761E">
      <w:pPr>
        <w:pStyle w:val="Call"/>
        <w:rPr>
          <w:lang w:eastAsia="ko-KR"/>
        </w:rPr>
      </w:pPr>
      <w:r>
        <w:t>напоминая</w:t>
      </w:r>
    </w:p>
    <w:p w14:paraId="03E0A233" w14:textId="31F838FC" w:rsidR="00A4761E" w:rsidRPr="008F3F84" w:rsidRDefault="00A4761E" w:rsidP="00A4761E">
      <w:pPr>
        <w:rPr>
          <w:rFonts w:eastAsia="Calibri"/>
        </w:rPr>
      </w:pPr>
      <w:r w:rsidRPr="00A4761E">
        <w:rPr>
          <w:rFonts w:eastAsia="Calibri"/>
          <w:i/>
          <w:iCs/>
          <w:lang w:val="en-GB"/>
        </w:rPr>
        <w:t>a</w:t>
      </w:r>
      <w:r w:rsidRPr="008F3F84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8F3F84">
        <w:t>о Резолюции 130 (Пересм. Бухарест, 2022 г.) Полномочной конференции об усилении роли МСЭ в укреплении доверия и безопасности при использовании информационно-коммуникационных технологий</w:t>
      </w:r>
      <w:r w:rsidR="00E24882">
        <w:rPr>
          <w:rFonts w:eastAsia="Calibri"/>
        </w:rPr>
        <w:t>;</w:t>
      </w:r>
    </w:p>
    <w:p w14:paraId="5BBB34ED" w14:textId="401592BA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Calibri"/>
          <w:i/>
          <w:iCs/>
          <w:lang w:val="en-GB"/>
        </w:rPr>
        <w:t>b</w:t>
      </w:r>
      <w:r w:rsidRPr="008F3F84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8F3F84">
        <w:t>о Резолюции 50 (Пересм. Женева, 2022 г.) настоящей Ассамблеи о кибербезопасности</w:t>
      </w:r>
      <w:r w:rsidRPr="008F3F84">
        <w:rPr>
          <w:rFonts w:eastAsia="Malgun Gothic" w:hint="eastAsia"/>
          <w:lang w:eastAsia="ko-KR"/>
        </w:rPr>
        <w:t>;</w:t>
      </w:r>
    </w:p>
    <w:p w14:paraId="37EA3CFE" w14:textId="7A8A79DF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Calibri"/>
          <w:i/>
          <w:iCs/>
          <w:lang w:val="en-GB"/>
        </w:rPr>
        <w:t>c</w:t>
      </w:r>
      <w:r w:rsidRPr="008F3F84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8F3F84">
        <w:t>о резолюции 57/239 Генеральной Ассамблеи Организации Объединенных Наций (ГА ООН) о создании глобальной культуры кибербезопасности</w:t>
      </w:r>
      <w:r w:rsidRPr="008F3F84">
        <w:rPr>
          <w:rFonts w:eastAsia="Calibri"/>
        </w:rPr>
        <w:t>;</w:t>
      </w:r>
    </w:p>
    <w:p w14:paraId="3032AE65" w14:textId="2BB62DAA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/>
          <w:i/>
          <w:iCs/>
          <w:lang w:val="en-GB" w:eastAsia="ko-KR"/>
        </w:rPr>
        <w:t>d</w:t>
      </w:r>
      <w:r w:rsidRPr="008F3F84">
        <w:rPr>
          <w:rFonts w:eastAsia="Malgun Gothic"/>
          <w:i/>
          <w:iCs/>
          <w:lang w:eastAsia="ko-KR"/>
        </w:rPr>
        <w:t>)</w:t>
      </w:r>
      <w:r w:rsidRPr="008F3F84">
        <w:rPr>
          <w:rFonts w:eastAsia="Malgun Gothic"/>
          <w:lang w:eastAsia="ko-KR"/>
        </w:rPr>
        <w:tab/>
      </w:r>
      <w:r w:rsidR="008F3F84">
        <w:t xml:space="preserve">о резолюции </w:t>
      </w:r>
      <w:r w:rsidR="00CF7199" w:rsidRPr="000B4B70">
        <w:rPr>
          <w:rFonts w:eastAsia="Malgun Gothic"/>
          <w:lang w:eastAsia="ko-KR"/>
        </w:rPr>
        <w:t>78/287</w:t>
      </w:r>
      <w:r w:rsidR="00CF7199">
        <w:rPr>
          <w:rFonts w:eastAsia="Malgun Gothic"/>
          <w:lang w:eastAsia="ko-KR"/>
        </w:rPr>
        <w:t xml:space="preserve"> </w:t>
      </w:r>
      <w:r w:rsidR="008F3F84">
        <w:t>ГА ООН о Международном годе квантовой науки и техники, 2025</w:t>
      </w:r>
      <w:r w:rsidR="00C811C7">
        <w:t> </w:t>
      </w:r>
      <w:r w:rsidR="008F3F84">
        <w:t>год</w:t>
      </w:r>
      <w:r w:rsidRPr="008F3F84">
        <w:rPr>
          <w:rFonts w:eastAsia="Malgun Gothic" w:hint="eastAsia"/>
          <w:lang w:eastAsia="ko-KR"/>
        </w:rPr>
        <w:t>,</w:t>
      </w:r>
    </w:p>
    <w:p w14:paraId="23593588" w14:textId="7985F81C" w:rsidR="00A4761E" w:rsidRPr="008F3F84" w:rsidRDefault="00A4761E" w:rsidP="00A4761E">
      <w:pPr>
        <w:pStyle w:val="Call"/>
        <w:rPr>
          <w:lang w:eastAsia="ko-KR"/>
        </w:rPr>
      </w:pPr>
      <w:r>
        <w:t>учитывая</w:t>
      </w:r>
      <w:r w:rsidR="00C811C7" w:rsidRPr="00C811C7">
        <w:rPr>
          <w:i w:val="0"/>
          <w:iCs/>
        </w:rPr>
        <w:t>,</w:t>
      </w:r>
    </w:p>
    <w:p w14:paraId="306757E8" w14:textId="0EED6CC0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Calibri"/>
          <w:i/>
          <w:iCs/>
          <w:lang w:val="en-GB"/>
        </w:rPr>
        <w:t>a</w:t>
      </w:r>
      <w:r w:rsidRPr="008F3F84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103C58">
        <w:rPr>
          <w:rFonts w:eastAsia="Calibri"/>
        </w:rPr>
        <w:t xml:space="preserve">что </w:t>
      </w:r>
      <w:r w:rsidR="008F3F84">
        <w:t>криптографически</w:t>
      </w:r>
      <w:r w:rsidR="00103C58">
        <w:t>е</w:t>
      </w:r>
      <w:r w:rsidR="008F3F84">
        <w:t xml:space="preserve"> алгоритм</w:t>
      </w:r>
      <w:r w:rsidR="00103C58">
        <w:t>ы имеют существенное</w:t>
      </w:r>
      <w:r w:rsidR="008F3F84">
        <w:t xml:space="preserve"> </w:t>
      </w:r>
      <w:r w:rsidR="00103C58">
        <w:t xml:space="preserve">значение </w:t>
      </w:r>
      <w:r w:rsidR="008F3F84">
        <w:t>для укрепления доверия и обеспечения безопасности при использовании информационно-коммуникационных технологий (ИКТ)</w:t>
      </w:r>
      <w:r w:rsidRPr="008F3F84">
        <w:rPr>
          <w:rFonts w:eastAsia="Calibri"/>
        </w:rPr>
        <w:t>;</w:t>
      </w:r>
    </w:p>
    <w:p w14:paraId="07A42D49" w14:textId="06B28A7E" w:rsidR="00A4761E" w:rsidRPr="008F3F84" w:rsidRDefault="00A4761E" w:rsidP="00A4761E">
      <w:pPr>
        <w:rPr>
          <w:rFonts w:eastAsia="Calibri"/>
        </w:rPr>
      </w:pPr>
      <w:r w:rsidRPr="00A4761E">
        <w:rPr>
          <w:rFonts w:eastAsia="Calibri"/>
          <w:i/>
          <w:iCs/>
          <w:lang w:val="en-GB"/>
        </w:rPr>
        <w:t>b</w:t>
      </w:r>
      <w:r w:rsidRPr="008F3F84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E24882">
        <w:t>что появление</w:t>
      </w:r>
      <w:r w:rsidR="008F3F84">
        <w:t xml:space="preserve"> криптографически значимых технологий квантов</w:t>
      </w:r>
      <w:r w:rsidR="00CF7199">
        <w:t>ых</w:t>
      </w:r>
      <w:r w:rsidR="008F3F84">
        <w:t xml:space="preserve"> вычислени</w:t>
      </w:r>
      <w:r w:rsidR="00CF7199">
        <w:t>й</w:t>
      </w:r>
      <w:r w:rsidR="00E24882">
        <w:t xml:space="preserve"> </w:t>
      </w:r>
      <w:r w:rsidR="008F3F84">
        <w:t>поставит под угрозу многие из существующих криптографических алгоритмов, особенно криптографию с открытым ключом, которая широко используется для защиты цифровой информации</w:t>
      </w:r>
      <w:r w:rsidRPr="008F3F84">
        <w:rPr>
          <w:rFonts w:eastAsia="Calibri"/>
        </w:rPr>
        <w:t>;</w:t>
      </w:r>
    </w:p>
    <w:p w14:paraId="406A005E" w14:textId="0A77C603" w:rsidR="00A4761E" w:rsidRPr="008F3F84" w:rsidRDefault="00A4761E" w:rsidP="00A4761E">
      <w:pPr>
        <w:rPr>
          <w:rFonts w:eastAsia="Calibri"/>
        </w:rPr>
      </w:pPr>
      <w:r w:rsidRPr="00A4761E">
        <w:rPr>
          <w:rFonts w:eastAsia="Calibri"/>
          <w:i/>
          <w:iCs/>
          <w:lang w:val="en-GB"/>
        </w:rPr>
        <w:t>c</w:t>
      </w:r>
      <w:r w:rsidRPr="008F3F84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E24882">
        <w:rPr>
          <w:rFonts w:eastAsia="Calibri"/>
        </w:rPr>
        <w:t xml:space="preserve">что </w:t>
      </w:r>
      <w:r w:rsidR="008F3F84">
        <w:t xml:space="preserve">криптографические алгоритмы, от которых зависит инфраструктура электросвязи/ИКТ, </w:t>
      </w:r>
      <w:r w:rsidR="00E24882">
        <w:t>используются</w:t>
      </w:r>
      <w:r w:rsidR="008F3F84">
        <w:t xml:space="preserve"> во всем мире в компонентах самых разных систем связи, обработки и хранения данных</w:t>
      </w:r>
      <w:r w:rsidRPr="008F3F84">
        <w:rPr>
          <w:rFonts w:eastAsia="Calibri"/>
        </w:rPr>
        <w:t>;</w:t>
      </w:r>
    </w:p>
    <w:p w14:paraId="3D9CEE7D" w14:textId="77D5CEBF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Calibri"/>
          <w:i/>
          <w:iCs/>
          <w:lang w:val="en-GB"/>
        </w:rPr>
        <w:t>d</w:t>
      </w:r>
      <w:r w:rsidRPr="008F3F84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8F3F84">
        <w:t>что при появлении доступа к криптографически значимым квантовым компьютерам большинство существующих алгоритмов с открытыми ключами и связанных с ними протоколов окажутся уязвимыми для атак на основе использования квантовых компьютеров</w:t>
      </w:r>
      <w:r w:rsidRPr="008F3F84">
        <w:rPr>
          <w:rFonts w:eastAsia="Calibri"/>
        </w:rPr>
        <w:t>;</w:t>
      </w:r>
    </w:p>
    <w:p w14:paraId="4876112B" w14:textId="19F5FD61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 w:hint="eastAsia"/>
          <w:i/>
          <w:iCs/>
          <w:lang w:val="en-GB" w:eastAsia="ko-KR"/>
        </w:rPr>
        <w:t>e</w:t>
      </w:r>
      <w:r w:rsidRPr="00C811C7">
        <w:rPr>
          <w:rFonts w:eastAsia="Malgun Gothic"/>
          <w:i/>
          <w:iCs/>
          <w:lang w:eastAsia="ko-KR"/>
        </w:rPr>
        <w:t>)</w:t>
      </w:r>
      <w:r w:rsidRPr="008F3F84">
        <w:rPr>
          <w:rFonts w:eastAsia="Malgun Gothic"/>
          <w:lang w:eastAsia="ko-KR"/>
        </w:rPr>
        <w:tab/>
      </w:r>
      <w:r w:rsidR="008F3F84">
        <w:t xml:space="preserve">что алгоритмы PQC </w:t>
      </w:r>
      <w:r w:rsidR="00CF7199">
        <w:t>возможно</w:t>
      </w:r>
      <w:r w:rsidR="008F3F84">
        <w:t xml:space="preserve"> применять в существующей инфраструктуре и в них могут использоваться системные знания и опыт для реализации решений, обеспечивающих квантовую безопасность</w:t>
      </w:r>
      <w:r w:rsidRPr="008F3F84">
        <w:rPr>
          <w:rFonts w:eastAsia="Malgun Gothic"/>
          <w:lang w:eastAsia="ko-KR"/>
        </w:rPr>
        <w:t>;</w:t>
      </w:r>
    </w:p>
    <w:p w14:paraId="747D7DB4" w14:textId="6F6A16A2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 w:hint="eastAsia"/>
          <w:i/>
          <w:iCs/>
          <w:lang w:val="en-GB" w:eastAsia="ko-KR"/>
        </w:rPr>
        <w:t>f</w:t>
      </w:r>
      <w:r w:rsidRPr="00C811C7">
        <w:rPr>
          <w:rFonts w:eastAsia="Malgun Gothic"/>
          <w:lang w:eastAsia="ko-KR"/>
        </w:rPr>
        <w:t>)</w:t>
      </w:r>
      <w:r w:rsidRPr="008F3F84">
        <w:rPr>
          <w:rFonts w:eastAsia="Malgun Gothic"/>
          <w:lang w:eastAsia="ko-KR"/>
        </w:rPr>
        <w:tab/>
      </w:r>
      <w:r w:rsidR="00E24882">
        <w:rPr>
          <w:rFonts w:eastAsia="Malgun Gothic"/>
          <w:lang w:eastAsia="ko-KR"/>
        </w:rPr>
        <w:t xml:space="preserve">что </w:t>
      </w:r>
      <w:r w:rsidR="008F3F84">
        <w:t>типовые приложения PQC могут охватывать все секторы, например IMT</w:t>
      </w:r>
      <w:r w:rsidR="00C811C7">
        <w:noBreakHyphen/>
      </w:r>
      <w:r w:rsidR="008F3F84">
        <w:t>2020/IMT</w:t>
      </w:r>
      <w:r w:rsidR="00C811C7">
        <w:noBreakHyphen/>
      </w:r>
      <w:r w:rsidR="008F3F84">
        <w:t>2030 и DLT</w:t>
      </w:r>
      <w:r w:rsidRPr="008F3F84">
        <w:rPr>
          <w:rFonts w:eastAsia="Malgun Gothic"/>
          <w:lang w:eastAsia="ko-KR"/>
        </w:rPr>
        <w:t>;</w:t>
      </w:r>
    </w:p>
    <w:p w14:paraId="0D4C4F7D" w14:textId="6D765ED9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 w:hint="eastAsia"/>
          <w:i/>
          <w:iCs/>
          <w:lang w:val="en-GB" w:eastAsia="ko-KR"/>
        </w:rPr>
        <w:t>g</w:t>
      </w:r>
      <w:r w:rsidRPr="00C811C7">
        <w:rPr>
          <w:rFonts w:eastAsia="Malgun Gothic"/>
          <w:i/>
          <w:iCs/>
          <w:lang w:eastAsia="ko-KR"/>
        </w:rPr>
        <w:t>)</w:t>
      </w:r>
      <w:r w:rsidRPr="008F3F84">
        <w:rPr>
          <w:rFonts w:eastAsia="Malgun Gothic"/>
          <w:lang w:eastAsia="ko-KR"/>
        </w:rPr>
        <w:tab/>
      </w:r>
      <w:r w:rsidR="00CF7199">
        <w:rPr>
          <w:rFonts w:eastAsia="Malgun Gothic"/>
          <w:lang w:eastAsia="ko-KR"/>
        </w:rPr>
        <w:t xml:space="preserve">что </w:t>
      </w:r>
      <w:r w:rsidR="008F3F84">
        <w:t>необходимо международно</w:t>
      </w:r>
      <w:r w:rsidR="00CF7199">
        <w:t>е</w:t>
      </w:r>
      <w:r w:rsidR="008F3F84">
        <w:t xml:space="preserve"> сотрудничеств</w:t>
      </w:r>
      <w:r w:rsidR="00CF7199">
        <w:t>о</w:t>
      </w:r>
      <w:r w:rsidR="008F3F84">
        <w:t xml:space="preserve"> и обмен информацией для устранения угроз безопасности, создаваемых криптографически значимыми квантовыми компьютерами</w:t>
      </w:r>
      <w:r w:rsidRPr="008F3F84">
        <w:rPr>
          <w:rFonts w:eastAsia="Malgun Gothic" w:hint="eastAsia"/>
          <w:lang w:eastAsia="ko-KR"/>
        </w:rPr>
        <w:t>;</w:t>
      </w:r>
    </w:p>
    <w:p w14:paraId="439233DE" w14:textId="0DD3FB25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 w:hint="eastAsia"/>
          <w:i/>
          <w:iCs/>
          <w:lang w:val="en-GB" w:eastAsia="ko-KR"/>
        </w:rPr>
        <w:t>h</w:t>
      </w:r>
      <w:r w:rsidRPr="008F3F84">
        <w:rPr>
          <w:rFonts w:eastAsia="Malgun Gothic"/>
          <w:i/>
          <w:iCs/>
          <w:lang w:eastAsia="ko-KR"/>
        </w:rPr>
        <w:t>)</w:t>
      </w:r>
      <w:r w:rsidRPr="008F3F84">
        <w:rPr>
          <w:rFonts w:eastAsia="Malgun Gothic"/>
          <w:lang w:eastAsia="ko-KR"/>
        </w:rPr>
        <w:tab/>
      </w:r>
      <w:r w:rsidR="008F3F84">
        <w:t xml:space="preserve">что роль МСЭ </w:t>
      </w:r>
      <w:r w:rsidR="00CF7199">
        <w:t>направлена</w:t>
      </w:r>
      <w:r w:rsidR="008F3F84">
        <w:t xml:space="preserve"> на внедрени</w:t>
      </w:r>
      <w:r w:rsidR="00CF7199">
        <w:t>е</w:t>
      </w:r>
      <w:r w:rsidR="008F3F84">
        <w:t xml:space="preserve"> PQC и переход на нее, чтобы укрепить безопасность и доверие при использовании инфраструктуры электросвязи/ИКТ, а не на стандартизаци</w:t>
      </w:r>
      <w:r w:rsidR="00CF7199">
        <w:t>ю</w:t>
      </w:r>
      <w:r w:rsidR="008F3F84">
        <w:t xml:space="preserve"> алгоритмов или протоколов PQC</w:t>
      </w:r>
      <w:r w:rsidRPr="008F3F84">
        <w:rPr>
          <w:rFonts w:eastAsia="Malgun Gothic"/>
          <w:lang w:eastAsia="ko-KR"/>
        </w:rPr>
        <w:t>;</w:t>
      </w:r>
    </w:p>
    <w:p w14:paraId="5ADCB419" w14:textId="185677A9" w:rsidR="00A4761E" w:rsidRPr="008F3F84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 w:hint="eastAsia"/>
          <w:i/>
          <w:iCs/>
          <w:lang w:val="en-GB" w:eastAsia="ko-KR"/>
        </w:rPr>
        <w:t>i</w:t>
      </w:r>
      <w:r w:rsidRPr="008F3F84">
        <w:rPr>
          <w:rFonts w:eastAsia="Calibri"/>
          <w:i/>
          <w:iCs/>
        </w:rPr>
        <w:t>)</w:t>
      </w:r>
      <w:r w:rsidRPr="008F3F84">
        <w:rPr>
          <w:rFonts w:eastAsia="Calibri"/>
          <w:i/>
          <w:iCs/>
        </w:rPr>
        <w:tab/>
      </w:r>
      <w:r w:rsidR="00E24882" w:rsidRPr="00E24882">
        <w:rPr>
          <w:rFonts w:eastAsia="Calibri"/>
        </w:rPr>
        <w:t xml:space="preserve">что </w:t>
      </w:r>
      <w:r w:rsidR="008F3F84">
        <w:t xml:space="preserve">PQC </w:t>
      </w:r>
      <w:r w:rsidR="00E24882">
        <w:t>может</w:t>
      </w:r>
      <w:r w:rsidR="008F3F84">
        <w:t xml:space="preserve"> содействовать разработке инфраструктуры доверия, которая способна противостоять воздействию как квантовых, так и классических компьютеров и может взаимодействовать с существующими протоколами и сетями связи</w:t>
      </w:r>
      <w:r w:rsidRPr="008F3F84">
        <w:rPr>
          <w:rFonts w:eastAsia="Malgun Gothic"/>
          <w:lang w:eastAsia="ko-KR"/>
        </w:rPr>
        <w:t>;</w:t>
      </w:r>
    </w:p>
    <w:p w14:paraId="5FF604DD" w14:textId="4AC320BC" w:rsidR="00A4761E" w:rsidRPr="008F3F84" w:rsidRDefault="00A4761E" w:rsidP="00A4761E">
      <w:pPr>
        <w:rPr>
          <w:rFonts w:eastAsia="Calibri"/>
        </w:rPr>
      </w:pPr>
      <w:r w:rsidRPr="00A4761E">
        <w:rPr>
          <w:rFonts w:eastAsia="Malgun Gothic" w:hint="eastAsia"/>
          <w:i/>
          <w:iCs/>
          <w:lang w:val="en-GB" w:eastAsia="ko-KR"/>
        </w:rPr>
        <w:t>j</w:t>
      </w:r>
      <w:r w:rsidRPr="00C811C7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8F3F84">
        <w:t xml:space="preserve">что переход от существующих классических криптографических систем к системам на основе PQC, способным противостоять атакам на основе квантовых вычислений, является долгосрочным и дорогостоящим проектом. В настоящее время в мире уже </w:t>
      </w:r>
      <w:r w:rsidR="00CF7199">
        <w:t>существует</w:t>
      </w:r>
      <w:r w:rsidR="008F3F84">
        <w:t xml:space="preserve"> </w:t>
      </w:r>
      <w:r w:rsidR="00CF7199">
        <w:t xml:space="preserve">большое </w:t>
      </w:r>
      <w:r w:rsidR="00CF7199">
        <w:lastRenderedPageBreak/>
        <w:t>количество</w:t>
      </w:r>
      <w:r w:rsidR="008F3F84">
        <w:t xml:space="preserve"> вертикальных отраслей, изучающих возможность применения PQC и перехода на </w:t>
      </w:r>
      <w:r w:rsidR="007410DF">
        <w:t>нее</w:t>
      </w:r>
      <w:r w:rsidR="008F3F84">
        <w:t>, и отрасли электросвязи/ИКТ уже сейчас необходимо готовиться к развитию этой тенденции</w:t>
      </w:r>
      <w:r w:rsidRPr="008F3F84">
        <w:rPr>
          <w:rFonts w:eastAsia="Calibri"/>
        </w:rPr>
        <w:t>;</w:t>
      </w:r>
    </w:p>
    <w:p w14:paraId="7C256DB2" w14:textId="361D424D" w:rsidR="00A4761E" w:rsidRPr="008F3F84" w:rsidRDefault="00A4761E" w:rsidP="00A4761E">
      <w:pPr>
        <w:rPr>
          <w:rFonts w:eastAsia="Malgun Gothic"/>
          <w:lang w:eastAsia="ko-KR"/>
        </w:rPr>
      </w:pPr>
      <w:r w:rsidRPr="00C811C7">
        <w:rPr>
          <w:rFonts w:eastAsia="Malgun Gothic" w:hint="eastAsia"/>
          <w:i/>
          <w:iCs/>
          <w:lang w:val="en-GB" w:eastAsia="ko-KR"/>
        </w:rPr>
        <w:t>k</w:t>
      </w:r>
      <w:r w:rsidRPr="00C811C7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7410DF">
        <w:rPr>
          <w:rFonts w:eastAsia="Calibri"/>
        </w:rPr>
        <w:t xml:space="preserve">что </w:t>
      </w:r>
      <w:r w:rsidR="008F3F84">
        <w:t>процесс перехода на PQC чрезвычайно сложен и займет много лет, поскольку требует замены криптографических алгоритмов, обновления криптографических протоколов, схем, компонентов, инфраструктуры и т. д. на криптографические технологии, обеспечивающие квантовую безопасность</w:t>
      </w:r>
      <w:r w:rsidRPr="008F3F84">
        <w:rPr>
          <w:rFonts w:eastAsia="Malgun Gothic" w:hint="eastAsia"/>
          <w:lang w:eastAsia="ko-KR"/>
        </w:rPr>
        <w:t>;</w:t>
      </w:r>
    </w:p>
    <w:p w14:paraId="42EE3695" w14:textId="1B854C35" w:rsidR="00A4761E" w:rsidRPr="008F3F84" w:rsidRDefault="00A4761E" w:rsidP="00A4761E">
      <w:pPr>
        <w:rPr>
          <w:rFonts w:eastAsia="Calibri"/>
        </w:rPr>
      </w:pPr>
      <w:r w:rsidRPr="00A4761E">
        <w:rPr>
          <w:rFonts w:eastAsia="Malgun Gothic" w:hint="eastAsia"/>
          <w:i/>
          <w:iCs/>
          <w:lang w:val="en-GB" w:eastAsia="ko-KR"/>
        </w:rPr>
        <w:t>l</w:t>
      </w:r>
      <w:r w:rsidRPr="00C811C7">
        <w:rPr>
          <w:rFonts w:eastAsia="Calibri"/>
          <w:i/>
          <w:iCs/>
        </w:rPr>
        <w:t>)</w:t>
      </w:r>
      <w:r w:rsidRPr="008F3F84">
        <w:rPr>
          <w:rFonts w:eastAsia="Malgun Gothic"/>
          <w:lang w:eastAsia="ko-KR"/>
        </w:rPr>
        <w:tab/>
      </w:r>
      <w:r w:rsidR="007410DF">
        <w:rPr>
          <w:rFonts w:eastAsia="Malgun Gothic"/>
          <w:lang w:eastAsia="ko-KR"/>
        </w:rPr>
        <w:t xml:space="preserve">что </w:t>
      </w:r>
      <w:r w:rsidR="008F3F84">
        <w:t>переход на PQC может включать проектирование и разработку механизмов для гибкого обновления криптографических систем и итеративное обновление информационных систем криптографических приложений в целях упрощения процесса внедрения будущих алгоритмов PQC</w:t>
      </w:r>
      <w:r w:rsidRPr="008F3F84">
        <w:rPr>
          <w:rFonts w:eastAsia="Calibri"/>
        </w:rPr>
        <w:t>;</w:t>
      </w:r>
    </w:p>
    <w:p w14:paraId="47B0C1C7" w14:textId="79FE1768" w:rsidR="00A4761E" w:rsidRPr="008F3F84" w:rsidRDefault="00A4761E" w:rsidP="00A4761E">
      <w:pPr>
        <w:rPr>
          <w:rFonts w:eastAsia="Calibri"/>
        </w:rPr>
      </w:pPr>
      <w:r w:rsidRPr="00A4761E">
        <w:rPr>
          <w:rFonts w:eastAsia="Malgun Gothic" w:hint="eastAsia"/>
          <w:i/>
          <w:iCs/>
          <w:lang w:val="en-GB" w:eastAsia="ko-KR"/>
        </w:rPr>
        <w:t>m</w:t>
      </w:r>
      <w:r w:rsidRPr="00C811C7">
        <w:rPr>
          <w:rFonts w:eastAsia="Calibri"/>
          <w:i/>
          <w:iCs/>
        </w:rPr>
        <w:t>)</w:t>
      </w:r>
      <w:r w:rsidRPr="008F3F84">
        <w:rPr>
          <w:rFonts w:eastAsia="Calibri"/>
        </w:rPr>
        <w:tab/>
      </w:r>
      <w:r w:rsidR="007410DF">
        <w:rPr>
          <w:rFonts w:eastAsia="Calibri"/>
        </w:rPr>
        <w:t xml:space="preserve">что </w:t>
      </w:r>
      <w:r w:rsidR="008F3F84">
        <w:t>NIST (Национальный институт стандартов и технологий) ве</w:t>
      </w:r>
      <w:r w:rsidR="00AE5E01">
        <w:t>дет непрерывную</w:t>
      </w:r>
      <w:r w:rsidR="008F3F84">
        <w:t xml:space="preserve"> работу над оценкой безопасности алгоритмов PQC</w:t>
      </w:r>
      <w:r w:rsidRPr="008F3F84">
        <w:rPr>
          <w:rFonts w:eastAsia="Malgun Gothic"/>
          <w:lang w:eastAsia="ko-KR"/>
        </w:rPr>
        <w:t>,</w:t>
      </w:r>
    </w:p>
    <w:p w14:paraId="6306CC5A" w14:textId="23D4EE84" w:rsidR="00A4761E" w:rsidRPr="00F53F1F" w:rsidRDefault="00A4761E" w:rsidP="00A4761E">
      <w:pPr>
        <w:pStyle w:val="Call"/>
        <w:rPr>
          <w:lang w:eastAsia="ko-KR"/>
        </w:rPr>
      </w:pPr>
      <w:r>
        <w:rPr>
          <w:lang w:eastAsia="ko-KR"/>
        </w:rPr>
        <w:t>учитывая далее</w:t>
      </w:r>
      <w:r w:rsidR="00C811C7" w:rsidRPr="00C811C7">
        <w:rPr>
          <w:i w:val="0"/>
          <w:iCs/>
          <w:lang w:eastAsia="ko-KR"/>
        </w:rPr>
        <w:t>,</w:t>
      </w:r>
    </w:p>
    <w:p w14:paraId="16DA8977" w14:textId="4EAA8ACA" w:rsidR="00A4761E" w:rsidRPr="00F53F1F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 w:hint="eastAsia"/>
          <w:i/>
          <w:iCs/>
          <w:lang w:val="en-GB" w:eastAsia="ko-KR"/>
        </w:rPr>
        <w:t>a</w:t>
      </w:r>
      <w:r w:rsidRPr="00C811C7">
        <w:rPr>
          <w:rFonts w:eastAsia="Malgun Gothic"/>
          <w:i/>
          <w:iCs/>
          <w:lang w:eastAsia="ko-KR"/>
        </w:rPr>
        <w:t>)</w:t>
      </w:r>
      <w:r w:rsidRPr="00F53F1F">
        <w:rPr>
          <w:rFonts w:eastAsia="Malgun Gothic"/>
          <w:lang w:eastAsia="ko-KR"/>
        </w:rPr>
        <w:tab/>
      </w:r>
      <w:r w:rsidR="00F53F1F">
        <w:t>что в Рекомендации МСЭ-T X.1811 приведены руководящие указания по безопасности для применения в системах IMT-2020 алгоритмов, обеспечивающих квантовую безопасность</w:t>
      </w:r>
      <w:r w:rsidR="00237394">
        <w:t>;</w:t>
      </w:r>
      <w:r w:rsidR="00F53F1F">
        <w:t xml:space="preserve"> в документе TR.qs-dlt приведены руководящие указания для системы DLT, обеспечивающей квантовую безопасность, для защиты DLT</w:t>
      </w:r>
      <w:r w:rsidR="00237394">
        <w:t>;</w:t>
      </w:r>
      <w:r w:rsidR="00F53F1F">
        <w:t xml:space="preserve"> а в ИК17 МСЭ-Т разрабатываются два Технических отчета, в том числе "Руководящие указания по использованию усовершенствованной криптографии на основе PQC"</w:t>
      </w:r>
      <w:r w:rsidRPr="00F53F1F">
        <w:rPr>
          <w:rFonts w:eastAsia="Malgun Gothic"/>
          <w:lang w:eastAsia="ko-KR"/>
        </w:rPr>
        <w:t>;</w:t>
      </w:r>
    </w:p>
    <w:p w14:paraId="58D85BDE" w14:textId="6D95401E" w:rsidR="00A4761E" w:rsidRPr="00F53F1F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 w:hint="eastAsia"/>
          <w:i/>
          <w:iCs/>
          <w:lang w:val="en-GB" w:eastAsia="ko-KR"/>
        </w:rPr>
        <w:t>b</w:t>
      </w:r>
      <w:r w:rsidRPr="00C811C7">
        <w:rPr>
          <w:rFonts w:eastAsia="Malgun Gothic"/>
          <w:i/>
          <w:iCs/>
          <w:lang w:eastAsia="ko-KR"/>
        </w:rPr>
        <w:t>)</w:t>
      </w:r>
      <w:r w:rsidRPr="00F53F1F">
        <w:rPr>
          <w:rFonts w:eastAsia="Malgun Gothic"/>
          <w:lang w:eastAsia="ko-KR"/>
        </w:rPr>
        <w:tab/>
      </w:r>
      <w:r w:rsidR="007410DF">
        <w:rPr>
          <w:rFonts w:eastAsia="Malgun Gothic"/>
          <w:lang w:eastAsia="ko-KR"/>
        </w:rPr>
        <w:t xml:space="preserve">что </w:t>
      </w:r>
      <w:r w:rsidR="00F53F1F">
        <w:t>РГ2/ПК27/ОТК1 ИСО/МЭК и Европейский институт стандартизации электросвязи (ЕТСИ) работают над стандартизацией постквантовой криптографии (PQC) и обмениваются информацией по PQC</w:t>
      </w:r>
      <w:r w:rsidRPr="00F53F1F">
        <w:rPr>
          <w:rFonts w:eastAsia="Malgun Gothic" w:hint="eastAsia"/>
          <w:lang w:eastAsia="ko-KR"/>
        </w:rPr>
        <w:t>;</w:t>
      </w:r>
    </w:p>
    <w:p w14:paraId="7F4931FB" w14:textId="4DC3061A" w:rsidR="00A4761E" w:rsidRPr="00F53F1F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 w:hint="eastAsia"/>
          <w:i/>
          <w:iCs/>
          <w:lang w:val="en-GB" w:eastAsia="ko-KR"/>
        </w:rPr>
        <w:t>c</w:t>
      </w:r>
      <w:r w:rsidRPr="00C811C7">
        <w:rPr>
          <w:rFonts w:eastAsia="Malgun Gothic"/>
          <w:i/>
          <w:iCs/>
          <w:lang w:eastAsia="ko-KR"/>
        </w:rPr>
        <w:t>)</w:t>
      </w:r>
      <w:r w:rsidRPr="00F53F1F">
        <w:rPr>
          <w:rFonts w:eastAsia="Malgun Gothic"/>
          <w:lang w:eastAsia="ko-KR"/>
        </w:rPr>
        <w:tab/>
      </w:r>
      <w:r w:rsidR="007410DF">
        <w:rPr>
          <w:rFonts w:eastAsia="Malgun Gothic"/>
          <w:lang w:eastAsia="ko-KR"/>
        </w:rPr>
        <w:t xml:space="preserve">что </w:t>
      </w:r>
      <w:r w:rsidR="00F53F1F">
        <w:t xml:space="preserve">Национальный центр передового опыта в области кибербезопасности (NCCoE) </w:t>
      </w:r>
      <w:r w:rsidR="00AE5E01">
        <w:t xml:space="preserve">NIST </w:t>
      </w:r>
      <w:r w:rsidR="00F53F1F">
        <w:t>инициирует разработку методов, облегчающих переход от существующего набора криптографических алгоритмов с открытым ключом к алгоритмам заме</w:t>
      </w:r>
      <w:r w:rsidR="00AE5E01">
        <w:t>щения</w:t>
      </w:r>
      <w:r w:rsidR="00F53F1F">
        <w:t>,</w:t>
      </w:r>
      <w:r w:rsidR="00AE5E01">
        <w:t xml:space="preserve"> которые</w:t>
      </w:r>
      <w:r w:rsidR="00F53F1F">
        <w:t xml:space="preserve"> устойчивы к атакам, основанным на использовании квантовых компьютеров</w:t>
      </w:r>
      <w:r w:rsidRPr="00F53F1F">
        <w:rPr>
          <w:rFonts w:eastAsia="Malgun Gothic" w:hint="eastAsia"/>
          <w:lang w:eastAsia="ko-KR"/>
        </w:rPr>
        <w:t>,</w:t>
      </w:r>
    </w:p>
    <w:p w14:paraId="360F5E53" w14:textId="11497B57" w:rsidR="00A4761E" w:rsidRPr="00F53F1F" w:rsidRDefault="00A4761E" w:rsidP="00A4761E">
      <w:pPr>
        <w:pStyle w:val="Call"/>
      </w:pPr>
      <w:r>
        <w:t>отмечая</w:t>
      </w:r>
      <w:r w:rsidR="00C811C7" w:rsidRPr="00C811C7">
        <w:rPr>
          <w:i w:val="0"/>
          <w:iCs/>
          <w:lang w:eastAsia="ko-KR"/>
        </w:rPr>
        <w:t>,</w:t>
      </w:r>
    </w:p>
    <w:p w14:paraId="06A25E9D" w14:textId="2100153A" w:rsidR="00A4761E" w:rsidRPr="00F53F1F" w:rsidRDefault="00A4761E" w:rsidP="00A4761E">
      <w:pPr>
        <w:rPr>
          <w:rFonts w:eastAsia="Calibri"/>
        </w:rPr>
      </w:pPr>
      <w:r w:rsidRPr="00A4761E">
        <w:rPr>
          <w:rFonts w:eastAsia="Calibri"/>
          <w:i/>
          <w:iCs/>
          <w:lang w:val="en-GB"/>
        </w:rPr>
        <w:t>a</w:t>
      </w:r>
      <w:r w:rsidRPr="00F53F1F">
        <w:rPr>
          <w:rFonts w:eastAsia="Calibri"/>
          <w:i/>
          <w:iCs/>
        </w:rPr>
        <w:t>)</w:t>
      </w:r>
      <w:r w:rsidRPr="00F53F1F">
        <w:rPr>
          <w:rFonts w:eastAsia="Calibri"/>
        </w:rPr>
        <w:tab/>
      </w:r>
      <w:r w:rsidR="00F53F1F">
        <w:t xml:space="preserve">что МСЭ-T </w:t>
      </w:r>
      <w:r w:rsidR="00AE5E01">
        <w:t>следует</w:t>
      </w:r>
      <w:r w:rsidR="00F53F1F">
        <w:t xml:space="preserve"> играть ведущую роль в разработке стандартов, направленных на укрепление доверия и обеспечение безопасности при использовании ИКТ</w:t>
      </w:r>
      <w:r w:rsidRPr="00F53F1F">
        <w:rPr>
          <w:rFonts w:eastAsia="Calibri"/>
        </w:rPr>
        <w:t>;</w:t>
      </w:r>
    </w:p>
    <w:p w14:paraId="1E1452F4" w14:textId="752209EA" w:rsidR="00A4761E" w:rsidRPr="00F53F1F" w:rsidRDefault="00A4761E" w:rsidP="00A4761E">
      <w:pPr>
        <w:rPr>
          <w:rFonts w:eastAsia="Calibri"/>
        </w:rPr>
      </w:pPr>
      <w:r w:rsidRPr="00A4761E">
        <w:rPr>
          <w:rFonts w:eastAsia="Calibri"/>
          <w:i/>
          <w:iCs/>
          <w:lang w:val="en-GB"/>
        </w:rPr>
        <w:t>b</w:t>
      </w:r>
      <w:r w:rsidRPr="00F53F1F">
        <w:rPr>
          <w:rFonts w:eastAsia="Calibri"/>
          <w:i/>
          <w:iCs/>
        </w:rPr>
        <w:t>)</w:t>
      </w:r>
      <w:r w:rsidRPr="00F53F1F">
        <w:rPr>
          <w:rFonts w:eastAsia="Calibri"/>
        </w:rPr>
        <w:tab/>
      </w:r>
      <w:r w:rsidR="00F53F1F">
        <w:t>что в настоящее время по инициативе NIST начат процесс разработки, оценки и стандартизации одного или более устойчивых к квантовым угрозам криптографических алгоритмов с открытым ключом</w:t>
      </w:r>
      <w:r w:rsidRPr="00F53F1F">
        <w:rPr>
          <w:rFonts w:eastAsia="Calibri"/>
        </w:rPr>
        <w:t>;</w:t>
      </w:r>
    </w:p>
    <w:p w14:paraId="0CBF0AAC" w14:textId="1BB71F7A" w:rsidR="00A4761E" w:rsidRPr="00F53F1F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/>
          <w:i/>
          <w:iCs/>
          <w:lang w:val="en-GB" w:eastAsia="ko-KR"/>
        </w:rPr>
        <w:t>c</w:t>
      </w:r>
      <w:r w:rsidRPr="00F53F1F">
        <w:rPr>
          <w:rFonts w:eastAsia="Malgun Gothic"/>
          <w:i/>
          <w:iCs/>
          <w:lang w:eastAsia="ko-KR"/>
        </w:rPr>
        <w:t>)</w:t>
      </w:r>
      <w:r w:rsidRPr="00F53F1F">
        <w:rPr>
          <w:rFonts w:eastAsia="Malgun Gothic"/>
          <w:lang w:eastAsia="ko-KR"/>
        </w:rPr>
        <w:tab/>
      </w:r>
      <w:r w:rsidR="00F53F1F">
        <w:t>что NIST выпустил стандарты для трех алгоритмов PQC</w:t>
      </w:r>
      <w:r w:rsidRPr="00F53F1F">
        <w:rPr>
          <w:rFonts w:eastAsia="Malgun Gothic"/>
          <w:lang w:eastAsia="ko-KR"/>
        </w:rPr>
        <w:t>;</w:t>
      </w:r>
    </w:p>
    <w:p w14:paraId="18092C86" w14:textId="4BB8F05F" w:rsidR="00A4761E" w:rsidRPr="00F53F1F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/>
          <w:i/>
          <w:iCs/>
          <w:lang w:val="en-GB" w:eastAsia="ko-KR"/>
        </w:rPr>
        <w:t>d</w:t>
      </w:r>
      <w:r w:rsidRPr="00F53F1F">
        <w:rPr>
          <w:rFonts w:eastAsia="Malgun Gothic"/>
          <w:i/>
          <w:iCs/>
          <w:lang w:eastAsia="ko-KR"/>
        </w:rPr>
        <w:t>)</w:t>
      </w:r>
      <w:r w:rsidRPr="00F53F1F">
        <w:rPr>
          <w:rFonts w:eastAsia="Malgun Gothic"/>
          <w:lang w:eastAsia="ko-KR"/>
        </w:rPr>
        <w:tab/>
      </w:r>
      <w:r w:rsidR="00F53F1F">
        <w:t xml:space="preserve">что IETF создала Рабочую группу по использованию постквантовых технологий в протоколах (PQUIP) для учета инженерных проблем PQC и вопросов, связанных с переходом на нее, а также опыта, касающегося </w:t>
      </w:r>
      <w:r w:rsidR="0002518E">
        <w:t>деятельности</w:t>
      </w:r>
      <w:r w:rsidR="00F53F1F">
        <w:t xml:space="preserve"> IETF, и активного внедрения PQC в протоколы IETF, включая IPSec, TLS и OpenPGP</w:t>
      </w:r>
      <w:r w:rsidRPr="00F53F1F">
        <w:rPr>
          <w:rFonts w:eastAsia="Malgun Gothic"/>
          <w:lang w:eastAsia="ko-KR"/>
        </w:rPr>
        <w:t>;</w:t>
      </w:r>
    </w:p>
    <w:p w14:paraId="32FDC176" w14:textId="54C11566" w:rsidR="00A4761E" w:rsidRPr="00F53F1F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/>
          <w:i/>
          <w:iCs/>
          <w:lang w:val="en-GB" w:eastAsia="ko-KR"/>
        </w:rPr>
        <w:t>e</w:t>
      </w:r>
      <w:r w:rsidRPr="00F53F1F">
        <w:rPr>
          <w:rFonts w:eastAsia="Malgun Gothic"/>
          <w:i/>
          <w:iCs/>
          <w:lang w:eastAsia="ko-KR"/>
        </w:rPr>
        <w:t>)</w:t>
      </w:r>
      <w:r w:rsidRPr="00F53F1F">
        <w:rPr>
          <w:rFonts w:eastAsia="Malgun Gothic"/>
          <w:lang w:eastAsia="ko-KR"/>
        </w:rPr>
        <w:tab/>
      </w:r>
      <w:r w:rsidR="00F53F1F">
        <w:t>что ОТК1</w:t>
      </w:r>
      <w:r w:rsidR="003A3AD2">
        <w:t>/РГ2/ПК27</w:t>
      </w:r>
      <w:r w:rsidR="00F53F1F">
        <w:t xml:space="preserve"> ИСО/МЭК </w:t>
      </w:r>
      <w:r w:rsidR="003A3AD2" w:rsidRPr="00AE5E01">
        <w:t>по криптографии и механизмам безопасности</w:t>
      </w:r>
      <w:r w:rsidR="00F53F1F">
        <w:t xml:space="preserve"> ведет работу над стандартизацией алгоритмов PQC, отобранных NIST</w:t>
      </w:r>
      <w:r w:rsidRPr="00F53F1F">
        <w:rPr>
          <w:rFonts w:eastAsia="Malgun Gothic"/>
          <w:lang w:eastAsia="ko-KR"/>
        </w:rPr>
        <w:t>;</w:t>
      </w:r>
    </w:p>
    <w:p w14:paraId="4BF388DC" w14:textId="4B0D6A82" w:rsidR="00A4761E" w:rsidRPr="00F53F1F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/>
          <w:i/>
          <w:iCs/>
          <w:lang w:val="en-GB" w:eastAsia="ko-KR"/>
        </w:rPr>
        <w:t>f</w:t>
      </w:r>
      <w:r w:rsidRPr="00C811C7">
        <w:rPr>
          <w:rFonts w:eastAsia="Malgun Gothic"/>
          <w:i/>
          <w:iCs/>
          <w:lang w:eastAsia="ko-KR"/>
        </w:rPr>
        <w:t>)</w:t>
      </w:r>
      <w:r w:rsidRPr="00F53F1F">
        <w:rPr>
          <w:rFonts w:eastAsia="Malgun Gothic"/>
          <w:lang w:eastAsia="ko-KR"/>
        </w:rPr>
        <w:tab/>
      </w:r>
      <w:r w:rsidR="00F53F1F">
        <w:t>что рабочая группа ETSI по криптографии, обеспечивающей квантовую безопасность</w:t>
      </w:r>
      <w:r w:rsidR="00AE5E01">
        <w:t xml:space="preserve"> (QSC)</w:t>
      </w:r>
      <w:r w:rsidR="00F53F1F">
        <w:t>, выпустила Технический отчет, в котором определ</w:t>
      </w:r>
      <w:r w:rsidR="00AE5E01">
        <w:t>ены</w:t>
      </w:r>
      <w:r w:rsidR="00F53F1F">
        <w:t xml:space="preserve"> стратегии перехода и рекомендации для схем обеспечения квантовой безопасности</w:t>
      </w:r>
      <w:r w:rsidRPr="00F53F1F">
        <w:rPr>
          <w:rFonts w:eastAsia="Malgun Gothic"/>
          <w:lang w:eastAsia="ko-KR"/>
        </w:rPr>
        <w:t>;</w:t>
      </w:r>
    </w:p>
    <w:p w14:paraId="58D63437" w14:textId="65E9CB9B" w:rsidR="00A4761E" w:rsidRPr="00F53F1F" w:rsidRDefault="00A4761E" w:rsidP="00A4761E">
      <w:pPr>
        <w:rPr>
          <w:rFonts w:eastAsia="Calibri"/>
        </w:rPr>
      </w:pPr>
      <w:r w:rsidRPr="00A4761E">
        <w:rPr>
          <w:rFonts w:eastAsia="Malgun Gothic" w:hint="eastAsia"/>
          <w:i/>
          <w:iCs/>
          <w:lang w:val="en-GB" w:eastAsia="ko-KR"/>
        </w:rPr>
        <w:t>g</w:t>
      </w:r>
      <w:r w:rsidRPr="00F53F1F">
        <w:rPr>
          <w:rFonts w:eastAsia="Calibri"/>
          <w:i/>
          <w:iCs/>
        </w:rPr>
        <w:t>)</w:t>
      </w:r>
      <w:r w:rsidRPr="00F53F1F">
        <w:rPr>
          <w:rFonts w:eastAsia="Calibri"/>
        </w:rPr>
        <w:tab/>
      </w:r>
      <w:r w:rsidR="00F53F1F">
        <w:t>что 17-я Исследовательская комиссия МСЭ-Т является ведущей исследовательской комиссией по вопросам безопасности в МСЭ-Т, на которую возложена задача по координации деятельности в области безопасности в рамках МСЭ-Т и с другими организациями по разработке стандартов и форумами, и разрабатывает основы для совершенствования сотрудничества</w:t>
      </w:r>
      <w:r w:rsidRPr="00F53F1F">
        <w:rPr>
          <w:rFonts w:eastAsia="Calibri"/>
        </w:rPr>
        <w:t>,</w:t>
      </w:r>
    </w:p>
    <w:p w14:paraId="2C9E0915" w14:textId="458A4C12" w:rsidR="00A4761E" w:rsidRPr="00E17BF0" w:rsidRDefault="00E17BF0" w:rsidP="00A4761E">
      <w:pPr>
        <w:pStyle w:val="Call"/>
      </w:pPr>
      <w:r>
        <w:t>признавая</w:t>
      </w:r>
      <w:r w:rsidR="009415B7" w:rsidRPr="00C811C7">
        <w:rPr>
          <w:i w:val="0"/>
          <w:iCs/>
          <w:lang w:eastAsia="ko-KR"/>
        </w:rPr>
        <w:t>,</w:t>
      </w:r>
    </w:p>
    <w:p w14:paraId="45CF4212" w14:textId="58B213C0" w:rsidR="00A4761E" w:rsidRPr="00F53F1F" w:rsidRDefault="00A4761E" w:rsidP="00A4761E">
      <w:pPr>
        <w:rPr>
          <w:rFonts w:eastAsia="Malgun Gothic"/>
          <w:lang w:eastAsia="ko-KR"/>
        </w:rPr>
      </w:pPr>
      <w:r w:rsidRPr="00A4761E">
        <w:rPr>
          <w:rFonts w:eastAsia="Malgun Gothic" w:hint="eastAsia"/>
          <w:i/>
          <w:iCs/>
          <w:lang w:val="en-GB" w:eastAsia="ko-KR"/>
        </w:rPr>
        <w:t>a</w:t>
      </w:r>
      <w:r w:rsidRPr="00F53F1F">
        <w:rPr>
          <w:rFonts w:eastAsia="Malgun Gothic" w:hint="eastAsia"/>
          <w:i/>
          <w:iCs/>
          <w:lang w:eastAsia="ko-KR"/>
        </w:rPr>
        <w:t>)</w:t>
      </w:r>
      <w:r w:rsidRPr="00F53F1F">
        <w:rPr>
          <w:rFonts w:eastAsia="Malgun Gothic"/>
          <w:lang w:eastAsia="ko-KR"/>
        </w:rPr>
        <w:tab/>
      </w:r>
      <w:r w:rsidR="00F53F1F">
        <w:t>что в определении ИК17 PQC относится к классическим квантовоустойчивым алгоритмам</w:t>
      </w:r>
      <w:r w:rsidRPr="00F53F1F">
        <w:rPr>
          <w:rFonts w:eastAsia="Malgun Gothic" w:hint="eastAsia"/>
          <w:lang w:eastAsia="ko-KR"/>
        </w:rPr>
        <w:t>;</w:t>
      </w:r>
    </w:p>
    <w:p w14:paraId="3B268568" w14:textId="28683C9F" w:rsidR="00A4761E" w:rsidRPr="00F53F1F" w:rsidRDefault="00A4761E" w:rsidP="00A4761E">
      <w:pPr>
        <w:rPr>
          <w:rFonts w:eastAsia="Calibri"/>
          <w:i/>
          <w:iCs/>
        </w:rPr>
      </w:pPr>
      <w:r w:rsidRPr="00A4761E">
        <w:rPr>
          <w:rFonts w:eastAsia="Malgun Gothic" w:hint="eastAsia"/>
          <w:i/>
          <w:iCs/>
          <w:lang w:val="en-GB" w:eastAsia="ko-KR"/>
        </w:rPr>
        <w:lastRenderedPageBreak/>
        <w:t>b</w:t>
      </w:r>
      <w:r w:rsidRPr="00F53F1F">
        <w:rPr>
          <w:rFonts w:eastAsia="Calibri"/>
          <w:i/>
          <w:iCs/>
        </w:rPr>
        <w:t>)</w:t>
      </w:r>
      <w:r w:rsidRPr="00F53F1F">
        <w:rPr>
          <w:rFonts w:eastAsia="Calibri"/>
        </w:rPr>
        <w:tab/>
      </w:r>
      <w:r w:rsidR="00F53F1F">
        <w:t>что разработка структуры для оценки и понимания развертывания существующих криптографических систем имеет важное значение для организаций, планирующих переход от существующего набора криптографических алгоритмов с открытым ключом к алгоритмам PQC, устойчивым к атакам на основе использования квантовых компьютеров</w:t>
      </w:r>
      <w:r w:rsidRPr="00F53F1F">
        <w:rPr>
          <w:rFonts w:eastAsia="Calibri"/>
        </w:rPr>
        <w:t>;</w:t>
      </w:r>
    </w:p>
    <w:p w14:paraId="4FD8AA97" w14:textId="634133AB" w:rsidR="00A4761E" w:rsidRPr="00F53F1F" w:rsidRDefault="00A4761E" w:rsidP="00A4761E">
      <w:pPr>
        <w:rPr>
          <w:rFonts w:eastAsia="Calibri"/>
        </w:rPr>
      </w:pPr>
      <w:r w:rsidRPr="00A4761E">
        <w:rPr>
          <w:rFonts w:eastAsia="Malgun Gothic" w:hint="eastAsia"/>
          <w:i/>
          <w:iCs/>
          <w:lang w:val="en-GB" w:eastAsia="ko-KR"/>
        </w:rPr>
        <w:t>c</w:t>
      </w:r>
      <w:r w:rsidRPr="00F53F1F">
        <w:rPr>
          <w:rFonts w:eastAsia="Malgun Gothic"/>
          <w:i/>
          <w:iCs/>
          <w:lang w:eastAsia="ko-KR"/>
        </w:rPr>
        <w:t>)</w:t>
      </w:r>
      <w:r w:rsidRPr="00F53F1F">
        <w:rPr>
          <w:rFonts w:eastAsia="Malgun Gothic"/>
          <w:lang w:eastAsia="ko-KR"/>
        </w:rPr>
        <w:tab/>
      </w:r>
      <w:r w:rsidR="00F53F1F">
        <w:t>что при переходе на PQC важны три параллельных рабочих потока</w:t>
      </w:r>
      <w:r w:rsidR="00814696">
        <w:t>, связанных с</w:t>
      </w:r>
      <w:r w:rsidR="00F53F1F">
        <w:t xml:space="preserve"> алгоритм</w:t>
      </w:r>
      <w:r w:rsidR="00814696">
        <w:t>ами</w:t>
      </w:r>
      <w:r w:rsidR="00F53F1F">
        <w:t xml:space="preserve"> (стандартизация алгоритмов PQC), протокол</w:t>
      </w:r>
      <w:r w:rsidR="00814696">
        <w:t>ами</w:t>
      </w:r>
      <w:r w:rsidR="00F53F1F">
        <w:t xml:space="preserve"> (обеспечение протоколов безопасности с поддержкой PQC) и систем</w:t>
      </w:r>
      <w:r w:rsidR="00814696">
        <w:t>ами</w:t>
      </w:r>
      <w:r w:rsidR="00F53F1F">
        <w:t xml:space="preserve"> (интеграция PQC в системы и процессы)</w:t>
      </w:r>
      <w:r w:rsidRPr="00F53F1F">
        <w:rPr>
          <w:rFonts w:eastAsia="Calibri"/>
        </w:rPr>
        <w:t>,</w:t>
      </w:r>
    </w:p>
    <w:p w14:paraId="46154B75" w14:textId="78F260C0" w:rsidR="00A4761E" w:rsidRPr="00E17BF0" w:rsidRDefault="00E17BF0" w:rsidP="00A4761E">
      <w:pPr>
        <w:pStyle w:val="Call"/>
      </w:pPr>
      <w:r>
        <w:t>решает</w:t>
      </w:r>
    </w:p>
    <w:p w14:paraId="39FC90DC" w14:textId="07B04DB6" w:rsidR="00A4761E" w:rsidRPr="00F53F1F" w:rsidRDefault="00A4761E" w:rsidP="00A4761E">
      <w:pPr>
        <w:rPr>
          <w:rFonts w:eastAsia="Calibri"/>
          <w:lang w:eastAsia="ko-KR"/>
        </w:rPr>
      </w:pPr>
      <w:r w:rsidRPr="00F53F1F">
        <w:rPr>
          <w:rFonts w:eastAsia="Calibri"/>
        </w:rPr>
        <w:t>1</w:t>
      </w:r>
      <w:r w:rsidRPr="00F53F1F">
        <w:rPr>
          <w:rFonts w:eastAsia="Calibri"/>
        </w:rPr>
        <w:tab/>
      </w:r>
      <w:r w:rsidR="00F53F1F">
        <w:t xml:space="preserve">продолжить разработку необходимых Рекомендаций для содействия внедрению PQC и переходу на нее в рамках </w:t>
      </w:r>
      <w:r w:rsidR="00214245">
        <w:t>сети</w:t>
      </w:r>
      <w:r w:rsidR="00F53F1F">
        <w:t xml:space="preserve"> электросвязи/ИКТ</w:t>
      </w:r>
      <w:r w:rsidRPr="00F53F1F">
        <w:rPr>
          <w:rFonts w:eastAsia="Calibri"/>
        </w:rPr>
        <w:t>;</w:t>
      </w:r>
    </w:p>
    <w:p w14:paraId="294E1B18" w14:textId="2B07168E" w:rsidR="00A4761E" w:rsidRPr="00F53F1F" w:rsidRDefault="00A4761E" w:rsidP="00A4761E">
      <w:pPr>
        <w:rPr>
          <w:rFonts w:eastAsia="Malgun Gothic"/>
          <w:lang w:eastAsia="ko-KR"/>
        </w:rPr>
      </w:pPr>
      <w:r w:rsidRPr="00F53F1F">
        <w:rPr>
          <w:rFonts w:eastAsia="Calibri"/>
        </w:rPr>
        <w:t>2</w:t>
      </w:r>
      <w:r w:rsidRPr="00F53F1F">
        <w:rPr>
          <w:rFonts w:eastAsia="Calibri"/>
        </w:rPr>
        <w:tab/>
      </w:r>
      <w:r w:rsidR="00214245">
        <w:t>разработать</w:t>
      </w:r>
      <w:r w:rsidR="00F53F1F">
        <w:t xml:space="preserve"> новые Рекомендации, направленные на популяризацию необходимости создания надежной инфраструктуры на основе PQC, и планы действий по переходу на PQC для использования в инфраструктуре электросвязи/ИКТ после того, как организации, в наибольшей степени подходящие для выполнения этой работы, разработают необходимые алгоритмы, протоколы и стандарты</w:t>
      </w:r>
      <w:r w:rsidRPr="00F53F1F">
        <w:rPr>
          <w:rFonts w:eastAsia="Malgun Gothic" w:hint="eastAsia"/>
          <w:lang w:eastAsia="ko-KR"/>
        </w:rPr>
        <w:t>;</w:t>
      </w:r>
    </w:p>
    <w:p w14:paraId="34723306" w14:textId="37DC8F41" w:rsidR="00A4761E" w:rsidRPr="00F53F1F" w:rsidRDefault="00A4761E" w:rsidP="00A4761E">
      <w:pPr>
        <w:rPr>
          <w:rFonts w:eastAsia="Calibri"/>
        </w:rPr>
      </w:pPr>
      <w:r w:rsidRPr="00F53F1F">
        <w:rPr>
          <w:rFonts w:eastAsia="Calibri"/>
        </w:rPr>
        <w:t>3</w:t>
      </w:r>
      <w:r w:rsidRPr="00F53F1F">
        <w:rPr>
          <w:rFonts w:eastAsia="Calibri"/>
        </w:rPr>
        <w:tab/>
      </w:r>
      <w:r w:rsidR="00F53F1F">
        <w:t>разработать структуру для оказания помощи организациям в оценке развертывания существующих криптографических систем и планировании перехода на PQC</w:t>
      </w:r>
      <w:r w:rsidRPr="00F53F1F">
        <w:rPr>
          <w:rFonts w:eastAsia="Calibri"/>
        </w:rPr>
        <w:t>,</w:t>
      </w:r>
    </w:p>
    <w:p w14:paraId="1C1C35B6" w14:textId="1BD8BBAF" w:rsidR="00A4761E" w:rsidRPr="00F53F1F" w:rsidRDefault="00F53F1F" w:rsidP="00F53F1F">
      <w:pPr>
        <w:pStyle w:val="Call"/>
      </w:pPr>
      <w:r>
        <w:rPr>
          <w:iCs/>
        </w:rPr>
        <w:t>поручает 17-й Исследовательской комиссии как ведущей исследовательской комиссии по вопросам безопасности</w:t>
      </w:r>
      <w:r w:rsidR="00E44AE6">
        <w:rPr>
          <w:iCs/>
        </w:rPr>
        <w:t>, а также</w:t>
      </w:r>
      <w:r>
        <w:rPr>
          <w:iCs/>
        </w:rPr>
        <w:t xml:space="preserve"> другим соответствующим исследовательским комиссиям Сектора стандартизации электросвязи МСЭ</w:t>
      </w:r>
    </w:p>
    <w:p w14:paraId="01455A5E" w14:textId="26999CAA" w:rsidR="00A4761E" w:rsidRPr="00F53F1F" w:rsidRDefault="00A4761E" w:rsidP="00A4761E">
      <w:pPr>
        <w:rPr>
          <w:rFonts w:eastAsia="Calibri"/>
        </w:rPr>
      </w:pPr>
      <w:r w:rsidRPr="00F53F1F">
        <w:rPr>
          <w:rFonts w:eastAsia="Calibri"/>
        </w:rPr>
        <w:t>1</w:t>
      </w:r>
      <w:r w:rsidRPr="00F53F1F">
        <w:rPr>
          <w:rFonts w:eastAsia="Calibri"/>
        </w:rPr>
        <w:tab/>
      </w:r>
      <w:r w:rsidR="00F53F1F">
        <w:t>провести оценку существующих, дорабатываемых и новых Рекомендаций в отношении внедрения PQC и перехода на нее</w:t>
      </w:r>
      <w:r w:rsidRPr="00F53F1F">
        <w:rPr>
          <w:rFonts w:eastAsia="Calibri"/>
        </w:rPr>
        <w:t>;</w:t>
      </w:r>
    </w:p>
    <w:p w14:paraId="5CA8740E" w14:textId="607D827C" w:rsidR="00A4761E" w:rsidRPr="00F53F1F" w:rsidRDefault="00A4761E" w:rsidP="00A4761E">
      <w:pPr>
        <w:rPr>
          <w:rFonts w:eastAsia="Malgun Gothic"/>
          <w:lang w:eastAsia="ko-KR"/>
        </w:rPr>
      </w:pPr>
      <w:r w:rsidRPr="00F53F1F">
        <w:rPr>
          <w:rFonts w:eastAsia="Calibri"/>
        </w:rPr>
        <w:t>2</w:t>
      </w:r>
      <w:r w:rsidRPr="00F53F1F">
        <w:rPr>
          <w:rFonts w:eastAsia="Calibri"/>
        </w:rPr>
        <w:tab/>
      </w:r>
      <w:r w:rsidR="00F53F1F">
        <w:t>продолжать разрабатывать Рекомендации и другие публикации МСЭ-Т, содержащие руководящие указания и передовой опыт, которые помогут организациям подготовиться к внедрению PQC и переходу на нее</w:t>
      </w:r>
      <w:r w:rsidRPr="00F53F1F">
        <w:rPr>
          <w:rFonts w:eastAsia="Calibri"/>
        </w:rPr>
        <w:t>;</w:t>
      </w:r>
    </w:p>
    <w:p w14:paraId="457927DC" w14:textId="11039529" w:rsidR="00A4761E" w:rsidRPr="00F53F1F" w:rsidRDefault="00A4761E" w:rsidP="00A4761E">
      <w:pPr>
        <w:rPr>
          <w:rFonts w:eastAsia="Malgun Gothic"/>
          <w:lang w:eastAsia="ko-KR"/>
        </w:rPr>
      </w:pPr>
      <w:r w:rsidRPr="00F53F1F">
        <w:rPr>
          <w:rFonts w:eastAsia="Malgun Gothic"/>
          <w:lang w:eastAsia="ko-KR"/>
        </w:rPr>
        <w:t>3</w:t>
      </w:r>
      <w:r w:rsidRPr="00F53F1F">
        <w:rPr>
          <w:rFonts w:eastAsia="Malgun Gothic"/>
          <w:lang w:eastAsia="ko-KR"/>
        </w:rPr>
        <w:tab/>
      </w:r>
      <w:r w:rsidR="00F53F1F">
        <w:t xml:space="preserve">взаимодействовать с заинтересованными сторонами отрасли для сбора аналитических </w:t>
      </w:r>
      <w:r w:rsidR="00814696">
        <w:t>материалов</w:t>
      </w:r>
      <w:r w:rsidR="00F53F1F">
        <w:t xml:space="preserve"> и передового опыта в целях содействия внедрению PQC и переходу на нее в рамках сети электросвязи/ИКТ</w:t>
      </w:r>
      <w:r w:rsidRPr="00F53F1F">
        <w:rPr>
          <w:rFonts w:eastAsia="Malgun Gothic" w:hint="eastAsia"/>
          <w:lang w:eastAsia="ko-KR"/>
        </w:rPr>
        <w:t>;</w:t>
      </w:r>
    </w:p>
    <w:p w14:paraId="53FB0201" w14:textId="2D0E3AA9" w:rsidR="00A4761E" w:rsidRPr="00F53F1F" w:rsidRDefault="00A4761E" w:rsidP="00A4761E">
      <w:pPr>
        <w:rPr>
          <w:rFonts w:eastAsia="Malgun Gothic"/>
          <w:lang w:eastAsia="ko-KR"/>
        </w:rPr>
      </w:pPr>
      <w:r w:rsidRPr="00F53F1F">
        <w:rPr>
          <w:rFonts w:eastAsia="Malgun Gothic" w:hint="eastAsia"/>
          <w:lang w:eastAsia="ko-KR"/>
        </w:rPr>
        <w:t>4</w:t>
      </w:r>
      <w:r w:rsidRPr="00F53F1F">
        <w:rPr>
          <w:rFonts w:eastAsia="Calibri"/>
        </w:rPr>
        <w:tab/>
      </w:r>
      <w:r w:rsidR="00F53F1F">
        <w:t>сотрудничать с другими исследовательскими комиссиями МСЭ-Т и другими организациями в целях выполнения настоящей Резолюции</w:t>
      </w:r>
      <w:r w:rsidRPr="00F53F1F">
        <w:rPr>
          <w:rFonts w:eastAsia="Calibri"/>
        </w:rPr>
        <w:t>;</w:t>
      </w:r>
    </w:p>
    <w:p w14:paraId="5F88CD75" w14:textId="170C4760" w:rsidR="00A4761E" w:rsidRPr="00F53F1F" w:rsidRDefault="00A4761E" w:rsidP="00A4761E">
      <w:pPr>
        <w:rPr>
          <w:rFonts w:eastAsia="Malgun Gothic"/>
          <w:lang w:eastAsia="ko-KR"/>
        </w:rPr>
      </w:pPr>
      <w:r w:rsidRPr="00F53F1F">
        <w:rPr>
          <w:rFonts w:eastAsia="Malgun Gothic" w:hint="eastAsia"/>
          <w:lang w:eastAsia="ko-KR"/>
        </w:rPr>
        <w:t>5</w:t>
      </w:r>
      <w:r w:rsidRPr="00F53F1F">
        <w:rPr>
          <w:rFonts w:eastAsia="Malgun Gothic"/>
          <w:lang w:eastAsia="ko-KR"/>
        </w:rPr>
        <w:tab/>
      </w:r>
      <w:r w:rsidR="00F53F1F">
        <w:t xml:space="preserve">поощрять обмен информацией о достижениях в соответствующих разработках, которые относятся к внедрению PQC и переходу на нее, а также переходу на PQC в рамках </w:t>
      </w:r>
      <w:r w:rsidR="00214245">
        <w:t>сети</w:t>
      </w:r>
      <w:r w:rsidR="00F53F1F">
        <w:t xml:space="preserve"> электросвязи/ИКТ</w:t>
      </w:r>
      <w:r w:rsidRPr="00F53F1F">
        <w:rPr>
          <w:rFonts w:eastAsia="Malgun Gothic" w:hint="eastAsia"/>
          <w:lang w:eastAsia="ko-KR"/>
        </w:rPr>
        <w:t>;</w:t>
      </w:r>
    </w:p>
    <w:p w14:paraId="1E3EED54" w14:textId="3B2BDB7B" w:rsidR="00A4761E" w:rsidRPr="00F53F1F" w:rsidRDefault="00A4761E" w:rsidP="00A4761E">
      <w:pPr>
        <w:rPr>
          <w:rFonts w:eastAsia="Calibri"/>
        </w:rPr>
      </w:pPr>
      <w:r w:rsidRPr="00F53F1F">
        <w:rPr>
          <w:rFonts w:eastAsia="Malgun Gothic" w:hint="eastAsia"/>
          <w:lang w:eastAsia="ko-KR"/>
        </w:rPr>
        <w:t>6</w:t>
      </w:r>
      <w:r w:rsidRPr="00F53F1F">
        <w:rPr>
          <w:rFonts w:eastAsia="Calibri"/>
        </w:rPr>
        <w:tab/>
      </w:r>
      <w:r w:rsidR="00F53F1F">
        <w:t>представить рекомендации Консультативной группе по стандартизации электросвязи о порядк</w:t>
      </w:r>
      <w:r w:rsidR="00E44AE6">
        <w:t>е</w:t>
      </w:r>
      <w:r w:rsidR="00F53F1F">
        <w:t xml:space="preserve"> рассмотрения вопросов, выходящих за рамки мандата указанных исследовательских комиссий</w:t>
      </w:r>
      <w:r w:rsidRPr="00F53F1F">
        <w:rPr>
          <w:rFonts w:eastAsia="Calibri"/>
        </w:rPr>
        <w:t>,</w:t>
      </w:r>
    </w:p>
    <w:p w14:paraId="6F23719A" w14:textId="02507B6C" w:rsidR="00A4761E" w:rsidRPr="00F53F1F" w:rsidRDefault="00F53F1F" w:rsidP="00A4761E">
      <w:pPr>
        <w:pStyle w:val="Call"/>
      </w:pPr>
      <w:r>
        <w:t>поручает Консультативной группе по стандартизации электросвязи</w:t>
      </w:r>
    </w:p>
    <w:p w14:paraId="3DCA02BA" w14:textId="2E2A81AD" w:rsidR="00A4761E" w:rsidRPr="00F53F1F" w:rsidRDefault="000A728E" w:rsidP="00A4761E">
      <w:pPr>
        <w:rPr>
          <w:rFonts w:eastAsia="Calibri"/>
        </w:rPr>
      </w:pPr>
      <w:r>
        <w:t>обеспечить согласованные меры в рамках</w:t>
      </w:r>
      <w:r w:rsidR="00F53F1F">
        <w:t xml:space="preserve"> соответствующих исследовательских комиссий по ускорению работы по стандартизации для содействия внедрению PQC и переходу на нее, а также переходу на PQC в рамках сети электросвязи/ИКТ</w:t>
      </w:r>
      <w:r w:rsidR="00A4761E" w:rsidRPr="00F53F1F">
        <w:rPr>
          <w:rFonts w:eastAsia="Calibri"/>
        </w:rPr>
        <w:t>,</w:t>
      </w:r>
    </w:p>
    <w:p w14:paraId="09D77510" w14:textId="2D81B834" w:rsidR="00A4761E" w:rsidRPr="00E17BF0" w:rsidRDefault="00E17BF0" w:rsidP="00A4761E">
      <w:pPr>
        <w:pStyle w:val="Call"/>
      </w:pPr>
      <w:r>
        <w:t>поручает</w:t>
      </w:r>
      <w:r w:rsidRPr="00E17BF0">
        <w:t xml:space="preserve"> </w:t>
      </w:r>
      <w:r>
        <w:t>Директору</w:t>
      </w:r>
      <w:r w:rsidRPr="00E17BF0">
        <w:t xml:space="preserve"> </w:t>
      </w:r>
      <w:r>
        <w:t>Бюро</w:t>
      </w:r>
      <w:r w:rsidRPr="00E17BF0">
        <w:t xml:space="preserve"> </w:t>
      </w:r>
      <w:r>
        <w:t>стандартизации</w:t>
      </w:r>
      <w:r w:rsidRPr="00E17BF0">
        <w:t xml:space="preserve"> </w:t>
      </w:r>
      <w:r>
        <w:t>электросвязи</w:t>
      </w:r>
    </w:p>
    <w:p w14:paraId="29B291F9" w14:textId="06488978" w:rsidR="00A4761E" w:rsidRPr="00F53F1F" w:rsidRDefault="00A4761E" w:rsidP="00A4761E">
      <w:pPr>
        <w:rPr>
          <w:rFonts w:eastAsia="Calibri"/>
        </w:rPr>
      </w:pPr>
      <w:r w:rsidRPr="00F53F1F">
        <w:rPr>
          <w:rFonts w:eastAsia="Calibri"/>
        </w:rPr>
        <w:t>1</w:t>
      </w:r>
      <w:r w:rsidRPr="00F53F1F">
        <w:rPr>
          <w:rFonts w:eastAsia="Calibri"/>
        </w:rPr>
        <w:tab/>
      </w:r>
      <w:r w:rsidR="00F53F1F">
        <w:t>оказывать необходимую помощь в разработке планов действий по содействию внедрению PQC и переходу инфраструктуры электросвязи/ИКТ на PQC и поощрять участие и вклады Государств-Членов, Членов Секторов, Ассоциированных членов и Академических организаций</w:t>
      </w:r>
      <w:r w:rsidR="00E44AE6">
        <w:t> – Членов</w:t>
      </w:r>
      <w:r w:rsidRPr="00F53F1F">
        <w:rPr>
          <w:rFonts w:eastAsia="Calibri"/>
        </w:rPr>
        <w:t>;</w:t>
      </w:r>
    </w:p>
    <w:p w14:paraId="4296C8E9" w14:textId="7328C952" w:rsidR="00A4761E" w:rsidRPr="00F53F1F" w:rsidRDefault="00A4761E" w:rsidP="00A4761E">
      <w:pPr>
        <w:rPr>
          <w:rFonts w:eastAsia="Malgun Gothic"/>
          <w:lang w:eastAsia="ko-KR"/>
        </w:rPr>
      </w:pPr>
      <w:r w:rsidRPr="00F53F1F">
        <w:rPr>
          <w:rFonts w:eastAsia="Calibri"/>
        </w:rPr>
        <w:t>2</w:t>
      </w:r>
      <w:r w:rsidRPr="00F53F1F">
        <w:rPr>
          <w:rFonts w:eastAsia="Calibri"/>
        </w:rPr>
        <w:tab/>
      </w:r>
      <w:r w:rsidR="00F53F1F">
        <w:t>организовать семинар(ы)-практикум(ы) по сбору рекомендаций и мнений по этой тематике у широкого круга заинтересованных сторон</w:t>
      </w:r>
      <w:r w:rsidRPr="00F53F1F">
        <w:rPr>
          <w:rFonts w:eastAsia="Malgun Gothic" w:hint="eastAsia"/>
          <w:lang w:eastAsia="ko-KR"/>
        </w:rPr>
        <w:t>;</w:t>
      </w:r>
    </w:p>
    <w:p w14:paraId="2DA6691D" w14:textId="7447B3A6" w:rsidR="00A4761E" w:rsidRPr="00F53F1F" w:rsidRDefault="00A4761E" w:rsidP="00A4761E">
      <w:pPr>
        <w:rPr>
          <w:rFonts w:eastAsia="Malgun Gothic"/>
          <w:lang w:eastAsia="ko-KR"/>
        </w:rPr>
      </w:pPr>
      <w:r w:rsidRPr="00F53F1F">
        <w:rPr>
          <w:rFonts w:eastAsia="Malgun Gothic" w:hint="eastAsia"/>
          <w:lang w:eastAsia="ko-KR"/>
        </w:rPr>
        <w:lastRenderedPageBreak/>
        <w:t>3</w:t>
      </w:r>
      <w:r w:rsidRPr="00F53F1F">
        <w:rPr>
          <w:rFonts w:eastAsia="Malgun Gothic"/>
          <w:lang w:eastAsia="ko-KR"/>
        </w:rPr>
        <w:tab/>
      </w:r>
      <w:r w:rsidR="00F53F1F">
        <w:t xml:space="preserve">оказывать поддержку Директору Бюро развития электросвязи (БРЭ) </w:t>
      </w:r>
      <w:r w:rsidR="00E44AE6">
        <w:t>при оказании</w:t>
      </w:r>
      <w:r w:rsidR="00F53F1F">
        <w:t xml:space="preserve"> помощи Государствам-Членам в содействии внедрению PQC и переходу инфраструктуры электросвязи/ИКТ на PQC</w:t>
      </w:r>
      <w:r w:rsidRPr="00F53F1F">
        <w:rPr>
          <w:rFonts w:eastAsia="Calibri"/>
        </w:rPr>
        <w:t>,</w:t>
      </w:r>
    </w:p>
    <w:p w14:paraId="641B4889" w14:textId="631DAC21" w:rsidR="00A4761E" w:rsidRPr="00F53F1F" w:rsidRDefault="00F53F1F" w:rsidP="00A4761E">
      <w:pPr>
        <w:pStyle w:val="Call"/>
      </w:pPr>
      <w:r>
        <w:rPr>
          <w:iCs/>
        </w:rPr>
        <w:t>предлагает Государствам-Членам, Членам Секторов, Ассоциированным членам и Академическим организациям</w:t>
      </w:r>
      <w:r w:rsidR="00E44AE6">
        <w:rPr>
          <w:iCs/>
        </w:rPr>
        <w:t xml:space="preserve"> </w:t>
      </w:r>
      <w:r w:rsidR="00E44AE6">
        <w:t>– Членам</w:t>
      </w:r>
    </w:p>
    <w:p w14:paraId="05BAA928" w14:textId="6C69AEB6" w:rsidR="00A4761E" w:rsidRPr="00E44AE6" w:rsidRDefault="00A4761E" w:rsidP="00A4761E">
      <w:pPr>
        <w:rPr>
          <w:rFonts w:eastAsia="Malgun Gothic"/>
          <w:lang w:eastAsia="ko-KR"/>
        </w:rPr>
      </w:pPr>
      <w:r w:rsidRPr="00F53F1F">
        <w:rPr>
          <w:rFonts w:eastAsia="Malgun Gothic" w:hint="eastAsia"/>
          <w:lang w:eastAsia="ko-KR"/>
        </w:rPr>
        <w:t>1</w:t>
      </w:r>
      <w:r w:rsidRPr="00F53F1F">
        <w:rPr>
          <w:rFonts w:eastAsia="Malgun Gothic"/>
          <w:lang w:eastAsia="ko-KR"/>
        </w:rPr>
        <w:tab/>
      </w:r>
      <w:r w:rsidR="00F53F1F">
        <w:t>представлять вклады для разработки Рекомендаций, других публикаций МСЭ-Т</w:t>
      </w:r>
      <w:r w:rsidR="00E44AE6">
        <w:t>, содержащие</w:t>
      </w:r>
      <w:r w:rsidR="00F53F1F">
        <w:t xml:space="preserve"> руководящи</w:t>
      </w:r>
      <w:r w:rsidR="00E44AE6">
        <w:t>е</w:t>
      </w:r>
      <w:r w:rsidR="00F53F1F">
        <w:t xml:space="preserve"> указания и передово</w:t>
      </w:r>
      <w:r w:rsidR="00E44AE6">
        <w:t>й</w:t>
      </w:r>
      <w:r w:rsidR="00F53F1F">
        <w:t xml:space="preserve"> опыт по содействию внедрению PQC и переходу инфраструктуры электросвязи/ИКТ на PQC</w:t>
      </w:r>
      <w:r w:rsidRPr="00E44AE6">
        <w:rPr>
          <w:rFonts w:eastAsia="Malgun Gothic" w:hint="eastAsia"/>
          <w:lang w:eastAsia="ko-KR"/>
        </w:rPr>
        <w:t>;</w:t>
      </w:r>
    </w:p>
    <w:p w14:paraId="64F820E5" w14:textId="3B85DC65" w:rsidR="00A4761E" w:rsidRPr="00F53F1F" w:rsidRDefault="00A4761E" w:rsidP="00A4761E">
      <w:pPr>
        <w:rPr>
          <w:rFonts w:eastAsia="Calibri"/>
        </w:rPr>
      </w:pPr>
      <w:r w:rsidRPr="00F53F1F">
        <w:rPr>
          <w:rFonts w:eastAsia="Malgun Gothic" w:hint="eastAsia"/>
          <w:lang w:eastAsia="ko-KR"/>
        </w:rPr>
        <w:t>2</w:t>
      </w:r>
      <w:r w:rsidRPr="00F53F1F">
        <w:rPr>
          <w:rFonts w:eastAsia="Malgun Gothic"/>
          <w:lang w:eastAsia="ko-KR"/>
        </w:rPr>
        <w:tab/>
      </w:r>
      <w:r w:rsidR="00F53F1F">
        <w:t xml:space="preserve">содействовать проведению </w:t>
      </w:r>
      <w:r w:rsidR="00E44AE6">
        <w:t>образовательных</w:t>
      </w:r>
      <w:r w:rsidR="00F53F1F">
        <w:t xml:space="preserve"> семинаров-практикумов и учебных занятий для содействия внедрению PQC и переходу на PQC, а также переходу на PQC в рамках сети электросвязи/ИКТ</w:t>
      </w:r>
      <w:r w:rsidRPr="00F53F1F">
        <w:rPr>
          <w:rFonts w:eastAsia="Calibri"/>
        </w:rPr>
        <w:t>.</w:t>
      </w:r>
    </w:p>
    <w:p w14:paraId="1017D993" w14:textId="77777777" w:rsidR="00E17BF0" w:rsidRPr="00F53F1F" w:rsidRDefault="00E17BF0" w:rsidP="00411C49">
      <w:pPr>
        <w:pStyle w:val="Reasons"/>
      </w:pPr>
    </w:p>
    <w:p w14:paraId="7E028550" w14:textId="77777777" w:rsidR="00E17BF0" w:rsidRDefault="00E17BF0">
      <w:pPr>
        <w:jc w:val="center"/>
      </w:pPr>
      <w:r>
        <w:t>______________</w:t>
      </w:r>
    </w:p>
    <w:sectPr w:rsidR="00E17BF0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59C6F" w14:textId="77777777" w:rsidR="00CC778F" w:rsidRDefault="00CC778F">
      <w:r>
        <w:separator/>
      </w:r>
    </w:p>
  </w:endnote>
  <w:endnote w:type="continuationSeparator" w:id="0">
    <w:p w14:paraId="5E9B953D" w14:textId="77777777" w:rsidR="00CC778F" w:rsidRDefault="00CC778F">
      <w:r>
        <w:continuationSeparator/>
      </w:r>
    </w:p>
  </w:endnote>
  <w:endnote w:type="continuationNotice" w:id="1">
    <w:p w14:paraId="09E94682" w14:textId="77777777" w:rsidR="00CC778F" w:rsidRDefault="00CC77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44B4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B99386" w14:textId="675159E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11C7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98E8" w14:textId="77777777" w:rsidR="00CC778F" w:rsidRDefault="00CC778F">
      <w:r>
        <w:rPr>
          <w:b/>
        </w:rPr>
        <w:t>_______________</w:t>
      </w:r>
    </w:p>
  </w:footnote>
  <w:footnote w:type="continuationSeparator" w:id="0">
    <w:p w14:paraId="0EA6AD5E" w14:textId="77777777" w:rsidR="00CC778F" w:rsidRDefault="00CC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69E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WTSA-24/37(Add.42)-R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9645325">
    <w:abstractNumId w:val="8"/>
  </w:num>
  <w:num w:numId="2" w16cid:durableId="19938309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81756978">
    <w:abstractNumId w:val="9"/>
  </w:num>
  <w:num w:numId="4" w16cid:durableId="1664311923">
    <w:abstractNumId w:val="7"/>
  </w:num>
  <w:num w:numId="5" w16cid:durableId="2081898580">
    <w:abstractNumId w:val="6"/>
  </w:num>
  <w:num w:numId="6" w16cid:durableId="71968808">
    <w:abstractNumId w:val="5"/>
  </w:num>
  <w:num w:numId="7" w16cid:durableId="1671447292">
    <w:abstractNumId w:val="4"/>
  </w:num>
  <w:num w:numId="8" w16cid:durableId="961377595">
    <w:abstractNumId w:val="3"/>
  </w:num>
  <w:num w:numId="9" w16cid:durableId="1945575810">
    <w:abstractNumId w:val="2"/>
  </w:num>
  <w:num w:numId="10" w16cid:durableId="692807600">
    <w:abstractNumId w:val="1"/>
  </w:num>
  <w:num w:numId="11" w16cid:durableId="765542672">
    <w:abstractNumId w:val="0"/>
  </w:num>
  <w:num w:numId="12" w16cid:durableId="957183773">
    <w:abstractNumId w:val="12"/>
  </w:num>
  <w:num w:numId="13" w16cid:durableId="865869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518E"/>
    <w:rsid w:val="00034F78"/>
    <w:rsid w:val="000355FD"/>
    <w:rsid w:val="00051E39"/>
    <w:rsid w:val="000560D0"/>
    <w:rsid w:val="00062F05"/>
    <w:rsid w:val="00063D0B"/>
    <w:rsid w:val="00063EBE"/>
    <w:rsid w:val="0006471F"/>
    <w:rsid w:val="000725AB"/>
    <w:rsid w:val="00077239"/>
    <w:rsid w:val="000807E9"/>
    <w:rsid w:val="00086491"/>
    <w:rsid w:val="00091346"/>
    <w:rsid w:val="0009706C"/>
    <w:rsid w:val="000A4F50"/>
    <w:rsid w:val="000A728E"/>
    <w:rsid w:val="000D0578"/>
    <w:rsid w:val="000D708A"/>
    <w:rsid w:val="000E0EFD"/>
    <w:rsid w:val="000F57C3"/>
    <w:rsid w:val="000F73FF"/>
    <w:rsid w:val="00103C58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4245"/>
    <w:rsid w:val="00216B6D"/>
    <w:rsid w:val="00227927"/>
    <w:rsid w:val="0023451B"/>
    <w:rsid w:val="00236EBA"/>
    <w:rsid w:val="00237394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4796"/>
    <w:rsid w:val="0034635C"/>
    <w:rsid w:val="00377729"/>
    <w:rsid w:val="00377BD3"/>
    <w:rsid w:val="00384088"/>
    <w:rsid w:val="003879F0"/>
    <w:rsid w:val="0039169B"/>
    <w:rsid w:val="00394470"/>
    <w:rsid w:val="003A3AD2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2C3F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1D0D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10DF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14696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3F84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15B7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60F9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07765"/>
    <w:rsid w:val="00A141AF"/>
    <w:rsid w:val="00A16D29"/>
    <w:rsid w:val="00A30305"/>
    <w:rsid w:val="00A317ED"/>
    <w:rsid w:val="00A31D2D"/>
    <w:rsid w:val="00A36DF9"/>
    <w:rsid w:val="00A41A0D"/>
    <w:rsid w:val="00A41CB8"/>
    <w:rsid w:val="00A4340C"/>
    <w:rsid w:val="00A4600A"/>
    <w:rsid w:val="00A46C09"/>
    <w:rsid w:val="00A4761E"/>
    <w:rsid w:val="00A47EC0"/>
    <w:rsid w:val="00A52D1A"/>
    <w:rsid w:val="00A538A6"/>
    <w:rsid w:val="00A54C25"/>
    <w:rsid w:val="00A710E7"/>
    <w:rsid w:val="00A7372E"/>
    <w:rsid w:val="00A774F0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5E01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121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11C7"/>
    <w:rsid w:val="00C97C68"/>
    <w:rsid w:val="00CA111E"/>
    <w:rsid w:val="00CA1A47"/>
    <w:rsid w:val="00CC247A"/>
    <w:rsid w:val="00CC778F"/>
    <w:rsid w:val="00CD70EF"/>
    <w:rsid w:val="00CD7CC4"/>
    <w:rsid w:val="00CE388F"/>
    <w:rsid w:val="00CE552F"/>
    <w:rsid w:val="00CE5E47"/>
    <w:rsid w:val="00CF020F"/>
    <w:rsid w:val="00CF1E9D"/>
    <w:rsid w:val="00CF2B5B"/>
    <w:rsid w:val="00CF7199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058F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7BF0"/>
    <w:rsid w:val="00E2134A"/>
    <w:rsid w:val="00E24882"/>
    <w:rsid w:val="00E26226"/>
    <w:rsid w:val="00E3103C"/>
    <w:rsid w:val="00E40288"/>
    <w:rsid w:val="00E44AE6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D50CE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F1F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B1EA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f933f0-caf1-4e85-8825-026f018ad04c">DPM</DPM_x0020_Author>
    <DPM_x0020_File_x0020_name xmlns="48f933f0-caf1-4e85-8825-026f018ad04c">T22-WTSA.24-C-0037!A42!MSW-R</DPM_x0020_File_x0020_name>
    <DPM_x0020_Version xmlns="48f933f0-caf1-4e85-8825-026f018ad04c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f933f0-caf1-4e85-8825-026f018ad04c" targetNamespace="http://schemas.microsoft.com/office/2006/metadata/properties" ma:root="true" ma:fieldsID="d41af5c836d734370eb92e7ee5f83852" ns2:_="" ns3:_="">
    <xsd:import namespace="996b2e75-67fd-4955-a3b0-5ab9934cb50b"/>
    <xsd:import namespace="48f933f0-caf1-4e85-8825-026f018ad0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933f0-caf1-4e85-8825-026f018ad0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8f933f0-caf1-4e85-8825-026f018ad04c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f933f0-caf1-4e85-8825-026f018ad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1565</Words>
  <Characters>11337</Characters>
  <Application>Microsoft Office Word</Application>
  <DocSecurity>0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T22-WTSA.24-C-0037!A42!MSW-R</vt:lpstr>
      <vt:lpstr>T22-WTSA.24-C-0037!A42!MSW-R</vt:lpstr>
    </vt:vector>
  </TitlesOfParts>
  <Manager>General Secretariat - Pool</Manager>
  <Company>International Telecommunication Union (ITU)</Company>
  <LinksUpToDate>false</LinksUpToDate>
  <CharactersWithSpaces>12877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2024-10-07T12:34:00Z</dcterms:created>
  <dcterms:modified xsi:type="dcterms:W3CDTF">2024-10-07T13:32:00Z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