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857"/>
        <w:gridCol w:w="2226"/>
        <w:gridCol w:w="1286"/>
      </w:tblGrid>
      <w:tr w:rsidR="00EB7201" w14:paraId="3805F159" w14:textId="77777777">
        <w:trPr>
          <w:cantSplit/>
          <w:trHeight w:val="1132"/>
        </w:trPr>
        <w:tc>
          <w:tcPr>
            <w:tcW w:w="1290" w:type="dxa"/>
            <w:vAlign w:val="center"/>
          </w:tcPr>
          <w:p w14:paraId="1F1E90DD" w14:textId="77777777" w:rsidR="00EB7201" w:rsidRDefault="001E3D84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05E6A916" wp14:editId="7CF1676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A823A2" w14:textId="77777777" w:rsidR="00EB7201" w:rsidRDefault="001E3D84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76BE448" w14:textId="77777777" w:rsidR="00EB7201" w:rsidRDefault="001E3D84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>
              <w:rPr>
                <w:rFonts w:cstheme="minorHAnsi"/>
                <w:sz w:val="20"/>
                <w:szCs w:val="20"/>
                <w:lang w:eastAsia="zh-CN"/>
              </w:rPr>
              <w:t>年</w:t>
            </w:r>
            <w:r>
              <w:rPr>
                <w:rFonts w:cstheme="minorHAnsi"/>
                <w:sz w:val="20"/>
                <w:szCs w:val="20"/>
                <w:lang w:eastAsia="zh-CN"/>
              </w:rPr>
              <w:t>10</w:t>
            </w:r>
            <w:r>
              <w:rPr>
                <w:rFonts w:cstheme="minorHAnsi"/>
                <w:sz w:val="20"/>
                <w:szCs w:val="20"/>
                <w:lang w:eastAsia="zh-CN"/>
              </w:rPr>
              <w:t>月</w:t>
            </w:r>
            <w:r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1215D52" w14:textId="77777777" w:rsidR="00EB7201" w:rsidRDefault="001E3D84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54183C39" wp14:editId="40CB28E7">
                  <wp:extent cx="669290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201" w14:paraId="06A14366" w14:textId="77777777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708C603" w14:textId="77777777" w:rsidR="00EB7201" w:rsidRDefault="00EB7201">
            <w:pPr>
              <w:spacing w:before="0"/>
              <w:rPr>
                <w:lang w:eastAsia="zh-CN"/>
              </w:rPr>
            </w:pPr>
          </w:p>
        </w:tc>
      </w:tr>
      <w:tr w:rsidR="00EB7201" w14:paraId="1C36B950" w14:textId="7777777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3A35F84" w14:textId="77777777" w:rsidR="00EB7201" w:rsidRDefault="00EB7201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D944562" w14:textId="77777777" w:rsidR="00EB7201" w:rsidRDefault="00EB7201">
            <w:pPr>
              <w:spacing w:before="0"/>
              <w:rPr>
                <w:sz w:val="20"/>
              </w:rPr>
            </w:pPr>
          </w:p>
        </w:tc>
      </w:tr>
      <w:tr w:rsidR="00EB7201" w14:paraId="71DA9B6B" w14:textId="77777777">
        <w:trPr>
          <w:cantSplit/>
        </w:trPr>
        <w:tc>
          <w:tcPr>
            <w:tcW w:w="6237" w:type="dxa"/>
            <w:gridSpan w:val="2"/>
          </w:tcPr>
          <w:p w14:paraId="7A6FFD70" w14:textId="77777777" w:rsidR="00EB7201" w:rsidRDefault="001E3D84">
            <w:pPr>
              <w:pStyle w:val="Committee"/>
              <w:rPr>
                <w:lang w:eastAsia="zh-CN"/>
              </w:rPr>
            </w:pPr>
            <w:proofErr w:type="spellStart"/>
            <w:r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55AA78D" w14:textId="77777777" w:rsidR="00EB7201" w:rsidRDefault="001E3D84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(Add.40)-C</w:t>
            </w:r>
          </w:p>
        </w:tc>
      </w:tr>
      <w:tr w:rsidR="00EB7201" w14:paraId="2C0A7D1F" w14:textId="77777777">
        <w:trPr>
          <w:cantSplit/>
        </w:trPr>
        <w:tc>
          <w:tcPr>
            <w:tcW w:w="6237" w:type="dxa"/>
            <w:gridSpan w:val="2"/>
          </w:tcPr>
          <w:p w14:paraId="6A8957D9" w14:textId="77777777" w:rsidR="00EB7201" w:rsidRDefault="00EB7201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1FC02F7" w14:textId="77777777" w:rsidR="00EB7201" w:rsidRDefault="001E3D84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16"/>
              </w:rPr>
              <w:t>2024</w:t>
            </w:r>
            <w:r>
              <w:rPr>
                <w:sz w:val="20"/>
                <w:szCs w:val="16"/>
              </w:rPr>
              <w:t>年</w:t>
            </w:r>
            <w:r>
              <w:rPr>
                <w:sz w:val="20"/>
                <w:szCs w:val="16"/>
              </w:rPr>
              <w:t>9</w:t>
            </w:r>
            <w:r>
              <w:rPr>
                <w:sz w:val="20"/>
                <w:szCs w:val="16"/>
              </w:rPr>
              <w:t>月</w:t>
            </w:r>
            <w:r>
              <w:rPr>
                <w:sz w:val="20"/>
                <w:szCs w:val="16"/>
              </w:rPr>
              <w:t>22</w:t>
            </w:r>
            <w:r>
              <w:rPr>
                <w:sz w:val="20"/>
                <w:szCs w:val="16"/>
              </w:rPr>
              <w:t>日</w:t>
            </w:r>
          </w:p>
        </w:tc>
      </w:tr>
      <w:tr w:rsidR="00EB7201" w14:paraId="31E7A9E0" w14:textId="77777777">
        <w:trPr>
          <w:cantSplit/>
        </w:trPr>
        <w:tc>
          <w:tcPr>
            <w:tcW w:w="6237" w:type="dxa"/>
            <w:gridSpan w:val="2"/>
          </w:tcPr>
          <w:p w14:paraId="296EDB5D" w14:textId="77777777" w:rsidR="00EB7201" w:rsidRDefault="00EB7201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CE2551B" w14:textId="77777777" w:rsidR="00EB7201" w:rsidRDefault="001E3D84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EB7201" w14:paraId="2CB33D32" w14:textId="77777777">
        <w:trPr>
          <w:cantSplit/>
        </w:trPr>
        <w:tc>
          <w:tcPr>
            <w:tcW w:w="9811" w:type="dxa"/>
            <w:gridSpan w:val="4"/>
          </w:tcPr>
          <w:p w14:paraId="1F6CD1A4" w14:textId="77777777" w:rsidR="00EB7201" w:rsidRDefault="00EB7201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EB7201" w14:paraId="65F73886" w14:textId="77777777">
        <w:trPr>
          <w:cantSplit/>
        </w:trPr>
        <w:tc>
          <w:tcPr>
            <w:tcW w:w="9811" w:type="dxa"/>
            <w:gridSpan w:val="4"/>
          </w:tcPr>
          <w:p w14:paraId="733F7EFA" w14:textId="77777777" w:rsidR="00EB7201" w:rsidRDefault="001E3D84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亚太电信组织各成员国主管部门</w:t>
            </w:r>
          </w:p>
        </w:tc>
      </w:tr>
      <w:tr w:rsidR="00EB7201" w14:paraId="39FCF304" w14:textId="77777777">
        <w:trPr>
          <w:cantSplit/>
        </w:trPr>
        <w:tc>
          <w:tcPr>
            <w:tcW w:w="9811" w:type="dxa"/>
            <w:gridSpan w:val="4"/>
          </w:tcPr>
          <w:p w14:paraId="584068AF" w14:textId="77777777" w:rsidR="00EB7201" w:rsidRDefault="001E3D84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[APT-DI]</w:t>
            </w:r>
            <w:r>
              <w:rPr>
                <w:lang w:val="zh-CN" w:eastAsia="zh-CN"/>
              </w:rPr>
              <w:t>号新决议草案</w:t>
            </w:r>
            <w:r>
              <w:rPr>
                <w:lang w:val="zh-CN" w:eastAsia="zh-CN"/>
              </w:rPr>
              <w:t xml:space="preserve"> – </w:t>
            </w:r>
            <w:r>
              <w:rPr>
                <w:lang w:val="zh-CN" w:eastAsia="zh-CN"/>
              </w:rPr>
              <w:t>促进数字身份和证书的标准化工作</w:t>
            </w:r>
          </w:p>
        </w:tc>
      </w:tr>
      <w:tr w:rsidR="00EB7201" w14:paraId="021460AA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3803BA71" w14:textId="77777777" w:rsidR="00EB7201" w:rsidRDefault="00EB7201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EB7201" w14:paraId="6E341778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62CD048A" w14:textId="77777777" w:rsidR="00EB7201" w:rsidRDefault="00EB7201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F7558AB" w14:textId="77777777" w:rsidR="00EB7201" w:rsidRDefault="00EB7201">
      <w:pPr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7"/>
        <w:gridCol w:w="3805"/>
        <w:gridCol w:w="3877"/>
      </w:tblGrid>
      <w:tr w:rsidR="00EB7201" w14:paraId="4BDF22A7" w14:textId="77777777">
        <w:trPr>
          <w:cantSplit/>
        </w:trPr>
        <w:tc>
          <w:tcPr>
            <w:tcW w:w="1957" w:type="dxa"/>
          </w:tcPr>
          <w:p w14:paraId="33D77E8D" w14:textId="77777777" w:rsidR="00EB7201" w:rsidRDefault="001E3D84">
            <w:pPr>
              <w:rPr>
                <w:rFonts w:ascii="SimSun" w:hAnsi="SimSun"/>
                <w:lang w:eastAsia="zh-CN"/>
              </w:rPr>
            </w:pPr>
            <w:r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6D1EA64F" w14:textId="77777777" w:rsidR="00EB7201" w:rsidRDefault="001E3D84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本文件包含关于促进数字身份和证书标准化工作的</w:t>
            </w:r>
            <w:r>
              <w:rPr>
                <w:lang w:val="zh-CN" w:eastAsia="zh-CN"/>
              </w:rPr>
              <w:t>WTSA</w:t>
            </w:r>
            <w:r>
              <w:rPr>
                <w:lang w:val="zh-CN" w:eastAsia="zh-CN"/>
              </w:rPr>
              <w:t>新决议的提案。</w:t>
            </w:r>
          </w:p>
        </w:tc>
      </w:tr>
      <w:tr w:rsidR="00EB7201" w14:paraId="4E2D736C" w14:textId="77777777">
        <w:trPr>
          <w:cantSplit/>
        </w:trPr>
        <w:tc>
          <w:tcPr>
            <w:tcW w:w="1957" w:type="dxa"/>
          </w:tcPr>
          <w:p w14:paraId="4A41478B" w14:textId="77777777" w:rsidR="00EB7201" w:rsidRDefault="001E3D84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5628865" w14:textId="2728098D" w:rsidR="00EB7201" w:rsidRDefault="001E3D84">
            <w:pPr>
              <w:rPr>
                <w:lang w:eastAsia="zh-CN"/>
              </w:rPr>
            </w:pPr>
            <w:r>
              <w:rPr>
                <w:lang w:val="zh-CN" w:eastAsia="zh-CN"/>
              </w:rPr>
              <w:t>亚太电信组织秘书长</w:t>
            </w:r>
            <w:r>
              <w:rPr>
                <w:lang w:val="zh-CN" w:eastAsia="zh-CN"/>
              </w:rPr>
              <w:br/>
            </w:r>
            <w:r w:rsidR="00E96EB7" w:rsidRPr="00692619">
              <w:rPr>
                <w:lang w:eastAsia="zh-CN"/>
              </w:rPr>
              <w:t>Masanori Kondo</w:t>
            </w:r>
            <w:r>
              <w:rPr>
                <w:rFonts w:hint="eastAsia"/>
                <w:lang w:val="en-US" w:eastAsia="zh-CN"/>
              </w:rPr>
              <w:t>先生</w:t>
            </w:r>
          </w:p>
        </w:tc>
        <w:tc>
          <w:tcPr>
            <w:tcW w:w="3877" w:type="dxa"/>
          </w:tcPr>
          <w:p w14:paraId="70176FEB" w14:textId="77777777" w:rsidR="00EB7201" w:rsidRDefault="001E3D84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电子邮件：</w:t>
            </w:r>
            <w:r>
              <w:tab/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40B1C330" w14:textId="77777777" w:rsidR="00EB7201" w:rsidRDefault="001E3D84">
      <w:pPr>
        <w:pStyle w:val="Headingb"/>
        <w:rPr>
          <w:lang w:val="en-GB" w:eastAsia="zh-CN"/>
        </w:rPr>
      </w:pPr>
      <w:r>
        <w:rPr>
          <w:rFonts w:hint="eastAsia"/>
          <w:lang w:val="en-US" w:eastAsia="zh-CN"/>
        </w:rPr>
        <w:t>引言</w:t>
      </w:r>
    </w:p>
    <w:p w14:paraId="7E99D0D1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rFonts w:eastAsia="MS Mincho"/>
          <w:lang w:eastAsia="zh-CN"/>
        </w:rPr>
      </w:pPr>
      <w:r>
        <w:rPr>
          <w:lang w:val="zh-CN" w:eastAsia="zh-CN"/>
        </w:rPr>
        <w:t>数字身份通常被定义为个人与其数字存在之间的一对一关系。数字存在可以由与个人相关的多个</w:t>
      </w:r>
      <w:proofErr w:type="gramStart"/>
      <w:r>
        <w:rPr>
          <w:lang w:val="zh-CN" w:eastAsia="zh-CN"/>
        </w:rPr>
        <w:t>帐户</w:t>
      </w:r>
      <w:proofErr w:type="gramEnd"/>
      <w:r>
        <w:rPr>
          <w:lang w:val="zh-CN" w:eastAsia="zh-CN"/>
        </w:rPr>
        <w:t>、证书和权利组成。身份管理包括发布、验证（</w:t>
      </w:r>
      <w:r>
        <w:rPr>
          <w:rFonts w:hint="eastAsia"/>
          <w:lang w:val="zh-CN" w:eastAsia="zh-CN"/>
        </w:rPr>
        <w:t>检验</w:t>
      </w:r>
      <w:r>
        <w:rPr>
          <w:lang w:val="zh-CN" w:eastAsia="zh-CN"/>
        </w:rPr>
        <w:t>）、维护和终止身份，而证书是确认个人声称之身份的证据。例如，驾照或在线</w:t>
      </w:r>
      <w:r>
        <w:rPr>
          <w:rFonts w:hint="eastAsia"/>
          <w:lang w:val="en-US" w:eastAsia="zh-CN"/>
        </w:rPr>
        <w:t>身份证（</w:t>
      </w:r>
      <w:r>
        <w:rPr>
          <w:lang w:val="zh-CN" w:eastAsia="zh-CN"/>
        </w:rPr>
        <w:t>ID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和密码将证书所有者与其身份联系起来。</w:t>
      </w:r>
    </w:p>
    <w:p w14:paraId="6DECCD98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rFonts w:eastAsiaTheme="minorEastAsia"/>
          <w:lang w:eastAsia="zh-CN"/>
        </w:rPr>
      </w:pPr>
      <w:r>
        <w:rPr>
          <w:lang w:val="zh-CN" w:eastAsia="zh-CN"/>
        </w:rPr>
        <w:t>去中心化身份是一种新范式，它允许用户在不依赖中央机构或第三</w:t>
      </w:r>
      <w:proofErr w:type="gramStart"/>
      <w:r>
        <w:rPr>
          <w:lang w:val="zh-CN" w:eastAsia="zh-CN"/>
        </w:rPr>
        <w:t>方服务</w:t>
      </w:r>
      <w:proofErr w:type="gramEnd"/>
      <w:r>
        <w:rPr>
          <w:lang w:val="zh-CN" w:eastAsia="zh-CN"/>
        </w:rPr>
        <w:t>的情况下管理和共享其身份数据。</w:t>
      </w:r>
    </w:p>
    <w:p w14:paraId="3098412C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lang w:val="zh-CN" w:eastAsia="zh-CN"/>
        </w:rPr>
      </w:pPr>
      <w:r>
        <w:rPr>
          <w:lang w:val="zh-CN" w:eastAsia="zh-CN"/>
        </w:rPr>
        <w:t>数字身份和</w:t>
      </w:r>
      <w:proofErr w:type="gramStart"/>
      <w:r>
        <w:rPr>
          <w:rFonts w:hint="eastAsia"/>
          <w:lang w:val="zh-CN" w:eastAsia="zh-CN"/>
        </w:rPr>
        <w:t>可</w:t>
      </w:r>
      <w:proofErr w:type="gramEnd"/>
      <w:r>
        <w:rPr>
          <w:rFonts w:hint="eastAsia"/>
          <w:lang w:val="zh-CN" w:eastAsia="zh-CN"/>
        </w:rPr>
        <w:t>核</w:t>
      </w:r>
      <w:proofErr w:type="gramStart"/>
      <w:r>
        <w:rPr>
          <w:rFonts w:hint="eastAsia"/>
          <w:lang w:val="zh-CN" w:eastAsia="zh-CN"/>
        </w:rPr>
        <w:t>验证书</w:t>
      </w:r>
      <w:proofErr w:type="gramEnd"/>
      <w:r>
        <w:rPr>
          <w:lang w:val="zh-CN" w:eastAsia="zh-CN"/>
        </w:rPr>
        <w:t>需要通过证明身份属性（如年龄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和执行）来</w:t>
      </w:r>
      <w:r>
        <w:rPr>
          <w:rFonts w:hint="eastAsia"/>
          <w:lang w:val="zh-CN" w:eastAsia="zh-CN"/>
        </w:rPr>
        <w:t>支持增强未成年人在线安全性的工作</w:t>
      </w:r>
      <w:r>
        <w:rPr>
          <w:lang w:val="zh-CN" w:eastAsia="zh-CN"/>
        </w:rPr>
        <w:t>。</w:t>
      </w:r>
    </w:p>
    <w:p w14:paraId="5C08FFB0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lang w:val="zh-CN" w:eastAsia="zh-CN"/>
        </w:rPr>
      </w:pPr>
      <w:r>
        <w:rPr>
          <w:rFonts w:hint="eastAsia"/>
          <w:lang w:val="zh-CN" w:eastAsia="zh-CN"/>
        </w:rPr>
        <w:t>可核</w:t>
      </w:r>
      <w:proofErr w:type="gramStart"/>
      <w:r>
        <w:rPr>
          <w:rFonts w:hint="eastAsia"/>
          <w:lang w:val="zh-CN" w:eastAsia="zh-CN"/>
        </w:rPr>
        <w:t>验证书</w:t>
      </w:r>
      <w:proofErr w:type="gramEnd"/>
      <w:r>
        <w:rPr>
          <w:lang w:val="zh-CN" w:eastAsia="zh-CN"/>
        </w:rPr>
        <w:t>是</w:t>
      </w:r>
      <w:r>
        <w:rPr>
          <w:rFonts w:hint="eastAsia"/>
          <w:lang w:val="en-US" w:eastAsia="zh-CN"/>
        </w:rPr>
        <w:t>经过</w:t>
      </w:r>
      <w:r>
        <w:rPr>
          <w:lang w:val="zh-CN" w:eastAsia="zh-CN"/>
        </w:rPr>
        <w:t>加密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安全数字文件，可用于证明用户身份的各个方面，而不会暴露不必要的个人信息。</w:t>
      </w:r>
      <w:r>
        <w:rPr>
          <w:rFonts w:hint="eastAsia"/>
          <w:lang w:val="zh-CN" w:eastAsia="zh-CN"/>
        </w:rPr>
        <w:t>可核</w:t>
      </w:r>
      <w:proofErr w:type="gramStart"/>
      <w:r>
        <w:rPr>
          <w:rFonts w:hint="eastAsia"/>
          <w:lang w:val="zh-CN" w:eastAsia="zh-CN"/>
        </w:rPr>
        <w:t>验证书</w:t>
      </w:r>
      <w:proofErr w:type="gramEnd"/>
      <w:r>
        <w:rPr>
          <w:lang w:val="zh-CN" w:eastAsia="zh-CN"/>
        </w:rPr>
        <w:t>的示例包括数字员工卡、数字出生证明、移动驾照和数字教育证书、数字国家号码证书、生物特征数据证书。</w:t>
      </w:r>
    </w:p>
    <w:p w14:paraId="6045E072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lang w:val="zh-CN" w:eastAsia="zh-CN"/>
        </w:rPr>
      </w:pPr>
      <w:r>
        <w:rPr>
          <w:lang w:val="zh-CN" w:eastAsia="zh-CN"/>
        </w:rPr>
        <w:t>数字身份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可核验证书）</w:t>
      </w:r>
      <w:r>
        <w:rPr>
          <w:lang w:val="zh-CN" w:eastAsia="zh-CN"/>
        </w:rPr>
        <w:t>被视为用于在数字平台上访问在线服务、</w:t>
      </w:r>
      <w:r>
        <w:rPr>
          <w:rFonts w:hint="eastAsia"/>
          <w:lang w:val="en-US" w:eastAsia="zh-CN"/>
        </w:rPr>
        <w:t>购物</w:t>
      </w:r>
      <w:r>
        <w:rPr>
          <w:lang w:val="zh-CN" w:eastAsia="zh-CN"/>
        </w:rPr>
        <w:t>和与他人互动的个人身份识别工具。</w:t>
      </w:r>
    </w:p>
    <w:p w14:paraId="73C069A0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rFonts w:eastAsiaTheme="minorEastAsia"/>
          <w:lang w:eastAsia="zh-CN"/>
        </w:rPr>
      </w:pPr>
      <w:r>
        <w:rPr>
          <w:rFonts w:hint="eastAsia"/>
          <w:lang w:val="en-US" w:eastAsia="zh-CN"/>
        </w:rPr>
        <w:t>利用</w:t>
      </w:r>
      <w:r>
        <w:rPr>
          <w:rFonts w:hint="eastAsia"/>
          <w:lang w:val="zh-CN" w:eastAsia="zh-CN"/>
        </w:rPr>
        <w:t>人工智能（</w:t>
      </w:r>
      <w:r>
        <w:rPr>
          <w:rFonts w:hint="eastAsia"/>
          <w:lang w:val="zh-CN" w:eastAsia="zh-CN"/>
        </w:rPr>
        <w:t>AI</w:t>
      </w:r>
      <w:r>
        <w:rPr>
          <w:rFonts w:hint="eastAsia"/>
          <w:lang w:val="zh-CN" w:eastAsia="zh-CN"/>
        </w:rPr>
        <w:t>）</w:t>
      </w:r>
      <w:r>
        <w:rPr>
          <w:rFonts w:hint="eastAsia"/>
          <w:lang w:val="zh-CN" w:eastAsia="zh-CN"/>
        </w:rPr>
        <w:t>/</w:t>
      </w:r>
      <w:r>
        <w:rPr>
          <w:rFonts w:hint="eastAsia"/>
          <w:lang w:val="zh-CN" w:eastAsia="zh-CN"/>
        </w:rPr>
        <w:t>机器学习（</w:t>
      </w:r>
      <w:r>
        <w:rPr>
          <w:rFonts w:hint="eastAsia"/>
          <w:lang w:val="zh-CN" w:eastAsia="zh-CN"/>
        </w:rPr>
        <w:t>ML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算法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可以创建欺诈性身份和证书，</w:t>
      </w:r>
      <w:r>
        <w:rPr>
          <w:rFonts w:hint="eastAsia"/>
          <w:lang w:val="en-US" w:eastAsia="zh-CN"/>
        </w:rPr>
        <w:t>此类</w:t>
      </w:r>
      <w:r>
        <w:rPr>
          <w:lang w:val="zh-CN" w:eastAsia="zh-CN"/>
        </w:rPr>
        <w:t>算法可以在几分钟内生成逼真的数字身份和证书。</w:t>
      </w:r>
    </w:p>
    <w:p w14:paraId="37A114C3" w14:textId="77777777" w:rsidR="00EB7201" w:rsidRDefault="001E3D84">
      <w:pPr>
        <w:ind w:firstLineChars="200" w:firstLine="480"/>
        <w:rPr>
          <w:lang w:val="zh-CN" w:eastAsia="zh-CN"/>
        </w:rPr>
      </w:pPr>
      <w:r>
        <w:rPr>
          <w:lang w:val="zh-CN" w:eastAsia="zh-CN"/>
        </w:rPr>
        <w:t>ITU-T</w:t>
      </w:r>
      <w:r>
        <w:rPr>
          <w:lang w:val="zh-CN" w:eastAsia="zh-CN"/>
        </w:rPr>
        <w:t>各研究组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特别是第</w:t>
      </w:r>
      <w:r>
        <w:rPr>
          <w:lang w:val="zh-CN" w:eastAsia="zh-CN"/>
        </w:rPr>
        <w:t>17</w:t>
      </w:r>
      <w:r>
        <w:rPr>
          <w:lang w:val="zh-CN" w:eastAsia="zh-CN"/>
        </w:rPr>
        <w:t>研究组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需要推进数字身份标准化工作，以便</w:t>
      </w:r>
      <w:r>
        <w:rPr>
          <w:rFonts w:hint="eastAsia"/>
          <w:lang w:val="zh-CN" w:eastAsia="zh-CN"/>
        </w:rPr>
        <w:t>树立使用</w:t>
      </w:r>
      <w:r>
        <w:rPr>
          <w:rFonts w:hint="eastAsia"/>
          <w:lang w:val="en-US" w:eastAsia="zh-CN"/>
        </w:rPr>
        <w:t>信息通信技术（</w:t>
      </w:r>
      <w:r>
        <w:rPr>
          <w:lang w:val="zh-CN" w:eastAsia="zh-CN"/>
        </w:rPr>
        <w:t>ICT</w:t>
      </w:r>
      <w:r>
        <w:rPr>
          <w:rFonts w:hint="eastAsia"/>
          <w:lang w:val="zh-CN" w:eastAsia="zh-CN"/>
        </w:rPr>
        <w:t>）的信心</w:t>
      </w:r>
      <w:r>
        <w:rPr>
          <w:rFonts w:hint="eastAsia"/>
          <w:lang w:val="en-US" w:eastAsia="zh-CN"/>
        </w:rPr>
        <w:t>并</w:t>
      </w:r>
      <w:r>
        <w:rPr>
          <w:rFonts w:hint="eastAsia"/>
          <w:lang w:val="zh-CN" w:eastAsia="zh-CN"/>
        </w:rPr>
        <w:t>提高安全性</w:t>
      </w:r>
      <w:r>
        <w:rPr>
          <w:lang w:val="zh-CN" w:eastAsia="zh-CN"/>
        </w:rPr>
        <w:t>。第</w:t>
      </w:r>
      <w:r>
        <w:rPr>
          <w:lang w:val="zh-CN" w:eastAsia="zh-CN"/>
        </w:rPr>
        <w:t>17</w:t>
      </w:r>
      <w:r>
        <w:rPr>
          <w:lang w:val="zh-CN" w:eastAsia="zh-CN"/>
        </w:rPr>
        <w:t>研究组是关于身份管理的牵头研究组，负责数字身份和证书方面的工作。我们相信，</w:t>
      </w:r>
      <w:r>
        <w:rPr>
          <w:rFonts w:hint="eastAsia"/>
          <w:lang w:val="en-US" w:eastAsia="zh-CN"/>
        </w:rPr>
        <w:t>此</w:t>
      </w:r>
      <w:r>
        <w:rPr>
          <w:lang w:val="zh-CN" w:eastAsia="zh-CN"/>
        </w:rPr>
        <w:t>新决议将促进数字化转型，并帮助发展中国家缩小标准化</w:t>
      </w:r>
      <w:r>
        <w:rPr>
          <w:rFonts w:hint="eastAsia"/>
          <w:lang w:val="en-US" w:eastAsia="zh-CN"/>
        </w:rPr>
        <w:t>工作</w:t>
      </w:r>
      <w:r>
        <w:rPr>
          <w:lang w:val="zh-CN" w:eastAsia="zh-CN"/>
        </w:rPr>
        <w:t>差距。</w:t>
      </w:r>
    </w:p>
    <w:p w14:paraId="39A65D93" w14:textId="77777777" w:rsidR="00EB7201" w:rsidRDefault="001E3D84">
      <w:pPr>
        <w:ind w:firstLineChars="200" w:firstLine="480"/>
        <w:rPr>
          <w:rFonts w:eastAsia="MS Mincho"/>
          <w:lang w:eastAsia="ja-JP"/>
        </w:rPr>
      </w:pPr>
      <w:r>
        <w:rPr>
          <w:lang w:val="zh-CN" w:eastAsia="zh-CN"/>
        </w:rPr>
        <w:lastRenderedPageBreak/>
        <w:t>ITU-T</w:t>
      </w:r>
      <w:r>
        <w:rPr>
          <w:lang w:val="zh-CN" w:eastAsia="zh-CN"/>
        </w:rPr>
        <w:t>在制定数字身份和</w:t>
      </w:r>
      <w:proofErr w:type="gramStart"/>
      <w:r>
        <w:rPr>
          <w:rFonts w:hint="eastAsia"/>
          <w:lang w:val="zh-CN" w:eastAsia="zh-CN"/>
        </w:rPr>
        <w:t>可</w:t>
      </w:r>
      <w:proofErr w:type="gramEnd"/>
      <w:r>
        <w:rPr>
          <w:rFonts w:hint="eastAsia"/>
          <w:lang w:val="zh-CN" w:eastAsia="zh-CN"/>
        </w:rPr>
        <w:t>核</w:t>
      </w:r>
      <w:proofErr w:type="gramStart"/>
      <w:r>
        <w:rPr>
          <w:rFonts w:hint="eastAsia"/>
          <w:lang w:val="zh-CN" w:eastAsia="zh-CN"/>
        </w:rPr>
        <w:t>验证书</w:t>
      </w:r>
      <w:r>
        <w:rPr>
          <w:lang w:val="zh-CN" w:eastAsia="zh-CN"/>
        </w:rPr>
        <w:t>领域</w:t>
      </w:r>
      <w:proofErr w:type="gramEnd"/>
      <w:r>
        <w:rPr>
          <w:lang w:val="zh-CN" w:eastAsia="zh-CN"/>
        </w:rPr>
        <w:t>的技术标准方面可以发挥作用，这是实现</w:t>
      </w:r>
      <w:r>
        <w:rPr>
          <w:lang w:val="zh-CN" w:eastAsia="zh-CN"/>
        </w:rPr>
        <w:t>ICT</w:t>
      </w:r>
      <w:r>
        <w:rPr>
          <w:lang w:val="zh-CN" w:eastAsia="zh-CN"/>
        </w:rPr>
        <w:t>服务和应用创新的关键推动技术。</w:t>
      </w:r>
    </w:p>
    <w:p w14:paraId="3E6096FC" w14:textId="77777777" w:rsidR="00EB7201" w:rsidRDefault="001E3D84">
      <w:pPr>
        <w:pStyle w:val="Headingb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提案</w:t>
      </w:r>
    </w:p>
    <w:p w14:paraId="1A8D1F6F" w14:textId="77777777" w:rsidR="00EB7201" w:rsidRDefault="001E3D84">
      <w:pPr>
        <w:ind w:firstLineChars="200" w:firstLine="480"/>
        <w:rPr>
          <w:lang w:val="zh-CN" w:eastAsia="zh-CN"/>
        </w:rPr>
      </w:pPr>
      <w:r>
        <w:rPr>
          <w:lang w:val="zh-CN" w:eastAsia="zh-CN"/>
        </w:rPr>
        <w:t>基于上述背景，</w:t>
      </w:r>
      <w:r>
        <w:rPr>
          <w:lang w:val="zh-CN" w:eastAsia="zh-CN"/>
        </w:rPr>
        <w:t>APT</w:t>
      </w:r>
      <w:r>
        <w:rPr>
          <w:rFonts w:hint="eastAsia"/>
          <w:lang w:val="en-US" w:eastAsia="zh-CN"/>
        </w:rPr>
        <w:t>各</w:t>
      </w:r>
      <w:r>
        <w:rPr>
          <w:lang w:val="zh-CN" w:eastAsia="zh-CN"/>
        </w:rPr>
        <w:t>成员国主管部门建议</w:t>
      </w:r>
      <w:r>
        <w:rPr>
          <w:lang w:val="zh-CN" w:eastAsia="zh-CN"/>
        </w:rPr>
        <w:t>WTSA-24</w:t>
      </w:r>
      <w:r>
        <w:rPr>
          <w:lang w:val="zh-CN" w:eastAsia="zh-CN"/>
        </w:rPr>
        <w:t>考虑制定一项关于促进数字身份和证书标准化工作的</w:t>
      </w:r>
      <w:r>
        <w:rPr>
          <w:lang w:val="zh-CN" w:eastAsia="zh-CN"/>
        </w:rPr>
        <w:t>WTSA</w:t>
      </w:r>
      <w:r>
        <w:rPr>
          <w:lang w:val="zh-CN" w:eastAsia="zh-CN"/>
        </w:rPr>
        <w:t>新决议。</w:t>
      </w:r>
    </w:p>
    <w:p w14:paraId="32FBAFA7" w14:textId="77777777" w:rsidR="00EB7201" w:rsidRDefault="001E3D84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7C8E7AB2" w14:textId="77777777" w:rsidR="00EB7201" w:rsidRDefault="001E3D84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APT/37A40/1</w:t>
      </w:r>
    </w:p>
    <w:p w14:paraId="0106077D" w14:textId="77777777" w:rsidR="00EB7201" w:rsidRDefault="001E3D84">
      <w:pPr>
        <w:pStyle w:val="ResNo"/>
        <w:tabs>
          <w:tab w:val="clear" w:pos="1701"/>
          <w:tab w:val="clear" w:pos="2495"/>
          <w:tab w:val="left" w:pos="1871"/>
          <w:tab w:val="left" w:pos="2268"/>
        </w:tabs>
        <w:rPr>
          <w:lang w:eastAsia="zh-CN"/>
        </w:rPr>
      </w:pPr>
      <w:r>
        <w:rPr>
          <w:lang w:val="zh-CN" w:eastAsia="zh-CN"/>
        </w:rPr>
        <w:t>第</w:t>
      </w:r>
      <w:r w:rsidRPr="00BD443D">
        <w:rPr>
          <w:lang w:eastAsia="zh-CN"/>
        </w:rPr>
        <w:t>[APT-DI]</w:t>
      </w:r>
      <w:r>
        <w:rPr>
          <w:lang w:val="zh-CN" w:eastAsia="zh-CN"/>
        </w:rPr>
        <w:t>号新决议草案</w:t>
      </w:r>
      <w:r w:rsidRPr="00BD443D">
        <w:rPr>
          <w:lang w:eastAsia="zh-CN"/>
        </w:rPr>
        <w:t>（</w:t>
      </w:r>
      <w:r w:rsidRPr="00BD443D">
        <w:rPr>
          <w:lang w:eastAsia="zh-CN"/>
        </w:rPr>
        <w:t>2024</w:t>
      </w:r>
      <w:r>
        <w:rPr>
          <w:lang w:val="zh-CN" w:eastAsia="zh-CN"/>
        </w:rPr>
        <w:t>年</w:t>
      </w:r>
      <w:r w:rsidRPr="00BD443D">
        <w:rPr>
          <w:lang w:eastAsia="zh-CN"/>
        </w:rPr>
        <w:t>，</w:t>
      </w:r>
      <w:r>
        <w:rPr>
          <w:lang w:val="zh-CN" w:eastAsia="zh-CN"/>
        </w:rPr>
        <w:t>新德里</w:t>
      </w:r>
      <w:r w:rsidRPr="00BD443D">
        <w:rPr>
          <w:lang w:eastAsia="zh-CN"/>
        </w:rPr>
        <w:t>）</w:t>
      </w:r>
    </w:p>
    <w:p w14:paraId="5F59ED99" w14:textId="77777777" w:rsidR="00EB7201" w:rsidRDefault="001E3D84">
      <w:pPr>
        <w:pStyle w:val="Restitle"/>
        <w:tabs>
          <w:tab w:val="clear" w:pos="1701"/>
          <w:tab w:val="clear" w:pos="2495"/>
          <w:tab w:val="left" w:pos="1871"/>
          <w:tab w:val="left" w:pos="2268"/>
        </w:tabs>
        <w:rPr>
          <w:lang w:eastAsia="zh-CN"/>
        </w:rPr>
      </w:pPr>
      <w:r>
        <w:rPr>
          <w:lang w:val="zh-CN" w:eastAsia="zh-CN"/>
        </w:rPr>
        <w:t>促进数字身份和证书的标准化工作</w:t>
      </w:r>
    </w:p>
    <w:p w14:paraId="17FCE05A" w14:textId="77777777" w:rsidR="00EB7201" w:rsidRDefault="001E3D84">
      <w:pPr>
        <w:pStyle w:val="Resref"/>
        <w:tabs>
          <w:tab w:val="clear" w:pos="1701"/>
          <w:tab w:val="clear" w:pos="2495"/>
          <w:tab w:val="left" w:pos="1871"/>
          <w:tab w:val="left" w:pos="2268"/>
        </w:tabs>
        <w:rPr>
          <w:rFonts w:eastAsia="STKaiti"/>
          <w:i w:val="0"/>
          <w:lang w:eastAsia="zh-CN"/>
        </w:rPr>
      </w:pPr>
      <w:r>
        <w:rPr>
          <w:rFonts w:eastAsia="STKaiti"/>
          <w:i w:val="0"/>
          <w:lang w:val="zh-CN" w:eastAsia="zh-CN"/>
        </w:rPr>
        <w:t>（</w:t>
      </w:r>
      <w:r>
        <w:rPr>
          <w:rFonts w:eastAsia="STKaiti"/>
          <w:i w:val="0"/>
          <w:lang w:val="zh-CN" w:eastAsia="zh-CN"/>
        </w:rPr>
        <w:t>2024</w:t>
      </w:r>
      <w:r>
        <w:rPr>
          <w:rFonts w:eastAsia="STKaiti"/>
          <w:i w:val="0"/>
          <w:lang w:val="zh-CN" w:eastAsia="zh-CN"/>
        </w:rPr>
        <w:t>年，新德里）</w:t>
      </w:r>
    </w:p>
    <w:p w14:paraId="5B378C80" w14:textId="77777777" w:rsidR="00EB7201" w:rsidRDefault="00EB7201">
      <w:pPr>
        <w:pStyle w:val="Resref"/>
        <w:rPr>
          <w:lang w:eastAsia="zh-CN"/>
        </w:rPr>
      </w:pPr>
    </w:p>
    <w:p w14:paraId="7D15DFFD" w14:textId="77777777" w:rsidR="00EB7201" w:rsidRDefault="001E3D84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年，新德里）</w:t>
      </w:r>
    </w:p>
    <w:p w14:paraId="4B3EF6C7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498E1286" w14:textId="4D6DD6A2" w:rsidR="00EB7201" w:rsidRDefault="001E3D84">
      <w:pPr>
        <w:rPr>
          <w:rFonts w:eastAsiaTheme="minorEastAsia"/>
          <w:lang w:eastAsia="ko-KR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 w:rsidR="00E96EB7">
        <w:rPr>
          <w:lang w:val="zh-CN" w:eastAsia="zh-CN"/>
        </w:rPr>
        <w:t>全权代表大会</w:t>
      </w:r>
      <w:r>
        <w:rPr>
          <w:rFonts w:hint="eastAsia"/>
          <w:lang w:val="en-US" w:eastAsia="zh-CN"/>
        </w:rPr>
        <w:t>关于</w:t>
      </w:r>
      <w:r>
        <w:rPr>
          <w:lang w:val="zh-CN" w:eastAsia="zh-CN"/>
        </w:rPr>
        <w:t>加强国际电联在树立使用信息通信技术（</w:t>
      </w:r>
      <w:r>
        <w:rPr>
          <w:lang w:val="zh-CN" w:eastAsia="zh-CN"/>
        </w:rPr>
        <w:t>ICT</w:t>
      </w:r>
      <w:r>
        <w:rPr>
          <w:lang w:val="zh-CN" w:eastAsia="zh-CN"/>
        </w:rPr>
        <w:t>）的信心并提高安全性方面的作用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第</w:t>
      </w:r>
      <w:r>
        <w:rPr>
          <w:lang w:val="zh-CN" w:eastAsia="zh-CN"/>
        </w:rPr>
        <w:t>130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</w:t>
      </w:r>
      <w:proofErr w:type="gramStart"/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；</w:t>
      </w:r>
      <w:proofErr w:type="gramEnd"/>
    </w:p>
    <w:p w14:paraId="6A697D89" w14:textId="42E82E78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b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96EB7">
        <w:rPr>
          <w:lang w:val="zh-CN" w:eastAsia="zh-CN"/>
        </w:rPr>
        <w:t>全权代表大会</w:t>
      </w:r>
      <w:r>
        <w:rPr>
          <w:rFonts w:hint="eastAsia"/>
          <w:lang w:val="en-US" w:eastAsia="zh-CN"/>
        </w:rPr>
        <w:t>关于</w:t>
      </w:r>
      <w:r>
        <w:rPr>
          <w:lang w:val="zh-CN" w:eastAsia="zh-CN"/>
        </w:rPr>
        <w:t>国际电联在保护上网儿童方面的作用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第</w:t>
      </w:r>
      <w:r>
        <w:rPr>
          <w:lang w:val="zh-CN" w:eastAsia="zh-CN"/>
        </w:rPr>
        <w:t>179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</w:t>
      </w:r>
      <w:proofErr w:type="gramStart"/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；</w:t>
      </w:r>
      <w:proofErr w:type="gramEnd"/>
    </w:p>
    <w:p w14:paraId="6C01EF52" w14:textId="38C2F9DE" w:rsidR="00EB7201" w:rsidRDefault="001E3D84">
      <w:pPr>
        <w:rPr>
          <w:i/>
          <w:iCs/>
          <w:lang w:eastAsia="zh-CN"/>
        </w:rPr>
      </w:pPr>
      <w:r>
        <w:rPr>
          <w:rFonts w:eastAsiaTheme="minorEastAsia"/>
          <w:i/>
          <w:iCs/>
          <w:lang w:eastAsia="ko-KR"/>
        </w:rPr>
        <w:t>c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96EB7">
        <w:rPr>
          <w:lang w:val="zh-CN" w:eastAsia="zh-CN"/>
        </w:rPr>
        <w:t>世界电信标准化全会（</w:t>
      </w:r>
      <w:r w:rsidR="00E96EB7">
        <w:rPr>
          <w:lang w:val="zh-CN" w:eastAsia="zh-CN"/>
        </w:rPr>
        <w:t>WTSA</w:t>
      </w:r>
      <w:r w:rsidR="00E96EB7">
        <w:rPr>
          <w:lang w:val="zh-CN" w:eastAsia="zh-CN"/>
        </w:rPr>
        <w:t>）</w:t>
      </w:r>
      <w:r>
        <w:rPr>
          <w:rFonts w:hint="eastAsia"/>
          <w:lang w:val="en-US" w:eastAsia="zh-CN"/>
        </w:rPr>
        <w:t>关于</w:t>
      </w:r>
      <w:r>
        <w:rPr>
          <w:lang w:val="zh-CN" w:eastAsia="zh-CN"/>
        </w:rPr>
        <w:t>网络安全的第</w:t>
      </w:r>
      <w:r>
        <w:rPr>
          <w:lang w:val="zh-CN" w:eastAsia="zh-CN"/>
        </w:rPr>
        <w:t>50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年，日内瓦，修订版），</w:t>
      </w:r>
    </w:p>
    <w:p w14:paraId="214714FA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EFC7BC9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lang w:val="zh-CN" w:eastAsia="zh-CN"/>
        </w:rPr>
        <w:t>数字身份作为个人</w:t>
      </w:r>
      <w:r>
        <w:rPr>
          <w:rFonts w:hint="eastAsia"/>
          <w:lang w:val="en-US" w:eastAsia="zh-CN"/>
        </w:rPr>
        <w:t>身份</w:t>
      </w:r>
      <w:r>
        <w:rPr>
          <w:lang w:val="zh-CN" w:eastAsia="zh-CN"/>
        </w:rPr>
        <w:t>识别工具的重要性，可用于在数字平台上访问在线服务、</w:t>
      </w:r>
      <w:proofErr w:type="gramStart"/>
      <w:r>
        <w:rPr>
          <w:rFonts w:hint="eastAsia"/>
          <w:lang w:val="en-US" w:eastAsia="zh-CN"/>
        </w:rPr>
        <w:t>购物</w:t>
      </w:r>
      <w:r>
        <w:rPr>
          <w:lang w:val="zh-CN" w:eastAsia="zh-CN"/>
        </w:rPr>
        <w:t>及与其他个人和系统互动</w:t>
      </w:r>
      <w:r>
        <w:rPr>
          <w:rFonts w:hint="eastAsia"/>
          <w:lang w:val="zh-CN" w:eastAsia="zh-CN"/>
        </w:rPr>
        <w:t>；</w:t>
      </w:r>
      <w:proofErr w:type="gramEnd"/>
    </w:p>
    <w:p w14:paraId="77259400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val="zh-CN" w:eastAsia="zh-CN"/>
        </w:rPr>
        <w:t>数字文件等</w:t>
      </w:r>
      <w:r>
        <w:rPr>
          <w:rFonts w:hint="eastAsia"/>
          <w:lang w:val="zh-CN" w:eastAsia="zh-CN"/>
        </w:rPr>
        <w:t>可核验证书</w:t>
      </w:r>
      <w:r>
        <w:rPr>
          <w:lang w:val="zh-CN" w:eastAsia="zh-CN"/>
        </w:rPr>
        <w:t>作为确认个人所声称身份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工具的重要性</w:t>
      </w:r>
      <w:r>
        <w:rPr>
          <w:rFonts w:hint="eastAsia"/>
          <w:lang w:val="zh-CN" w:eastAsia="zh-CN"/>
        </w:rPr>
        <w:t>；</w:t>
      </w:r>
      <w:proofErr w:type="gramEnd"/>
    </w:p>
    <w:p w14:paraId="77ABB6DD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数字身份和可核验证书在使用人工智能、分布式账本技术、数字孪生、元宇宙技术和物联网等信息通信技术（</w:t>
      </w:r>
      <w:r>
        <w:rPr>
          <w:lang w:val="zh-CN" w:eastAsia="zh-CN"/>
        </w:rPr>
        <w:t>ICT</w:t>
      </w:r>
      <w:r>
        <w:rPr>
          <w:lang w:val="zh-CN" w:eastAsia="zh-CN"/>
        </w:rPr>
        <w:t>）</w:t>
      </w:r>
      <w:proofErr w:type="gramStart"/>
      <w:r>
        <w:rPr>
          <w:rFonts w:hint="eastAsia"/>
          <w:lang w:val="en-US" w:eastAsia="zh-CN"/>
        </w:rPr>
        <w:t>方面</w:t>
      </w:r>
      <w:r>
        <w:rPr>
          <w:lang w:val="zh-CN" w:eastAsia="zh-CN"/>
        </w:rPr>
        <w:t>的重要作用</w:t>
      </w:r>
      <w:r>
        <w:rPr>
          <w:rFonts w:hint="eastAsia"/>
          <w:lang w:val="zh-CN" w:eastAsia="zh-CN"/>
        </w:rPr>
        <w:t>；</w:t>
      </w:r>
      <w:proofErr w:type="gramEnd"/>
    </w:p>
    <w:p w14:paraId="119327A9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lang w:val="zh-CN" w:eastAsia="zh-CN"/>
        </w:rPr>
        <w:t>智能手机或平板电脑</w:t>
      </w:r>
      <w:r>
        <w:rPr>
          <w:rFonts w:hint="eastAsia"/>
          <w:lang w:val="en-US" w:eastAsia="zh-CN"/>
        </w:rPr>
        <w:t>等</w:t>
      </w:r>
      <w:r>
        <w:rPr>
          <w:lang w:val="zh-CN" w:eastAsia="zh-CN"/>
        </w:rPr>
        <w:t>无处不在的移动设备正在成为日益流行的工具</w:t>
      </w:r>
      <w:r>
        <w:rPr>
          <w:rFonts w:hint="eastAsia"/>
          <w:lang w:val="zh-CN" w:eastAsia="zh-CN"/>
        </w:rPr>
        <w:t>，用于在</w:t>
      </w:r>
      <w:r>
        <w:rPr>
          <w:lang w:val="zh-CN" w:eastAsia="zh-CN"/>
        </w:rPr>
        <w:t>日常数字交易中证明我们就是我们所声称的那个人（该过程称为认证</w:t>
      </w:r>
      <w:proofErr w:type="gramStart"/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；</w:t>
      </w:r>
      <w:proofErr w:type="gramEnd"/>
    </w:p>
    <w:p w14:paraId="55653D1C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lang w:val="zh-CN" w:eastAsia="zh-CN"/>
        </w:rPr>
        <w:t>需要全球可互操作的数字身份和可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证书，</w:t>
      </w:r>
      <w:proofErr w:type="gramStart"/>
      <w:r>
        <w:rPr>
          <w:lang w:val="zh-CN" w:eastAsia="zh-CN"/>
        </w:rPr>
        <w:t>并根据个人固有的生物特征适当删除重复数据</w:t>
      </w:r>
      <w:r>
        <w:rPr>
          <w:rFonts w:hint="eastAsia"/>
          <w:lang w:val="zh-CN" w:eastAsia="zh-CN"/>
        </w:rPr>
        <w:t>；</w:t>
      </w:r>
      <w:proofErr w:type="gramEnd"/>
    </w:p>
    <w:p w14:paraId="27E63649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</w:t>
      </w:r>
      <w:r>
        <w:rPr>
          <w:rFonts w:hint="eastAsia"/>
          <w:lang w:eastAsia="zh-CN"/>
        </w:rPr>
        <w:t>配备了安全性，</w:t>
      </w:r>
      <w:r>
        <w:rPr>
          <w:rFonts w:hint="eastAsia"/>
          <w:lang w:val="en-US" w:eastAsia="zh-CN"/>
        </w:rPr>
        <w:t>例如：</w:t>
      </w:r>
      <w:r>
        <w:rPr>
          <w:rFonts w:hint="eastAsia"/>
          <w:lang w:eastAsia="zh-CN"/>
        </w:rPr>
        <w:t>对在线数据的更好控制、</w:t>
      </w:r>
      <w:proofErr w:type="gramStart"/>
      <w:r>
        <w:rPr>
          <w:rFonts w:hint="eastAsia"/>
          <w:lang w:eastAsia="zh-CN"/>
        </w:rPr>
        <w:t>可</w:t>
      </w:r>
      <w:r>
        <w:rPr>
          <w:rFonts w:hint="eastAsia"/>
          <w:lang w:val="en-US" w:eastAsia="zh-CN"/>
        </w:rPr>
        <w:t>扩展</w:t>
      </w:r>
      <w:r>
        <w:rPr>
          <w:rFonts w:hint="eastAsia"/>
          <w:lang w:eastAsia="zh-CN"/>
        </w:rPr>
        <w:t>性和相对于纸质身份的灵活性；</w:t>
      </w:r>
      <w:proofErr w:type="gramEnd"/>
    </w:p>
    <w:p w14:paraId="45BD6390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lang w:val="zh-CN" w:eastAsia="zh-CN"/>
        </w:rPr>
        <w:t>身份钱包使人们能够在移动设备上集中存储数字身份和可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证书，例如身份证、</w:t>
      </w:r>
      <w:proofErr w:type="gramStart"/>
      <w:r>
        <w:rPr>
          <w:lang w:val="zh-CN" w:eastAsia="zh-CN"/>
        </w:rPr>
        <w:t>驾照和社会保险</w:t>
      </w:r>
      <w:r>
        <w:rPr>
          <w:rFonts w:hint="eastAsia"/>
          <w:lang w:val="en-US" w:eastAsia="zh-CN"/>
        </w:rPr>
        <w:t>详情</w:t>
      </w:r>
      <w:r>
        <w:rPr>
          <w:rFonts w:hint="eastAsia"/>
          <w:lang w:val="zh-CN" w:eastAsia="zh-CN"/>
        </w:rPr>
        <w:t>；</w:t>
      </w:r>
      <w:proofErr w:type="gramEnd"/>
    </w:p>
    <w:p w14:paraId="0DA16B60" w14:textId="260F7FAA" w:rsidR="00EB7201" w:rsidRDefault="001E3D84">
      <w:pPr>
        <w:rPr>
          <w:rFonts w:eastAsiaTheme="minorEastAsia"/>
          <w:lang w:eastAsia="ko-KR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lang w:val="zh-CN" w:eastAsia="zh-CN"/>
        </w:rPr>
        <w:t>可互操作的数字身份使人们能够使用其可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</w:t>
      </w:r>
      <w:r>
        <w:rPr>
          <w:rFonts w:hint="eastAsia"/>
          <w:lang w:val="en-US" w:eastAsia="zh-CN"/>
        </w:rPr>
        <w:t>来方便地使用</w:t>
      </w:r>
      <w:r>
        <w:rPr>
          <w:lang w:val="zh-CN" w:eastAsia="zh-CN"/>
        </w:rPr>
        <w:t>各种跨境在线服务，例如访问病历、金融服务、</w:t>
      </w:r>
      <w:r w:rsidR="00E96EB7">
        <w:rPr>
          <w:rFonts w:hint="eastAsia"/>
          <w:lang w:val="zh-CN" w:eastAsia="zh-CN"/>
        </w:rPr>
        <w:t>报税</w:t>
      </w:r>
      <w:r>
        <w:rPr>
          <w:lang w:val="zh-CN" w:eastAsia="zh-CN"/>
        </w:rPr>
        <w:t>、</w:t>
      </w:r>
      <w:proofErr w:type="gramStart"/>
      <w:r>
        <w:rPr>
          <w:lang w:val="zh-CN" w:eastAsia="zh-CN"/>
        </w:rPr>
        <w:t>在线转账和其他政府网站</w:t>
      </w:r>
      <w:r>
        <w:rPr>
          <w:rFonts w:hint="eastAsia"/>
          <w:lang w:val="zh-CN" w:eastAsia="zh-CN"/>
        </w:rPr>
        <w:t>；</w:t>
      </w:r>
      <w:proofErr w:type="gramEnd"/>
    </w:p>
    <w:p w14:paraId="04A0F01C" w14:textId="77777777" w:rsidR="00EB7201" w:rsidRDefault="001E3D84">
      <w:pPr>
        <w:rPr>
          <w:rFonts w:eastAsiaTheme="minorEastAsia"/>
          <w:lang w:eastAsia="ko-KR"/>
        </w:rPr>
      </w:pPr>
      <w:proofErr w:type="spellStart"/>
      <w:r>
        <w:rPr>
          <w:rFonts w:eastAsiaTheme="minorEastAsia"/>
          <w:i/>
          <w:iCs/>
          <w:lang w:eastAsia="ko-KR"/>
        </w:rPr>
        <w:t>i</w:t>
      </w:r>
      <w:proofErr w:type="spellEnd"/>
      <w:r>
        <w:rPr>
          <w:rFonts w:eastAsiaTheme="minorEastAsia"/>
          <w:i/>
          <w:iCs/>
          <w:lang w:eastAsia="ko-KR"/>
        </w:rPr>
        <w:t>)</w:t>
      </w:r>
      <w:r>
        <w:rPr>
          <w:rFonts w:eastAsiaTheme="minorEastAsia"/>
          <w:lang w:eastAsia="ko-KR"/>
        </w:rPr>
        <w:tab/>
      </w:r>
      <w:r>
        <w:rPr>
          <w:lang w:val="zh-CN" w:eastAsia="zh-CN"/>
        </w:rPr>
        <w:t>去中心化身份是一个数字身份管理系统，个人可以完全控制其身份数据，并允许用户管理和共享其身份数据，</w:t>
      </w:r>
      <w:proofErr w:type="gramStart"/>
      <w:r>
        <w:rPr>
          <w:lang w:val="zh-CN" w:eastAsia="zh-CN"/>
        </w:rPr>
        <w:t>而无需依赖中央机构或第三方服务</w:t>
      </w:r>
      <w:r>
        <w:rPr>
          <w:rFonts w:hint="eastAsia"/>
          <w:lang w:val="zh-CN" w:eastAsia="zh-CN"/>
        </w:rPr>
        <w:t>；</w:t>
      </w:r>
      <w:proofErr w:type="gramEnd"/>
    </w:p>
    <w:p w14:paraId="2D28186C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j)</w:t>
      </w:r>
      <w:r>
        <w:rPr>
          <w:rFonts w:eastAsiaTheme="minorEastAsia"/>
          <w:lang w:eastAsia="ko-KR"/>
        </w:rPr>
        <w:tab/>
      </w:r>
      <w:r>
        <w:rPr>
          <w:lang w:val="zh-CN" w:eastAsia="zh-CN"/>
        </w:rPr>
        <w:t>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</w:t>
      </w:r>
      <w:r>
        <w:rPr>
          <w:rFonts w:hint="eastAsia"/>
          <w:lang w:val="en-US" w:eastAsia="zh-CN"/>
        </w:rPr>
        <w:t>等</w:t>
      </w:r>
      <w:r>
        <w:rPr>
          <w:lang w:val="zh-CN" w:eastAsia="zh-CN"/>
        </w:rPr>
        <w:t>去中心化身份的概念可用于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有关年龄、</w:t>
      </w:r>
      <w:proofErr w:type="gramStart"/>
      <w:r>
        <w:rPr>
          <w:lang w:val="zh-CN" w:eastAsia="zh-CN"/>
        </w:rPr>
        <w:t>居住地和位置的身份证明</w:t>
      </w:r>
      <w:r>
        <w:rPr>
          <w:rFonts w:hint="eastAsia"/>
          <w:lang w:val="zh-CN" w:eastAsia="zh-CN"/>
        </w:rPr>
        <w:t>；</w:t>
      </w:r>
      <w:proofErr w:type="gramEnd"/>
    </w:p>
    <w:p w14:paraId="763DAE30" w14:textId="17F62ED1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k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lang w:val="zh-CN" w:eastAsia="zh-CN"/>
        </w:rPr>
        <w:t>作为一种数字身份，</w:t>
      </w:r>
      <w:proofErr w:type="gramStart"/>
      <w:r>
        <w:rPr>
          <w:lang w:val="zh-CN" w:eastAsia="zh-CN"/>
        </w:rPr>
        <w:t>生物特征识别数据有助于</w:t>
      </w:r>
      <w:r>
        <w:rPr>
          <w:rFonts w:hint="eastAsia"/>
          <w:lang w:val="en-US" w:eastAsia="zh-CN"/>
        </w:rPr>
        <w:t>并会</w:t>
      </w:r>
      <w:r>
        <w:rPr>
          <w:lang w:val="zh-CN" w:eastAsia="zh-CN"/>
        </w:rPr>
        <w:t>促进数字身份管理</w:t>
      </w:r>
      <w:r>
        <w:rPr>
          <w:rFonts w:hint="eastAsia"/>
          <w:lang w:val="zh-CN" w:eastAsia="zh-CN"/>
        </w:rPr>
        <w:t>；</w:t>
      </w:r>
      <w:proofErr w:type="gramEnd"/>
    </w:p>
    <w:p w14:paraId="3750682A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lastRenderedPageBreak/>
        <w:t>l)</w:t>
      </w:r>
      <w:r>
        <w:rPr>
          <w:rFonts w:eastAsiaTheme="minorEastAsia"/>
          <w:lang w:eastAsia="ko-KR"/>
        </w:rPr>
        <w:tab/>
      </w:r>
      <w:proofErr w:type="gramStart"/>
      <w:r>
        <w:rPr>
          <w:lang w:val="zh-CN" w:eastAsia="zh-CN"/>
        </w:rPr>
        <w:t>可以使用零知识</w:t>
      </w:r>
      <w:r>
        <w:rPr>
          <w:rFonts w:hint="eastAsia"/>
          <w:lang w:val="en-US" w:eastAsia="zh-CN"/>
        </w:rPr>
        <w:t>验证</w:t>
      </w:r>
      <w:r>
        <w:rPr>
          <w:lang w:val="zh-CN" w:eastAsia="zh-CN"/>
        </w:rPr>
        <w:t>技术等隐私增强技术来确保数字身份和</w:t>
      </w:r>
      <w:r>
        <w:rPr>
          <w:rFonts w:hint="eastAsia"/>
          <w:lang w:val="zh-CN" w:eastAsia="zh-CN"/>
        </w:rPr>
        <w:t>可核验证书</w:t>
      </w:r>
      <w:r>
        <w:rPr>
          <w:lang w:val="zh-CN" w:eastAsia="zh-CN"/>
        </w:rPr>
        <w:t>的可信度</w:t>
      </w:r>
      <w:r>
        <w:rPr>
          <w:rFonts w:hint="eastAsia"/>
          <w:lang w:val="zh-CN" w:eastAsia="zh-CN"/>
        </w:rPr>
        <w:t>；</w:t>
      </w:r>
      <w:proofErr w:type="gramEnd"/>
    </w:p>
    <w:p w14:paraId="22B8EF7F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m)</w:t>
      </w:r>
      <w:r>
        <w:rPr>
          <w:rFonts w:eastAsiaTheme="minorEastAsia"/>
          <w:i/>
          <w:iCs/>
          <w:lang w:eastAsia="ko-KR"/>
        </w:rPr>
        <w:tab/>
      </w:r>
      <w:proofErr w:type="gramStart"/>
      <w:r>
        <w:rPr>
          <w:lang w:val="zh-CN" w:eastAsia="zh-CN"/>
        </w:rPr>
        <w:t>去中心化身份对于确保问责制和可追溯性的重要性</w:t>
      </w:r>
      <w:r>
        <w:rPr>
          <w:rFonts w:hint="eastAsia"/>
          <w:lang w:val="zh-CN" w:eastAsia="zh-CN"/>
        </w:rPr>
        <w:t>；</w:t>
      </w:r>
      <w:proofErr w:type="gramEnd"/>
    </w:p>
    <w:p w14:paraId="2BC8A59E" w14:textId="77777777" w:rsidR="00EB7201" w:rsidRDefault="001E3D84">
      <w:pPr>
        <w:tabs>
          <w:tab w:val="clear" w:pos="1701"/>
          <w:tab w:val="clear" w:pos="2495"/>
          <w:tab w:val="left" w:pos="1871"/>
          <w:tab w:val="left" w:pos="2268"/>
        </w:tabs>
        <w:rPr>
          <w:rFonts w:eastAsiaTheme="minorEastAsia"/>
          <w:lang w:eastAsia="zh-CN"/>
        </w:rPr>
      </w:pPr>
      <w:r>
        <w:rPr>
          <w:rFonts w:eastAsiaTheme="minorEastAsia"/>
          <w:i/>
          <w:iCs/>
          <w:lang w:eastAsia="ko-KR"/>
        </w:rPr>
        <w:t>n)</w:t>
      </w:r>
      <w:r>
        <w:rPr>
          <w:rFonts w:eastAsiaTheme="minorEastAsia"/>
          <w:i/>
          <w:iCs/>
          <w:lang w:eastAsia="ko-KR"/>
        </w:rPr>
        <w:tab/>
      </w:r>
      <w:r>
        <w:rPr>
          <w:lang w:val="zh-CN" w:eastAsia="zh-CN"/>
        </w:rPr>
        <w:t>AI/ML</w:t>
      </w:r>
      <w:r>
        <w:rPr>
          <w:lang w:val="zh-CN" w:eastAsia="zh-CN"/>
        </w:rPr>
        <w:t>在数字身份领域的使用，例如</w:t>
      </w:r>
      <w:r>
        <w:rPr>
          <w:rFonts w:hint="eastAsia"/>
          <w:lang w:val="en-US" w:eastAsia="zh-CN"/>
        </w:rPr>
        <w:t>活性</w:t>
      </w:r>
      <w:r>
        <w:rPr>
          <w:rFonts w:hint="eastAsia"/>
          <w:lang w:val="zh-CN" w:eastAsia="zh-CN"/>
        </w:rPr>
        <w:t>检测、人脸识别、</w:t>
      </w:r>
      <w:r>
        <w:rPr>
          <w:lang w:val="zh-CN" w:eastAsia="zh-CN"/>
        </w:rPr>
        <w:t>消除偏见等，</w:t>
      </w:r>
      <w:proofErr w:type="gramStart"/>
      <w:r>
        <w:rPr>
          <w:lang w:val="zh-CN" w:eastAsia="zh-CN"/>
        </w:rPr>
        <w:t>并</w:t>
      </w:r>
      <w:r>
        <w:rPr>
          <w:rFonts w:hint="eastAsia"/>
          <w:lang w:val="en-US" w:eastAsia="zh-CN"/>
        </w:rPr>
        <w:t>有助于</w:t>
      </w:r>
      <w:r>
        <w:rPr>
          <w:lang w:val="zh-CN" w:eastAsia="zh-CN"/>
        </w:rPr>
        <w:t>增强数字身份和</w:t>
      </w:r>
      <w:r>
        <w:rPr>
          <w:rFonts w:hint="eastAsia"/>
          <w:lang w:val="en-US" w:eastAsia="zh-CN"/>
        </w:rPr>
        <w:t>提高</w:t>
      </w:r>
      <w:r>
        <w:rPr>
          <w:lang w:val="zh-CN" w:eastAsia="zh-CN"/>
        </w:rPr>
        <w:t>安全性</w:t>
      </w:r>
      <w:r>
        <w:rPr>
          <w:rFonts w:hint="eastAsia"/>
          <w:lang w:val="zh-CN" w:eastAsia="zh-CN"/>
        </w:rPr>
        <w:t>；</w:t>
      </w:r>
      <w:proofErr w:type="gramEnd"/>
    </w:p>
    <w:p w14:paraId="4B866701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o)</w:t>
      </w:r>
      <w:r>
        <w:rPr>
          <w:rFonts w:eastAsiaTheme="minorEastAsia"/>
          <w:lang w:eastAsia="ko-KR"/>
        </w:rPr>
        <w:tab/>
      </w:r>
      <w:r>
        <w:rPr>
          <w:lang w:val="zh-CN" w:eastAsia="zh-CN"/>
        </w:rPr>
        <w:t>在其职责和权能范围内，</w:t>
      </w:r>
      <w:r>
        <w:rPr>
          <w:lang w:val="zh-CN" w:eastAsia="zh-CN"/>
        </w:rPr>
        <w:t>ITU-T</w:t>
      </w:r>
      <w:r>
        <w:rPr>
          <w:lang w:val="zh-CN" w:eastAsia="zh-CN"/>
        </w:rPr>
        <w:t>可以在数字身份和</w:t>
      </w:r>
      <w:r>
        <w:rPr>
          <w:rFonts w:hint="eastAsia"/>
          <w:lang w:val="zh-CN" w:eastAsia="zh-CN"/>
        </w:rPr>
        <w:t>可核验证书</w:t>
      </w:r>
      <w:r>
        <w:rPr>
          <w:lang w:val="zh-CN" w:eastAsia="zh-CN"/>
        </w:rPr>
        <w:t>（包括</w:t>
      </w:r>
      <w:r>
        <w:rPr>
          <w:rFonts w:hint="eastAsia"/>
          <w:lang w:val="en-US" w:eastAsia="zh-CN"/>
        </w:rPr>
        <w:t>去中心化</w:t>
      </w:r>
      <w:r>
        <w:rPr>
          <w:lang w:val="zh-CN" w:eastAsia="zh-CN"/>
        </w:rPr>
        <w:t>身份）方面发挥作用，</w:t>
      </w:r>
    </w:p>
    <w:p w14:paraId="7E2A6B93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进一步考虑到</w:t>
      </w:r>
    </w:p>
    <w:p w14:paraId="3C6DDAEB" w14:textId="77777777" w:rsidR="00EB7201" w:rsidRDefault="001E3D84">
      <w:pPr>
        <w:rPr>
          <w:rFonts w:eastAsiaTheme="minorEastAsia"/>
          <w:i/>
          <w:iCs/>
          <w:lang w:eastAsia="ko-KR"/>
        </w:rPr>
      </w:pPr>
      <w:r>
        <w:rPr>
          <w:rFonts w:eastAsiaTheme="minorEastAsia"/>
          <w:i/>
          <w:iCs/>
          <w:lang w:eastAsia="ko-KR"/>
        </w:rPr>
        <w:t>a)</w:t>
      </w:r>
      <w:r>
        <w:rPr>
          <w:rFonts w:eastAsiaTheme="minorEastAsia"/>
          <w:i/>
          <w:iCs/>
          <w:lang w:eastAsia="ko-KR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17</w:t>
      </w:r>
      <w:r>
        <w:rPr>
          <w:lang w:val="zh-CN" w:eastAsia="zh-CN"/>
        </w:rPr>
        <w:t>研究组主持开展的身份管理联合协调活动协调了</w:t>
      </w:r>
      <w:r>
        <w:rPr>
          <w:lang w:val="zh-CN" w:eastAsia="zh-CN"/>
        </w:rPr>
        <w:t>ITU-</w:t>
      </w:r>
      <w:proofErr w:type="gramStart"/>
      <w:r>
        <w:rPr>
          <w:lang w:val="zh-CN" w:eastAsia="zh-CN"/>
        </w:rPr>
        <w:t>T</w:t>
      </w:r>
      <w:r>
        <w:rPr>
          <w:lang w:val="zh-CN" w:eastAsia="zh-CN"/>
        </w:rPr>
        <w:t>各研究组和其他相关组在身份管理领域的工作</w:t>
      </w:r>
      <w:r>
        <w:rPr>
          <w:rFonts w:hint="eastAsia"/>
          <w:lang w:val="zh-CN" w:eastAsia="zh-CN"/>
        </w:rPr>
        <w:t>；</w:t>
      </w:r>
      <w:proofErr w:type="gramEnd"/>
    </w:p>
    <w:p w14:paraId="5D742E3B" w14:textId="77777777" w:rsidR="00EB7201" w:rsidRDefault="001E3D84">
      <w:pPr>
        <w:rPr>
          <w:lang w:eastAsia="zh-CN"/>
        </w:rPr>
      </w:pPr>
      <w:r>
        <w:rPr>
          <w:rFonts w:eastAsiaTheme="minorEastAsia"/>
          <w:i/>
          <w:iCs/>
          <w:lang w:eastAsia="ko-KR"/>
        </w:rPr>
        <w:t>b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lang w:val="zh-CN" w:eastAsia="zh-CN"/>
        </w:rPr>
        <w:t>ITU-T X.1254</w:t>
      </w:r>
      <w:r>
        <w:rPr>
          <w:lang w:val="zh-CN" w:eastAsia="zh-CN"/>
        </w:rPr>
        <w:t>建议书规定了三个实体认证保证等级（</w:t>
      </w:r>
      <w:r>
        <w:rPr>
          <w:lang w:val="zh-CN" w:eastAsia="zh-CN"/>
        </w:rPr>
        <w:t>AAL</w:t>
      </w:r>
      <w:r>
        <w:rPr>
          <w:lang w:val="zh-CN" w:eastAsia="zh-CN"/>
        </w:rPr>
        <w:t>），</w:t>
      </w:r>
      <w:proofErr w:type="gramStart"/>
      <w:r>
        <w:rPr>
          <w:rFonts w:hint="eastAsia"/>
          <w:lang w:val="en-US" w:eastAsia="zh-CN"/>
        </w:rPr>
        <w:t>并阐述了有关</w:t>
      </w:r>
      <w:r>
        <w:rPr>
          <w:lang w:val="zh-CN" w:eastAsia="zh-CN"/>
        </w:rPr>
        <w:t>每个等级的标准</w:t>
      </w:r>
      <w:r>
        <w:rPr>
          <w:rFonts w:hint="eastAsia"/>
          <w:lang w:val="en-US" w:eastAsia="zh-CN"/>
        </w:rPr>
        <w:t>及其面临的</w:t>
      </w:r>
      <w:r>
        <w:rPr>
          <w:lang w:val="zh-CN" w:eastAsia="zh-CN"/>
        </w:rPr>
        <w:t>威胁</w:t>
      </w:r>
      <w:r>
        <w:rPr>
          <w:rFonts w:hint="eastAsia"/>
          <w:lang w:val="zh-CN" w:eastAsia="zh-CN"/>
        </w:rPr>
        <w:t>；</w:t>
      </w:r>
      <w:proofErr w:type="gramEnd"/>
    </w:p>
    <w:p w14:paraId="4D1E6480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c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lang w:val="zh-CN" w:eastAsia="zh-CN"/>
        </w:rPr>
        <w:t>ITU-T X.1277</w:t>
      </w:r>
      <w:r>
        <w:rPr>
          <w:rFonts w:hint="eastAsia"/>
          <w:lang w:val="en-US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建议书</w:t>
      </w:r>
      <w:r>
        <w:rPr>
          <w:rFonts w:hint="eastAsia"/>
          <w:lang w:val="en-US" w:eastAsia="zh-CN"/>
        </w:rPr>
        <w:t>涉及</w:t>
      </w:r>
      <w:r>
        <w:rPr>
          <w:lang w:val="zh-CN" w:eastAsia="zh-CN"/>
        </w:rPr>
        <w:t>使用生物</w:t>
      </w:r>
      <w:r>
        <w:rPr>
          <w:rFonts w:hint="eastAsia"/>
          <w:lang w:val="en-US" w:eastAsia="zh-CN"/>
        </w:rPr>
        <w:t>特征</w:t>
      </w:r>
      <w:r>
        <w:rPr>
          <w:lang w:val="zh-CN" w:eastAsia="zh-CN"/>
        </w:rPr>
        <w:t>识别和其他方式对本地设备的用户进行认证，</w:t>
      </w:r>
      <w:r>
        <w:rPr>
          <w:rFonts w:hint="eastAsia"/>
          <w:lang w:val="en-US" w:eastAsia="zh-CN"/>
        </w:rPr>
        <w:t>并以此</w:t>
      </w:r>
      <w:r>
        <w:rPr>
          <w:lang w:val="zh-CN" w:eastAsia="zh-CN"/>
        </w:rPr>
        <w:t>提供无需密码的认证。此外，</w:t>
      </w:r>
      <w:r>
        <w:rPr>
          <w:lang w:val="zh-CN" w:eastAsia="zh-CN"/>
        </w:rPr>
        <w:t>ITU-T X.1278</w:t>
      </w:r>
      <w:r>
        <w:rPr>
          <w:rFonts w:hint="eastAsia"/>
          <w:lang w:val="en-US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建议书允许使用外部认证器进行认证，并描述了漫游认证器与另一客户端</w:t>
      </w:r>
      <w:r>
        <w:rPr>
          <w:lang w:val="zh-CN" w:eastAsia="zh-CN"/>
        </w:rPr>
        <w:t>/</w:t>
      </w:r>
      <w:r>
        <w:rPr>
          <w:lang w:val="zh-CN" w:eastAsia="zh-CN"/>
        </w:rPr>
        <w:t>平台之间通信的应用层协议，</w:t>
      </w:r>
      <w:proofErr w:type="gramStart"/>
      <w:r>
        <w:rPr>
          <w:lang w:val="zh-CN" w:eastAsia="zh-CN"/>
        </w:rPr>
        <w:t>以及该应用协议与使用不同物理介质的各种传输协议的绑定</w:t>
      </w:r>
      <w:r>
        <w:rPr>
          <w:rFonts w:hint="eastAsia"/>
          <w:lang w:val="en-US" w:eastAsia="zh-CN"/>
        </w:rPr>
        <w:t>情况</w:t>
      </w:r>
      <w:r>
        <w:rPr>
          <w:rFonts w:hint="eastAsia"/>
          <w:lang w:val="zh-CN" w:eastAsia="zh-CN"/>
        </w:rPr>
        <w:t>；</w:t>
      </w:r>
      <w:proofErr w:type="gramEnd"/>
    </w:p>
    <w:p w14:paraId="22025EE4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d)</w:t>
      </w:r>
      <w:r>
        <w:rPr>
          <w:rFonts w:eastAsiaTheme="minorEastAsia"/>
          <w:lang w:eastAsia="ko-KR"/>
        </w:rPr>
        <w:tab/>
      </w:r>
      <w:r>
        <w:rPr>
          <w:lang w:val="zh-CN" w:eastAsia="zh-CN"/>
        </w:rPr>
        <w:t>ITU-T X.</w:t>
      </w:r>
      <w:proofErr w:type="gramStart"/>
      <w:r>
        <w:rPr>
          <w:lang w:val="zh-CN" w:eastAsia="zh-CN"/>
        </w:rPr>
        <w:t>1403</w:t>
      </w:r>
      <w:r>
        <w:rPr>
          <w:lang w:val="zh-CN" w:eastAsia="zh-CN"/>
        </w:rPr>
        <w:t>建议书概述了将分布式账本技术用于去中心化身份管理的情况</w:t>
      </w:r>
      <w:r>
        <w:rPr>
          <w:rFonts w:hint="eastAsia"/>
          <w:lang w:val="zh-CN" w:eastAsia="zh-CN"/>
        </w:rPr>
        <w:t>；</w:t>
      </w:r>
      <w:proofErr w:type="gramEnd"/>
    </w:p>
    <w:p w14:paraId="4FFF02E1" w14:textId="77777777" w:rsidR="00EB7201" w:rsidRDefault="001E3D84">
      <w:pPr>
        <w:rPr>
          <w:lang w:eastAsia="zh-CN"/>
        </w:rPr>
      </w:pPr>
      <w:r>
        <w:rPr>
          <w:rFonts w:eastAsiaTheme="minorEastAsia"/>
          <w:i/>
          <w:iCs/>
          <w:lang w:eastAsia="ko-KR"/>
        </w:rPr>
        <w:t>e</w:t>
      </w:r>
      <w:r>
        <w:rPr>
          <w:i/>
          <w:iCs/>
          <w:lang w:eastAsia="ko-KR"/>
        </w:rPr>
        <w:t>)</w:t>
      </w:r>
      <w:r>
        <w:rPr>
          <w:lang w:eastAsia="ko-KR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、国际标准化组织（</w:t>
      </w:r>
      <w:r>
        <w:rPr>
          <w:lang w:val="zh-CN" w:eastAsia="zh-CN"/>
        </w:rPr>
        <w:t>ISO</w:t>
      </w:r>
      <w:r>
        <w:rPr>
          <w:lang w:val="zh-CN" w:eastAsia="zh-CN"/>
        </w:rPr>
        <w:t>）和国际电工委员会（</w:t>
      </w:r>
      <w:r>
        <w:rPr>
          <w:lang w:val="zh-CN" w:eastAsia="zh-CN"/>
        </w:rPr>
        <w:t>IEC</w:t>
      </w:r>
      <w:r>
        <w:rPr>
          <w:lang w:val="zh-CN" w:eastAsia="zh-CN"/>
        </w:rPr>
        <w:t>）的信息技术联合技术委员会（</w:t>
      </w:r>
      <w:r>
        <w:rPr>
          <w:lang w:val="zh-CN" w:eastAsia="zh-CN"/>
        </w:rPr>
        <w:t>JTC 1</w:t>
      </w:r>
      <w:r>
        <w:rPr>
          <w:lang w:val="zh-CN" w:eastAsia="zh-CN"/>
        </w:rPr>
        <w:t>）以及诸如万维网联盟（</w:t>
      </w:r>
      <w:r>
        <w:rPr>
          <w:lang w:val="zh-CN" w:eastAsia="zh-CN"/>
        </w:rPr>
        <w:t>W3C</w:t>
      </w:r>
      <w:r>
        <w:rPr>
          <w:lang w:val="zh-CN" w:eastAsia="zh-CN"/>
        </w:rPr>
        <w:t>）、结构化信息标准促进组织（</w:t>
      </w:r>
      <w:r>
        <w:rPr>
          <w:lang w:val="zh-CN" w:eastAsia="zh-CN"/>
        </w:rPr>
        <w:t>OASIS</w:t>
      </w:r>
      <w:r>
        <w:rPr>
          <w:lang w:val="zh-CN" w:eastAsia="zh-CN"/>
        </w:rPr>
        <w:t>）、互联网工程任务组（</w:t>
      </w:r>
      <w:r>
        <w:rPr>
          <w:lang w:val="zh-CN" w:eastAsia="zh-CN"/>
        </w:rPr>
        <w:t>IETF</w:t>
      </w:r>
      <w:r>
        <w:rPr>
          <w:lang w:val="zh-CN" w:eastAsia="zh-CN"/>
        </w:rPr>
        <w:t>）和电气电子工程师学会（</w:t>
      </w:r>
      <w:r>
        <w:rPr>
          <w:lang w:val="zh-CN" w:eastAsia="zh-CN"/>
        </w:rPr>
        <w:t>IEEE</w:t>
      </w:r>
      <w:r>
        <w:rPr>
          <w:lang w:val="zh-CN" w:eastAsia="zh-CN"/>
        </w:rPr>
        <w:t>）等多个联盟和标准实体已出版了大量资料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并正在开展与</w:t>
      </w:r>
      <w:r>
        <w:rPr>
          <w:rFonts w:hint="eastAsia"/>
          <w:lang w:val="en-US" w:eastAsia="zh-CN"/>
        </w:rPr>
        <w:t>此</w:t>
      </w:r>
      <w:r>
        <w:rPr>
          <w:lang w:val="zh-CN" w:eastAsia="zh-CN"/>
        </w:rPr>
        <w:t>议题直接相关的工作，这一点需加以考虑，</w:t>
      </w:r>
    </w:p>
    <w:p w14:paraId="051E5878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7834A831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17</w:t>
      </w:r>
      <w:r>
        <w:rPr>
          <w:lang w:val="zh-CN" w:eastAsia="zh-CN"/>
        </w:rPr>
        <w:t>研究组是身份管理方面的牵头研究组，负责协调</w:t>
      </w:r>
      <w:r>
        <w:rPr>
          <w:lang w:val="zh-CN" w:eastAsia="zh-CN"/>
        </w:rPr>
        <w:t>ITU-T</w:t>
      </w:r>
      <w:r>
        <w:rPr>
          <w:lang w:val="zh-CN" w:eastAsia="zh-CN"/>
        </w:rPr>
        <w:t>内部以及与其他标准制定组织和论坛</w:t>
      </w:r>
      <w:r>
        <w:rPr>
          <w:rFonts w:hint="eastAsia"/>
          <w:lang w:val="en-US" w:eastAsia="zh-CN"/>
        </w:rPr>
        <w:t>共同开展</w:t>
      </w:r>
      <w:r>
        <w:rPr>
          <w:lang w:val="zh-CN" w:eastAsia="zh-CN"/>
        </w:rPr>
        <w:t>的身份管理活动，</w:t>
      </w:r>
      <w:proofErr w:type="gramStart"/>
      <w:r>
        <w:rPr>
          <w:lang w:val="zh-CN" w:eastAsia="zh-CN"/>
        </w:rPr>
        <w:t>并制定</w:t>
      </w:r>
      <w:r>
        <w:rPr>
          <w:rFonts w:hint="eastAsia"/>
          <w:lang w:val="en-US" w:eastAsia="zh-CN"/>
        </w:rPr>
        <w:t>旨在</w:t>
      </w:r>
      <w:r>
        <w:rPr>
          <w:lang w:val="zh-CN" w:eastAsia="zh-CN"/>
        </w:rPr>
        <w:t>改进协作的框架</w:t>
      </w:r>
      <w:r>
        <w:rPr>
          <w:rFonts w:hint="eastAsia"/>
          <w:lang w:val="zh-CN" w:eastAsia="zh-CN"/>
        </w:rPr>
        <w:t>；</w:t>
      </w:r>
      <w:proofErr w:type="gramEnd"/>
    </w:p>
    <w:p w14:paraId="17254D46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lang w:val="zh-CN" w:eastAsia="zh-CN"/>
        </w:rPr>
        <w:t>许多机构和组织正在制定数字身份和</w:t>
      </w:r>
      <w:r>
        <w:rPr>
          <w:rFonts w:hint="eastAsia"/>
          <w:lang w:val="zh-CN" w:eastAsia="zh-CN"/>
        </w:rPr>
        <w:t>可核验证书</w:t>
      </w:r>
      <w:r>
        <w:rPr>
          <w:lang w:val="zh-CN" w:eastAsia="zh-CN"/>
        </w:rPr>
        <w:t>标准，</w:t>
      </w:r>
    </w:p>
    <w:p w14:paraId="0D123872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val="en-US" w:eastAsia="zh-CN"/>
        </w:rPr>
        <w:t>认识到</w:t>
      </w:r>
    </w:p>
    <w:p w14:paraId="0F0C21DE" w14:textId="77777777" w:rsidR="00EB7201" w:rsidRDefault="001E3D84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17</w:t>
      </w:r>
      <w:r>
        <w:rPr>
          <w:lang w:val="zh-CN" w:eastAsia="zh-CN"/>
        </w:rPr>
        <w:t>研究组在身份管理和远程生物</w:t>
      </w:r>
      <w:r>
        <w:rPr>
          <w:rFonts w:hint="eastAsia"/>
          <w:lang w:val="en-US" w:eastAsia="zh-CN"/>
        </w:rPr>
        <w:t>特征</w:t>
      </w:r>
      <w:r>
        <w:rPr>
          <w:lang w:val="zh-CN" w:eastAsia="zh-CN"/>
        </w:rPr>
        <w:t>识别架构和机制领域的相关成就，如</w:t>
      </w:r>
      <w:r>
        <w:rPr>
          <w:lang w:val="zh-CN" w:eastAsia="zh-CN"/>
        </w:rPr>
        <w:t>ITU-T X.</w:t>
      </w:r>
      <w:proofErr w:type="gramStart"/>
      <w:r>
        <w:rPr>
          <w:lang w:val="zh-CN" w:eastAsia="zh-CN"/>
        </w:rPr>
        <w:t>1403</w:t>
      </w:r>
      <w:r>
        <w:rPr>
          <w:lang w:val="zh-CN" w:eastAsia="zh-CN"/>
        </w:rPr>
        <w:t>建议书规定的使用分布式账本技术进行</w:t>
      </w:r>
      <w:r>
        <w:rPr>
          <w:rFonts w:hint="eastAsia"/>
          <w:lang w:val="en-US" w:eastAsia="zh-CN"/>
        </w:rPr>
        <w:t>去中心化</w:t>
      </w:r>
      <w:r>
        <w:rPr>
          <w:lang w:val="zh-CN" w:eastAsia="zh-CN"/>
        </w:rPr>
        <w:t>身份管理的安全导则</w:t>
      </w:r>
      <w:r>
        <w:rPr>
          <w:rFonts w:hint="eastAsia"/>
          <w:lang w:val="zh-CN" w:eastAsia="zh-CN"/>
        </w:rPr>
        <w:t>；</w:t>
      </w:r>
      <w:proofErr w:type="gramEnd"/>
    </w:p>
    <w:p w14:paraId="5F7BFAD1" w14:textId="77777777" w:rsidR="00EB7201" w:rsidRDefault="001E3D84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lang w:val="zh-CN" w:eastAsia="zh-CN"/>
        </w:rPr>
        <w:t>显然需要协调</w:t>
      </w:r>
      <w:r>
        <w:rPr>
          <w:lang w:val="zh-CN" w:eastAsia="zh-CN"/>
        </w:rPr>
        <w:t>ITU-T</w:t>
      </w:r>
      <w:r>
        <w:rPr>
          <w:lang w:val="zh-CN" w:eastAsia="zh-CN"/>
        </w:rPr>
        <w:t>研究组和其他标准制定组织之间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工作，</w:t>
      </w:r>
    </w:p>
    <w:p w14:paraId="32521478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11E812B1" w14:textId="77777777" w:rsidR="00EB7201" w:rsidRDefault="001E3D84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继续制定有关数字身份和可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证书的必要建议书、</w:t>
      </w:r>
      <w:proofErr w:type="gramStart"/>
      <w:r>
        <w:rPr>
          <w:lang w:val="zh-CN" w:eastAsia="zh-CN"/>
        </w:rPr>
        <w:t>增补和技术报告</w:t>
      </w:r>
      <w:r>
        <w:rPr>
          <w:rFonts w:hint="eastAsia"/>
          <w:lang w:val="zh-CN" w:eastAsia="zh-CN"/>
        </w:rPr>
        <w:t>；</w:t>
      </w:r>
      <w:proofErr w:type="gramEnd"/>
    </w:p>
    <w:p w14:paraId="0F21D4A4" w14:textId="77777777" w:rsidR="00EB7201" w:rsidRDefault="001E3D84">
      <w:pPr>
        <w:rPr>
          <w:rFonts w:eastAsiaTheme="minorEastAsia"/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>
        <w:rPr>
          <w:lang w:val="zh-CN" w:eastAsia="zh-CN"/>
        </w:rPr>
        <w:t>继续制定最佳做法，</w:t>
      </w:r>
      <w:r>
        <w:rPr>
          <w:rFonts w:hint="eastAsia"/>
          <w:lang w:val="zh-CN" w:eastAsia="zh-CN"/>
        </w:rPr>
        <w:t>以建立可互操作</w:t>
      </w:r>
      <w:r>
        <w:rPr>
          <w:rFonts w:hint="eastAsia"/>
          <w:lang w:val="en-US" w:eastAsia="zh-CN"/>
        </w:rPr>
        <w:t>且</w:t>
      </w:r>
      <w:r>
        <w:rPr>
          <w:lang w:val="zh-CN" w:eastAsia="zh-CN"/>
        </w:rPr>
        <w:t>可信的</w:t>
      </w:r>
      <w:r>
        <w:rPr>
          <w:rFonts w:hint="eastAsia"/>
          <w:lang w:val="zh-CN" w:eastAsia="zh-CN"/>
        </w:rPr>
        <w:t>数字身份和可</w:t>
      </w:r>
      <w:r>
        <w:rPr>
          <w:rFonts w:hint="eastAsia"/>
          <w:lang w:val="en-US" w:eastAsia="zh-CN"/>
        </w:rPr>
        <w:t>核验</w:t>
      </w:r>
      <w:r>
        <w:rPr>
          <w:rFonts w:hint="eastAsia"/>
          <w:lang w:val="zh-CN" w:eastAsia="zh-CN"/>
        </w:rPr>
        <w:t>证书，供</w:t>
      </w:r>
      <w:r>
        <w:rPr>
          <w:lang w:val="zh-CN" w:eastAsia="zh-CN"/>
        </w:rPr>
        <w:t>电信</w:t>
      </w:r>
      <w:r>
        <w:rPr>
          <w:lang w:val="zh-CN" w:eastAsia="zh-CN"/>
        </w:rPr>
        <w:t>/</w:t>
      </w:r>
      <w:proofErr w:type="gramStart"/>
      <w:r>
        <w:rPr>
          <w:lang w:val="zh-CN" w:eastAsia="zh-CN"/>
        </w:rPr>
        <w:t>ICT</w:t>
      </w:r>
      <w:r>
        <w:rPr>
          <w:rFonts w:hint="eastAsia"/>
          <w:lang w:val="zh-CN" w:eastAsia="zh-CN"/>
        </w:rPr>
        <w:t>基础设施提供商使用；</w:t>
      </w:r>
      <w:proofErr w:type="gramEnd"/>
    </w:p>
    <w:p w14:paraId="1FE73DDE" w14:textId="77777777" w:rsidR="00EB7201" w:rsidRDefault="001E3D84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ab/>
      </w:r>
      <w:r>
        <w:rPr>
          <w:lang w:val="zh-CN" w:eastAsia="zh-CN"/>
        </w:rPr>
        <w:t>促进数字身份和</w:t>
      </w:r>
      <w:r>
        <w:rPr>
          <w:rFonts w:hint="eastAsia"/>
          <w:lang w:val="zh-CN" w:eastAsia="zh-CN"/>
        </w:rPr>
        <w:t>可核验证书</w:t>
      </w:r>
      <w:r>
        <w:rPr>
          <w:lang w:val="zh-CN" w:eastAsia="zh-CN"/>
        </w:rPr>
        <w:t>（包括去中心化身份）</w:t>
      </w:r>
      <w:proofErr w:type="gramStart"/>
      <w:r>
        <w:rPr>
          <w:lang w:val="zh-CN" w:eastAsia="zh-CN"/>
        </w:rPr>
        <w:t>的标准化工作</w:t>
      </w:r>
      <w:r>
        <w:rPr>
          <w:rFonts w:hint="eastAsia"/>
          <w:lang w:val="zh-CN" w:eastAsia="zh-CN"/>
        </w:rPr>
        <w:t>；</w:t>
      </w:r>
      <w:proofErr w:type="gramEnd"/>
    </w:p>
    <w:p w14:paraId="053D4086" w14:textId="77777777" w:rsidR="00EB7201" w:rsidRDefault="001E3D84">
      <w:pPr>
        <w:rPr>
          <w:lang w:eastAsia="zh-CN"/>
        </w:rPr>
      </w:pPr>
      <w:r>
        <w:rPr>
          <w:rFonts w:eastAsiaTheme="minorEastAsia"/>
          <w:lang w:eastAsia="ko-KR"/>
        </w:rPr>
        <w:t>4</w:t>
      </w:r>
      <w:r>
        <w:rPr>
          <w:lang w:eastAsia="zh-CN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应与</w:t>
      </w:r>
      <w:r>
        <w:rPr>
          <w:lang w:val="zh-CN" w:eastAsia="zh-CN"/>
        </w:rPr>
        <w:t>ITU-D</w:t>
      </w:r>
      <w:r>
        <w:rPr>
          <w:lang w:val="zh-CN" w:eastAsia="zh-CN"/>
        </w:rPr>
        <w:t>就数字身份和可核验证书开展合作，特别是在</w:t>
      </w:r>
      <w:r>
        <w:rPr>
          <w:lang w:val="zh-CN" w:eastAsia="zh-CN"/>
        </w:rPr>
        <w:t>ITU-D</w:t>
      </w:r>
      <w:r>
        <w:rPr>
          <w:lang w:val="zh-CN" w:eastAsia="zh-CN"/>
        </w:rPr>
        <w:t>第</w:t>
      </w:r>
      <w:r>
        <w:rPr>
          <w:lang w:val="zh-CN" w:eastAsia="zh-CN"/>
        </w:rPr>
        <w:t>3/2</w:t>
      </w:r>
      <w:r>
        <w:rPr>
          <w:lang w:val="zh-CN" w:eastAsia="zh-CN"/>
        </w:rPr>
        <w:t>号课题（</w:t>
      </w:r>
      <w:r>
        <w:rPr>
          <w:rFonts w:hint="eastAsia"/>
          <w:lang w:val="en-US" w:eastAsia="zh-CN"/>
        </w:rPr>
        <w:t>保障</w:t>
      </w:r>
      <w:r>
        <w:rPr>
          <w:lang w:val="zh-CN" w:eastAsia="zh-CN"/>
        </w:rPr>
        <w:t>信息和通信网络的安全：培育网络安全文化的最佳做法）的背景下开展工作，</w:t>
      </w:r>
    </w:p>
    <w:p w14:paraId="19E1041D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责成国际电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研究组在其他研究组的支持下</w:t>
      </w:r>
    </w:p>
    <w:p w14:paraId="68677F2F" w14:textId="5A6ED660" w:rsidR="00EB7201" w:rsidRDefault="001E3D84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评估现有和不断演进的</w:t>
      </w:r>
      <w:r>
        <w:rPr>
          <w:lang w:val="zh-CN" w:eastAsia="zh-CN"/>
        </w:rPr>
        <w:t>ITU-T</w:t>
      </w:r>
      <w:r>
        <w:rPr>
          <w:lang w:val="zh-CN" w:eastAsia="zh-CN"/>
        </w:rPr>
        <w:t>建议书、</w:t>
      </w:r>
      <w:r>
        <w:rPr>
          <w:lang w:val="zh-CN" w:eastAsia="zh-CN"/>
        </w:rPr>
        <w:t>ITU-T</w:t>
      </w:r>
      <w:r>
        <w:rPr>
          <w:lang w:val="zh-CN" w:eastAsia="zh-CN"/>
        </w:rPr>
        <w:t>出版物，包括其他标准制定组织的标准或规范，并在</w:t>
      </w:r>
      <w:r>
        <w:rPr>
          <w:rFonts w:hint="eastAsia"/>
          <w:lang w:val="en-US" w:eastAsia="zh-CN"/>
        </w:rPr>
        <w:t>相关</w:t>
      </w:r>
      <w:r>
        <w:rPr>
          <w:lang w:val="zh-CN" w:eastAsia="zh-CN"/>
        </w:rPr>
        <w:t>评估基础上，制定有关数字身份和可核验证书的新建议书、最佳做法和其他</w:t>
      </w:r>
      <w:r>
        <w:rPr>
          <w:lang w:val="zh-CN" w:eastAsia="zh-CN"/>
        </w:rPr>
        <w:t>ITU-</w:t>
      </w:r>
      <w:proofErr w:type="gramStart"/>
      <w:r>
        <w:rPr>
          <w:lang w:val="zh-CN" w:eastAsia="zh-CN"/>
        </w:rPr>
        <w:t>T</w:t>
      </w:r>
      <w:r>
        <w:rPr>
          <w:lang w:val="zh-CN" w:eastAsia="zh-CN"/>
        </w:rPr>
        <w:t>出版物</w:t>
      </w:r>
      <w:r>
        <w:rPr>
          <w:rFonts w:hint="eastAsia"/>
          <w:lang w:val="zh-CN" w:eastAsia="zh-CN"/>
        </w:rPr>
        <w:t>；</w:t>
      </w:r>
      <w:proofErr w:type="gramEnd"/>
    </w:p>
    <w:p w14:paraId="6587262F" w14:textId="77777777" w:rsidR="00EB7201" w:rsidRDefault="001E3D84">
      <w:pPr>
        <w:rPr>
          <w:rFonts w:eastAsiaTheme="minorEastAsia"/>
          <w:lang w:eastAsia="ko-KR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促进与其他研究组和其他标准化组织的联合协调活动，</w:t>
      </w:r>
      <w:proofErr w:type="gramStart"/>
      <w:r>
        <w:rPr>
          <w:lang w:val="zh-CN" w:eastAsia="zh-CN"/>
        </w:rPr>
        <w:t>以期以统一的方式建立全球可互操作的数字身份和可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</w:t>
      </w:r>
      <w:r>
        <w:rPr>
          <w:rFonts w:hint="eastAsia"/>
          <w:lang w:val="zh-CN" w:eastAsia="zh-CN"/>
        </w:rPr>
        <w:t>；</w:t>
      </w:r>
      <w:proofErr w:type="gramEnd"/>
    </w:p>
    <w:p w14:paraId="0CD0B96F" w14:textId="77777777" w:rsidR="00EB7201" w:rsidRDefault="001E3D84">
      <w:pPr>
        <w:rPr>
          <w:lang w:eastAsia="zh-CN"/>
        </w:rPr>
      </w:pPr>
      <w:r>
        <w:rPr>
          <w:lang w:eastAsia="ko-KR"/>
        </w:rPr>
        <w:t>3</w:t>
      </w:r>
      <w:r>
        <w:rPr>
          <w:lang w:eastAsia="ko-KR"/>
        </w:rPr>
        <w:tab/>
      </w:r>
      <w:r>
        <w:rPr>
          <w:lang w:val="zh-CN" w:eastAsia="zh-CN"/>
        </w:rPr>
        <w:t>支持</w:t>
      </w:r>
      <w:r>
        <w:rPr>
          <w:rFonts w:hint="eastAsia"/>
          <w:lang w:val="en-US" w:eastAsia="zh-CN"/>
        </w:rPr>
        <w:t>电信标准化局（</w:t>
      </w:r>
      <w:r>
        <w:rPr>
          <w:lang w:val="zh-CN" w:eastAsia="zh-CN"/>
        </w:rPr>
        <w:t>TSB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主任维护身份管理标准路线图，</w:t>
      </w:r>
      <w:r>
        <w:rPr>
          <w:rFonts w:hint="eastAsia"/>
          <w:lang w:val="en-US" w:eastAsia="zh-CN"/>
        </w:rPr>
        <w:t>其中</w:t>
      </w:r>
      <w:r>
        <w:rPr>
          <w:lang w:val="zh-CN" w:eastAsia="zh-CN"/>
        </w:rPr>
        <w:t>应包含推进身份管理相关标准化工作的工作项目，并</w:t>
      </w:r>
      <w:r>
        <w:rPr>
          <w:rFonts w:hint="eastAsia"/>
          <w:lang w:val="en-US" w:eastAsia="zh-CN"/>
        </w:rPr>
        <w:t>按照</w:t>
      </w:r>
      <w:r>
        <w:rPr>
          <w:lang w:val="zh-CN" w:eastAsia="zh-CN"/>
        </w:rPr>
        <w:t>身份管理牵头研究组的任务</w:t>
      </w:r>
      <w:r>
        <w:rPr>
          <w:rFonts w:hint="eastAsia"/>
          <w:lang w:val="en-US" w:eastAsia="zh-CN"/>
        </w:rPr>
        <w:t>要求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与国际电联无线电通信部门（</w:t>
      </w:r>
      <w:r>
        <w:rPr>
          <w:lang w:val="zh-CN" w:eastAsia="zh-CN"/>
        </w:rPr>
        <w:t>ITU-R</w:t>
      </w:r>
      <w:r>
        <w:rPr>
          <w:lang w:val="zh-CN" w:eastAsia="zh-CN"/>
        </w:rPr>
        <w:t>）和国际电联</w:t>
      </w:r>
      <w:r>
        <w:rPr>
          <w:rFonts w:hint="eastAsia"/>
          <w:lang w:val="en-US" w:eastAsia="zh-CN"/>
        </w:rPr>
        <w:t>电信发展</w:t>
      </w:r>
      <w:r>
        <w:rPr>
          <w:lang w:val="zh-CN" w:eastAsia="zh-CN"/>
        </w:rPr>
        <w:t>部门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ITU-D</w:t>
      </w:r>
      <w:r>
        <w:rPr>
          <w:rFonts w:hint="eastAsia"/>
          <w:lang w:val="zh-CN" w:eastAsia="zh-CN"/>
        </w:rPr>
        <w:t>）</w:t>
      </w:r>
      <w:proofErr w:type="gramStart"/>
      <w:r>
        <w:rPr>
          <w:lang w:val="zh-CN" w:eastAsia="zh-CN"/>
        </w:rPr>
        <w:t>相关组分享这些</w:t>
      </w:r>
      <w:r>
        <w:rPr>
          <w:rFonts w:hint="eastAsia"/>
          <w:lang w:val="zh-CN" w:eastAsia="zh-CN"/>
        </w:rPr>
        <w:t>工作项目；</w:t>
      </w:r>
      <w:proofErr w:type="gramEnd"/>
    </w:p>
    <w:p w14:paraId="3E66A16E" w14:textId="66D6A072" w:rsidR="00EB7201" w:rsidRDefault="001E3D84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val="zh-CN" w:eastAsia="zh-CN"/>
        </w:rPr>
        <w:t>继续定期向电信标准化顾问组提供有关身份管理（包括数字身份和可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证书）的报告，</w:t>
      </w:r>
      <w:r>
        <w:rPr>
          <w:rFonts w:hint="eastAsia"/>
          <w:lang w:val="en-US" w:eastAsia="zh-CN"/>
        </w:rPr>
        <w:t>其中应述及</w:t>
      </w:r>
      <w:r>
        <w:rPr>
          <w:lang w:val="zh-CN" w:eastAsia="zh-CN"/>
        </w:rPr>
        <w:t>研究组</w:t>
      </w:r>
      <w:r>
        <w:rPr>
          <w:rFonts w:hint="eastAsia"/>
          <w:lang w:val="zh-CN" w:eastAsia="zh-CN"/>
        </w:rPr>
        <w:t>职权</w:t>
      </w:r>
      <w:r>
        <w:rPr>
          <w:lang w:val="zh-CN" w:eastAsia="zh-CN"/>
        </w:rPr>
        <w:t>以外议题的处理</w:t>
      </w:r>
      <w:r>
        <w:rPr>
          <w:rFonts w:hint="eastAsia"/>
          <w:lang w:val="en-US" w:eastAsia="zh-CN"/>
        </w:rPr>
        <w:t>方式</w:t>
      </w:r>
      <w:r>
        <w:rPr>
          <w:lang w:val="zh-CN" w:eastAsia="zh-CN"/>
        </w:rPr>
        <w:t>，</w:t>
      </w:r>
    </w:p>
    <w:p w14:paraId="024BC518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责成电信标准化顾问组</w:t>
      </w:r>
    </w:p>
    <w:p w14:paraId="2FD4CBD0" w14:textId="77777777" w:rsidR="00EB7201" w:rsidRDefault="001E3D84" w:rsidP="00BD443D">
      <w:pPr>
        <w:ind w:firstLineChars="200" w:firstLine="480"/>
        <w:rPr>
          <w:lang w:eastAsia="zh-CN"/>
        </w:rPr>
      </w:pPr>
      <w:r>
        <w:rPr>
          <w:lang w:val="zh-CN" w:eastAsia="zh-CN"/>
        </w:rPr>
        <w:t>推动各相关研究组之间</w:t>
      </w:r>
      <w:r>
        <w:rPr>
          <w:rFonts w:hint="eastAsia"/>
          <w:lang w:val="en-US" w:eastAsia="zh-CN"/>
        </w:rPr>
        <w:t>携手开展工作</w:t>
      </w:r>
      <w:r>
        <w:rPr>
          <w:lang w:val="zh-CN" w:eastAsia="zh-CN"/>
        </w:rPr>
        <w:t>，</w:t>
      </w:r>
      <w:r>
        <w:rPr>
          <w:rFonts w:hint="eastAsia"/>
          <w:lang w:val="en-US" w:eastAsia="zh-CN"/>
        </w:rPr>
        <w:t>以</w:t>
      </w:r>
      <w:r>
        <w:rPr>
          <w:lang w:val="zh-CN" w:eastAsia="zh-CN"/>
        </w:rPr>
        <w:t>加快关于数字身份和</w:t>
      </w:r>
      <w:proofErr w:type="gramStart"/>
      <w:r>
        <w:rPr>
          <w:rFonts w:hint="eastAsia"/>
          <w:lang w:val="zh-CN" w:eastAsia="zh-CN"/>
        </w:rPr>
        <w:t>可</w:t>
      </w:r>
      <w:proofErr w:type="gramEnd"/>
      <w:r>
        <w:rPr>
          <w:rFonts w:hint="eastAsia"/>
          <w:lang w:val="zh-CN" w:eastAsia="zh-CN"/>
        </w:rPr>
        <w:t>核验证书</w:t>
      </w:r>
      <w:r>
        <w:rPr>
          <w:lang w:val="zh-CN" w:eastAsia="zh-CN"/>
        </w:rPr>
        <w:t>（包括</w:t>
      </w:r>
      <w:r>
        <w:rPr>
          <w:rFonts w:hint="eastAsia"/>
          <w:lang w:val="en-US" w:eastAsia="zh-CN"/>
        </w:rPr>
        <w:t>去中心化</w:t>
      </w:r>
      <w:r>
        <w:rPr>
          <w:lang w:val="zh-CN" w:eastAsia="zh-CN"/>
        </w:rPr>
        <w:t>身份）的标准化工作</w:t>
      </w:r>
      <w:r>
        <w:rPr>
          <w:rFonts w:hint="eastAsia"/>
          <w:lang w:val="zh-CN" w:eastAsia="zh-CN"/>
        </w:rPr>
        <w:t>，</w:t>
      </w:r>
    </w:p>
    <w:p w14:paraId="119BB6D8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责成电信标准化局主任</w:t>
      </w:r>
    </w:p>
    <w:p w14:paraId="1DC24381" w14:textId="69230188" w:rsidR="00EB7201" w:rsidRDefault="001E3D84">
      <w:pPr>
        <w:rPr>
          <w:rFonts w:eastAsiaTheme="minorEastAsia"/>
          <w:lang w:eastAsia="ko-KR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在其</w:t>
      </w:r>
      <w:r>
        <w:rPr>
          <w:rFonts w:hint="eastAsia"/>
          <w:lang w:val="en-US" w:eastAsia="zh-CN"/>
        </w:rPr>
        <w:t>他</w:t>
      </w:r>
      <w:r>
        <w:rPr>
          <w:lang w:val="zh-CN" w:eastAsia="zh-CN"/>
        </w:rPr>
        <w:t>相关组织的协助下，尽可能编制一份国家、区域和国际举措及活动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清单，</w:t>
      </w:r>
      <w:r>
        <w:rPr>
          <w:rFonts w:hint="eastAsia"/>
          <w:lang w:val="zh-CN" w:eastAsia="zh-CN"/>
        </w:rPr>
        <w:t>以尽可能促进这一至关重要领域的战略和方法的全球统一，</w:t>
      </w:r>
      <w:proofErr w:type="gramStart"/>
      <w:r>
        <w:rPr>
          <w:rFonts w:hint="eastAsia"/>
          <w:lang w:val="zh-CN" w:eastAsia="zh-CN"/>
        </w:rPr>
        <w:t>包括制定数字身份和可</w:t>
      </w:r>
      <w:r>
        <w:rPr>
          <w:lang w:val="zh-CN" w:eastAsia="zh-CN"/>
        </w:rPr>
        <w:t>核验</w:t>
      </w:r>
      <w:r>
        <w:rPr>
          <w:rFonts w:hint="eastAsia"/>
          <w:lang w:val="zh-CN" w:eastAsia="zh-CN"/>
        </w:rPr>
        <w:t>证书领域的共同方法；</w:t>
      </w:r>
      <w:proofErr w:type="gramEnd"/>
    </w:p>
    <w:p w14:paraId="40A466D5" w14:textId="77777777" w:rsidR="00EB7201" w:rsidRDefault="001E3D84">
      <w:pPr>
        <w:rPr>
          <w:rFonts w:eastAsiaTheme="minorEastAsia"/>
          <w:lang w:eastAsia="ko-KR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继续与电信发展局主任合作，促进数字身份以及可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和可信证书的使用，并促进本决议的落实，</w:t>
      </w:r>
      <w:r>
        <w:rPr>
          <w:rFonts w:hint="eastAsia"/>
          <w:lang w:val="en-US" w:eastAsia="zh-CN"/>
        </w:rPr>
        <w:t>同时</w:t>
      </w:r>
      <w:r>
        <w:rPr>
          <w:lang w:val="zh-CN" w:eastAsia="zh-CN"/>
        </w:rPr>
        <w:t>制定</w:t>
      </w:r>
      <w:r>
        <w:rPr>
          <w:rFonts w:hint="eastAsia"/>
          <w:lang w:val="en-US" w:eastAsia="zh-CN"/>
        </w:rPr>
        <w:t>有关</w:t>
      </w:r>
      <w:r>
        <w:rPr>
          <w:lang w:val="zh-CN" w:eastAsia="zh-CN"/>
        </w:rPr>
        <w:t>数字身份和可</w:t>
      </w:r>
      <w:r>
        <w:rPr>
          <w:rFonts w:hint="eastAsia"/>
          <w:lang w:val="en-US" w:eastAsia="zh-CN"/>
        </w:rPr>
        <w:t>核验</w:t>
      </w:r>
      <w:r>
        <w:rPr>
          <w:lang w:val="zh-CN" w:eastAsia="zh-CN"/>
        </w:rPr>
        <w:t>证书的指南，以</w:t>
      </w:r>
      <w:r>
        <w:rPr>
          <w:rFonts w:hint="eastAsia"/>
          <w:lang w:val="en-US" w:eastAsia="zh-CN"/>
        </w:rPr>
        <w:t>树立</w:t>
      </w:r>
      <w:r>
        <w:rPr>
          <w:lang w:val="zh-CN" w:eastAsia="zh-CN"/>
        </w:rPr>
        <w:t>使用</w:t>
      </w:r>
      <w:r>
        <w:rPr>
          <w:lang w:val="zh-CN" w:eastAsia="zh-CN"/>
        </w:rPr>
        <w:t>ICT</w:t>
      </w:r>
      <w:r>
        <w:rPr>
          <w:lang w:val="zh-CN" w:eastAsia="zh-CN"/>
        </w:rPr>
        <w:t>的信心</w:t>
      </w:r>
      <w:r>
        <w:rPr>
          <w:rFonts w:hint="eastAsia"/>
          <w:lang w:val="en-US" w:eastAsia="zh-CN"/>
        </w:rPr>
        <w:t>并提高</w:t>
      </w:r>
      <w:r>
        <w:rPr>
          <w:lang w:val="zh-CN" w:eastAsia="zh-CN"/>
        </w:rPr>
        <w:t>安全性，</w:t>
      </w:r>
    </w:p>
    <w:p w14:paraId="7E09D157" w14:textId="77777777" w:rsidR="00EB7201" w:rsidRDefault="001E3D84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请成员国、部门成员、部门准成员和学术成员</w:t>
      </w:r>
      <w:r>
        <w:rPr>
          <w:lang w:eastAsia="zh-CN"/>
        </w:rPr>
        <w:t xml:space="preserve"> </w:t>
      </w:r>
    </w:p>
    <w:p w14:paraId="59B1003F" w14:textId="77777777" w:rsidR="00EB7201" w:rsidRDefault="001E3D84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提供有关国家、</w:t>
      </w:r>
      <w:proofErr w:type="gramStart"/>
      <w:r>
        <w:rPr>
          <w:lang w:val="zh-CN" w:eastAsia="zh-CN"/>
        </w:rPr>
        <w:t>区域性和国际性举措和活动的信息</w:t>
      </w:r>
      <w:r>
        <w:rPr>
          <w:rFonts w:hint="eastAsia"/>
          <w:lang w:val="zh-CN" w:eastAsia="zh-CN"/>
        </w:rPr>
        <w:t>；</w:t>
      </w:r>
      <w:proofErr w:type="gramEnd"/>
    </w:p>
    <w:p w14:paraId="766364A6" w14:textId="77777777" w:rsidR="00EB7201" w:rsidRDefault="001E3D84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就</w:t>
      </w:r>
      <w:r>
        <w:rPr>
          <w:lang w:val="zh-CN" w:eastAsia="zh-CN"/>
        </w:rPr>
        <w:t>数字身份建议书和最佳做法的制定</w:t>
      </w:r>
      <w:r>
        <w:rPr>
          <w:rFonts w:hint="eastAsia"/>
          <w:lang w:val="en-US" w:eastAsia="zh-CN"/>
        </w:rPr>
        <w:t>提交</w:t>
      </w:r>
      <w:r>
        <w:rPr>
          <w:lang w:val="zh-CN" w:eastAsia="zh-CN"/>
        </w:rPr>
        <w:t>文稿。</w:t>
      </w:r>
    </w:p>
    <w:p w14:paraId="5E19267E" w14:textId="77777777" w:rsidR="00EB7201" w:rsidRDefault="00EB7201">
      <w:pPr>
        <w:pStyle w:val="Reasons"/>
        <w:rPr>
          <w:lang w:eastAsia="zh-CN"/>
        </w:rPr>
      </w:pPr>
    </w:p>
    <w:sectPr w:rsidR="00EB72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F629" w14:textId="77777777" w:rsidR="00533D0E" w:rsidRDefault="001E3D84">
      <w:pPr>
        <w:spacing w:before="0"/>
      </w:pPr>
      <w:r>
        <w:separator/>
      </w:r>
    </w:p>
  </w:endnote>
  <w:endnote w:type="continuationSeparator" w:id="0">
    <w:p w14:paraId="3E72DD18" w14:textId="77777777" w:rsidR="00533D0E" w:rsidRDefault="001E3D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3125" w14:textId="77777777" w:rsidR="00EB7201" w:rsidRDefault="001E3D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823282" w14:textId="2DB933AF" w:rsidR="00EB7201" w:rsidRDefault="001E3D84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06E4">
      <w:rPr>
        <w:noProof/>
      </w:rPr>
      <w:t>27.09.24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6D13" w14:textId="77777777" w:rsidR="00EB7201" w:rsidRDefault="00EB7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1BA1" w14:textId="77777777" w:rsidR="00EB7201" w:rsidRDefault="00EB7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D5F3" w14:textId="77777777" w:rsidR="00EB7201" w:rsidRDefault="001E3D84">
      <w:pPr>
        <w:spacing w:before="0"/>
      </w:pPr>
      <w:r>
        <w:separator/>
      </w:r>
    </w:p>
  </w:footnote>
  <w:footnote w:type="continuationSeparator" w:id="0">
    <w:p w14:paraId="1A29755C" w14:textId="77777777" w:rsidR="00EB7201" w:rsidRDefault="001E3D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A1A2" w14:textId="77777777" w:rsidR="00EB7201" w:rsidRDefault="00EB7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8F96" w14:textId="77777777" w:rsidR="00EB7201" w:rsidRDefault="001E3D8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WTSA-24/37(Add.40)-C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D9A9" w14:textId="77777777" w:rsidR="00EB7201" w:rsidRDefault="00EB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62603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3C5E"/>
    <w:rsid w:val="001C3B5F"/>
    <w:rsid w:val="001D058F"/>
    <w:rsid w:val="001E3D84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E72C5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33D0E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B713A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D443D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06E4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7082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014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6EB7"/>
    <w:rsid w:val="00E976C1"/>
    <w:rsid w:val="00EA12E5"/>
    <w:rsid w:val="00EB55C6"/>
    <w:rsid w:val="00EB7201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  <w:rsid w:val="051512AC"/>
    <w:rsid w:val="053A54FB"/>
    <w:rsid w:val="11657B94"/>
    <w:rsid w:val="156518B5"/>
    <w:rsid w:val="16DB7A1C"/>
    <w:rsid w:val="19A070C3"/>
    <w:rsid w:val="208512E0"/>
    <w:rsid w:val="2910055E"/>
    <w:rsid w:val="2DF02BAB"/>
    <w:rsid w:val="2F8509E4"/>
    <w:rsid w:val="31B01121"/>
    <w:rsid w:val="3FD311D6"/>
    <w:rsid w:val="412E48C4"/>
    <w:rsid w:val="478A4254"/>
    <w:rsid w:val="4A2512BA"/>
    <w:rsid w:val="4E331B5B"/>
    <w:rsid w:val="52F32285"/>
    <w:rsid w:val="57501B81"/>
    <w:rsid w:val="58EF69A5"/>
    <w:rsid w:val="597C278F"/>
    <w:rsid w:val="5A133AE7"/>
    <w:rsid w:val="5D121B72"/>
    <w:rsid w:val="5E2F30BA"/>
    <w:rsid w:val="5F130763"/>
    <w:rsid w:val="5FF66755"/>
    <w:rsid w:val="65B67155"/>
    <w:rsid w:val="6EB50651"/>
    <w:rsid w:val="71535E5D"/>
    <w:rsid w:val="791841DA"/>
    <w:rsid w:val="7BA735B6"/>
    <w:rsid w:val="7C4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9C9B7"/>
  <w15:docId w15:val="{6AA53574-9A31-414F-B4AC-8C0051B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4" w:qFormat="1"/>
    <w:lsdException w:name="heading 5" w:qFormat="1"/>
    <w:lsdException w:name="heading 6" w:qFormat="1"/>
    <w:lsdException w:name="heading 7" w:qFormat="1"/>
    <w:lsdException w:name="heading 9" w:qFormat="1"/>
    <w:lsdException w:name="index 1" w:unhideWhenUsed="1" w:qFormat="1"/>
    <w:lsdException w:name="index 2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 w:qFormat="1"/>
    <w:lsdException w:name="index 8" w:unhideWhenUsed="1"/>
    <w:lsdException w:name="index 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annotation text" w:uiPriority="99" w:unhideWhenUsed="1"/>
    <w:lsdException w:name="header" w:qFormat="1"/>
    <w:lsdException w:name="footer" w:qFormat="1"/>
    <w:lsdException w:name="index heading" w:unhideWhenUsed="1" w:qFormat="1"/>
    <w:lsdException w:name="caption" w:unhideWhenUsed="1"/>
    <w:lsdException w:name="table of figures" w:uiPriority="99"/>
    <w:lsdException w:name="envelope address" w:unhideWhenUsed="1"/>
    <w:lsdException w:name="envelope return" w:unhideWhenUsed="1" w:qFormat="1"/>
    <w:lsdException w:name="footnote reference" w:qFormat="1"/>
    <w:lsdException w:name="annotation reference" w:uiPriority="99" w:unhideWhenUsed="1"/>
    <w:lsdException w:name="line number" w:unhideWhenUsed="1" w:qFormat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 w:qFormat="1"/>
    <w:lsdException w:name="List 5" w:unhideWhenUsed="1" w:qFormat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 w:qFormat="1"/>
    <w:lsdException w:name="Title" w:qFormat="1"/>
    <w:lsdException w:name="Closing" w:unhideWhenUsed="1"/>
    <w:lsdException w:name="Signature" w:unhideWhenUsed="1" w:qFormat="1"/>
    <w:lsdException w:name="Default Paragraph Font" w:semiHidden="1" w:uiPriority="1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/>
    <w:lsdException w:name="Message Header" w:unhideWhenUsed="1" w:qFormat="1"/>
    <w:lsdException w:name="Salutation" w:unhideWhenUsed="1"/>
    <w:lsdException w:name="Date" w:unhideWhenUsed="1"/>
    <w:lsdException w:name="Body Text First Indent" w:unhideWhenUsed="1" w:qFormat="1"/>
    <w:lsdException w:name="Body Text First Indent 2" w:unhideWhenUsed="1" w:qFormat="1"/>
    <w:lsdException w:name="Note Heading" w:unhideWhenUsed="1"/>
    <w:lsdException w:name="Body Text 2" w:unhideWhenUsed="1" w:qFormat="1"/>
    <w:lsdException w:name="Body Text 3" w:unhideWhenUsed="1"/>
    <w:lsdException w:name="Body Text Indent 2" w:unhideWhenUsed="1"/>
    <w:lsdException w:name="Body Text Indent 3" w:unhideWhenUsed="1" w:qFormat="1"/>
    <w:lsdException w:name="Block Text" w:unhideWhenUsed="1"/>
    <w:lsdException w:name="Hyperlink" w:uiPriority="99" w:unhideWhenUsed="1"/>
    <w:lsdException w:name="FollowedHyperlink" w:unhideWhenUsed="1"/>
    <w:lsdException w:name="Document Map" w:unhideWhenUsed="1"/>
    <w:lsdException w:name="Plain Text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unhideWhenUsed="1" w:qFormat="1"/>
    <w:lsdException w:name="HTML Address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 w:qFormat="1"/>
    <w:lsdException w:name="HTML Sample" w:unhideWhenUsed="1" w:qFormat="1"/>
    <w:lsdException w:name="HTML Typewriter" w:semiHidden="1" w:unhideWhenUsed="1" w:qFormat="1"/>
    <w:lsdException w:name="HTML Variable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eastAsia="ja-JP"/>
    </w:rPr>
  </w:style>
  <w:style w:type="paragraph" w:styleId="List3">
    <w:name w:val="List 3"/>
    <w:basedOn w:val="Normal"/>
    <w:unhideWhenUsed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TOC7">
    <w:name w:val="toc 7"/>
    <w:basedOn w:val="TOC4"/>
  </w:style>
  <w:style w:type="paragraph" w:styleId="TOC4">
    <w:name w:val="toc 4"/>
    <w:basedOn w:val="TOC3"/>
    <w:uiPriority w:val="39"/>
  </w:style>
  <w:style w:type="paragraph" w:styleId="TOC3">
    <w:name w:val="toc 3"/>
    <w:basedOn w:val="TOC2"/>
    <w:uiPriority w:val="39"/>
    <w:pPr>
      <w:ind w:left="2269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1">
    <w:name w:val="toc 1"/>
    <w:basedOn w:val="Normal"/>
    <w:uiPriority w:val="39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ListNumber2">
    <w:name w:val="List Number 2"/>
    <w:basedOn w:val="Normal"/>
    <w:unhideWhenUsed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Bullet4">
    <w:name w:val="List Bullet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Number">
    <w:name w:val="List Number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NormalIndent">
    <w:name w:val="Normal Indent"/>
    <w:basedOn w:val="Normal"/>
    <w:pPr>
      <w:ind w:left="1134"/>
    </w:pPr>
  </w:style>
  <w:style w:type="paragraph" w:styleId="Caption">
    <w:name w:val="caption"/>
    <w:basedOn w:val="Normal"/>
    <w:next w:val="Normal"/>
    <w:unhideWhenUsed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paragraph" w:styleId="TOAHeading">
    <w:name w:val="toa heading"/>
    <w:basedOn w:val="Normal"/>
    <w:next w:val="Normal"/>
    <w:unhideWhenUsed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Index6">
    <w:name w:val="index 6"/>
    <w:basedOn w:val="Normal"/>
    <w:next w:val="Normal"/>
    <w:unhideWhenUsed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3">
    <w:name w:val="Body Text 3"/>
    <w:basedOn w:val="Normal"/>
    <w:link w:val="BodyText3Char"/>
    <w:unhideWhenUsed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paragraph" w:styleId="Closing">
    <w:name w:val="Closing"/>
    <w:basedOn w:val="Normal"/>
    <w:link w:val="ClosingChar"/>
    <w:unhideWhenUsed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Bullet3">
    <w:name w:val="List Bullet 3"/>
    <w:basedOn w:val="Normal"/>
    <w:unhideWhenUsed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paragraph" w:styleId="BodyTextIndent">
    <w:name w:val="Body Text Indent"/>
    <w:basedOn w:val="Normal"/>
    <w:link w:val="BodyTextIndentChar"/>
    <w:unhideWhenUsed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paragraph" w:styleId="ListNumber3">
    <w:name w:val="List Number 3"/>
    <w:basedOn w:val="Normal"/>
    <w:unhideWhenUsed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paragraph" w:styleId="Index4">
    <w:name w:val="index 4"/>
    <w:basedOn w:val="Normal"/>
    <w:next w:val="Normal"/>
    <w:unhideWhenUsed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TOC5">
    <w:name w:val="toc 5"/>
    <w:basedOn w:val="TOC4"/>
  </w:style>
  <w:style w:type="paragraph" w:styleId="PlainText">
    <w:name w:val="Plain Text"/>
    <w:basedOn w:val="Normal"/>
    <w:link w:val="PlainTextChar"/>
    <w:unhideWhenUsed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paragraph" w:styleId="ListBullet5">
    <w:name w:val="List Bullet 5"/>
    <w:basedOn w:val="Normal"/>
    <w:unhideWhenUsed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OC8">
    <w:name w:val="toc 8"/>
    <w:basedOn w:val="TOC4"/>
  </w:style>
  <w:style w:type="paragraph" w:styleId="Index3">
    <w:name w:val="index 3"/>
    <w:basedOn w:val="Normal"/>
    <w:next w:val="Normal"/>
    <w:unhideWhenUsed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Indent2">
    <w:name w:val="Body Text Indent 2"/>
    <w:basedOn w:val="Normal"/>
    <w:link w:val="BodyTextIndent2Char"/>
    <w:unhideWhenUsed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paragraph" w:styleId="EndnoteText">
    <w:name w:val="endnote text"/>
    <w:basedOn w:val="Normal"/>
    <w:link w:val="EndnoteText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paragraph" w:styleId="ListContinue5">
    <w:name w:val="List Continue 5"/>
    <w:basedOn w:val="Normal"/>
    <w:unhideWhenUsed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BalloonText">
    <w:name w:val="Balloon Text"/>
    <w:basedOn w:val="Normal"/>
    <w:link w:val="BalloonTextChar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EnvelopeReturn">
    <w:name w:val="envelope return"/>
    <w:basedOn w:val="Normal"/>
    <w:unhideWhenUsed/>
    <w:qFormat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Header">
    <w:name w:val="header"/>
    <w:basedOn w:val="Normal"/>
    <w:link w:val="HeaderChar"/>
    <w:qFormat/>
    <w:pPr>
      <w:spacing w:before="0"/>
      <w:jc w:val="center"/>
    </w:pPr>
    <w:rPr>
      <w:sz w:val="18"/>
    </w:rPr>
  </w:style>
  <w:style w:type="paragraph" w:styleId="Signature">
    <w:name w:val="Signature"/>
    <w:basedOn w:val="Normal"/>
    <w:link w:val="SignatureChar"/>
    <w:unhideWhenUsed/>
    <w:qFormat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Continue4">
    <w:name w:val="List Continue 4"/>
    <w:basedOn w:val="Normal"/>
    <w:unhideWhenUsed/>
    <w:qFormat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Heading">
    <w:name w:val="index heading"/>
    <w:basedOn w:val="Normal"/>
    <w:next w:val="Index1"/>
    <w:unhideWhenUsed/>
    <w:qFormat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qFormat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">
    <w:name w:val="List"/>
    <w:basedOn w:val="Normal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  <w:rPr>
      <w:sz w:val="20"/>
    </w:rPr>
  </w:style>
  <w:style w:type="paragraph" w:styleId="TOC6">
    <w:name w:val="toc 6"/>
    <w:basedOn w:val="TOC4"/>
  </w:style>
  <w:style w:type="paragraph" w:styleId="List5">
    <w:name w:val="List 5"/>
    <w:basedOn w:val="Normal"/>
    <w:unhideWhenUsed/>
    <w:qFormat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qFormat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paragraph" w:styleId="Index7">
    <w:name w:val="index 7"/>
    <w:basedOn w:val="Normal"/>
    <w:next w:val="Normal"/>
    <w:unhideWhenUsed/>
    <w:qFormat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qFormat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TOC9">
    <w:name w:val="toc 9"/>
    <w:basedOn w:val="Normal"/>
    <w:next w:val="Normal"/>
    <w:autoRedefine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paragraph" w:styleId="BodyText2">
    <w:name w:val="Body Text 2"/>
    <w:basedOn w:val="Normal"/>
    <w:link w:val="BodyText2Char"/>
    <w:unhideWhenUsed/>
    <w:qFormat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paragraph" w:styleId="List4">
    <w:name w:val="List 4"/>
    <w:basedOn w:val="Normal"/>
    <w:unhideWhenUsed/>
    <w:qFormat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qFormat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paragraph" w:styleId="NormalWeb">
    <w:name w:val="Normal (Web)"/>
    <w:basedOn w:val="Normal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Continue3">
    <w:name w:val="List Continue 3"/>
    <w:basedOn w:val="Normal"/>
    <w:unhideWhenUsed/>
    <w:qFormat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qFormat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spacing w:before="12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rPr>
      <w:rFonts w:cs="Times New Roman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styleId="LineNumber">
    <w:name w:val="line number"/>
    <w:basedOn w:val="DefaultParagraphFont"/>
    <w:unhideWhenUsed/>
    <w:qFormat/>
  </w:style>
  <w:style w:type="character" w:styleId="HTMLDefinition">
    <w:name w:val="HTML Definition"/>
    <w:unhideWhenUsed/>
    <w:qFormat/>
    <w:rPr>
      <w:i/>
      <w:iCs/>
    </w:rPr>
  </w:style>
  <w:style w:type="character" w:styleId="HTMLTypewriter">
    <w:name w:val="HTML Typewriter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qFormat/>
  </w:style>
  <w:style w:type="character" w:styleId="HTMLVariable">
    <w:name w:val="HTML Variable"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HTMLCode">
    <w:name w:val="HTML Code"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HTMLCite">
    <w:name w:val="HTML Cite"/>
    <w:unhideWhenUsed/>
    <w:qFormat/>
    <w:rPr>
      <w:i/>
      <w:iCs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character" w:styleId="HTMLKeyboard">
    <w:name w:val="HTML Keyboard"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unhideWhenUsed/>
    <w:qFormat/>
    <w:rPr>
      <w:rFonts w:ascii="Consolas" w:hAnsi="Consolas"/>
      <w:sz w:val="24"/>
      <w:szCs w:val="24"/>
    </w:rPr>
  </w:style>
  <w:style w:type="paragraph" w:customStyle="1" w:styleId="Abstract">
    <w:name w:val="Abstract"/>
    <w:basedOn w:val="Normal"/>
    <w:uiPriority w:val="99"/>
    <w:rPr>
      <w:lang w:val="en-US"/>
    </w:rPr>
  </w:style>
  <w:style w:type="paragraph" w:customStyle="1" w:styleId="AnnexNo">
    <w:name w:val="Annex_No"/>
    <w:basedOn w:val="Normal"/>
    <w:next w:val="Normal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Border">
    <w:name w:val="Border"/>
    <w:basedOn w:val="Normal"/>
    <w:uiPriority w:val="99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uiPriority w:val="9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qFormat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qFormat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qFormat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qFormat/>
    <w:rPr>
      <w:b w:val="0"/>
      <w:i/>
    </w:rPr>
  </w:style>
  <w:style w:type="paragraph" w:customStyle="1" w:styleId="Section3">
    <w:name w:val="Section_3"/>
    <w:basedOn w:val="Section1"/>
    <w:uiPriority w:val="99"/>
    <w:qFormat/>
    <w:rPr>
      <w:b w:val="0"/>
    </w:rPr>
  </w:style>
  <w:style w:type="paragraph" w:customStyle="1" w:styleId="SectionNo">
    <w:name w:val="Section_No"/>
    <w:basedOn w:val="AnnexNo"/>
    <w:next w:val="Normal"/>
    <w:uiPriority w:val="99"/>
    <w:qFormat/>
  </w:style>
  <w:style w:type="paragraph" w:customStyle="1" w:styleId="Sectiontitle">
    <w:name w:val="Section_title"/>
    <w:basedOn w:val="Annextitle"/>
    <w:next w:val="Normal"/>
    <w:uiPriority w:val="99"/>
    <w:qFormat/>
  </w:style>
  <w:style w:type="paragraph" w:customStyle="1" w:styleId="Source">
    <w:name w:val="Source"/>
    <w:basedOn w:val="Normal"/>
    <w:next w:val="Normal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qFormat/>
    <w:pPr>
      <w:tabs>
        <w:tab w:val="left" w:pos="567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Tablehead">
    <w:name w:val="Table_head"/>
    <w:basedOn w:val="Normal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qFormat/>
    <w:rPr>
      <w:sz w:val="20"/>
    </w:rPr>
  </w:style>
  <w:style w:type="paragraph" w:customStyle="1" w:styleId="TableNo">
    <w:name w:val="Table_No"/>
    <w:basedOn w:val="Normal"/>
    <w:next w:val="Normal"/>
    <w:uiPriority w:val="99"/>
    <w:qFormat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qFormat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qFormat/>
    <w:rPr>
      <w:lang w:val="en-US"/>
    </w:rPr>
  </w:style>
  <w:style w:type="paragraph" w:customStyle="1" w:styleId="Proposal">
    <w:name w:val="Proposal"/>
    <w:basedOn w:val="Normal"/>
    <w:next w:val="Normal"/>
    <w:uiPriority w:val="99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</w:style>
  <w:style w:type="paragraph" w:customStyle="1" w:styleId="Questiondate">
    <w:name w:val="Question_date"/>
    <w:basedOn w:val="Normal"/>
    <w:next w:val="Normal"/>
    <w:uiPriority w:val="99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uiPriority w:val="99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</w:style>
  <w:style w:type="paragraph" w:customStyle="1" w:styleId="PartNo">
    <w:name w:val="Part_No"/>
    <w:basedOn w:val="AnnexNo"/>
    <w:next w:val="Normal"/>
    <w:uiPriority w:val="99"/>
  </w:style>
  <w:style w:type="paragraph" w:customStyle="1" w:styleId="Partref">
    <w:name w:val="Part_ref"/>
    <w:basedOn w:val="Annexref"/>
    <w:next w:val="Normal"/>
    <w:uiPriority w:val="99"/>
    <w:rPr>
      <w:i/>
    </w:rPr>
  </w:style>
  <w:style w:type="paragraph" w:customStyle="1" w:styleId="Parttitle">
    <w:name w:val="Part_title"/>
    <w:basedOn w:val="Annextitle"/>
    <w:next w:val="Normal"/>
    <w:uiPriority w:val="99"/>
  </w:style>
  <w:style w:type="paragraph" w:customStyle="1" w:styleId="Recdate">
    <w:name w:val="Rec_date"/>
    <w:basedOn w:val="Normal"/>
    <w:next w:val="Normal"/>
    <w:uiPriority w:val="99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opHeader">
    <w:name w:val="TopHeader"/>
    <w:basedOn w:val="Normal"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</w:style>
  <w:style w:type="paragraph" w:customStyle="1" w:styleId="Opinionref">
    <w:name w:val="Opinion_ref"/>
    <w:basedOn w:val="Normal"/>
    <w:next w:val="Normal"/>
    <w:uiPriority w:val="99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Questionhistory">
    <w:name w:val="Question_history"/>
    <w:basedOn w:val="Normal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</w:style>
  <w:style w:type="paragraph" w:customStyle="1" w:styleId="Arttitle">
    <w:name w:val="Art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toAnnex">
    <w:name w:val="App_to_Annex"/>
    <w:basedOn w:val="AppendixNo"/>
    <w:next w:val="Normal"/>
    <w:uiPriority w:val="99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Subsection1">
    <w:name w:val="Subsection_1"/>
    <w:basedOn w:val="Section1"/>
    <w:next w:val="Normalaftertitle"/>
    <w:uiPriority w:val="99"/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</w:style>
  <w:style w:type="paragraph" w:customStyle="1" w:styleId="LSForComment">
    <w:name w:val="LSForComment"/>
    <w:basedOn w:val="LSForAction"/>
    <w:uiPriority w:val="99"/>
  </w:style>
  <w:style w:type="paragraph" w:customStyle="1" w:styleId="LSnumber">
    <w:name w:val="LSnumber"/>
    <w:basedOn w:val="Normal"/>
    <w:uiPriority w:val="99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pPr>
      <w:ind w:left="2268" w:hanging="2268"/>
    </w:p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spacing w:before="360" w:after="120"/>
      <w:jc w:val="center"/>
    </w:pPr>
    <w:rPr>
      <w:b/>
      <w:lang w:eastAsia="ja-JP"/>
    </w:rPr>
  </w:style>
  <w:style w:type="character" w:customStyle="1" w:styleId="enumlev1Char">
    <w:name w:val="enumlev1 Char"/>
    <w:link w:val="enumlev1"/>
    <w:qFormat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paragraph" w:customStyle="1" w:styleId="Address">
    <w:name w:val="Address"/>
    <w:basedOn w:val="Normal"/>
    <w:uiPriority w:val="99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paragraph" w:customStyle="1" w:styleId="Heading1Centered">
    <w:name w:val="Heading 1 Centered"/>
    <w:basedOn w:val="Heading1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Pr>
      <w:rFonts w:ascii="Times New Roman" w:hAnsi="Times New Roman"/>
      <w:sz w:val="22"/>
      <w:lang w:val="en-GB" w:eastAsia="en-US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LSTo">
    <w:name w:val="LSTo"/>
    <w:basedOn w:val="Normal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pPr>
      <w:widowControl w:val="0"/>
      <w:numPr>
        <w:numId w:val="1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</w:style>
  <w:style w:type="character" w:customStyle="1" w:styleId="MacroTextChar">
    <w:name w:val="Macro Text Char"/>
    <w:basedOn w:val="DefaultParagraphFont"/>
    <w:link w:val="MacroText"/>
    <w:qFormat/>
    <w:rPr>
      <w:rFonts w:ascii="Consolas" w:eastAsia="Calibri" w:hAnsi="Consolas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="Calibri" w:hAnsi="Segoe UI" w:cs="Segoe UI"/>
      <w:sz w:val="16"/>
      <w:szCs w:val="16"/>
      <w:lang w:val="en-GB" w:eastAsia="ja-JP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GB" w:eastAsia="ja-JP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Calibri" w:hAnsi="Times New Roman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eastAsia="Calibri" w:hAnsi="Consolas"/>
      <w:szCs w:val="24"/>
      <w:lang w:val="en-GB" w:eastAsia="ja-JP"/>
    </w:rPr>
  </w:style>
  <w:style w:type="character" w:customStyle="1" w:styleId="TitleChar">
    <w:name w:val="Title Char"/>
    <w:basedOn w:val="DefaultParagraphFont"/>
    <w:link w:val="Title"/>
    <w:qFormat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Calibri" w:hAnsi="Times New Roman"/>
      <w:b/>
      <w:bCs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0">
    <w:name w:val="Revision1"/>
    <w:uiPriority w:val="99"/>
    <w:semiHidden/>
    <w:qFormat/>
    <w:rPr>
      <w:sz w:val="24"/>
      <w:szCs w:val="24"/>
      <w:lang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qFormat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qFormat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1DFDD"/>
    </w:rPr>
  </w:style>
  <w:style w:type="paragraph" w:styleId="NoSpacing">
    <w:name w:val="No Spacing"/>
    <w:uiPriority w:val="1"/>
    <w:qFormat/>
    <w:rPr>
      <w:rFonts w:eastAsia="Calibri"/>
      <w:sz w:val="24"/>
      <w:szCs w:val="24"/>
      <w:lang w:eastAsia="ja-JP"/>
    </w:rPr>
  </w:style>
  <w:style w:type="character" w:customStyle="1" w:styleId="SmartHyperlink1">
    <w:name w:val="Smart Hyperlink1"/>
    <w:uiPriority w:val="99"/>
    <w:semiHidden/>
    <w:unhideWhenUsed/>
    <w:qFormat/>
    <w:rPr>
      <w:u w:val="dotted"/>
    </w:rPr>
  </w:style>
  <w:style w:type="character" w:customStyle="1" w:styleId="SmartLink1">
    <w:name w:val="SmartLink1"/>
    <w:uiPriority w:val="99"/>
    <w:semiHidden/>
    <w:unhideWhenUsed/>
    <w:qFormat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qFormat/>
    <w:rPr>
      <w:color w:val="FF0000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qFormat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qFormat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qFormat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CallChar">
    <w:name w:val="Call Char"/>
    <w:link w:val="Call"/>
    <w:qFormat/>
    <w:rPr>
      <w:rFonts w:ascii="Times New Roman" w:eastAsia="STKaiti" w:hAnsi="Times New Roman"/>
      <w:sz w:val="24"/>
      <w:lang w:val="en-GB" w:eastAsia="en-US"/>
    </w:rPr>
  </w:style>
  <w:style w:type="character" w:customStyle="1" w:styleId="RestitleChar">
    <w:name w:val="Res_title Char"/>
    <w:link w:val="Restitle"/>
    <w:qFormat/>
    <w:rPr>
      <w:rFonts w:ascii="Times New Roman Bold" w:eastAsia="SimSun" w:hAnsi="Times New Roman Bold" w:cs="Times New Roman Bold"/>
      <w:b/>
      <w:bCs/>
      <w:sz w:val="28"/>
      <w:lang w:val="en-GB" w:eastAsia="en-US"/>
    </w:rPr>
  </w:style>
  <w:style w:type="character" w:customStyle="1" w:styleId="NormalaftertitleChar">
    <w:name w:val="Normal after title Char"/>
    <w:link w:val="Normalaftertitle"/>
    <w:qFormat/>
    <w:locked/>
    <w:rPr>
      <w:rFonts w:ascii="Times New Roman" w:eastAsia="SimSu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e8b5cc-1b18-4fc1-9304-fffc720ddb16" targetNamespace="http://schemas.microsoft.com/office/2006/metadata/properties" ma:root="true" ma:fieldsID="d41af5c836d734370eb92e7ee5f83852" ns2:_="" ns3:_="">
    <xsd:import namespace="996b2e75-67fd-4955-a3b0-5ab9934cb50b"/>
    <xsd:import namespace="3fe8b5cc-1b18-4fc1-9304-fffc720ddb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b5cc-1b18-4fc1-9304-fffc720ddb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e8b5cc-1b18-4fc1-9304-fffc720ddb16">DPM</DPM_x0020_Author>
    <DPM_x0020_File_x0020_name xmlns="3fe8b5cc-1b18-4fc1-9304-fffc720ddb16">T22-WTSA.24-C-0037!A40!MSW-C</DPM_x0020_File_x0020_name>
    <DPM_x0020_Version xmlns="3fe8b5cc-1b18-4fc1-9304-fffc720ddb16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/>
</ds:datastoreItem>
</file>

<file path=customXml/itemProps2.xml><?xml version="1.0" encoding="utf-8"?>
<ds:datastoreItem xmlns:ds="http://schemas.openxmlformats.org/officeDocument/2006/customXml" ds:itemID="{C93E26ED-57A6-443A-A4F1-CD976F7233B3}">
  <ds:schemaRefs/>
</ds:datastoreItem>
</file>

<file path=customXml/itemProps3.xml><?xml version="1.0" encoding="utf-8"?>
<ds:datastoreItem xmlns:ds="http://schemas.openxmlformats.org/officeDocument/2006/customXml" ds:itemID="{5CA035DF-A293-4EC3-AD58-DEFBB131D29E}">
  <ds:schemaRefs/>
</ds:datastoreItem>
</file>

<file path=customXml/itemProps4.xml><?xml version="1.0" encoding="utf-8"?>
<ds:datastoreItem xmlns:ds="http://schemas.openxmlformats.org/officeDocument/2006/customXml" ds:itemID="{DF3D58E2-EC10-4DC5-9074-AF807B63C28A}">
  <ds:schemaRefs/>
</ds:datastoreItem>
</file>

<file path=customXml/itemProps5.xml><?xml version="1.0" encoding="utf-8"?>
<ds:datastoreItem xmlns:ds="http://schemas.openxmlformats.org/officeDocument/2006/customXml" ds:itemID="{B21B1F41-FCAB-4F2A-81E2-D384F50A66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3088</Words>
  <Characters>518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T22-WTSA.24-C-0037!A40!MSW-C</vt:lpstr>
    </vt:vector>
  </TitlesOfParts>
  <Manager>General Secretariat - Pool</Manager>
  <Company>International Telecommunication Union (ITU)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T22-WTSA.24-C-0037!A40!MSW-C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3</cp:revision>
  <cp:lastPrinted>2016-06-06T07:49:00Z</cp:lastPrinted>
  <dcterms:created xsi:type="dcterms:W3CDTF">2024-09-27T13:02:00Z</dcterms:created>
  <dcterms:modified xsi:type="dcterms:W3CDTF">2024-09-27T13:09:00Z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  <property fmtid="{D5CDD505-2E9C-101B-9397-08002B2CF9AE}" pid="11" name="KSOProductBuildVer">
    <vt:lpwstr>2052-12.1.0.17857</vt:lpwstr>
  </property>
  <property fmtid="{D5CDD505-2E9C-101B-9397-08002B2CF9AE}" pid="12" name="ICV">
    <vt:lpwstr>734CE673001D4E6F8C3B3420D0BCBC85_12</vt:lpwstr>
  </property>
</Properties>
</file>