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4499A2DE" w14:textId="77777777" w:rsidTr="00706E26">
        <w:trPr>
          <w:cantSplit/>
          <w:trHeight w:val="20"/>
        </w:trPr>
        <w:tc>
          <w:tcPr>
            <w:tcW w:w="1318" w:type="dxa"/>
          </w:tcPr>
          <w:p w14:paraId="4C24C6F2" w14:textId="77777777" w:rsidR="00314F41" w:rsidRPr="00B344B6" w:rsidRDefault="00863FEE" w:rsidP="009D0810">
            <w:pPr>
              <w:rPr>
                <w:sz w:val="24"/>
                <w:szCs w:val="24"/>
                <w:rtl/>
              </w:rPr>
            </w:pPr>
            <w:r w:rsidRPr="00B344B6">
              <w:rPr>
                <w:noProof/>
              </w:rPr>
              <w:drawing>
                <wp:inline distT="0" distB="0" distL="0" distR="0" wp14:anchorId="1D4E2918" wp14:editId="5A8B49E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39F10190"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6DD5CE5F"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3E5B0347" w14:textId="77777777" w:rsidR="00314F41" w:rsidRPr="00B344B6" w:rsidRDefault="00314F41" w:rsidP="009D0810">
            <w:pPr>
              <w:rPr>
                <w:rtl/>
                <w:lang w:bidi="ar-EG"/>
              </w:rPr>
            </w:pPr>
            <w:r w:rsidRPr="00B344B6">
              <w:rPr>
                <w:noProof/>
                <w:lang w:eastAsia="zh-CN"/>
              </w:rPr>
              <w:drawing>
                <wp:inline distT="0" distB="0" distL="0" distR="0" wp14:anchorId="2C9FB229" wp14:editId="0582970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3575394A" w14:textId="77777777" w:rsidTr="00706E26">
        <w:trPr>
          <w:cantSplit/>
          <w:trHeight w:val="20"/>
        </w:trPr>
        <w:tc>
          <w:tcPr>
            <w:tcW w:w="6496" w:type="dxa"/>
            <w:gridSpan w:val="4"/>
            <w:tcBorders>
              <w:bottom w:val="single" w:sz="12" w:space="0" w:color="auto"/>
            </w:tcBorders>
          </w:tcPr>
          <w:p w14:paraId="550A03F3"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7C46714B" w14:textId="77777777" w:rsidR="00280E04" w:rsidRPr="00B344B6" w:rsidRDefault="00280E04" w:rsidP="003309DA">
            <w:pPr>
              <w:spacing w:before="0" w:line="120" w:lineRule="auto"/>
              <w:rPr>
                <w:lang w:bidi="ar-EG"/>
              </w:rPr>
            </w:pPr>
          </w:p>
        </w:tc>
      </w:tr>
      <w:tr w:rsidR="00280E04" w:rsidRPr="00B344B6" w14:paraId="2DB39D58" w14:textId="77777777" w:rsidTr="00706E26">
        <w:trPr>
          <w:cantSplit/>
          <w:trHeight w:val="240"/>
        </w:trPr>
        <w:tc>
          <w:tcPr>
            <w:tcW w:w="6496" w:type="dxa"/>
            <w:gridSpan w:val="4"/>
            <w:tcBorders>
              <w:top w:val="single" w:sz="12" w:space="0" w:color="auto"/>
            </w:tcBorders>
          </w:tcPr>
          <w:p w14:paraId="6D23AD36"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0CB8EEF3" w14:textId="77777777" w:rsidR="00280E04" w:rsidRPr="000B0891" w:rsidRDefault="00280E04" w:rsidP="000B0891">
            <w:pPr>
              <w:spacing w:before="0" w:line="240" w:lineRule="exact"/>
              <w:rPr>
                <w:rFonts w:eastAsia="SimSun"/>
                <w:b/>
                <w:bCs/>
              </w:rPr>
            </w:pPr>
          </w:p>
        </w:tc>
      </w:tr>
      <w:tr w:rsidR="00AD538E" w:rsidRPr="00B344B6" w14:paraId="00590054" w14:textId="77777777" w:rsidTr="00706E26">
        <w:trPr>
          <w:cantSplit/>
        </w:trPr>
        <w:tc>
          <w:tcPr>
            <w:tcW w:w="6496" w:type="dxa"/>
            <w:gridSpan w:val="4"/>
          </w:tcPr>
          <w:p w14:paraId="5EA8143B" w14:textId="77777777" w:rsidR="00AD538E" w:rsidRPr="00706E26" w:rsidRDefault="00D21D8E" w:rsidP="00706E26">
            <w:pPr>
              <w:pStyle w:val="Committee"/>
              <w:framePr w:hSpace="0" w:wrap="auto" w:hAnchor="text" w:yAlign="inline"/>
              <w:bidi/>
              <w:spacing w:before="0" w:after="0" w:line="192" w:lineRule="auto"/>
              <w:rPr>
                <w:rtl/>
              </w:rPr>
            </w:pPr>
            <w:r w:rsidRPr="00706E26">
              <w:rPr>
                <w:rtl/>
              </w:rPr>
              <w:t>الجلسة العامة</w:t>
            </w:r>
          </w:p>
        </w:tc>
        <w:tc>
          <w:tcPr>
            <w:tcW w:w="3143" w:type="dxa"/>
            <w:gridSpan w:val="2"/>
          </w:tcPr>
          <w:p w14:paraId="711CFE69" w14:textId="7A417254" w:rsidR="00AD538E" w:rsidRPr="00706E26" w:rsidRDefault="00706E26" w:rsidP="00706E26">
            <w:pPr>
              <w:pStyle w:val="Docnumber"/>
              <w:bidi/>
              <w:spacing w:line="192" w:lineRule="auto"/>
            </w:pPr>
            <w:r>
              <w:rPr>
                <w:rtl/>
              </w:rPr>
              <w:t>‏الإضافة 40</w:t>
            </w:r>
            <w:r>
              <w:rPr>
                <w:rtl/>
              </w:rPr>
              <w:br/>
              <w:t xml:space="preserve">‏للوثيقة </w:t>
            </w:r>
            <w:r>
              <w:rPr>
                <w:cs/>
              </w:rPr>
              <w:t>‎</w:t>
            </w:r>
            <w:r>
              <w:t>37-A</w:t>
            </w:r>
            <w:r>
              <w:rPr>
                <w:rtl/>
              </w:rPr>
              <w:t>‏</w:t>
            </w:r>
          </w:p>
        </w:tc>
      </w:tr>
      <w:tr w:rsidR="006175E7" w:rsidRPr="00B344B6" w14:paraId="240E6841" w14:textId="77777777" w:rsidTr="00706E26">
        <w:trPr>
          <w:cantSplit/>
        </w:trPr>
        <w:tc>
          <w:tcPr>
            <w:tcW w:w="6496" w:type="dxa"/>
            <w:gridSpan w:val="4"/>
          </w:tcPr>
          <w:p w14:paraId="716E457E" w14:textId="77777777" w:rsidR="006175E7" w:rsidRPr="00706E26" w:rsidRDefault="006175E7" w:rsidP="00706E26">
            <w:pPr>
              <w:spacing w:before="0"/>
              <w:jc w:val="left"/>
              <w:rPr>
                <w:b/>
                <w:bCs/>
                <w:rtl/>
              </w:rPr>
            </w:pPr>
          </w:p>
        </w:tc>
        <w:tc>
          <w:tcPr>
            <w:tcW w:w="3143" w:type="dxa"/>
            <w:gridSpan w:val="2"/>
          </w:tcPr>
          <w:p w14:paraId="2E6CEEB5" w14:textId="77777777" w:rsidR="006175E7" w:rsidRPr="00706E26" w:rsidRDefault="00EC0AD3" w:rsidP="00706E26">
            <w:pPr>
              <w:pStyle w:val="TopHeader"/>
              <w:bidi/>
              <w:spacing w:before="0" w:line="192" w:lineRule="auto"/>
              <w:rPr>
                <w:rFonts w:ascii="Dubai" w:hAnsi="Dubai" w:cs="Dubai"/>
                <w:sz w:val="22"/>
                <w:rtl/>
              </w:rPr>
            </w:pPr>
            <w:r w:rsidRPr="00706E26">
              <w:rPr>
                <w:rFonts w:ascii="Dubai" w:eastAsia="SimSun" w:hAnsi="Dubai" w:cs="Dubai"/>
                <w:sz w:val="22"/>
              </w:rPr>
              <w:t>22</w:t>
            </w:r>
            <w:r w:rsidRPr="00706E26">
              <w:rPr>
                <w:rFonts w:ascii="Dubai" w:eastAsia="SimSun" w:hAnsi="Dubai" w:cs="Dubai"/>
                <w:sz w:val="22"/>
                <w:rtl/>
              </w:rPr>
              <w:t xml:space="preserve"> سبتمبر </w:t>
            </w:r>
            <w:r w:rsidRPr="00706E26">
              <w:rPr>
                <w:rFonts w:ascii="Dubai" w:eastAsia="SimSun" w:hAnsi="Dubai" w:cs="Dubai"/>
                <w:sz w:val="22"/>
              </w:rPr>
              <w:t>2024</w:t>
            </w:r>
          </w:p>
        </w:tc>
      </w:tr>
      <w:tr w:rsidR="006175E7" w:rsidRPr="00B344B6" w14:paraId="28B575B3" w14:textId="77777777" w:rsidTr="00706E26">
        <w:trPr>
          <w:cantSplit/>
        </w:trPr>
        <w:tc>
          <w:tcPr>
            <w:tcW w:w="6496" w:type="dxa"/>
            <w:gridSpan w:val="4"/>
          </w:tcPr>
          <w:p w14:paraId="57C23890" w14:textId="77777777" w:rsidR="006175E7" w:rsidRPr="00706E26" w:rsidRDefault="006175E7" w:rsidP="00706E26">
            <w:pPr>
              <w:spacing w:before="0"/>
              <w:jc w:val="left"/>
              <w:rPr>
                <w:b/>
                <w:bCs/>
                <w:rtl/>
              </w:rPr>
            </w:pPr>
          </w:p>
        </w:tc>
        <w:tc>
          <w:tcPr>
            <w:tcW w:w="3143" w:type="dxa"/>
            <w:gridSpan w:val="2"/>
          </w:tcPr>
          <w:p w14:paraId="5100D9EF" w14:textId="77777777" w:rsidR="006175E7" w:rsidRPr="00706E26" w:rsidRDefault="00EC0AD3" w:rsidP="00706E26">
            <w:pPr>
              <w:pStyle w:val="TopHeader"/>
              <w:bidi/>
              <w:spacing w:before="0" w:line="192" w:lineRule="auto"/>
              <w:rPr>
                <w:rFonts w:ascii="Dubai" w:eastAsia="SimSun" w:hAnsi="Dubai" w:cs="Dubai"/>
                <w:sz w:val="22"/>
              </w:rPr>
            </w:pPr>
            <w:r w:rsidRPr="00706E26">
              <w:rPr>
                <w:rFonts w:ascii="Dubai" w:hAnsi="Dubai" w:cs="Dubai"/>
                <w:sz w:val="22"/>
                <w:rtl/>
              </w:rPr>
              <w:t>الأصل: بالإنكليزية</w:t>
            </w:r>
          </w:p>
        </w:tc>
      </w:tr>
      <w:tr w:rsidR="006175E7" w:rsidRPr="00B344B6" w14:paraId="12D747E5" w14:textId="77777777" w:rsidTr="00706E26">
        <w:trPr>
          <w:cantSplit/>
        </w:trPr>
        <w:tc>
          <w:tcPr>
            <w:tcW w:w="9639" w:type="dxa"/>
            <w:gridSpan w:val="6"/>
          </w:tcPr>
          <w:p w14:paraId="54711FA1" w14:textId="77777777" w:rsidR="006175E7" w:rsidRPr="001151CE" w:rsidRDefault="006175E7" w:rsidP="000B0891">
            <w:pPr>
              <w:spacing w:before="0" w:line="240" w:lineRule="exact"/>
              <w:rPr>
                <w:rFonts w:eastAsia="SimSun"/>
                <w:b/>
                <w:bCs/>
              </w:rPr>
            </w:pPr>
          </w:p>
        </w:tc>
      </w:tr>
      <w:tr w:rsidR="006175E7" w:rsidRPr="00B344B6" w14:paraId="2B8F0A69" w14:textId="77777777" w:rsidTr="00706E26">
        <w:trPr>
          <w:cantSplit/>
        </w:trPr>
        <w:tc>
          <w:tcPr>
            <w:tcW w:w="9639" w:type="dxa"/>
            <w:gridSpan w:val="6"/>
          </w:tcPr>
          <w:p w14:paraId="67EDDEF3" w14:textId="77777777" w:rsidR="006175E7" w:rsidRPr="00B344B6" w:rsidRDefault="00D21D8E" w:rsidP="006175E7">
            <w:pPr>
              <w:pStyle w:val="Source"/>
              <w:rPr>
                <w:rtl/>
              </w:rPr>
            </w:pPr>
            <w:r w:rsidRPr="00D21D8E">
              <w:rPr>
                <w:rtl/>
              </w:rPr>
              <w:t>إدارات أعضاء جماعة آسيا والمحيط الهادئ للاتصالات</w:t>
            </w:r>
          </w:p>
        </w:tc>
      </w:tr>
      <w:tr w:rsidR="00706E26" w:rsidRPr="00B344B6" w14:paraId="76D0CB4D" w14:textId="77777777" w:rsidTr="00706E26">
        <w:trPr>
          <w:cantSplit/>
        </w:trPr>
        <w:tc>
          <w:tcPr>
            <w:tcW w:w="9639" w:type="dxa"/>
            <w:gridSpan w:val="6"/>
          </w:tcPr>
          <w:p w14:paraId="298F3AD5" w14:textId="2ABF655B" w:rsidR="00706E26" w:rsidRPr="00D21D8E" w:rsidRDefault="00706E26" w:rsidP="00706E26">
            <w:pPr>
              <w:pStyle w:val="Title1"/>
              <w:spacing w:before="240"/>
              <w:rPr>
                <w:rFonts w:hint="cs"/>
                <w:rtl/>
              </w:rPr>
            </w:pPr>
            <w:r>
              <w:rPr>
                <w:rFonts w:hint="cs"/>
                <w:rtl/>
              </w:rPr>
              <w:t xml:space="preserve">مشروع </w:t>
            </w:r>
            <w:r w:rsidR="004B0F85">
              <w:rPr>
                <w:rFonts w:hint="cs"/>
                <w:rtl/>
              </w:rPr>
              <w:t>ال</w:t>
            </w:r>
            <w:r>
              <w:rPr>
                <w:rFonts w:hint="cs"/>
                <w:rtl/>
              </w:rPr>
              <w:t xml:space="preserve">قرار </w:t>
            </w:r>
            <w:r w:rsidR="004B0F85">
              <w:rPr>
                <w:rFonts w:hint="cs"/>
                <w:rtl/>
              </w:rPr>
              <w:t>ال</w:t>
            </w:r>
            <w:r>
              <w:rPr>
                <w:rFonts w:hint="cs"/>
                <w:rtl/>
              </w:rPr>
              <w:t>جديد</w:t>
            </w:r>
            <w:r w:rsidRPr="00D21D8E">
              <w:rPr>
                <w:rtl/>
              </w:rPr>
              <w:t xml:space="preserve"> [APT-DI] - </w:t>
            </w:r>
            <w:r w:rsidRPr="00CC710B">
              <w:rPr>
                <w:rtl/>
              </w:rPr>
              <w:t>تعزيز أعمال التقييس</w:t>
            </w:r>
            <w:r w:rsidR="00CD3381">
              <w:rPr>
                <w:rtl/>
              </w:rPr>
              <w:br/>
            </w:r>
            <w:r w:rsidRPr="00CC710B">
              <w:rPr>
                <w:rtl/>
              </w:rPr>
              <w:t>المتعلقة بالهويات الرقمية وبيانات الاعتماد</w:t>
            </w:r>
          </w:p>
        </w:tc>
      </w:tr>
      <w:tr w:rsidR="00706E26" w:rsidRPr="00B344B6" w14:paraId="7BBE1B4C" w14:textId="77777777" w:rsidTr="00706E26">
        <w:trPr>
          <w:cantSplit/>
          <w:trHeight w:hRule="exact" w:val="240"/>
        </w:trPr>
        <w:tc>
          <w:tcPr>
            <w:tcW w:w="9639" w:type="dxa"/>
            <w:gridSpan w:val="6"/>
          </w:tcPr>
          <w:p w14:paraId="43144594" w14:textId="77777777" w:rsidR="00706E26" w:rsidRPr="00B344B6" w:rsidRDefault="00706E26" w:rsidP="00706E26">
            <w:pPr>
              <w:pStyle w:val="Title2"/>
              <w:spacing w:before="240"/>
            </w:pPr>
          </w:p>
        </w:tc>
      </w:tr>
      <w:tr w:rsidR="00706E26" w:rsidRPr="00B344B6" w14:paraId="3ACC31CA" w14:textId="77777777" w:rsidTr="00706E26">
        <w:trPr>
          <w:cantSplit/>
          <w:trHeight w:hRule="exact" w:val="240"/>
        </w:trPr>
        <w:tc>
          <w:tcPr>
            <w:tcW w:w="9639" w:type="dxa"/>
            <w:gridSpan w:val="6"/>
          </w:tcPr>
          <w:p w14:paraId="16983D75" w14:textId="77777777" w:rsidR="00706E26" w:rsidRDefault="00706E26" w:rsidP="00706E26">
            <w:pPr>
              <w:pStyle w:val="Agendaitem"/>
              <w:spacing w:before="0" w:after="0"/>
              <w:rPr>
                <w:rtl/>
              </w:rPr>
            </w:pPr>
          </w:p>
          <w:p w14:paraId="17640427" w14:textId="77777777" w:rsidR="00706E26" w:rsidRDefault="00706E26" w:rsidP="00706E26">
            <w:pPr>
              <w:pStyle w:val="Agendaitem"/>
              <w:spacing w:before="0" w:after="0"/>
              <w:rPr>
                <w:rtl/>
              </w:rPr>
            </w:pPr>
          </w:p>
          <w:p w14:paraId="472A3F53" w14:textId="697A643A" w:rsidR="00706E26" w:rsidRPr="00B344B6" w:rsidRDefault="00706E26" w:rsidP="00706E26">
            <w:pPr>
              <w:pStyle w:val="Agendaitem"/>
              <w:spacing w:before="0" w:after="0"/>
              <w:rPr>
                <w:rtl/>
              </w:rPr>
            </w:pPr>
          </w:p>
        </w:tc>
      </w:tr>
      <w:tr w:rsidR="00706E26" w:rsidRPr="00B344B6" w14:paraId="5E1513AE" w14:textId="77777777" w:rsidTr="008077A5">
        <w:tblPrEx>
          <w:tblLook w:val="04A0" w:firstRow="1" w:lastRow="0" w:firstColumn="1" w:lastColumn="0" w:noHBand="0" w:noVBand="1"/>
        </w:tblPrEx>
        <w:tc>
          <w:tcPr>
            <w:tcW w:w="1355" w:type="dxa"/>
            <w:gridSpan w:val="2"/>
            <w:shd w:val="clear" w:color="auto" w:fill="FFFFFF"/>
          </w:tcPr>
          <w:p w14:paraId="5677DF4E" w14:textId="77777777" w:rsidR="00706E26" w:rsidRPr="008A5BF3" w:rsidRDefault="00706E26" w:rsidP="00706E26">
            <w:pPr>
              <w:rPr>
                <w:rFonts w:eastAsia="SimSun"/>
                <w:b/>
                <w:bCs/>
                <w:position w:val="2"/>
                <w:rtl/>
                <w:lang w:val="fr-FR" w:eastAsia="zh-CN" w:bidi="ar-EG"/>
              </w:rPr>
            </w:pPr>
            <w:r w:rsidRPr="008A5BF3">
              <w:rPr>
                <w:b/>
                <w:bCs/>
                <w:rtl/>
              </w:rPr>
              <w:t>ملخص:</w:t>
            </w:r>
          </w:p>
        </w:tc>
        <w:tc>
          <w:tcPr>
            <w:tcW w:w="8284" w:type="dxa"/>
            <w:gridSpan w:val="4"/>
            <w:shd w:val="clear" w:color="auto" w:fill="FFFFFF"/>
          </w:tcPr>
          <w:p w14:paraId="4FBE998A" w14:textId="1A01C676" w:rsidR="00706E26" w:rsidRPr="00B344B6" w:rsidRDefault="00706E26" w:rsidP="00706E26">
            <w:pPr>
              <w:rPr>
                <w:rFonts w:eastAsia="SimSun"/>
                <w:position w:val="2"/>
                <w:rtl/>
                <w:lang w:val="fr-FR" w:eastAsia="zh-CN" w:bidi="ar-EG"/>
              </w:rPr>
            </w:pPr>
            <w:r w:rsidRPr="00CC710B">
              <w:rPr>
                <w:rtl/>
                <w:lang w:val="en-GB"/>
              </w:rPr>
              <w:t>تتضمن هذه الوثيقة مقترح قرار جديد للجمعية العالمية لتقييس الاتصالات بشأن تعزيز أعمال التقييس المتعلقة بالهويات الرقمية وبيانات الاعتماد.</w:t>
            </w:r>
          </w:p>
        </w:tc>
      </w:tr>
      <w:tr w:rsidR="00706E26" w:rsidRPr="00B344B6" w14:paraId="2BF0D33B" w14:textId="77777777" w:rsidTr="008077A5">
        <w:tblPrEx>
          <w:tblLook w:val="04A0" w:firstRow="1" w:lastRow="0" w:firstColumn="1" w:lastColumn="0" w:noHBand="0" w:noVBand="1"/>
        </w:tblPrEx>
        <w:tc>
          <w:tcPr>
            <w:tcW w:w="1355" w:type="dxa"/>
            <w:gridSpan w:val="2"/>
            <w:shd w:val="clear" w:color="auto" w:fill="FFFFFF"/>
            <w:hideMark/>
          </w:tcPr>
          <w:p w14:paraId="69A0DE2A" w14:textId="77777777" w:rsidR="00706E26" w:rsidRPr="008A5BF3" w:rsidRDefault="00706E26" w:rsidP="00951290">
            <w:pPr>
              <w:spacing w:before="240"/>
              <w:jc w:val="left"/>
              <w:rPr>
                <w:rFonts w:eastAsia="SimSun"/>
                <w:b/>
                <w:bCs/>
                <w:position w:val="2"/>
                <w:lang w:val="en-GB" w:eastAsia="zh-CN"/>
              </w:rPr>
            </w:pPr>
            <w:r w:rsidRPr="008A5BF3">
              <w:rPr>
                <w:rFonts w:eastAsia="SimSun"/>
                <w:b/>
                <w:bCs/>
                <w:position w:val="2"/>
                <w:rtl/>
                <w:lang w:val="fr-FR" w:eastAsia="zh-CN" w:bidi="ar-EG"/>
              </w:rPr>
              <w:t>للاتصال:</w:t>
            </w:r>
          </w:p>
        </w:tc>
        <w:tc>
          <w:tcPr>
            <w:tcW w:w="4034" w:type="dxa"/>
            <w:shd w:val="clear" w:color="auto" w:fill="FFFFFF"/>
          </w:tcPr>
          <w:p w14:paraId="5B77D6EF" w14:textId="51ADA5D3" w:rsidR="00706E26" w:rsidRPr="002A6B33" w:rsidRDefault="004B0F85" w:rsidP="00951290">
            <w:pPr>
              <w:spacing w:before="240"/>
              <w:jc w:val="left"/>
              <w:rPr>
                <w:rFonts w:eastAsia="SimSun"/>
                <w:position w:val="2"/>
                <w:lang w:eastAsia="zh-CN"/>
              </w:rPr>
            </w:pPr>
            <w:r>
              <w:rPr>
                <w:rFonts w:hint="cs"/>
                <w:rtl/>
                <w:lang w:val="en-GB"/>
              </w:rPr>
              <w:t xml:space="preserve">السيد </w:t>
            </w:r>
            <w:r w:rsidR="00706E26" w:rsidRPr="009079D1">
              <w:rPr>
                <w:lang w:val="en-GB"/>
              </w:rPr>
              <w:t>Masanori Kondo</w:t>
            </w:r>
            <w:r w:rsidR="00706E26" w:rsidRPr="00B344B6">
              <w:br/>
            </w:r>
            <w:r w:rsidR="00706E26" w:rsidRPr="00CC710B">
              <w:rPr>
                <w:rtl/>
              </w:rPr>
              <w:t>الأمين العام</w:t>
            </w:r>
            <w:r w:rsidR="00AC280B">
              <w:rPr>
                <w:rtl/>
              </w:rPr>
              <w:br/>
            </w:r>
            <w:r w:rsidR="00706E26" w:rsidRPr="00CC710B">
              <w:rPr>
                <w:rtl/>
              </w:rPr>
              <w:t>جماعة آسيا والمحيط الهادئ للاتصالات</w:t>
            </w:r>
          </w:p>
        </w:tc>
        <w:tc>
          <w:tcPr>
            <w:tcW w:w="4250" w:type="dxa"/>
            <w:gridSpan w:val="3"/>
            <w:shd w:val="clear" w:color="auto" w:fill="FFFFFF"/>
          </w:tcPr>
          <w:p w14:paraId="1F7D7B53" w14:textId="7A642165" w:rsidR="00706E26" w:rsidRPr="00B344B6" w:rsidRDefault="00706E26" w:rsidP="00951290">
            <w:pPr>
              <w:spacing w:before="240"/>
              <w:jc w:val="left"/>
              <w:rPr>
                <w:rFonts w:eastAsia="SimSun"/>
                <w:position w:val="2"/>
                <w:lang w:eastAsia="zh-CN"/>
              </w:rPr>
            </w:pPr>
            <w:r w:rsidRPr="00B344B6">
              <w:rPr>
                <w:rFonts w:eastAsia="SimSun"/>
                <w:position w:val="2"/>
                <w:rtl/>
                <w:lang w:val="fr-FR" w:eastAsia="zh-CN" w:bidi="ar-EG"/>
              </w:rPr>
              <w:t>البريد الإلكتروني:</w:t>
            </w:r>
            <w:r w:rsidR="00AC280B">
              <w:t xml:space="preserve"> </w:t>
            </w:r>
            <w:r w:rsidR="00AC280B">
              <w:tab/>
            </w:r>
            <w:hyperlink r:id="rId14" w:history="1">
              <w:r w:rsidRPr="009079D1">
                <w:rPr>
                  <w:rStyle w:val="Hyperlink"/>
                  <w:rFonts w:eastAsia="SimSun"/>
                  <w:position w:val="2"/>
                  <w:lang w:val="en-GB" w:eastAsia="zh-CN" w:bidi="ar-EG"/>
                </w:rPr>
                <w:t>aptwtsa@apt.int</w:t>
              </w:r>
            </w:hyperlink>
          </w:p>
        </w:tc>
      </w:tr>
    </w:tbl>
    <w:p w14:paraId="50E43B20" w14:textId="62681C6A" w:rsidR="00314F41" w:rsidRDefault="0036313C" w:rsidP="0036313C">
      <w:pPr>
        <w:pStyle w:val="Headingb"/>
        <w:rPr>
          <w:rtl/>
        </w:rPr>
      </w:pPr>
      <w:r>
        <w:rPr>
          <w:rFonts w:hint="cs"/>
          <w:rtl/>
        </w:rPr>
        <w:t>مقدمة</w:t>
      </w:r>
    </w:p>
    <w:p w14:paraId="1BA4856E" w14:textId="0AE7B138" w:rsidR="00CC710B" w:rsidRPr="00CC710B" w:rsidRDefault="00CC710B" w:rsidP="00CD3381">
      <w:pPr>
        <w:rPr>
          <w:b/>
          <w:bCs/>
          <w:rtl/>
        </w:rPr>
      </w:pPr>
      <w:r w:rsidRPr="00CC710B">
        <w:rPr>
          <w:rtl/>
        </w:rPr>
        <w:t>عادة ما تُعرَّف الهوية الرقمية أنها علاقة فردية بين الفرد وحضوره الرقمي. ويمكن أن ينطوي الحضور الرقمي على حسابات وبيانات اعتماد واستحقاقات متعددة مرتبطة بالفرد. وتتضمن إدارة الهوية إصدار الهوية والتحقق من صحتها (التدقيق فيها) والحفاظ عليها وإنهائها بينما بيانات الاعتماد هي أدلة تؤكد الهوية المزعومة للفرد. وعلى سبيل المثال، تربط رخصة القيادة أو</w:t>
      </w:r>
      <w:r w:rsidR="00CD3381">
        <w:rPr>
          <w:rFonts w:hint="cs"/>
          <w:rtl/>
        </w:rPr>
        <w:t> </w:t>
      </w:r>
      <w:r w:rsidRPr="00CC710B">
        <w:rPr>
          <w:rtl/>
        </w:rPr>
        <w:t>الهوية على الإنترنت وكلمة المرور صاحب بيانات الاعتماد بهويته.</w:t>
      </w:r>
    </w:p>
    <w:p w14:paraId="119F883B" w14:textId="06219736" w:rsidR="00CC710B" w:rsidRPr="00CC710B" w:rsidRDefault="00CC710B" w:rsidP="00CD3381">
      <w:pPr>
        <w:rPr>
          <w:b/>
          <w:bCs/>
          <w:rtl/>
        </w:rPr>
      </w:pPr>
      <w:r w:rsidRPr="00CC710B">
        <w:rPr>
          <w:rtl/>
        </w:rPr>
        <w:t xml:space="preserve">والهوية اللامركزية هي نموذج جديد تسمح للمستعملين بإدارة بيانات الهوية الخاصة بهم </w:t>
      </w:r>
      <w:r w:rsidR="004B0F85" w:rsidRPr="00951290">
        <w:rPr>
          <w:rFonts w:hint="cs"/>
          <w:rtl/>
          <w:lang w:bidi="ar-EG"/>
        </w:rPr>
        <w:t xml:space="preserve">وتبادلها </w:t>
      </w:r>
      <w:r w:rsidRPr="00CC710B">
        <w:rPr>
          <w:rtl/>
        </w:rPr>
        <w:t>دون الاعتماد على سلطة مركزية أو خدمة طرف ثالث.</w:t>
      </w:r>
    </w:p>
    <w:p w14:paraId="303A0CE9" w14:textId="77777777" w:rsidR="00CC710B" w:rsidRPr="00CC710B" w:rsidRDefault="00CC710B" w:rsidP="00CD3381">
      <w:pPr>
        <w:rPr>
          <w:b/>
          <w:bCs/>
          <w:rtl/>
        </w:rPr>
      </w:pPr>
      <w:r w:rsidRPr="00CC710B">
        <w:rPr>
          <w:rtl/>
        </w:rPr>
        <w:t>ويجب أن تدعم الهوية الرقمية وبيانات الاعتماد التي يمكن التحقق منها الجهود الرامية إلى تعزيز الأمن عبر الإنترنت للأفراد دون السن القانونية من خلال إثبات سمات الهوية، مثل التحقق من العمر والإنفاذ.</w:t>
      </w:r>
    </w:p>
    <w:p w14:paraId="3E0E1971" w14:textId="77777777" w:rsidR="00CC710B" w:rsidRPr="00CC710B" w:rsidRDefault="00CC710B" w:rsidP="00CD3381">
      <w:pPr>
        <w:rPr>
          <w:b/>
          <w:bCs/>
          <w:rtl/>
        </w:rPr>
      </w:pPr>
      <w:r w:rsidRPr="00CC710B">
        <w:rPr>
          <w:rtl/>
        </w:rPr>
        <w:t xml:space="preserve">وبيانات الاعتماد التي يمكن التحقق منها هي وثائق رقمية آمنة </w:t>
      </w:r>
      <w:proofErr w:type="spellStart"/>
      <w:r w:rsidRPr="00CC710B">
        <w:rPr>
          <w:rtl/>
        </w:rPr>
        <w:t>تجفيرياً</w:t>
      </w:r>
      <w:proofErr w:type="spellEnd"/>
      <w:r w:rsidRPr="00CC710B">
        <w:rPr>
          <w:rtl/>
        </w:rPr>
        <w:t xml:space="preserve"> ويمكن استخدامها لإثبات جوانب مختلفة من هوية المستعمل دون الكشف عن معلومات شخصية غير ضرورية. وتتضمن أمثلة بيانات الاعتماد التي يمكن التحقق منها بطاقات الموظفين الرقمية وشهادات الميلاد الرقمية والتراخيص المتنقلة للقيادة وشهادات التعليم الرقمية وشهادات الرقم الوطني الرقمية وشهادات البيانات </w:t>
      </w:r>
      <w:proofErr w:type="spellStart"/>
      <w:r w:rsidRPr="00CC710B">
        <w:rPr>
          <w:rtl/>
        </w:rPr>
        <w:t>البيومترية</w:t>
      </w:r>
      <w:proofErr w:type="spellEnd"/>
      <w:r w:rsidRPr="00CC710B">
        <w:rPr>
          <w:rtl/>
        </w:rPr>
        <w:t>.</w:t>
      </w:r>
    </w:p>
    <w:p w14:paraId="3DF2D2E0" w14:textId="77777777" w:rsidR="00CC710B" w:rsidRPr="00CC710B" w:rsidRDefault="00CC710B" w:rsidP="00CD3381">
      <w:pPr>
        <w:rPr>
          <w:b/>
          <w:bCs/>
          <w:rtl/>
        </w:rPr>
      </w:pPr>
      <w:r w:rsidRPr="00CC710B">
        <w:rPr>
          <w:rtl/>
        </w:rPr>
        <w:t>وتُعتبر الهوية الرقمية، بما في ذلك بيانات الاعتماد التي يمكن التحقق منها، أداة تعريف شخصية تُستخدم للنفاذ إلى الخدمات عبر الإنترنت وإجراء المشتريات والتفاعل مع الآخرين على المنصات الرقمية.</w:t>
      </w:r>
    </w:p>
    <w:p w14:paraId="2790B883" w14:textId="77777777" w:rsidR="00CC710B" w:rsidRPr="00CC710B" w:rsidRDefault="00CC710B" w:rsidP="00CD3381">
      <w:pPr>
        <w:rPr>
          <w:b/>
          <w:bCs/>
          <w:rtl/>
        </w:rPr>
      </w:pPr>
      <w:r w:rsidRPr="00CC710B">
        <w:rPr>
          <w:rtl/>
        </w:rPr>
        <w:t>ويمكن إنشاء هويات وبيانات اعتماد مزيفة باستخدام خوارزميات للذكاء الاصطناعي/التعلم الآلي التي يمكن أن تولد هويات رقمية وبيانات اعتماد ذات مظهر واقعي في غضون دقائق.</w:t>
      </w:r>
    </w:p>
    <w:p w14:paraId="76034AF6" w14:textId="2CFCB880" w:rsidR="00CC710B" w:rsidRPr="00CC710B" w:rsidRDefault="00CC710B" w:rsidP="00CD3381">
      <w:pPr>
        <w:rPr>
          <w:b/>
          <w:bCs/>
          <w:rtl/>
        </w:rPr>
      </w:pPr>
      <w:r w:rsidRPr="00CC710B">
        <w:rPr>
          <w:rtl/>
        </w:rPr>
        <w:t>وتحتاج لجان دراسات قطاع تقييس الاتصالات، ولا</w:t>
      </w:r>
      <w:r w:rsidR="004B0F85">
        <w:rPr>
          <w:rFonts w:hint="cs"/>
          <w:rtl/>
        </w:rPr>
        <w:t> </w:t>
      </w:r>
      <w:r w:rsidRPr="00CC710B">
        <w:rPr>
          <w:rtl/>
        </w:rPr>
        <w:t xml:space="preserve">سيما لجنة الدراسات 17، إلى المضي قدماً في العمل المتعلق بتقييس الهوية الرقمية من أجل بناء الأمن والثقة في استعمال تكنولوجيا المعلومات والاتصالات. ولجنة الدراسات 17 هي لجنة الدراسات </w:t>
      </w:r>
      <w:r w:rsidRPr="00CC710B">
        <w:rPr>
          <w:rtl/>
        </w:rPr>
        <w:lastRenderedPageBreak/>
        <w:t>الرئيسية المعنية بإدارة الهوية، والتي تشمل العمل المتعلق بالهوية الرقمية وبيانات الاعتماد. ونعتقد أن هذا القرار الجديد سيسهل التحول الرقمي وسيساعد البلدان النامية على سد الفجوة التقييسية.</w:t>
      </w:r>
    </w:p>
    <w:p w14:paraId="346945C8" w14:textId="763EE1E9" w:rsidR="00CC710B" w:rsidRDefault="00CC710B" w:rsidP="00CD3381">
      <w:pPr>
        <w:rPr>
          <w:rtl/>
        </w:rPr>
      </w:pPr>
      <w:r w:rsidRPr="00CC710B">
        <w:rPr>
          <w:rtl/>
        </w:rPr>
        <w:t xml:space="preserve">ويتعين على قطاع تقييس الاتصالات أن يؤدي دوراً </w:t>
      </w:r>
      <w:r w:rsidRPr="00CD3381">
        <w:rPr>
          <w:rtl/>
        </w:rPr>
        <w:t>في وضع المعايير التقنية في مجالات الهوية الرقمية وبيانات الاعتماد التي يمكن التحقق منها، وهي تكنولوجيات تمكينية رئيسية لإتاحة</w:t>
      </w:r>
      <w:r w:rsidRPr="00CC710B">
        <w:rPr>
          <w:rtl/>
        </w:rPr>
        <w:t xml:space="preserve"> الابتكار في خدمات وتطبيقات تكنولوجيا المعلومات والاتصالات.</w:t>
      </w:r>
    </w:p>
    <w:p w14:paraId="69729E7D" w14:textId="45A6E691" w:rsidR="0036313C" w:rsidRDefault="0036313C" w:rsidP="00CC710B">
      <w:pPr>
        <w:pStyle w:val="Headingb"/>
        <w:rPr>
          <w:rtl/>
        </w:rPr>
      </w:pPr>
      <w:r>
        <w:rPr>
          <w:rFonts w:hint="cs"/>
          <w:rtl/>
        </w:rPr>
        <w:t>المُقترح</w:t>
      </w:r>
    </w:p>
    <w:p w14:paraId="2A70CA95" w14:textId="53F44C85" w:rsidR="00706E26" w:rsidRDefault="00706E26" w:rsidP="00CD3381">
      <w:pPr>
        <w:rPr>
          <w:rtl/>
        </w:rPr>
      </w:pPr>
      <w:r>
        <w:rPr>
          <w:rtl/>
        </w:rPr>
        <w:t>استناداً إلى الخلفية الواردة أعلاه، تقترح الإدارات الأعضاء في جماعة آسيا والمحيط الهادئ للاتصالات على الجمعية العالمية لتقييس الاتصالات لعام 2024 (</w:t>
      </w:r>
      <w:r>
        <w:t>WTSA-24</w:t>
      </w:r>
      <w:r>
        <w:rPr>
          <w:rtl/>
        </w:rPr>
        <w:t>) النظر في وضع قرار جديد للجمعية العالمية لتقييس الاتصالات بشأن تعزيز أعمال التقييس المتعلقة بالهويات الرقمية وبيانات الاعتماد.</w:t>
      </w:r>
    </w:p>
    <w:p w14:paraId="5E285FA9" w14:textId="4DEAABF6" w:rsidR="00CD3381" w:rsidRDefault="00CD3381">
      <w:pPr>
        <w:tabs>
          <w:tab w:val="clear" w:pos="794"/>
          <w:tab w:val="clear" w:pos="1191"/>
          <w:tab w:val="clear" w:pos="1588"/>
          <w:tab w:val="clear" w:pos="1985"/>
        </w:tabs>
        <w:bidi w:val="0"/>
        <w:spacing w:before="0" w:line="240" w:lineRule="auto"/>
        <w:jc w:val="left"/>
        <w:rPr>
          <w:rtl/>
        </w:rPr>
      </w:pPr>
      <w:r>
        <w:rPr>
          <w:rtl/>
        </w:rPr>
        <w:br w:type="page"/>
      </w:r>
    </w:p>
    <w:p w14:paraId="5655C617" w14:textId="654530DF" w:rsidR="00C2538F" w:rsidRDefault="00BF61A2">
      <w:pPr>
        <w:pStyle w:val="Proposal"/>
      </w:pPr>
      <w:r>
        <w:lastRenderedPageBreak/>
        <w:t>ADD</w:t>
      </w:r>
      <w:r>
        <w:tab/>
        <w:t>APT/37A40/1</w:t>
      </w:r>
    </w:p>
    <w:p w14:paraId="339D474F" w14:textId="082356CA" w:rsidR="00C2538F" w:rsidRPr="004B0F85" w:rsidRDefault="00D329F2" w:rsidP="004B0F85">
      <w:pPr>
        <w:pStyle w:val="ResNo"/>
        <w:rPr>
          <w:rtl/>
        </w:rPr>
      </w:pPr>
      <w:r w:rsidRPr="004B0F85">
        <w:rPr>
          <w:rFonts w:hint="cs"/>
          <w:rtl/>
        </w:rPr>
        <w:t>م</w:t>
      </w:r>
      <w:r w:rsidR="00BF61A2" w:rsidRPr="004B0F85">
        <w:rPr>
          <w:rtl/>
        </w:rPr>
        <w:t xml:space="preserve">شـروع </w:t>
      </w:r>
      <w:r w:rsidR="004B0F85" w:rsidRPr="004B0F85">
        <w:rPr>
          <w:rFonts w:hint="cs"/>
          <w:rtl/>
        </w:rPr>
        <w:t>ال</w:t>
      </w:r>
      <w:r w:rsidR="00BF61A2" w:rsidRPr="004B0F85">
        <w:rPr>
          <w:rtl/>
        </w:rPr>
        <w:t xml:space="preserve">قـرار </w:t>
      </w:r>
      <w:r w:rsidR="004B0F85" w:rsidRPr="004B0F85">
        <w:rPr>
          <w:rFonts w:hint="cs"/>
          <w:rtl/>
        </w:rPr>
        <w:t>ال</w:t>
      </w:r>
      <w:r w:rsidR="00BF61A2" w:rsidRPr="004B0F85">
        <w:rPr>
          <w:rtl/>
        </w:rPr>
        <w:t xml:space="preserve">جديـد </w:t>
      </w:r>
      <w:r w:rsidR="005E18EB" w:rsidRPr="004B0F85">
        <w:t>[APT-DI]</w:t>
      </w:r>
      <w:r w:rsidRPr="004B0F85">
        <w:rPr>
          <w:rFonts w:hint="cs"/>
          <w:rtl/>
        </w:rPr>
        <w:t xml:space="preserve"> (نيودلهي، 2024)</w:t>
      </w:r>
    </w:p>
    <w:p w14:paraId="007DB2A3" w14:textId="7DC97992" w:rsidR="00CC710B" w:rsidRPr="004B0F85" w:rsidRDefault="00CC710B" w:rsidP="004B0F85">
      <w:pPr>
        <w:pStyle w:val="Reptitle"/>
        <w:rPr>
          <w:rtl/>
        </w:rPr>
      </w:pPr>
      <w:r w:rsidRPr="004B0F85">
        <w:rPr>
          <w:rtl/>
        </w:rPr>
        <w:t>تعزيز أعمال التقييس المتعلقة بالهويات الرقمية وبيانات الاعتماد</w:t>
      </w:r>
    </w:p>
    <w:p w14:paraId="647959AD" w14:textId="60463575" w:rsidR="00D329F2" w:rsidRPr="004B0F85" w:rsidRDefault="00D329F2" w:rsidP="004B0F85">
      <w:pPr>
        <w:pStyle w:val="Resref"/>
        <w:rPr>
          <w:rtl/>
        </w:rPr>
      </w:pPr>
      <w:r w:rsidRPr="004B0F85">
        <w:rPr>
          <w:rFonts w:hint="cs"/>
          <w:rtl/>
        </w:rPr>
        <w:t>(نيودلهي، 2024)</w:t>
      </w:r>
    </w:p>
    <w:p w14:paraId="7F7E8617" w14:textId="49B2E277" w:rsidR="00D329F2" w:rsidRDefault="000045E9" w:rsidP="00D329F2">
      <w:pPr>
        <w:pStyle w:val="Normalaftertitle"/>
        <w:rPr>
          <w:rtl/>
          <w:lang w:bidi="ar-EG"/>
        </w:rPr>
      </w:pPr>
      <w:r>
        <w:rPr>
          <w:rFonts w:hint="cs"/>
          <w:rtl/>
        </w:rPr>
        <w:t>إن الجمعية العالمية لتقييس الاتصالات</w:t>
      </w:r>
      <w:r w:rsidR="00D329F2">
        <w:rPr>
          <w:rFonts w:hint="cs"/>
          <w:rtl/>
        </w:rPr>
        <w:t xml:space="preserve"> (نيودلهي، 2024)</w:t>
      </w:r>
      <w:r w:rsidR="007B2E18" w:rsidRPr="001C5BAE">
        <w:rPr>
          <w:rFonts w:hint="cs"/>
          <w:rtl/>
          <w:lang w:bidi="ar-EG"/>
        </w:rPr>
        <w:t>،</w:t>
      </w:r>
    </w:p>
    <w:p w14:paraId="1E5FE86F" w14:textId="005F5FBE" w:rsidR="00D329F2" w:rsidRDefault="000045E9" w:rsidP="00D329F2">
      <w:pPr>
        <w:pStyle w:val="Call"/>
        <w:rPr>
          <w:rtl/>
        </w:rPr>
      </w:pPr>
      <w:r>
        <w:rPr>
          <w:rFonts w:hint="cs"/>
          <w:rtl/>
        </w:rPr>
        <w:t>إذ تذكِّر</w:t>
      </w:r>
    </w:p>
    <w:p w14:paraId="11880460" w14:textId="5F6C85EF" w:rsidR="00D329F2" w:rsidRPr="00D329F2" w:rsidRDefault="00542925" w:rsidP="00072042">
      <w:r>
        <w:rPr>
          <w:rFonts w:hint="eastAsia"/>
          <w:i/>
          <w:iCs/>
          <w:rtl/>
          <w:lang w:bidi="ar-EG"/>
        </w:rPr>
        <w:t> </w:t>
      </w:r>
      <w:r>
        <w:rPr>
          <w:rFonts w:hint="cs"/>
          <w:i/>
          <w:iCs/>
          <w:rtl/>
          <w:lang w:bidi="ar-EG"/>
        </w:rPr>
        <w:t>أ )</w:t>
      </w:r>
      <w:r w:rsidR="00D329F2">
        <w:rPr>
          <w:rtl/>
        </w:rPr>
        <w:tab/>
      </w:r>
      <w:r w:rsidR="00CC710B" w:rsidRPr="00072042">
        <w:rPr>
          <w:rtl/>
        </w:rPr>
        <w:t>بالقرار</w:t>
      </w:r>
      <w:r w:rsidR="00CC710B" w:rsidRPr="00CC710B">
        <w:rPr>
          <w:rtl/>
        </w:rPr>
        <w:t xml:space="preserve"> 130 (المراجَع في بوخارست، 2022) لمؤتمر المندوبين المفوضين، بشأن تعزيز دور الاتحاد في مجال بناء الثقة والأمن في استعمال تكنولوجيا المعلومات والاتصالات (</w:t>
      </w:r>
      <w:r w:rsidR="00CC710B" w:rsidRPr="00CC710B">
        <w:t>ICT</w:t>
      </w:r>
      <w:r w:rsidR="00CC710B" w:rsidRPr="00CC710B">
        <w:rPr>
          <w:rtl/>
        </w:rPr>
        <w:t>)؛</w:t>
      </w:r>
    </w:p>
    <w:p w14:paraId="021ED9B8" w14:textId="31C5E30E" w:rsidR="00D329F2" w:rsidRPr="00D329F2" w:rsidRDefault="00D329F2" w:rsidP="00072042">
      <w:r>
        <w:rPr>
          <w:rFonts w:hint="cs"/>
          <w:i/>
          <w:iCs/>
          <w:rtl/>
          <w:lang w:bidi="ar-EG"/>
        </w:rPr>
        <w:t>ب</w:t>
      </w:r>
      <w:r w:rsidRPr="00D329F2">
        <w:rPr>
          <w:rFonts w:hint="cs"/>
          <w:i/>
          <w:iCs/>
          <w:rtl/>
          <w:lang w:bidi="ar-EG"/>
        </w:rPr>
        <w:t>)</w:t>
      </w:r>
      <w:r>
        <w:rPr>
          <w:i/>
          <w:iCs/>
          <w:rtl/>
          <w:lang w:bidi="ar-EG"/>
        </w:rPr>
        <w:tab/>
      </w:r>
      <w:r w:rsidR="00072042" w:rsidRPr="00951290">
        <w:rPr>
          <w:rFonts w:hint="cs"/>
          <w:rtl/>
        </w:rPr>
        <w:t>بالقرار</w:t>
      </w:r>
      <w:r w:rsidR="00CC710B" w:rsidRPr="00CC710B">
        <w:rPr>
          <w:rtl/>
        </w:rPr>
        <w:t xml:space="preserve"> 179 (المراجَع في بوخارست، 2022) لمؤتمر المندوبين المفوضين، بشأن دور الاتحاد الدولي للاتصالات في حماية الأطفال على الإنترنت؛</w:t>
      </w:r>
    </w:p>
    <w:p w14:paraId="74931699" w14:textId="0A84CA9D" w:rsidR="00D329F2" w:rsidRPr="00D329F2" w:rsidRDefault="00D329F2" w:rsidP="00072042">
      <w:pPr>
        <w:rPr>
          <w:rtl/>
          <w:lang w:bidi="ar-AE"/>
        </w:rPr>
      </w:pPr>
      <w:r w:rsidRPr="00072042">
        <w:rPr>
          <w:rFonts w:hint="cs"/>
          <w:i/>
          <w:iCs/>
          <w:rtl/>
          <w:lang w:bidi="ar-EG"/>
        </w:rPr>
        <w:t>ج)</w:t>
      </w:r>
      <w:r w:rsidRPr="00072042">
        <w:rPr>
          <w:i/>
          <w:iCs/>
          <w:rtl/>
          <w:lang w:bidi="ar-EG"/>
        </w:rPr>
        <w:tab/>
      </w:r>
      <w:r w:rsidR="00CC710B" w:rsidRPr="00072042">
        <w:rPr>
          <w:rtl/>
        </w:rPr>
        <w:t xml:space="preserve">بالقرار 50 (المراجَع في جنيف، 2022) </w:t>
      </w:r>
      <w:r w:rsidR="00072042">
        <w:rPr>
          <w:rFonts w:hint="cs"/>
          <w:rtl/>
        </w:rPr>
        <w:t>ل</w:t>
      </w:r>
      <w:r w:rsidR="00CC710B" w:rsidRPr="00072042">
        <w:rPr>
          <w:rtl/>
        </w:rPr>
        <w:t>لجمعية العالمية لتقييس الاتصالات (</w:t>
      </w:r>
      <w:r w:rsidR="00CC710B" w:rsidRPr="00072042">
        <w:t>WTSA</w:t>
      </w:r>
      <w:r w:rsidR="00CC710B" w:rsidRPr="00072042">
        <w:rPr>
          <w:rtl/>
        </w:rPr>
        <w:t>)، بشأن الأمن السيبراني</w:t>
      </w:r>
      <w:r w:rsidR="00CC710B" w:rsidRPr="00072042">
        <w:rPr>
          <w:rFonts w:hint="cs"/>
          <w:rtl/>
          <w:lang w:bidi="ar-AE"/>
        </w:rPr>
        <w:t>،</w:t>
      </w:r>
    </w:p>
    <w:p w14:paraId="49D6D29C" w14:textId="5CF7ACC5" w:rsidR="00D329F2" w:rsidRPr="00D329F2" w:rsidRDefault="000045E9" w:rsidP="00D329F2">
      <w:pPr>
        <w:pStyle w:val="Call"/>
      </w:pPr>
      <w:r>
        <w:rPr>
          <w:rFonts w:hint="cs"/>
          <w:rtl/>
        </w:rPr>
        <w:t>وإذ تضع في اعتبارها</w:t>
      </w:r>
    </w:p>
    <w:p w14:paraId="515A9226" w14:textId="388C14EB" w:rsidR="00D329F2" w:rsidRPr="00D329F2" w:rsidRDefault="00072042" w:rsidP="00072042">
      <w:r>
        <w:rPr>
          <w:rFonts w:hint="eastAsia"/>
          <w:i/>
          <w:iCs/>
          <w:rtl/>
          <w:lang w:bidi="ar-EG"/>
        </w:rPr>
        <w:t> </w:t>
      </w:r>
      <w:r>
        <w:rPr>
          <w:rFonts w:hint="cs"/>
          <w:i/>
          <w:iCs/>
          <w:rtl/>
          <w:lang w:bidi="ar-EG"/>
        </w:rPr>
        <w:t>أ )</w:t>
      </w:r>
      <w:r w:rsidR="00D329F2">
        <w:rPr>
          <w:i/>
          <w:iCs/>
          <w:rtl/>
          <w:lang w:bidi="ar-EG"/>
        </w:rPr>
        <w:tab/>
      </w:r>
      <w:r w:rsidR="00CC710B" w:rsidRPr="00CC710B">
        <w:rPr>
          <w:rtl/>
        </w:rPr>
        <w:t>أهمية الهويات الرقمية بوصفها أدوات لتحديد هوية الفرد، والتي تُستخدم للنفاذ إلى الخدمات عبر الإنترنت، وإجراء المشتريات، والتفاعل مع الأفراد والأنظمة الأخرى على المنصات الرقمية؛</w:t>
      </w:r>
    </w:p>
    <w:p w14:paraId="1AA58FBA" w14:textId="5276A82E" w:rsidR="00D329F2" w:rsidRPr="00D329F2" w:rsidRDefault="00D329F2" w:rsidP="00072042">
      <w:r>
        <w:rPr>
          <w:rFonts w:hint="cs"/>
          <w:i/>
          <w:iCs/>
          <w:rtl/>
          <w:lang w:bidi="ar-EG"/>
        </w:rPr>
        <w:t>ب</w:t>
      </w:r>
      <w:r w:rsidRPr="00D329F2">
        <w:rPr>
          <w:rFonts w:hint="cs"/>
          <w:i/>
          <w:iCs/>
          <w:rtl/>
          <w:lang w:bidi="ar-EG"/>
        </w:rPr>
        <w:t>)</w:t>
      </w:r>
      <w:r>
        <w:rPr>
          <w:i/>
          <w:iCs/>
          <w:rtl/>
          <w:lang w:bidi="ar-EG"/>
        </w:rPr>
        <w:tab/>
      </w:r>
      <w:r w:rsidR="00CC710B" w:rsidRPr="00CC710B">
        <w:rPr>
          <w:rtl/>
        </w:rPr>
        <w:t>أهمية بيانات الاعتماد التي يمكن التحقق منها، مثل الوثائق الرقمية، بوصفها أدوات لتأكيد هوية مزعومة لأحد الأفراد؛</w:t>
      </w:r>
    </w:p>
    <w:p w14:paraId="5C8796D4" w14:textId="74D465F6" w:rsidR="00D329F2" w:rsidRPr="001131DD" w:rsidRDefault="00D329F2" w:rsidP="00072042">
      <w:pPr>
        <w:rPr>
          <w:spacing w:val="-2"/>
        </w:rPr>
      </w:pPr>
      <w:r w:rsidRPr="001131DD">
        <w:rPr>
          <w:rFonts w:hint="cs"/>
          <w:i/>
          <w:iCs/>
          <w:spacing w:val="-2"/>
          <w:rtl/>
          <w:lang w:bidi="ar-EG"/>
        </w:rPr>
        <w:t>ج)</w:t>
      </w:r>
      <w:r w:rsidRPr="001131DD">
        <w:rPr>
          <w:i/>
          <w:iCs/>
          <w:spacing w:val="-2"/>
          <w:rtl/>
          <w:lang w:bidi="ar-EG"/>
        </w:rPr>
        <w:tab/>
      </w:r>
      <w:r w:rsidR="00CC710B" w:rsidRPr="001131DD">
        <w:rPr>
          <w:spacing w:val="-2"/>
          <w:rtl/>
        </w:rPr>
        <w:t>الدور الأساسي للهويات الرقمية وبيانات الاعتماد التي يمكن التحقق منها في استعمال تكنولوجيا المعلومات والاتصالات (</w:t>
      </w:r>
      <w:r w:rsidR="00CC710B" w:rsidRPr="001131DD">
        <w:rPr>
          <w:spacing w:val="-2"/>
        </w:rPr>
        <w:t>ICT</w:t>
      </w:r>
      <w:r w:rsidR="00CC710B" w:rsidRPr="001131DD">
        <w:rPr>
          <w:spacing w:val="-2"/>
          <w:rtl/>
        </w:rPr>
        <w:t xml:space="preserve">) مثل الذكاء الاصطناعي وتكنولوجيات السجلات الموزعة والتوائم الرقمية وتكنولوجيات </w:t>
      </w:r>
      <w:proofErr w:type="spellStart"/>
      <w:r w:rsidR="00CC710B" w:rsidRPr="001131DD">
        <w:rPr>
          <w:spacing w:val="-2"/>
          <w:rtl/>
        </w:rPr>
        <w:t>الميتافيرس</w:t>
      </w:r>
      <w:proofErr w:type="spellEnd"/>
      <w:r w:rsidR="00CC710B" w:rsidRPr="001131DD">
        <w:rPr>
          <w:spacing w:val="-2"/>
          <w:rtl/>
        </w:rPr>
        <w:t xml:space="preserve"> وإنترنت الأشياء؛</w:t>
      </w:r>
    </w:p>
    <w:p w14:paraId="58B22F10" w14:textId="46261703" w:rsidR="00D329F2" w:rsidRPr="00D329F2" w:rsidRDefault="00D329F2" w:rsidP="00072042">
      <w:r>
        <w:rPr>
          <w:rFonts w:hint="cs"/>
          <w:i/>
          <w:iCs/>
          <w:rtl/>
          <w:lang w:bidi="ar-EG"/>
        </w:rPr>
        <w:t>د</w:t>
      </w:r>
      <w:r w:rsidR="00072042">
        <w:rPr>
          <w:rFonts w:hint="eastAsia"/>
          <w:i/>
          <w:iCs/>
          <w:rtl/>
          <w:lang w:bidi="ar-EG"/>
        </w:rPr>
        <w:t> </w:t>
      </w:r>
      <w:r w:rsidRPr="00D329F2">
        <w:rPr>
          <w:rFonts w:hint="cs"/>
          <w:i/>
          <w:iCs/>
          <w:rtl/>
          <w:lang w:bidi="ar-EG"/>
        </w:rPr>
        <w:t>)</w:t>
      </w:r>
      <w:r>
        <w:rPr>
          <w:i/>
          <w:iCs/>
          <w:rtl/>
          <w:lang w:bidi="ar-EG"/>
        </w:rPr>
        <w:tab/>
      </w:r>
      <w:r w:rsidR="00CC710B" w:rsidRPr="00CC710B">
        <w:rPr>
          <w:rtl/>
        </w:rPr>
        <w:t>أن الجهاز المتنقل الواسع الانتشار في كل مكان مثل الهاتف الذكي أو الحاسوب اللوحي هو أداة شائعة بشكل متزايد لإثبات أننا مَن ندعي أن نكون (العملية المعروفة باسم الاستيقان) في المعاملات الرقمية اليومية؛</w:t>
      </w:r>
    </w:p>
    <w:p w14:paraId="46C44FCE" w14:textId="441C080A" w:rsidR="00D329F2" w:rsidRPr="00D329F2" w:rsidRDefault="001131DD" w:rsidP="00072042">
      <w:r>
        <w:rPr>
          <w:rFonts w:hint="cs"/>
          <w:i/>
          <w:iCs/>
          <w:rtl/>
          <w:lang w:bidi="ar-EG"/>
        </w:rPr>
        <w:t>هـ</w:t>
      </w:r>
      <w:r w:rsidR="00072042">
        <w:rPr>
          <w:rFonts w:hint="eastAsia"/>
          <w:i/>
          <w:iCs/>
          <w:rtl/>
          <w:lang w:bidi="ar-EG"/>
        </w:rPr>
        <w:t> </w:t>
      </w:r>
      <w:r w:rsidR="00D329F2" w:rsidRPr="00D329F2">
        <w:rPr>
          <w:rFonts w:hint="cs"/>
          <w:i/>
          <w:iCs/>
          <w:rtl/>
          <w:lang w:bidi="ar-EG"/>
        </w:rPr>
        <w:t>)</w:t>
      </w:r>
      <w:r w:rsidR="00D329F2">
        <w:rPr>
          <w:i/>
          <w:iCs/>
          <w:rtl/>
          <w:lang w:bidi="ar-EG"/>
        </w:rPr>
        <w:tab/>
      </w:r>
      <w:r w:rsidR="00CC710B" w:rsidRPr="00CC710B">
        <w:rPr>
          <w:rtl/>
        </w:rPr>
        <w:t xml:space="preserve">الحاجة إلى هويات رقمية قابلة للتشغيل البيني على الصعيد العالمي وبيانات اعتماد يمكن التحقق منها، وغير مكررة بشكل صحيح مع الخصائص </w:t>
      </w:r>
      <w:proofErr w:type="spellStart"/>
      <w:r w:rsidR="00CC710B" w:rsidRPr="00CC710B">
        <w:rPr>
          <w:rtl/>
        </w:rPr>
        <w:t>البيومترية</w:t>
      </w:r>
      <w:proofErr w:type="spellEnd"/>
      <w:r w:rsidR="00CC710B" w:rsidRPr="00CC710B">
        <w:rPr>
          <w:rtl/>
        </w:rPr>
        <w:t xml:space="preserve"> المتأصلة للأفراد؛</w:t>
      </w:r>
    </w:p>
    <w:p w14:paraId="74366740" w14:textId="32F741D5" w:rsidR="00D329F2" w:rsidRPr="00D329F2" w:rsidRDefault="00D329F2" w:rsidP="00072042">
      <w:r>
        <w:rPr>
          <w:rFonts w:hint="cs"/>
          <w:i/>
          <w:iCs/>
          <w:rtl/>
          <w:lang w:bidi="ar-EG"/>
        </w:rPr>
        <w:t>و</w:t>
      </w:r>
      <w:r w:rsidR="00072042">
        <w:rPr>
          <w:rFonts w:hint="eastAsia"/>
          <w:i/>
          <w:iCs/>
          <w:rtl/>
          <w:lang w:bidi="ar-EG"/>
        </w:rPr>
        <w:t> </w:t>
      </w:r>
      <w:r w:rsidRPr="00D329F2">
        <w:rPr>
          <w:rFonts w:hint="cs"/>
          <w:i/>
          <w:iCs/>
          <w:rtl/>
          <w:lang w:bidi="ar-EG"/>
        </w:rPr>
        <w:t>)</w:t>
      </w:r>
      <w:r>
        <w:rPr>
          <w:i/>
          <w:iCs/>
          <w:rtl/>
          <w:lang w:bidi="ar-EG"/>
        </w:rPr>
        <w:tab/>
      </w:r>
      <w:r w:rsidR="00CC710B" w:rsidRPr="00CC710B">
        <w:rPr>
          <w:rtl/>
        </w:rPr>
        <w:t>تزويد الهويات الرقمية وبيانات الاعتماد التي يمكن التحقق منها بالأمن، مثل تحسين التحكم في البيانات عبر الإنترنت، وقابلية التوسع، والمرونة مقارنة بالهويات الورقية؛</w:t>
      </w:r>
    </w:p>
    <w:p w14:paraId="66240526" w14:textId="298B7700" w:rsidR="00D329F2" w:rsidRPr="00D329F2" w:rsidRDefault="00D329F2" w:rsidP="00072042">
      <w:r>
        <w:rPr>
          <w:rFonts w:hint="cs"/>
          <w:i/>
          <w:iCs/>
          <w:rtl/>
          <w:lang w:bidi="ar-EG"/>
        </w:rPr>
        <w:t>ز</w:t>
      </w:r>
      <w:r w:rsidR="00072042">
        <w:rPr>
          <w:rFonts w:hint="eastAsia"/>
          <w:i/>
          <w:iCs/>
          <w:rtl/>
          <w:lang w:bidi="ar-EG"/>
        </w:rPr>
        <w:t> </w:t>
      </w:r>
      <w:r w:rsidRPr="00D329F2">
        <w:rPr>
          <w:rFonts w:hint="cs"/>
          <w:i/>
          <w:iCs/>
          <w:rtl/>
          <w:lang w:bidi="ar-EG"/>
        </w:rPr>
        <w:t>)</w:t>
      </w:r>
      <w:r>
        <w:rPr>
          <w:i/>
          <w:iCs/>
          <w:rtl/>
          <w:lang w:bidi="ar-EG"/>
        </w:rPr>
        <w:tab/>
      </w:r>
      <w:r w:rsidR="00CC710B" w:rsidRPr="00CC710B">
        <w:rPr>
          <w:rtl/>
        </w:rPr>
        <w:t>أن مَحَافِظ الهوية تسمح للأشخاص بتخزين الهوية الرقمية وبيانات الاعتماد التي يمكن التحقق منها، مثل بطاقات الهوية وتراخيص القيادة وتفاصيل الضمان الاجتماعي، كل ذلك في مكان واحد على الأجهزة المتنقلة؛</w:t>
      </w:r>
    </w:p>
    <w:p w14:paraId="0EE6693C" w14:textId="4E7FE209" w:rsidR="00D329F2" w:rsidRPr="00D329F2" w:rsidRDefault="00D329F2" w:rsidP="00072042">
      <w:r>
        <w:rPr>
          <w:rFonts w:hint="cs"/>
          <w:i/>
          <w:iCs/>
          <w:rtl/>
          <w:lang w:bidi="ar-EG"/>
        </w:rPr>
        <w:t>ح</w:t>
      </w:r>
      <w:r w:rsidRPr="00D329F2">
        <w:rPr>
          <w:rFonts w:hint="cs"/>
          <w:i/>
          <w:iCs/>
          <w:rtl/>
          <w:lang w:bidi="ar-EG"/>
        </w:rPr>
        <w:t>)</w:t>
      </w:r>
      <w:r>
        <w:rPr>
          <w:i/>
          <w:iCs/>
          <w:rtl/>
          <w:lang w:bidi="ar-EG"/>
        </w:rPr>
        <w:tab/>
      </w:r>
      <w:r w:rsidR="00CC710B" w:rsidRPr="00CC710B">
        <w:rPr>
          <w:rtl/>
        </w:rPr>
        <w:t>أن الهويات الرقمية القابلة للتشغيل البيني تمك</w:t>
      </w:r>
      <w:r w:rsidR="00542925">
        <w:rPr>
          <w:rFonts w:hint="cs"/>
          <w:rtl/>
        </w:rPr>
        <w:t>ِّ</w:t>
      </w:r>
      <w:r w:rsidR="00CC710B" w:rsidRPr="00CC710B">
        <w:rPr>
          <w:rtl/>
        </w:rPr>
        <w:t>ن الأشخاص من استعمال بيانات اعتمادهم التي يمكن التحقق منها لتسهيل مختلف الخدمات عبر الإنترنت عبر الحدود، مثل النفاذ إلى السجلات الطبية والخدمات المالية والإقرارات الضريبية والتحويلات المالية عبر الإنترنت والمواقع الحكومية الأخرى؛</w:t>
      </w:r>
    </w:p>
    <w:p w14:paraId="385FE1E3" w14:textId="6ACDB4DA" w:rsidR="00D329F2" w:rsidRPr="00D329F2" w:rsidRDefault="00D329F2" w:rsidP="00072042">
      <w:r>
        <w:rPr>
          <w:rFonts w:hint="cs"/>
          <w:i/>
          <w:iCs/>
          <w:rtl/>
          <w:lang w:bidi="ar-EG"/>
        </w:rPr>
        <w:t>ط</w:t>
      </w:r>
      <w:r w:rsidRPr="00D329F2">
        <w:rPr>
          <w:rFonts w:hint="cs"/>
          <w:i/>
          <w:iCs/>
          <w:rtl/>
          <w:lang w:bidi="ar-EG"/>
        </w:rPr>
        <w:t>)</w:t>
      </w:r>
      <w:r>
        <w:rPr>
          <w:i/>
          <w:iCs/>
          <w:rtl/>
          <w:lang w:bidi="ar-EG"/>
        </w:rPr>
        <w:tab/>
      </w:r>
      <w:r w:rsidR="00CC710B" w:rsidRPr="00CC710B">
        <w:rPr>
          <w:rtl/>
        </w:rPr>
        <w:t>أن الهوية اللامركزية هي نظام لإدارة الهوية الرقمية يتمتع فيه الأفراد بالسيطرة الكاملة على بيانات هويتهم ويسمح للمستعملين بإدارة بيانات هويتهم وتبادلها دون الاعتماد على سلطة مركزية أو خدمة طرف ثالث؛</w:t>
      </w:r>
    </w:p>
    <w:p w14:paraId="5169990E" w14:textId="2347E586" w:rsidR="00D329F2" w:rsidRPr="00D329F2" w:rsidRDefault="00D329F2" w:rsidP="00072042">
      <w:r>
        <w:rPr>
          <w:rFonts w:hint="cs"/>
          <w:i/>
          <w:iCs/>
          <w:rtl/>
          <w:lang w:bidi="ar-EG"/>
        </w:rPr>
        <w:t>ي</w:t>
      </w:r>
      <w:r w:rsidRPr="00D329F2">
        <w:rPr>
          <w:rFonts w:hint="cs"/>
          <w:i/>
          <w:iCs/>
          <w:rtl/>
          <w:lang w:bidi="ar-EG"/>
        </w:rPr>
        <w:t>)</w:t>
      </w:r>
      <w:r>
        <w:rPr>
          <w:i/>
          <w:iCs/>
          <w:rtl/>
          <w:lang w:bidi="ar-EG"/>
        </w:rPr>
        <w:tab/>
      </w:r>
      <w:r w:rsidR="00CC710B" w:rsidRPr="00CC710B">
        <w:rPr>
          <w:rtl/>
        </w:rPr>
        <w:t>أن مفهوم الهوية اللامركزية، مثل بيانات الاعتماد التي يمكن التحقق منها، يمكن استعماله للتحقق من إثبات الهوية بشأن العمر والإقامة والموقع؛</w:t>
      </w:r>
    </w:p>
    <w:p w14:paraId="5B2194E3" w14:textId="1B0F43F8" w:rsidR="00D329F2" w:rsidRPr="00D329F2" w:rsidRDefault="00D329F2" w:rsidP="00072042">
      <w:r>
        <w:rPr>
          <w:rFonts w:hint="cs"/>
          <w:i/>
          <w:iCs/>
          <w:rtl/>
          <w:lang w:bidi="ar-EG"/>
        </w:rPr>
        <w:t>ك</w:t>
      </w:r>
      <w:r w:rsidRPr="00D329F2">
        <w:rPr>
          <w:rFonts w:hint="cs"/>
          <w:i/>
          <w:iCs/>
          <w:rtl/>
          <w:lang w:bidi="ar-EG"/>
        </w:rPr>
        <w:t>)</w:t>
      </w:r>
      <w:r>
        <w:rPr>
          <w:i/>
          <w:iCs/>
          <w:rtl/>
          <w:lang w:bidi="ar-EG"/>
        </w:rPr>
        <w:tab/>
      </w:r>
      <w:r w:rsidR="00CC710B" w:rsidRPr="00CC710B">
        <w:rPr>
          <w:rtl/>
        </w:rPr>
        <w:t xml:space="preserve">أن البيانات </w:t>
      </w:r>
      <w:proofErr w:type="spellStart"/>
      <w:r w:rsidR="00CC710B" w:rsidRPr="00CC710B">
        <w:rPr>
          <w:rtl/>
        </w:rPr>
        <w:t>البيومترية</w:t>
      </w:r>
      <w:proofErr w:type="spellEnd"/>
      <w:r w:rsidR="00CC710B" w:rsidRPr="00CC710B">
        <w:rPr>
          <w:rtl/>
        </w:rPr>
        <w:t xml:space="preserve"> بوصفها نوعاً من الهوية الرقمية تسه</w:t>
      </w:r>
      <w:r w:rsidR="00542925">
        <w:rPr>
          <w:rFonts w:hint="cs"/>
          <w:rtl/>
        </w:rPr>
        <w:t>ِّ</w:t>
      </w:r>
      <w:r w:rsidR="00CC710B" w:rsidRPr="00CC710B">
        <w:rPr>
          <w:rtl/>
        </w:rPr>
        <w:t>ل إدارة الهوية الرقمية وتعز</w:t>
      </w:r>
      <w:r w:rsidR="00542925">
        <w:rPr>
          <w:rFonts w:hint="cs"/>
          <w:rtl/>
        </w:rPr>
        <w:t>ّ</w:t>
      </w:r>
      <w:r w:rsidR="00CC710B" w:rsidRPr="00CC710B">
        <w:rPr>
          <w:rtl/>
        </w:rPr>
        <w:t>زها؛</w:t>
      </w:r>
    </w:p>
    <w:p w14:paraId="3259AA66" w14:textId="56F1DC7B" w:rsidR="00D329F2" w:rsidRPr="00D329F2" w:rsidRDefault="00D329F2" w:rsidP="00072042">
      <w:r>
        <w:rPr>
          <w:rFonts w:hint="cs"/>
          <w:i/>
          <w:iCs/>
          <w:rtl/>
          <w:lang w:bidi="ar-EG"/>
        </w:rPr>
        <w:t>ل</w:t>
      </w:r>
      <w:r w:rsidRPr="00D329F2">
        <w:rPr>
          <w:rFonts w:hint="cs"/>
          <w:i/>
          <w:iCs/>
          <w:rtl/>
          <w:lang w:bidi="ar-EG"/>
        </w:rPr>
        <w:t>)</w:t>
      </w:r>
      <w:r>
        <w:rPr>
          <w:i/>
          <w:iCs/>
          <w:rtl/>
          <w:lang w:bidi="ar-EG"/>
        </w:rPr>
        <w:tab/>
      </w:r>
      <w:r w:rsidR="00CC710B" w:rsidRPr="00CC710B">
        <w:rPr>
          <w:rtl/>
        </w:rPr>
        <w:t>أن استعمال تكنولوجيات تعزيز الخصوصية مثل تكنولوجيا إثبات المعرفة دون الإفصاح عن المعلومة يمكن أن تُستخدم لضمان موثوقية الهوية الرقمية وبيانات الاعتماد التي يمكن التحقق منها؛</w:t>
      </w:r>
    </w:p>
    <w:p w14:paraId="34EACE0B" w14:textId="76A0BD22" w:rsidR="00D329F2" w:rsidRPr="00D329F2" w:rsidRDefault="00D329F2" w:rsidP="00072042">
      <w:r>
        <w:rPr>
          <w:rFonts w:hint="cs"/>
          <w:i/>
          <w:iCs/>
          <w:rtl/>
          <w:lang w:bidi="ar-EG"/>
        </w:rPr>
        <w:t>م</w:t>
      </w:r>
      <w:r w:rsidR="00542925">
        <w:rPr>
          <w:rFonts w:hint="eastAsia"/>
          <w:i/>
          <w:iCs/>
          <w:rtl/>
          <w:lang w:bidi="ar-EG"/>
        </w:rPr>
        <w:t> </w:t>
      </w:r>
      <w:r w:rsidRPr="00D329F2">
        <w:rPr>
          <w:rFonts w:hint="cs"/>
          <w:i/>
          <w:iCs/>
          <w:rtl/>
          <w:lang w:bidi="ar-EG"/>
        </w:rPr>
        <w:t>)</w:t>
      </w:r>
      <w:r>
        <w:rPr>
          <w:i/>
          <w:iCs/>
          <w:rtl/>
          <w:lang w:bidi="ar-EG"/>
        </w:rPr>
        <w:tab/>
      </w:r>
      <w:r w:rsidR="00CC710B" w:rsidRPr="00CC710B">
        <w:rPr>
          <w:rtl/>
        </w:rPr>
        <w:t>أهمية الهوية اللامركزية لضمان المساءلة والقدرة على التتبع؛</w:t>
      </w:r>
    </w:p>
    <w:p w14:paraId="2EEF3E4F" w14:textId="2D61913F" w:rsidR="00D329F2" w:rsidRPr="00D329F2" w:rsidRDefault="00D329F2" w:rsidP="00D329F2">
      <w:r>
        <w:rPr>
          <w:rFonts w:hint="cs"/>
          <w:i/>
          <w:iCs/>
          <w:rtl/>
          <w:lang w:bidi="ar-EG"/>
        </w:rPr>
        <w:lastRenderedPageBreak/>
        <w:t>ن</w:t>
      </w:r>
      <w:r w:rsidRPr="00D329F2">
        <w:rPr>
          <w:rFonts w:hint="cs"/>
          <w:i/>
          <w:iCs/>
          <w:rtl/>
          <w:lang w:bidi="ar-EG"/>
        </w:rPr>
        <w:t>)</w:t>
      </w:r>
      <w:r>
        <w:rPr>
          <w:i/>
          <w:iCs/>
          <w:rtl/>
          <w:lang w:bidi="ar-EG"/>
        </w:rPr>
        <w:tab/>
      </w:r>
      <w:r w:rsidR="00CC710B" w:rsidRPr="00CC710B">
        <w:rPr>
          <w:rtl/>
        </w:rPr>
        <w:t>استعمال الذكاء الاصطناعي/التعلم الآلي في مجال الهوية الرقمية مثل الكشف عن الجوانب الحية والتعرف على الوجه ومكافحة الانحياز وما إلى ذلك، وتعزيز الهوية الرقمية والأمن الرقمي؛</w:t>
      </w:r>
    </w:p>
    <w:p w14:paraId="2B362D06" w14:textId="72305FD8" w:rsidR="00D329F2" w:rsidRPr="00D329F2" w:rsidRDefault="00542925" w:rsidP="00D329F2">
      <w:r>
        <w:rPr>
          <w:rFonts w:hint="cs"/>
          <w:i/>
          <w:iCs/>
          <w:rtl/>
          <w:lang w:bidi="ar-EG"/>
        </w:rPr>
        <w:t>س</w:t>
      </w:r>
      <w:r w:rsidR="00D329F2" w:rsidRPr="00D329F2">
        <w:rPr>
          <w:rFonts w:hint="cs"/>
          <w:i/>
          <w:iCs/>
          <w:rtl/>
          <w:lang w:bidi="ar-EG"/>
        </w:rPr>
        <w:t>)</w:t>
      </w:r>
      <w:r w:rsidR="00D329F2">
        <w:rPr>
          <w:i/>
          <w:iCs/>
          <w:rtl/>
          <w:lang w:bidi="ar-EG"/>
        </w:rPr>
        <w:tab/>
      </w:r>
      <w:r w:rsidR="00CC710B" w:rsidRPr="00CC710B">
        <w:rPr>
          <w:rtl/>
        </w:rPr>
        <w:t>أن قطاع تقييس الاتصالات للاتحاد عليه أن يؤدي دوراً في إطار ولايته واختصاصاته فيما يتعلق بالهوية الرقمية وبيانات الاعتماد التي يمكن التحقق منها بما في ذلك الهوية اللامركزية،</w:t>
      </w:r>
    </w:p>
    <w:p w14:paraId="586A0E3A" w14:textId="43BEDC90" w:rsidR="00D329F2" w:rsidRPr="00D329F2" w:rsidRDefault="000045E9" w:rsidP="00D329F2">
      <w:pPr>
        <w:pStyle w:val="Call"/>
      </w:pPr>
      <w:r>
        <w:rPr>
          <w:rFonts w:hint="cs"/>
          <w:rtl/>
        </w:rPr>
        <w:t>وإذ تضع في اعتبارها كذلك</w:t>
      </w:r>
    </w:p>
    <w:p w14:paraId="6D12044A" w14:textId="425369CC" w:rsidR="00D329F2" w:rsidRPr="00D329F2" w:rsidRDefault="00542925" w:rsidP="00542925">
      <w:r>
        <w:rPr>
          <w:rFonts w:hint="eastAsia"/>
          <w:i/>
          <w:iCs/>
          <w:rtl/>
          <w:lang w:bidi="ar-EG"/>
        </w:rPr>
        <w:t> </w:t>
      </w:r>
      <w:r>
        <w:rPr>
          <w:rFonts w:hint="cs"/>
          <w:i/>
          <w:iCs/>
          <w:rtl/>
          <w:lang w:bidi="ar-EG"/>
        </w:rPr>
        <w:t>أ </w:t>
      </w:r>
      <w:r w:rsidR="00D329F2" w:rsidRPr="00D329F2">
        <w:rPr>
          <w:rFonts w:hint="cs"/>
          <w:i/>
          <w:iCs/>
          <w:rtl/>
          <w:lang w:bidi="ar-EG"/>
        </w:rPr>
        <w:t>)</w:t>
      </w:r>
      <w:r w:rsidR="00D329F2">
        <w:rPr>
          <w:i/>
          <w:iCs/>
          <w:rtl/>
          <w:lang w:bidi="ar-EG"/>
        </w:rPr>
        <w:tab/>
      </w:r>
      <w:r w:rsidR="00CC710B" w:rsidRPr="00CC710B">
        <w:rPr>
          <w:rtl/>
        </w:rPr>
        <w:t>أن نشاط التنسيق المشترك بشأن إدارة الهوية تحت رعاية لجنة الدراسات 17 لقطاع تقييس الاتصالات ينسق الأعمال في مجال إدارة الهوية عبر لجان دراسات قطاع تقييس الاتصالات والأفرقة الأخرى ذات الصلة؛</w:t>
      </w:r>
    </w:p>
    <w:p w14:paraId="673B7368" w14:textId="53F86745" w:rsidR="00D329F2" w:rsidRPr="00D329F2" w:rsidRDefault="00D329F2" w:rsidP="00542925">
      <w:r>
        <w:rPr>
          <w:rFonts w:hint="cs"/>
          <w:i/>
          <w:iCs/>
          <w:rtl/>
          <w:lang w:bidi="ar-EG"/>
        </w:rPr>
        <w:t>ب</w:t>
      </w:r>
      <w:r w:rsidRPr="00D329F2">
        <w:rPr>
          <w:rFonts w:hint="cs"/>
          <w:i/>
          <w:iCs/>
          <w:rtl/>
          <w:lang w:bidi="ar-EG"/>
        </w:rPr>
        <w:t>)</w:t>
      </w:r>
      <w:r>
        <w:rPr>
          <w:i/>
          <w:iCs/>
          <w:rtl/>
          <w:lang w:bidi="ar-EG"/>
        </w:rPr>
        <w:tab/>
      </w:r>
      <w:r w:rsidR="00CC710B" w:rsidRPr="00CC710B">
        <w:rPr>
          <w:rtl/>
        </w:rPr>
        <w:t xml:space="preserve">أن التوصية </w:t>
      </w:r>
      <w:r w:rsidR="00CC710B" w:rsidRPr="00CC710B">
        <w:t>ITU-T X.1254</w:t>
      </w:r>
      <w:r w:rsidR="00CC710B" w:rsidRPr="00CC710B">
        <w:rPr>
          <w:rtl/>
        </w:rPr>
        <w:t xml:space="preserve"> تحد</w:t>
      </w:r>
      <w:r w:rsidR="00542925">
        <w:rPr>
          <w:rFonts w:hint="cs"/>
          <w:rtl/>
        </w:rPr>
        <w:t>ّ</w:t>
      </w:r>
      <w:r w:rsidR="00CC710B" w:rsidRPr="00CC710B">
        <w:rPr>
          <w:rtl/>
        </w:rPr>
        <w:t>د ثلاثة مستويات لضمان استيقان الكيانات (</w:t>
      </w:r>
      <w:r w:rsidR="00CC710B" w:rsidRPr="00CC710B">
        <w:t>AAL</w:t>
      </w:r>
      <w:r w:rsidR="00CC710B" w:rsidRPr="00CC710B">
        <w:rPr>
          <w:rtl/>
        </w:rPr>
        <w:t>) ومعايير للتهديدات الخاصة بكل</w:t>
      </w:r>
      <w:r w:rsidR="001131DD">
        <w:rPr>
          <w:rFonts w:hint="cs"/>
          <w:rtl/>
        </w:rPr>
        <w:t> </w:t>
      </w:r>
      <w:r w:rsidR="00CC710B" w:rsidRPr="00CC710B">
        <w:rPr>
          <w:rtl/>
        </w:rPr>
        <w:t>مستوى؛</w:t>
      </w:r>
    </w:p>
    <w:p w14:paraId="6EC7459A" w14:textId="66DC3A2D" w:rsidR="00D329F2" w:rsidRPr="00D329F2" w:rsidRDefault="00D329F2" w:rsidP="00542925">
      <w:r>
        <w:rPr>
          <w:rFonts w:hint="cs"/>
          <w:i/>
          <w:iCs/>
          <w:rtl/>
          <w:lang w:bidi="ar-EG"/>
        </w:rPr>
        <w:t>ج</w:t>
      </w:r>
      <w:r w:rsidRPr="00D329F2">
        <w:rPr>
          <w:rFonts w:hint="cs"/>
          <w:i/>
          <w:iCs/>
          <w:rtl/>
          <w:lang w:bidi="ar-EG"/>
        </w:rPr>
        <w:t>)</w:t>
      </w:r>
      <w:r>
        <w:rPr>
          <w:i/>
          <w:iCs/>
          <w:rtl/>
          <w:lang w:bidi="ar-EG"/>
        </w:rPr>
        <w:tab/>
      </w:r>
      <w:r w:rsidR="00CC710B" w:rsidRPr="00CC710B">
        <w:rPr>
          <w:rtl/>
        </w:rPr>
        <w:t xml:space="preserve">أن التوصية </w:t>
      </w:r>
      <w:r w:rsidR="00CC710B" w:rsidRPr="00CC710B">
        <w:t>ITU-T X.1277.2</w:t>
      </w:r>
      <w:r w:rsidR="00CC710B" w:rsidRPr="00CC710B">
        <w:rPr>
          <w:rtl/>
        </w:rPr>
        <w:t xml:space="preserve"> تتيح </w:t>
      </w:r>
      <w:proofErr w:type="spellStart"/>
      <w:r w:rsidR="00CC710B" w:rsidRPr="00CC710B">
        <w:rPr>
          <w:rtl/>
        </w:rPr>
        <w:t>استيقاناً</w:t>
      </w:r>
      <w:proofErr w:type="spellEnd"/>
      <w:r w:rsidR="00CC710B" w:rsidRPr="00CC710B">
        <w:rPr>
          <w:rtl/>
        </w:rPr>
        <w:t xml:space="preserve"> بدون كلمات مرور باستخدام القياسات الحيوية وغيرها من الأساليب </w:t>
      </w:r>
      <w:proofErr w:type="spellStart"/>
      <w:r w:rsidR="00CC710B" w:rsidRPr="00CC710B">
        <w:rPr>
          <w:rtl/>
        </w:rPr>
        <w:t>لاستيقان</w:t>
      </w:r>
      <w:proofErr w:type="spellEnd"/>
      <w:r w:rsidR="00CC710B" w:rsidRPr="00CC710B">
        <w:rPr>
          <w:rtl/>
        </w:rPr>
        <w:t xml:space="preserve"> المستعملين على أجهزتهم المحلية. وبالإضافة إلى ذلك، تسمح التوصية </w:t>
      </w:r>
      <w:r w:rsidR="00CC710B" w:rsidRPr="00CC710B">
        <w:t>ITU-T X.1278.2</w:t>
      </w:r>
      <w:r w:rsidR="00CC710B" w:rsidRPr="00CC710B">
        <w:rPr>
          <w:rtl/>
        </w:rPr>
        <w:t xml:space="preserve"> باستعمال جهات استيقان خارجية للاستيقان وتصف بروتوكول طبقة التطبيق للاتصال بين مستيقن التجوال وعميل/منصة أخرى، فضلاً عن روابط بروتوكول التطبيق هذا بمجموعة متنوعة من بروتوكولات النقل باستعمال وسائط مادية مختلفة؛</w:t>
      </w:r>
    </w:p>
    <w:p w14:paraId="6DC62991" w14:textId="11E38185" w:rsidR="00D329F2" w:rsidRPr="001131DD" w:rsidRDefault="00D329F2" w:rsidP="00542925">
      <w:pPr>
        <w:rPr>
          <w:spacing w:val="-4"/>
        </w:rPr>
      </w:pPr>
      <w:r w:rsidRPr="001131DD">
        <w:rPr>
          <w:rFonts w:hint="cs"/>
          <w:i/>
          <w:iCs/>
          <w:spacing w:val="-4"/>
          <w:rtl/>
          <w:lang w:bidi="ar-EG"/>
        </w:rPr>
        <w:t>د</w:t>
      </w:r>
      <w:r w:rsidR="00542925">
        <w:rPr>
          <w:rFonts w:hint="eastAsia"/>
          <w:i/>
          <w:iCs/>
          <w:spacing w:val="-4"/>
          <w:rtl/>
          <w:lang w:bidi="ar-EG"/>
        </w:rPr>
        <w:t> </w:t>
      </w:r>
      <w:r w:rsidRPr="001131DD">
        <w:rPr>
          <w:rFonts w:hint="cs"/>
          <w:i/>
          <w:iCs/>
          <w:spacing w:val="-4"/>
          <w:rtl/>
          <w:lang w:bidi="ar-EG"/>
        </w:rPr>
        <w:t>)</w:t>
      </w:r>
      <w:r w:rsidRPr="001131DD">
        <w:rPr>
          <w:i/>
          <w:iCs/>
          <w:spacing w:val="-4"/>
          <w:rtl/>
          <w:lang w:bidi="ar-EG"/>
        </w:rPr>
        <w:tab/>
      </w:r>
      <w:r w:rsidR="00827EC3" w:rsidRPr="001131DD">
        <w:rPr>
          <w:spacing w:val="-4"/>
          <w:rtl/>
        </w:rPr>
        <w:t xml:space="preserve">أن التوصية </w:t>
      </w:r>
      <w:r w:rsidR="00827EC3" w:rsidRPr="001131DD">
        <w:rPr>
          <w:spacing w:val="-4"/>
        </w:rPr>
        <w:t>ITU-T X.1403</w:t>
      </w:r>
      <w:r w:rsidR="00827EC3" w:rsidRPr="001131DD">
        <w:rPr>
          <w:spacing w:val="-4"/>
          <w:rtl/>
        </w:rPr>
        <w:t xml:space="preserve"> تقدم لمحة عامة عن استخدام تكنولوجيا سجل الحسابات الموزع في إدارة الهوية اللامركزية؛</w:t>
      </w:r>
    </w:p>
    <w:p w14:paraId="66358CFF" w14:textId="41E28643" w:rsidR="00D329F2" w:rsidRPr="00D329F2" w:rsidRDefault="001131DD" w:rsidP="00542925">
      <w:r>
        <w:rPr>
          <w:rFonts w:hint="cs"/>
          <w:i/>
          <w:iCs/>
          <w:rtl/>
          <w:lang w:bidi="ar-EG"/>
        </w:rPr>
        <w:t>هـ </w:t>
      </w:r>
      <w:r w:rsidR="00D329F2" w:rsidRPr="00D329F2">
        <w:rPr>
          <w:rFonts w:hint="cs"/>
          <w:i/>
          <w:iCs/>
          <w:rtl/>
          <w:lang w:bidi="ar-EG"/>
        </w:rPr>
        <w:t>)</w:t>
      </w:r>
      <w:r w:rsidR="00D329F2">
        <w:rPr>
          <w:i/>
          <w:iCs/>
          <w:rtl/>
          <w:lang w:bidi="ar-EG"/>
        </w:rPr>
        <w:tab/>
      </w:r>
      <w:r w:rsidR="00827EC3" w:rsidRPr="00827EC3">
        <w:rPr>
          <w:rtl/>
        </w:rPr>
        <w:t>أن لقطاع تقييس الاتصالات واللجنة التقنية الأولى المشتركة (</w:t>
      </w:r>
      <w:r w:rsidR="00827EC3" w:rsidRPr="00827EC3">
        <w:t>JTC 1</w:t>
      </w:r>
      <w:r w:rsidR="00827EC3" w:rsidRPr="00827EC3">
        <w:rPr>
          <w:rtl/>
        </w:rPr>
        <w:t>) بين المنظمة الدولية للتوحيد القياسي (</w:t>
      </w:r>
      <w:r w:rsidR="00827EC3" w:rsidRPr="00827EC3">
        <w:t>ISO</w:t>
      </w:r>
      <w:r w:rsidR="00827EC3" w:rsidRPr="00827EC3">
        <w:rPr>
          <w:rtl/>
        </w:rPr>
        <w:t>) واللجنة الكهرتقنية الدولية (</w:t>
      </w:r>
      <w:r w:rsidR="00827EC3" w:rsidRPr="00827EC3">
        <w:t>IEC</w:t>
      </w:r>
      <w:r w:rsidR="00827EC3" w:rsidRPr="00827EC3">
        <w:rPr>
          <w:rtl/>
        </w:rPr>
        <w:t>) إضافةً إلى العديد من الاتحادات وكيانات المعايير مثل اتحاد شبكة الويب العالمية (</w:t>
      </w:r>
      <w:r w:rsidR="00827EC3" w:rsidRPr="00827EC3">
        <w:t>W3C</w:t>
      </w:r>
      <w:r w:rsidR="00827EC3" w:rsidRPr="00827EC3">
        <w:rPr>
          <w:rtl/>
        </w:rPr>
        <w:t>) ومنظمة النهوض بمعايير المعلومات المهيكلة (</w:t>
      </w:r>
      <w:r w:rsidR="00827EC3" w:rsidRPr="00827EC3">
        <w:t>OASIS</w:t>
      </w:r>
      <w:r w:rsidR="00827EC3" w:rsidRPr="00827EC3">
        <w:rPr>
          <w:rtl/>
        </w:rPr>
        <w:t>) وفريق مهام هندسة الإنترنت (</w:t>
      </w:r>
      <w:r w:rsidR="00827EC3" w:rsidRPr="00827EC3">
        <w:t>IETF</w:t>
      </w:r>
      <w:r w:rsidR="00827EC3" w:rsidRPr="00827EC3">
        <w:rPr>
          <w:rtl/>
        </w:rPr>
        <w:t>) ومعهد مهندسي الكهرباء والإلكترونيات (</w:t>
      </w:r>
      <w:r w:rsidR="00827EC3" w:rsidRPr="00827EC3">
        <w:t>IEEE</w:t>
      </w:r>
      <w:r w:rsidR="00827EC3" w:rsidRPr="00827EC3">
        <w:rPr>
          <w:rtl/>
        </w:rPr>
        <w:t>)، وجهات أُخرى، مجموعة هامة من المواد المنشورة والأعمال الجارية التي لها صلة مباشرة بهذا الموضوع والتي ينبغي مراعاتها</w:t>
      </w:r>
      <w:r w:rsidR="00827EC3">
        <w:rPr>
          <w:rFonts w:hint="cs"/>
          <w:rtl/>
        </w:rPr>
        <w:t>،</w:t>
      </w:r>
    </w:p>
    <w:p w14:paraId="75AC5841" w14:textId="1DDB265B" w:rsidR="00D329F2" w:rsidRPr="00542925" w:rsidRDefault="000045E9" w:rsidP="00542925">
      <w:pPr>
        <w:pStyle w:val="Call"/>
      </w:pPr>
      <w:r w:rsidRPr="00542925">
        <w:rPr>
          <w:rFonts w:hint="cs"/>
          <w:rtl/>
        </w:rPr>
        <w:t>وإذ تلاحظ</w:t>
      </w:r>
    </w:p>
    <w:p w14:paraId="544B66C5" w14:textId="363091C7" w:rsidR="00D329F2" w:rsidRPr="00D329F2" w:rsidRDefault="00542925" w:rsidP="00D329F2">
      <w:r>
        <w:rPr>
          <w:rFonts w:hint="eastAsia"/>
          <w:i/>
          <w:iCs/>
          <w:rtl/>
          <w:lang w:bidi="ar-EG"/>
        </w:rPr>
        <w:t> </w:t>
      </w:r>
      <w:r>
        <w:rPr>
          <w:rFonts w:hint="cs"/>
          <w:i/>
          <w:iCs/>
          <w:rtl/>
          <w:lang w:bidi="ar-EG"/>
        </w:rPr>
        <w:t>أ )</w:t>
      </w:r>
      <w:r w:rsidR="00D329F2">
        <w:rPr>
          <w:i/>
          <w:iCs/>
          <w:rtl/>
          <w:lang w:bidi="ar-EG"/>
        </w:rPr>
        <w:tab/>
      </w:r>
      <w:r w:rsidR="00827EC3" w:rsidRPr="00827EC3">
        <w:rPr>
          <w:rtl/>
        </w:rPr>
        <w:t>أن لجنة الدراسات 17 لقطاع تقييس الاتصالات هي لجنة الدراسات الرئيسية المعنية بإدارة الهوية، وأُسنِدَت إليها مهمة تنسيق أنشطة إدارة الهوية داخل قطاع تقييس الاتصالات ومع المنظمات والمنتديات الأخرى المعنية بوضع المعايير، وتقوم بوضع الأطر لتحسين التعاون؛</w:t>
      </w:r>
    </w:p>
    <w:p w14:paraId="6BB28408" w14:textId="1825326E" w:rsidR="00D329F2" w:rsidRPr="00D329F2" w:rsidRDefault="00D329F2" w:rsidP="00D329F2">
      <w:r>
        <w:rPr>
          <w:rFonts w:hint="cs"/>
          <w:i/>
          <w:iCs/>
          <w:rtl/>
          <w:lang w:bidi="ar-EG"/>
        </w:rPr>
        <w:t>ب</w:t>
      </w:r>
      <w:r w:rsidRPr="00D329F2">
        <w:rPr>
          <w:rFonts w:hint="cs"/>
          <w:i/>
          <w:iCs/>
          <w:rtl/>
          <w:lang w:bidi="ar-EG"/>
        </w:rPr>
        <w:t>)</w:t>
      </w:r>
      <w:r>
        <w:rPr>
          <w:i/>
          <w:iCs/>
          <w:rtl/>
          <w:lang w:bidi="ar-EG"/>
        </w:rPr>
        <w:tab/>
      </w:r>
      <w:r w:rsidR="00827EC3" w:rsidRPr="00827EC3">
        <w:rPr>
          <w:rtl/>
        </w:rPr>
        <w:t>أن مجموعة واسعة من الهيئات والمنظمات تعمل على وضع معايير الهوية الرقمية وبيانات الاعتماد التي يمكن التحقق منها،</w:t>
      </w:r>
    </w:p>
    <w:p w14:paraId="40F45880" w14:textId="005544FB" w:rsidR="00827EC3" w:rsidRDefault="00827EC3" w:rsidP="00542925">
      <w:pPr>
        <w:pStyle w:val="Call"/>
        <w:rPr>
          <w:rtl/>
        </w:rPr>
      </w:pPr>
      <w:r w:rsidRPr="00827EC3">
        <w:rPr>
          <w:rtl/>
        </w:rPr>
        <w:t>وإذ تسلِّم</w:t>
      </w:r>
    </w:p>
    <w:p w14:paraId="47368C08" w14:textId="404F28E3" w:rsidR="00D329F2" w:rsidRPr="00D329F2" w:rsidRDefault="00542925" w:rsidP="00D329F2">
      <w:r>
        <w:rPr>
          <w:rFonts w:hint="eastAsia"/>
          <w:i/>
          <w:iCs/>
          <w:rtl/>
          <w:lang w:bidi="ar-EG"/>
        </w:rPr>
        <w:t> </w:t>
      </w:r>
      <w:r>
        <w:rPr>
          <w:rFonts w:hint="cs"/>
          <w:i/>
          <w:iCs/>
          <w:rtl/>
          <w:lang w:bidi="ar-EG"/>
        </w:rPr>
        <w:t>أ </w:t>
      </w:r>
      <w:r w:rsidR="00D329F2" w:rsidRPr="00D329F2">
        <w:rPr>
          <w:rFonts w:hint="cs"/>
          <w:i/>
          <w:iCs/>
          <w:rtl/>
          <w:lang w:bidi="ar-EG"/>
        </w:rPr>
        <w:t>)</w:t>
      </w:r>
      <w:r w:rsidR="00D329F2">
        <w:rPr>
          <w:i/>
          <w:iCs/>
          <w:rtl/>
          <w:lang w:bidi="ar-EG"/>
        </w:rPr>
        <w:tab/>
      </w:r>
      <w:r w:rsidR="00827EC3" w:rsidRPr="00827EC3">
        <w:rPr>
          <w:rtl/>
        </w:rPr>
        <w:t xml:space="preserve">بالإنجازات ذات الصلة التي حققتها لجنة الدراسات 17 لقطاع تقييس الاتصالات في مجالات معمارية وآليات إدارة الهوية والقياسات </w:t>
      </w:r>
      <w:proofErr w:type="spellStart"/>
      <w:r w:rsidR="00827EC3" w:rsidRPr="00827EC3">
        <w:rPr>
          <w:rtl/>
        </w:rPr>
        <w:t>البيومترية</w:t>
      </w:r>
      <w:proofErr w:type="spellEnd"/>
      <w:r w:rsidR="00827EC3" w:rsidRPr="00827EC3">
        <w:rPr>
          <w:rtl/>
        </w:rPr>
        <w:t xml:space="preserve"> عن بُعد، مثل مبادئ توجيهية أمنية بشأن استخدام تكنولوجيا سجل الحسابات الموزع في إدارة الهوية اللامركزية وهي مُحدَّدَة في التوصية </w:t>
      </w:r>
      <w:r w:rsidR="00827EC3" w:rsidRPr="00827EC3">
        <w:t>ITU-T X.1403</w:t>
      </w:r>
      <w:r w:rsidR="00827EC3" w:rsidRPr="00827EC3">
        <w:rPr>
          <w:rtl/>
        </w:rPr>
        <w:t>؛</w:t>
      </w:r>
    </w:p>
    <w:p w14:paraId="12A6E60D" w14:textId="74753063" w:rsidR="00D329F2" w:rsidRPr="00D329F2" w:rsidRDefault="00D329F2" w:rsidP="00D329F2">
      <w:r>
        <w:rPr>
          <w:rFonts w:hint="cs"/>
          <w:i/>
          <w:iCs/>
          <w:rtl/>
          <w:lang w:bidi="ar-EG"/>
        </w:rPr>
        <w:t>ب</w:t>
      </w:r>
      <w:r w:rsidRPr="00D329F2">
        <w:rPr>
          <w:rFonts w:hint="cs"/>
          <w:i/>
          <w:iCs/>
          <w:rtl/>
          <w:lang w:bidi="ar-EG"/>
        </w:rPr>
        <w:t>)</w:t>
      </w:r>
      <w:r>
        <w:rPr>
          <w:i/>
          <w:iCs/>
          <w:rtl/>
          <w:lang w:bidi="ar-EG"/>
        </w:rPr>
        <w:tab/>
      </w:r>
      <w:r w:rsidR="00827EC3" w:rsidRPr="00827EC3">
        <w:rPr>
          <w:rtl/>
        </w:rPr>
        <w:t>بالحاجة الواضحة لتنسيق العمل بين لجان دراسات قطاع تقييس الاتصالات وغيرها من منظمات وضع المعايير،</w:t>
      </w:r>
    </w:p>
    <w:p w14:paraId="76F90CC9" w14:textId="3BB5D427" w:rsidR="008A5BF3" w:rsidRDefault="00827EC3" w:rsidP="008A5BF3">
      <w:pPr>
        <w:pStyle w:val="Call"/>
        <w:rPr>
          <w:rtl/>
        </w:rPr>
      </w:pPr>
      <w:r>
        <w:rPr>
          <w:rFonts w:hint="cs"/>
          <w:rtl/>
        </w:rPr>
        <w:t>تقرر</w:t>
      </w:r>
    </w:p>
    <w:p w14:paraId="5A302CF1" w14:textId="06EC3123" w:rsidR="008A5BF3" w:rsidRPr="001131DD" w:rsidRDefault="008A5BF3" w:rsidP="00D329F2">
      <w:pPr>
        <w:rPr>
          <w:spacing w:val="-4"/>
          <w:rtl/>
        </w:rPr>
      </w:pPr>
      <w:r w:rsidRPr="001131DD">
        <w:rPr>
          <w:rFonts w:hint="cs"/>
          <w:spacing w:val="-4"/>
          <w:rtl/>
        </w:rPr>
        <w:t>1</w:t>
      </w:r>
      <w:r w:rsidRPr="001131DD">
        <w:rPr>
          <w:spacing w:val="-4"/>
          <w:rtl/>
        </w:rPr>
        <w:tab/>
      </w:r>
      <w:r w:rsidR="00827EC3" w:rsidRPr="001131DD">
        <w:rPr>
          <w:spacing w:val="-4"/>
          <w:rtl/>
        </w:rPr>
        <w:t>مواصلة وضع ما يلزم من توصيات وإضافات وتقارير تقنية بشأن الهويات الرقمية وبيانات الاعتماد التي يمكن التحقق منها؛</w:t>
      </w:r>
    </w:p>
    <w:p w14:paraId="7145D63C" w14:textId="6F11E2D9" w:rsidR="00D329F2" w:rsidRPr="00D329F2" w:rsidRDefault="008A5BF3" w:rsidP="00D329F2">
      <w:r>
        <w:rPr>
          <w:rFonts w:hint="cs"/>
          <w:rtl/>
        </w:rPr>
        <w:t>2</w:t>
      </w:r>
      <w:r>
        <w:rPr>
          <w:rtl/>
        </w:rPr>
        <w:tab/>
      </w:r>
      <w:r w:rsidR="00827EC3" w:rsidRPr="00827EC3">
        <w:rPr>
          <w:rtl/>
        </w:rPr>
        <w:t>مواصلة إعداد أفضل الممارسات لإنشاء هويات رقمية قابلة للتشغيل البيني وجديرة بالثقة وبيانات اعتماد رقمية يمكن التحقق منها كي يستخدمها مقدمو البنية التحتية للاتصالات/تكنولوجيا المعلومات والاتصالات؛</w:t>
      </w:r>
    </w:p>
    <w:p w14:paraId="1F38AF0A" w14:textId="63FB0BF0" w:rsidR="00D329F2" w:rsidRPr="001131DD" w:rsidRDefault="008A5BF3" w:rsidP="00D329F2">
      <w:pPr>
        <w:rPr>
          <w:spacing w:val="-4"/>
        </w:rPr>
      </w:pPr>
      <w:r w:rsidRPr="001131DD">
        <w:rPr>
          <w:rFonts w:hint="cs"/>
          <w:spacing w:val="-4"/>
          <w:rtl/>
        </w:rPr>
        <w:t>3</w:t>
      </w:r>
      <w:r w:rsidRPr="001131DD">
        <w:rPr>
          <w:spacing w:val="-4"/>
          <w:rtl/>
        </w:rPr>
        <w:tab/>
      </w:r>
      <w:r w:rsidR="00827EC3" w:rsidRPr="001131DD">
        <w:rPr>
          <w:spacing w:val="-4"/>
          <w:rtl/>
        </w:rPr>
        <w:t>تعزيز أعمال التقييس المتعلقة بالهويات الرقمية وبيانات الاعتماد التي يمكن التحقق منها بما يشمل الهويات اللامركزية؛</w:t>
      </w:r>
    </w:p>
    <w:p w14:paraId="5C9FD432" w14:textId="06382C76" w:rsidR="00D329F2" w:rsidRPr="00D329F2" w:rsidRDefault="008A5BF3" w:rsidP="00D329F2">
      <w:r>
        <w:rPr>
          <w:rFonts w:hint="cs"/>
          <w:rtl/>
        </w:rPr>
        <w:t>4</w:t>
      </w:r>
      <w:r>
        <w:rPr>
          <w:rtl/>
        </w:rPr>
        <w:tab/>
      </w:r>
      <w:r w:rsidR="00827EC3" w:rsidRPr="00827EC3">
        <w:rPr>
          <w:rtl/>
        </w:rPr>
        <w:t>أن يعمل قطاع تقييس الاتصالات فيما يتعلق بالهويات الرقمية وبيانات الاعتماد التي يمكن التحقق منها مع قطاع تنمية الاتصالات، لا</w:t>
      </w:r>
      <w:r w:rsidR="0099091D">
        <w:rPr>
          <w:rFonts w:hint="cs"/>
          <w:rtl/>
        </w:rPr>
        <w:t> </w:t>
      </w:r>
      <w:r w:rsidR="00827EC3" w:rsidRPr="00827EC3">
        <w:rPr>
          <w:rtl/>
        </w:rPr>
        <w:t xml:space="preserve">سيما في سياق المسألة 2/3 لقطاع تنمية الاتصالات (تأمين شبكات المعلومات والاتصالات: </w:t>
      </w:r>
      <w:r w:rsidR="0099091D">
        <w:rPr>
          <w:rFonts w:hint="cs"/>
          <w:rtl/>
        </w:rPr>
        <w:t>الممارسات الفضلى</w:t>
      </w:r>
      <w:r w:rsidR="00827EC3" w:rsidRPr="00827EC3">
        <w:rPr>
          <w:rtl/>
        </w:rPr>
        <w:t xml:space="preserve"> من أجل بناء ثقافة الأمن السيبراني)،</w:t>
      </w:r>
    </w:p>
    <w:p w14:paraId="4F2A793A" w14:textId="77D96A1E" w:rsidR="00D329F2" w:rsidRDefault="00827EC3" w:rsidP="008A5BF3">
      <w:pPr>
        <w:pStyle w:val="Call"/>
        <w:rPr>
          <w:rtl/>
        </w:rPr>
      </w:pPr>
      <w:r w:rsidRPr="00827EC3">
        <w:rPr>
          <w:rtl/>
        </w:rPr>
        <w:lastRenderedPageBreak/>
        <w:t>تكلف لجنة الدراسات 17 لقطاع تقييس الاتصالات بدعمٍ من لجان الدراسات الأخرى</w:t>
      </w:r>
    </w:p>
    <w:p w14:paraId="42DF7246" w14:textId="07B21876" w:rsidR="008A5BF3" w:rsidRDefault="008A5BF3" w:rsidP="008A5BF3">
      <w:pPr>
        <w:rPr>
          <w:rtl/>
        </w:rPr>
      </w:pPr>
      <w:r>
        <w:rPr>
          <w:rFonts w:hint="cs"/>
          <w:rtl/>
        </w:rPr>
        <w:t>1</w:t>
      </w:r>
      <w:r>
        <w:rPr>
          <w:rtl/>
        </w:rPr>
        <w:tab/>
      </w:r>
      <w:r w:rsidR="00827EC3" w:rsidRPr="00827EC3">
        <w:rPr>
          <w:rtl/>
        </w:rPr>
        <w:t xml:space="preserve">بتقييم توصيات قطاع تقييس الاتصالات ومنشوراته القائمة والمتطورة، بما في ذلك المعايير أو المواصفات التي وضعتها منظمات وضع المعايير الأخرى، وعلى أساس التقييم، إعداد توصيات جديدة </w:t>
      </w:r>
      <w:r w:rsidR="0099091D">
        <w:rPr>
          <w:rFonts w:hint="cs"/>
          <w:rtl/>
        </w:rPr>
        <w:t>والممارسات الفضلى</w:t>
      </w:r>
      <w:r w:rsidR="00827EC3" w:rsidRPr="00827EC3">
        <w:rPr>
          <w:rtl/>
        </w:rPr>
        <w:t xml:space="preserve"> ومنشورات أخرى لقطاع تقييس الاتصالات فيما يتعلق بالهويات الرقمية وبيانات الاعتماد التي يمكن التحقق منها؛</w:t>
      </w:r>
    </w:p>
    <w:p w14:paraId="112FCFF5" w14:textId="2F3795EA" w:rsidR="008A5BF3" w:rsidRDefault="008A5BF3" w:rsidP="008A5BF3">
      <w:pPr>
        <w:rPr>
          <w:rtl/>
        </w:rPr>
      </w:pPr>
      <w:r>
        <w:rPr>
          <w:rFonts w:hint="cs"/>
          <w:rtl/>
        </w:rPr>
        <w:t>2</w:t>
      </w:r>
      <w:r>
        <w:rPr>
          <w:rtl/>
        </w:rPr>
        <w:tab/>
      </w:r>
      <w:r w:rsidR="002A6B33" w:rsidRPr="002A6B33">
        <w:rPr>
          <w:rtl/>
        </w:rPr>
        <w:t xml:space="preserve">بتعزيز نشاط التنسيق المشترك مع لجان الدراسات الأخرى ومنظمات </w:t>
      </w:r>
      <w:r w:rsidR="001D7692">
        <w:rPr>
          <w:rFonts w:hint="cs"/>
          <w:rtl/>
        </w:rPr>
        <w:t xml:space="preserve">التقييس </w:t>
      </w:r>
      <w:r w:rsidR="002A6B33" w:rsidRPr="002A6B33">
        <w:rPr>
          <w:rtl/>
        </w:rPr>
        <w:t>الأخرى بهدف اتباع نهج منسق لإنشاء هويات رقمية عالمية قابلة للتشغيل البيني وبيانات اعتماد رقمية يمكن التحقق منها؛</w:t>
      </w:r>
    </w:p>
    <w:p w14:paraId="3FC6FE72" w14:textId="7373F30D" w:rsidR="002A6B33" w:rsidRPr="00D329F2" w:rsidRDefault="002A6B33" w:rsidP="002A6B33">
      <w:r>
        <w:rPr>
          <w:rFonts w:hint="cs"/>
          <w:rtl/>
        </w:rPr>
        <w:t>3</w:t>
      </w:r>
      <w:r>
        <w:rPr>
          <w:rtl/>
        </w:rPr>
        <w:tab/>
      </w:r>
      <w:r w:rsidRPr="002A6B33">
        <w:rPr>
          <w:rtl/>
        </w:rPr>
        <w:t xml:space="preserve">بدعم مدير مكتب تقييس الاتصالات في تحديث خارطة الطريق الخاصة </w:t>
      </w:r>
      <w:r w:rsidR="001131DD" w:rsidRPr="002A6B33">
        <w:rPr>
          <w:rFonts w:hint="cs"/>
          <w:rtl/>
        </w:rPr>
        <w:t>بإدارة</w:t>
      </w:r>
      <w:r w:rsidRPr="002A6B33">
        <w:rPr>
          <w:rtl/>
        </w:rPr>
        <w:t xml:space="preserve"> الهوية التي ينبغي أن تشمل بنود عمل ترمي إلى المضي قدماً بأعمال التقييس المتعلقة بإدارة الهوية، وتبادلها مع الأفرقة ذات الصلة في قطاع الاتصالات الراديوية</w:t>
      </w:r>
      <w:r w:rsidR="0099091D">
        <w:rPr>
          <w:rFonts w:hint="eastAsia"/>
          <w:rtl/>
        </w:rPr>
        <w:t> </w:t>
      </w:r>
      <w:r w:rsidR="0099091D">
        <w:t>(ITU-R)</w:t>
      </w:r>
      <w:r w:rsidRPr="002A6B33">
        <w:rPr>
          <w:rtl/>
        </w:rPr>
        <w:t xml:space="preserve"> وقطاع تنمية الاتصالات، باعتبار ذلك مهمة لجنة الدراسات الرئيسية المعنية </w:t>
      </w:r>
      <w:r w:rsidR="0099091D">
        <w:rPr>
          <w:rFonts w:hint="cs"/>
          <w:rtl/>
        </w:rPr>
        <w:t>بإدارة الهوية</w:t>
      </w:r>
      <w:r w:rsidRPr="002A6B33">
        <w:rPr>
          <w:rtl/>
        </w:rPr>
        <w:t>؛</w:t>
      </w:r>
    </w:p>
    <w:p w14:paraId="501C3BC5" w14:textId="0EA30581" w:rsidR="002A6B33" w:rsidRPr="00D329F2" w:rsidRDefault="002A6B33" w:rsidP="002A6B33">
      <w:r>
        <w:rPr>
          <w:rFonts w:hint="cs"/>
          <w:rtl/>
        </w:rPr>
        <w:t>4</w:t>
      </w:r>
      <w:r>
        <w:rPr>
          <w:rtl/>
        </w:rPr>
        <w:tab/>
      </w:r>
      <w:r w:rsidRPr="002A6B33">
        <w:rPr>
          <w:rtl/>
        </w:rPr>
        <w:t>بمواصلة تقديم تقارير منتظمة عن إدارة الهوية بما يشمل الهويات الرقمية وبيانات الاعتماد التي يمكن التحقق منها إلى الفريق الاستشاري لتقييس الاتصالات، بما في ذلك عن كيفية معالجة المواضيع التي تقع خارج نطاق ولاية لجان الدراسات،</w:t>
      </w:r>
    </w:p>
    <w:p w14:paraId="09246D63" w14:textId="77777777" w:rsidR="006D1FA7" w:rsidRDefault="006D1FA7" w:rsidP="006D1FA7">
      <w:pPr>
        <w:pStyle w:val="Call"/>
        <w:rPr>
          <w:rtl/>
        </w:rPr>
      </w:pPr>
      <w:r>
        <w:rPr>
          <w:rFonts w:hint="cs"/>
          <w:rtl/>
        </w:rPr>
        <w:t>تكلف الفريق الاستشاري لتقييس الاتصالات</w:t>
      </w:r>
    </w:p>
    <w:p w14:paraId="55851CF8" w14:textId="0B9CEFDA" w:rsidR="006D1FA7" w:rsidRDefault="006D1FA7" w:rsidP="006D1FA7">
      <w:pPr>
        <w:rPr>
          <w:rtl/>
          <w:lang w:bidi="ar-EG"/>
        </w:rPr>
      </w:pPr>
      <w:r w:rsidRPr="002A6B33">
        <w:rPr>
          <w:rtl/>
        </w:rPr>
        <w:t>بالعمل على بذل جهود منسقة بين لجان الدراسات ذات الصلة لتسريع أعمال التقييس بشأن الهويات الرقمية وبيانات الاعتماد التي يمكن التحقق منها، بما يشمل الهوية اللامركزية</w:t>
      </w:r>
      <w:r>
        <w:rPr>
          <w:rFonts w:hint="cs"/>
          <w:rtl/>
        </w:rPr>
        <w:t>،</w:t>
      </w:r>
    </w:p>
    <w:p w14:paraId="3B04D294" w14:textId="5C3AB4CA" w:rsidR="006D1FA7" w:rsidRPr="002A6B33" w:rsidRDefault="006D1FA7" w:rsidP="006D1FA7">
      <w:pPr>
        <w:pStyle w:val="Call"/>
        <w:rPr>
          <w:szCs w:val="20"/>
          <w:lang w:val="ar-SA" w:eastAsia="zh-TW" w:bidi="en-GB"/>
        </w:rPr>
      </w:pPr>
      <w:r w:rsidRPr="002A6B33">
        <w:rPr>
          <w:rtl/>
        </w:rPr>
        <w:t>تُكلّف مدير مكتب تقييس الاتصالات</w:t>
      </w:r>
    </w:p>
    <w:p w14:paraId="430F5101" w14:textId="77777777" w:rsidR="006D1FA7" w:rsidRDefault="006D1FA7" w:rsidP="006D1FA7">
      <w:pPr>
        <w:rPr>
          <w:rtl/>
        </w:rPr>
      </w:pPr>
      <w:r>
        <w:rPr>
          <w:rFonts w:hint="cs"/>
          <w:rtl/>
        </w:rPr>
        <w:t>1</w:t>
      </w:r>
      <w:r>
        <w:rPr>
          <w:rtl/>
        </w:rPr>
        <w:tab/>
      </w:r>
      <w:r w:rsidRPr="002A6B33">
        <w:rPr>
          <w:rtl/>
        </w:rPr>
        <w:t>بأن ينشئ، بمساعدة المنظمات الأخرى ذات الصلة، قائمة بالمبادرات والأنشطة الوطنية والإقليمية والدولية، بهدف تعزيز، قدر الإمكان،</w:t>
      </w:r>
      <w:r>
        <w:rPr>
          <w:rFonts w:hint="cs"/>
          <w:rtl/>
        </w:rPr>
        <w:t xml:space="preserve"> </w:t>
      </w:r>
      <w:r w:rsidRPr="002A6B33">
        <w:rPr>
          <w:rtl/>
        </w:rPr>
        <w:t>المواءمة العالمية للاستراتيجيات والنهج في هذه المجالات ذات الأهمية البالغة، بما في ذلك وضع نهُج مشتركة في مجال الهويات الرقمية وبيانات الاعتماد التي يمكن التحقق منها؛</w:t>
      </w:r>
    </w:p>
    <w:p w14:paraId="1E42DD9C" w14:textId="3DA37A04" w:rsidR="002A6B33" w:rsidRDefault="006D1FA7" w:rsidP="006D1FA7">
      <w:pPr>
        <w:textDirection w:val="tbRlV"/>
        <w:rPr>
          <w:rtl/>
        </w:rPr>
      </w:pPr>
      <w:r>
        <w:rPr>
          <w:rFonts w:hint="cs"/>
          <w:rtl/>
        </w:rPr>
        <w:t>2</w:t>
      </w:r>
      <w:r>
        <w:rPr>
          <w:rtl/>
        </w:rPr>
        <w:tab/>
      </w:r>
      <w:r w:rsidRPr="002A6B33">
        <w:rPr>
          <w:rtl/>
        </w:rPr>
        <w:t>بمواصلة التعاون مع مدير مكتب تنمية الاتصالات لتيسير تشجيع استخدام الهويات الرقمية وبيانات الاعتماد التي يمكن التحقق منها والجديرة بالثقة وفي تنفيذ هذا القرار، ووضع إرشادات بشأن الهويات الرقمية وبيانات الاعتماد التي يمكن التحقق منها لبناء الأمن والثقة في استعمال تكنولوجيا المعلومات والاتصالات،</w:t>
      </w:r>
    </w:p>
    <w:p w14:paraId="69FB4EB5" w14:textId="2108814A" w:rsidR="002A6B33" w:rsidRDefault="006F4AA3" w:rsidP="009B16AA">
      <w:pPr>
        <w:pStyle w:val="Call"/>
      </w:pPr>
      <w:r>
        <w:rPr>
          <w:rFonts w:hint="cs"/>
          <w:rtl/>
        </w:rPr>
        <w:t>ت</w:t>
      </w:r>
      <w:r w:rsidRPr="006F4AA3">
        <w:rPr>
          <w:rtl/>
        </w:rPr>
        <w:t>دعو الدول الأعضاء وأعضاء القطاع والمنتسبين والهيئات الأكاديمية إلى</w:t>
      </w:r>
    </w:p>
    <w:p w14:paraId="332974D9" w14:textId="02517110" w:rsidR="009B16AA" w:rsidRPr="001D7692" w:rsidRDefault="009B16AA" w:rsidP="00EC6D9E">
      <w:pPr>
        <w:rPr>
          <w:rtl/>
          <w:lang w:bidi="ar-EG"/>
        </w:rPr>
      </w:pPr>
      <w:r w:rsidRPr="001D7692">
        <w:t>1</w:t>
      </w:r>
      <w:r w:rsidRPr="001D7692">
        <w:tab/>
      </w:r>
      <w:r w:rsidR="00650B14" w:rsidRPr="001D7692">
        <w:rPr>
          <w:rFonts w:hint="cs"/>
          <w:rtl/>
        </w:rPr>
        <w:t xml:space="preserve">توفير معلومات عن المبادرات </w:t>
      </w:r>
      <w:r w:rsidR="00650B14" w:rsidRPr="001D7692">
        <w:rPr>
          <w:shd w:val="clear" w:color="auto" w:fill="FFFFFF"/>
          <w:rtl/>
        </w:rPr>
        <w:t xml:space="preserve">والأنشطة الوطنية والإقليمية </w:t>
      </w:r>
      <w:proofErr w:type="gramStart"/>
      <w:r w:rsidR="00650B14" w:rsidRPr="001D7692">
        <w:rPr>
          <w:shd w:val="clear" w:color="auto" w:fill="FFFFFF"/>
          <w:rtl/>
        </w:rPr>
        <w:t>والدولية</w:t>
      </w:r>
      <w:r w:rsidRPr="001D7692">
        <w:rPr>
          <w:rFonts w:hint="cs"/>
          <w:rtl/>
          <w:lang w:bidi="ar-EG"/>
        </w:rPr>
        <w:t>؛</w:t>
      </w:r>
      <w:proofErr w:type="gramEnd"/>
    </w:p>
    <w:p w14:paraId="27C97135" w14:textId="5C4FF406" w:rsidR="00650B14" w:rsidRPr="009B16AA" w:rsidRDefault="009B16AA" w:rsidP="00EC6D9E">
      <w:r w:rsidRPr="001D7692">
        <w:t>2</w:t>
      </w:r>
      <w:r w:rsidRPr="001D7692">
        <w:tab/>
      </w:r>
      <w:r w:rsidR="00650B14" w:rsidRPr="001D7692">
        <w:rPr>
          <w:rtl/>
        </w:rPr>
        <w:t xml:space="preserve">تقديم مساهمات </w:t>
      </w:r>
      <w:r w:rsidR="00EC6D9E" w:rsidRPr="001D7692">
        <w:rPr>
          <w:rFonts w:hint="cs"/>
          <w:rtl/>
        </w:rPr>
        <w:t>وإعداد</w:t>
      </w:r>
      <w:r w:rsidR="00650B14" w:rsidRPr="001D7692">
        <w:rPr>
          <w:rtl/>
        </w:rPr>
        <w:t xml:space="preserve"> توصيات </w:t>
      </w:r>
      <w:r w:rsidR="00EC6D9E" w:rsidRPr="001D7692">
        <w:rPr>
          <w:rFonts w:hint="cs"/>
          <w:rtl/>
        </w:rPr>
        <w:t>والممارسات الفضلى</w:t>
      </w:r>
      <w:r w:rsidR="00650B14" w:rsidRPr="001D7692">
        <w:rPr>
          <w:rtl/>
        </w:rPr>
        <w:t xml:space="preserve"> للهويات الرقمية.</w:t>
      </w:r>
    </w:p>
    <w:p w14:paraId="355B9F3A" w14:textId="3C59B44B" w:rsidR="008A5BF3" w:rsidRPr="00D329F2" w:rsidRDefault="008A5BF3" w:rsidP="00EC6D9E">
      <w:pPr>
        <w:pStyle w:val="Reasons"/>
      </w:pPr>
    </w:p>
    <w:sectPr w:rsidR="008A5BF3" w:rsidRPr="00D329F2" w:rsidSect="00706E26">
      <w:headerReference w:type="even" r:id="rId15"/>
      <w:headerReference w:type="default" r:id="rId16"/>
      <w:footerReference w:type="even" r:id="rId17"/>
      <w:footerReference w:type="default" r:id="rId18"/>
      <w:headerReference w:type="first" r:id="rId19"/>
      <w:footerReference w:type="first" r:id="rId20"/>
      <w:type w:val="continuous"/>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7E39" w14:textId="77777777" w:rsidR="000F2FF1" w:rsidRDefault="000F2FF1" w:rsidP="002919E1">
      <w:r>
        <w:separator/>
      </w:r>
    </w:p>
    <w:p w14:paraId="20722CF2" w14:textId="77777777" w:rsidR="000F2FF1" w:rsidRDefault="000F2FF1" w:rsidP="002919E1"/>
    <w:p w14:paraId="57330A64" w14:textId="77777777" w:rsidR="000F2FF1" w:rsidRDefault="000F2FF1" w:rsidP="002919E1"/>
    <w:p w14:paraId="5C228D4C" w14:textId="77777777" w:rsidR="000F2FF1" w:rsidRDefault="000F2FF1"/>
  </w:endnote>
  <w:endnote w:type="continuationSeparator" w:id="0">
    <w:p w14:paraId="18424ACE" w14:textId="77777777" w:rsidR="000F2FF1" w:rsidRDefault="000F2FF1" w:rsidP="002919E1">
      <w:r>
        <w:continuationSeparator/>
      </w:r>
    </w:p>
    <w:p w14:paraId="423C859F" w14:textId="77777777" w:rsidR="000F2FF1" w:rsidRDefault="000F2FF1" w:rsidP="002919E1"/>
    <w:p w14:paraId="26DEF4DD" w14:textId="77777777" w:rsidR="000F2FF1" w:rsidRDefault="000F2FF1" w:rsidP="002919E1"/>
    <w:p w14:paraId="52647C6E" w14:textId="77777777" w:rsidR="000F2FF1" w:rsidRDefault="000F2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2A79" w14:textId="77777777" w:rsidR="00706E26" w:rsidRDefault="00706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E80D" w14:textId="77777777" w:rsidR="00706E26" w:rsidRDefault="00706E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7E0D" w14:textId="77777777" w:rsidR="00706E26" w:rsidRDefault="00706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9854" w14:textId="77777777" w:rsidR="000F2FF1" w:rsidRDefault="000F2FF1" w:rsidP="002919E1">
      <w:r>
        <w:t>___________________</w:t>
      </w:r>
    </w:p>
  </w:footnote>
  <w:footnote w:type="continuationSeparator" w:id="0">
    <w:p w14:paraId="71D9830C" w14:textId="77777777" w:rsidR="000F2FF1" w:rsidRDefault="000F2FF1" w:rsidP="002919E1">
      <w:r>
        <w:continuationSeparator/>
      </w:r>
    </w:p>
    <w:p w14:paraId="4085668F" w14:textId="77777777" w:rsidR="000F2FF1" w:rsidRDefault="000F2FF1" w:rsidP="002919E1"/>
    <w:p w14:paraId="58BC57E3" w14:textId="77777777" w:rsidR="000F2FF1" w:rsidRDefault="000F2FF1" w:rsidP="002919E1"/>
    <w:p w14:paraId="4C84746F" w14:textId="77777777" w:rsidR="000F2FF1" w:rsidRDefault="000F2F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542E" w14:textId="77777777" w:rsidR="00281F5F" w:rsidRPr="00706E26" w:rsidRDefault="00281F5F" w:rsidP="002919E1"/>
  <w:p w14:paraId="54CF39A0" w14:textId="77777777" w:rsidR="00281F5F" w:rsidRPr="00706E26"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5E92" w14:textId="77777777" w:rsidR="00654230" w:rsidRPr="00706E26" w:rsidRDefault="006175E7" w:rsidP="00851A14">
    <w:pPr>
      <w:pStyle w:val="Header"/>
      <w:spacing w:after="120"/>
      <w:rPr>
        <w:sz w:val="18"/>
        <w:szCs w:val="18"/>
      </w:rPr>
    </w:pPr>
    <w:r w:rsidRPr="00706E26">
      <w:rPr>
        <w:sz w:val="18"/>
        <w:szCs w:val="18"/>
      </w:rPr>
      <w:fldChar w:fldCharType="begin"/>
    </w:r>
    <w:r w:rsidRPr="00706E26">
      <w:rPr>
        <w:sz w:val="18"/>
        <w:szCs w:val="18"/>
      </w:rPr>
      <w:instrText xml:space="preserve"> PAGE  \* MERGEFORMAT </w:instrText>
    </w:r>
    <w:r w:rsidRPr="00706E26">
      <w:rPr>
        <w:sz w:val="18"/>
        <w:szCs w:val="18"/>
      </w:rPr>
      <w:fldChar w:fldCharType="separate"/>
    </w:r>
    <w:r w:rsidRPr="00706E26">
      <w:rPr>
        <w:sz w:val="18"/>
        <w:szCs w:val="18"/>
      </w:rPr>
      <w:t>2</w:t>
    </w:r>
    <w:r w:rsidRPr="00706E26">
      <w:rPr>
        <w:sz w:val="18"/>
        <w:szCs w:val="18"/>
      </w:rPr>
      <w:fldChar w:fldCharType="end"/>
    </w:r>
    <w:r w:rsidR="00EB52D8" w:rsidRPr="00706E26">
      <w:rPr>
        <w:sz w:val="18"/>
        <w:szCs w:val="18"/>
      </w:rPr>
      <w:br/>
    </w:r>
    <w:r w:rsidR="00966FA2" w:rsidRPr="00706E26">
      <w:rPr>
        <w:sz w:val="18"/>
        <w:szCs w:val="18"/>
      </w:rPr>
      <w:t>WTSA-24/37(Add.40)-A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CA40" w14:textId="77777777" w:rsidR="00706E26" w:rsidRPr="00706E26" w:rsidRDefault="00706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9675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94E8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C213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F69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DCA0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738355364">
    <w:abstractNumId w:val="9"/>
  </w:num>
  <w:num w:numId="2" w16cid:durableId="480654364">
    <w:abstractNumId w:val="13"/>
  </w:num>
  <w:num w:numId="3" w16cid:durableId="533074951">
    <w:abstractNumId w:val="10"/>
  </w:num>
  <w:num w:numId="4" w16cid:durableId="262805845">
    <w:abstractNumId w:val="14"/>
  </w:num>
  <w:num w:numId="5" w16cid:durableId="949355351">
    <w:abstractNumId w:val="7"/>
  </w:num>
  <w:num w:numId="6" w16cid:durableId="613908353">
    <w:abstractNumId w:val="6"/>
  </w:num>
  <w:num w:numId="7" w16cid:durableId="315769136">
    <w:abstractNumId w:val="5"/>
  </w:num>
  <w:num w:numId="8" w16cid:durableId="270280223">
    <w:abstractNumId w:val="4"/>
  </w:num>
  <w:num w:numId="9" w16cid:durableId="2079205326">
    <w:abstractNumId w:val="8"/>
  </w:num>
  <w:num w:numId="10" w16cid:durableId="586154433">
    <w:abstractNumId w:val="3"/>
  </w:num>
  <w:num w:numId="11" w16cid:durableId="491263718">
    <w:abstractNumId w:val="2"/>
  </w:num>
  <w:num w:numId="12" w16cid:durableId="1817257064">
    <w:abstractNumId w:val="1"/>
  </w:num>
  <w:num w:numId="13" w16cid:durableId="154927666">
    <w:abstractNumId w:val="0"/>
  </w:num>
  <w:num w:numId="14" w16cid:durableId="998074379">
    <w:abstractNumId w:val="11"/>
  </w:num>
  <w:num w:numId="15" w16cid:durableId="13680963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5E9"/>
    <w:rsid w:val="00004B50"/>
    <w:rsid w:val="00011021"/>
    <w:rsid w:val="000114EC"/>
    <w:rsid w:val="00011F8C"/>
    <w:rsid w:val="00022B74"/>
    <w:rsid w:val="0002327C"/>
    <w:rsid w:val="00032741"/>
    <w:rsid w:val="00034B65"/>
    <w:rsid w:val="00040C94"/>
    <w:rsid w:val="000425FC"/>
    <w:rsid w:val="00044D43"/>
    <w:rsid w:val="00051907"/>
    <w:rsid w:val="00072042"/>
    <w:rsid w:val="00075A3F"/>
    <w:rsid w:val="000A1B16"/>
    <w:rsid w:val="000A3F81"/>
    <w:rsid w:val="000B0891"/>
    <w:rsid w:val="000B3896"/>
    <w:rsid w:val="000B5404"/>
    <w:rsid w:val="000D1708"/>
    <w:rsid w:val="000E2AFC"/>
    <w:rsid w:val="000E6D30"/>
    <w:rsid w:val="000F05F5"/>
    <w:rsid w:val="000F2FF1"/>
    <w:rsid w:val="000F518F"/>
    <w:rsid w:val="0010081C"/>
    <w:rsid w:val="001013E3"/>
    <w:rsid w:val="0010363F"/>
    <w:rsid w:val="001131DD"/>
    <w:rsid w:val="001151CE"/>
    <w:rsid w:val="001236C1"/>
    <w:rsid w:val="00123AA6"/>
    <w:rsid w:val="0012545F"/>
    <w:rsid w:val="00136B82"/>
    <w:rsid w:val="001445AE"/>
    <w:rsid w:val="001464F2"/>
    <w:rsid w:val="001650A7"/>
    <w:rsid w:val="00167364"/>
    <w:rsid w:val="00184643"/>
    <w:rsid w:val="001903B2"/>
    <w:rsid w:val="001B5953"/>
    <w:rsid w:val="001C5BAE"/>
    <w:rsid w:val="001D746E"/>
    <w:rsid w:val="001D7692"/>
    <w:rsid w:val="001E190C"/>
    <w:rsid w:val="001E51EE"/>
    <w:rsid w:val="001E54F6"/>
    <w:rsid w:val="001E5A8C"/>
    <w:rsid w:val="00201A0A"/>
    <w:rsid w:val="002075D4"/>
    <w:rsid w:val="00211B2A"/>
    <w:rsid w:val="00223C6C"/>
    <w:rsid w:val="0023289F"/>
    <w:rsid w:val="002333A0"/>
    <w:rsid w:val="00246BAF"/>
    <w:rsid w:val="002543CF"/>
    <w:rsid w:val="0025766C"/>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6B33"/>
    <w:rsid w:val="002A7E2E"/>
    <w:rsid w:val="002B12C5"/>
    <w:rsid w:val="002B16D8"/>
    <w:rsid w:val="002D5F64"/>
    <w:rsid w:val="002D6BB4"/>
    <w:rsid w:val="002D6FBF"/>
    <w:rsid w:val="002E48BF"/>
    <w:rsid w:val="002E61C2"/>
    <w:rsid w:val="002F3E46"/>
    <w:rsid w:val="0030201B"/>
    <w:rsid w:val="00310959"/>
    <w:rsid w:val="00311E3F"/>
    <w:rsid w:val="00313871"/>
    <w:rsid w:val="00314B1E"/>
    <w:rsid w:val="00314F41"/>
    <w:rsid w:val="00317A67"/>
    <w:rsid w:val="003309DA"/>
    <w:rsid w:val="0033737F"/>
    <w:rsid w:val="00353652"/>
    <w:rsid w:val="003569E1"/>
    <w:rsid w:val="0036313C"/>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44CBB"/>
    <w:rsid w:val="004606D0"/>
    <w:rsid w:val="004636E2"/>
    <w:rsid w:val="00470CBD"/>
    <w:rsid w:val="0047407D"/>
    <w:rsid w:val="00485F9E"/>
    <w:rsid w:val="00486B2B"/>
    <w:rsid w:val="004909DD"/>
    <w:rsid w:val="004A05E6"/>
    <w:rsid w:val="004A6230"/>
    <w:rsid w:val="004A6C66"/>
    <w:rsid w:val="004A7AA0"/>
    <w:rsid w:val="004B0F85"/>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2925"/>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E18EB"/>
    <w:rsid w:val="005F05CC"/>
    <w:rsid w:val="005F65DE"/>
    <w:rsid w:val="00613492"/>
    <w:rsid w:val="006175E7"/>
    <w:rsid w:val="00630905"/>
    <w:rsid w:val="006315B5"/>
    <w:rsid w:val="00650B14"/>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1FA7"/>
    <w:rsid w:val="006D2674"/>
    <w:rsid w:val="006E38D0"/>
    <w:rsid w:val="006E465B"/>
    <w:rsid w:val="006F4AA3"/>
    <w:rsid w:val="006F70BF"/>
    <w:rsid w:val="007028CB"/>
    <w:rsid w:val="00706E26"/>
    <w:rsid w:val="00715432"/>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B2E18"/>
    <w:rsid w:val="007C2C12"/>
    <w:rsid w:val="007C3CFA"/>
    <w:rsid w:val="007E0E8B"/>
    <w:rsid w:val="007E6847"/>
    <w:rsid w:val="007E6B0A"/>
    <w:rsid w:val="007F08CA"/>
    <w:rsid w:val="007F6388"/>
    <w:rsid w:val="007F7FC3"/>
    <w:rsid w:val="008077A5"/>
    <w:rsid w:val="00810482"/>
    <w:rsid w:val="00817568"/>
    <w:rsid w:val="008204AC"/>
    <w:rsid w:val="008230CC"/>
    <w:rsid w:val="008261C2"/>
    <w:rsid w:val="00827EC3"/>
    <w:rsid w:val="00830D96"/>
    <w:rsid w:val="008362DC"/>
    <w:rsid w:val="00851A14"/>
    <w:rsid w:val="0085569D"/>
    <w:rsid w:val="00855B59"/>
    <w:rsid w:val="0085774F"/>
    <w:rsid w:val="008614B8"/>
    <w:rsid w:val="00863FEE"/>
    <w:rsid w:val="00864A57"/>
    <w:rsid w:val="008657CB"/>
    <w:rsid w:val="00873A6F"/>
    <w:rsid w:val="0088384B"/>
    <w:rsid w:val="00884282"/>
    <w:rsid w:val="008879AE"/>
    <w:rsid w:val="00893E53"/>
    <w:rsid w:val="008A1137"/>
    <w:rsid w:val="008A1788"/>
    <w:rsid w:val="008A1E64"/>
    <w:rsid w:val="008A3E57"/>
    <w:rsid w:val="008A4185"/>
    <w:rsid w:val="008A4847"/>
    <w:rsid w:val="008A5BF3"/>
    <w:rsid w:val="008A6552"/>
    <w:rsid w:val="008B4E93"/>
    <w:rsid w:val="008B52B7"/>
    <w:rsid w:val="008C2B0D"/>
    <w:rsid w:val="008C3818"/>
    <w:rsid w:val="008D6ACC"/>
    <w:rsid w:val="008D7AF0"/>
    <w:rsid w:val="008E1A32"/>
    <w:rsid w:val="008E2CBE"/>
    <w:rsid w:val="008E32DD"/>
    <w:rsid w:val="008F4626"/>
    <w:rsid w:val="009004DF"/>
    <w:rsid w:val="00902E2A"/>
    <w:rsid w:val="00903DB9"/>
    <w:rsid w:val="00904AA5"/>
    <w:rsid w:val="009079D1"/>
    <w:rsid w:val="009151F1"/>
    <w:rsid w:val="009234D3"/>
    <w:rsid w:val="0093046E"/>
    <w:rsid w:val="00941CDF"/>
    <w:rsid w:val="00951290"/>
    <w:rsid w:val="00951718"/>
    <w:rsid w:val="00960962"/>
    <w:rsid w:val="00966FA2"/>
    <w:rsid w:val="00972CE0"/>
    <w:rsid w:val="0097742C"/>
    <w:rsid w:val="0099091D"/>
    <w:rsid w:val="009A3D30"/>
    <w:rsid w:val="009B16AA"/>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280B"/>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35832"/>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BF61A2"/>
    <w:rsid w:val="00C05E12"/>
    <w:rsid w:val="00C1165E"/>
    <w:rsid w:val="00C22074"/>
    <w:rsid w:val="00C2377B"/>
    <w:rsid w:val="00C2538F"/>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10B"/>
    <w:rsid w:val="00CC79A4"/>
    <w:rsid w:val="00CD0FDE"/>
    <w:rsid w:val="00CD3381"/>
    <w:rsid w:val="00CE0E68"/>
    <w:rsid w:val="00CE5BA4"/>
    <w:rsid w:val="00CF2A40"/>
    <w:rsid w:val="00CF2EDE"/>
    <w:rsid w:val="00CF45F6"/>
    <w:rsid w:val="00D1576B"/>
    <w:rsid w:val="00D21D8E"/>
    <w:rsid w:val="00D22ED6"/>
    <w:rsid w:val="00D25120"/>
    <w:rsid w:val="00D329F2"/>
    <w:rsid w:val="00D419CB"/>
    <w:rsid w:val="00D44350"/>
    <w:rsid w:val="00D44E3F"/>
    <w:rsid w:val="00D51BB8"/>
    <w:rsid w:val="00D525F5"/>
    <w:rsid w:val="00D535D0"/>
    <w:rsid w:val="00D577D8"/>
    <w:rsid w:val="00D62C78"/>
    <w:rsid w:val="00D704B7"/>
    <w:rsid w:val="00D8121C"/>
    <w:rsid w:val="00D81703"/>
    <w:rsid w:val="00D82929"/>
    <w:rsid w:val="00D84214"/>
    <w:rsid w:val="00D943E5"/>
    <w:rsid w:val="00D94BB8"/>
    <w:rsid w:val="00DA1AE0"/>
    <w:rsid w:val="00DA4259"/>
    <w:rsid w:val="00DC29DD"/>
    <w:rsid w:val="00DC7C0E"/>
    <w:rsid w:val="00DD7832"/>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C6D9E"/>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D73F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F6AB64"/>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styleId="UnresolvedMention">
    <w:name w:val="Unresolved Mention"/>
    <w:basedOn w:val="DefaultParagraphFont"/>
    <w:uiPriority w:val="99"/>
    <w:semiHidden/>
    <w:unhideWhenUsed/>
    <w:rsid w:val="0090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78d9a68-6c4a-4c31-87da-512b3834457b" targetNamespace="http://schemas.microsoft.com/office/2006/metadata/properties" ma:root="true" ma:fieldsID="d41af5c836d734370eb92e7ee5f83852" ns2:_="" ns3:_="">
    <xsd:import namespace="996b2e75-67fd-4955-a3b0-5ab9934cb50b"/>
    <xsd:import namespace="a78d9a68-6c4a-4c31-87da-512b3834457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78d9a68-6c4a-4c31-87da-512b3834457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78d9a68-6c4a-4c31-87da-512b3834457b">DPM</DPM_x0020_Author>
    <DPM_x0020_File_x0020_name xmlns="a78d9a68-6c4a-4c31-87da-512b3834457b">T22-WTSA.24-C-0037!A40!MSW-A</DPM_x0020_File_x0020_name>
    <DPM_x0020_Version xmlns="a78d9a68-6c4a-4c31-87da-512b3834457b">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78d9a68-6c4a-4c31-87da-512b38344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78d9a68-6c4a-4c31-87da-512b3834457b"/>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1672</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T22-WTSA.24-C-0037!A40!MSW-A</vt:lpstr>
    </vt:vector>
  </TitlesOfParts>
  <Manager>General Secretariat - Pool</Manager>
  <Company>International Telecommunication Union (ITU)</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T22-WTSA.24-C-0037!A40!MSW-A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9</cp:revision>
  <cp:lastPrinted>2019-06-26T10:10:00Z</cp:lastPrinted>
  <dcterms:created xsi:type="dcterms:W3CDTF">2024-10-04T11:42:00Z</dcterms:created>
  <dcterms:modified xsi:type="dcterms:W3CDTF">2024-10-11T12:06:00Z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