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4A4F1B" w14:paraId="488CC31B" w14:textId="77777777" w:rsidTr="008E0616">
        <w:trPr>
          <w:cantSplit/>
          <w:trHeight w:val="1132"/>
        </w:trPr>
        <w:tc>
          <w:tcPr>
            <w:tcW w:w="1290" w:type="dxa"/>
            <w:vAlign w:val="center"/>
          </w:tcPr>
          <w:p w14:paraId="0F4F4161" w14:textId="77777777" w:rsidR="00D2023F" w:rsidRPr="004A4F1B" w:rsidRDefault="0018215C" w:rsidP="00EB5053">
            <w:pPr>
              <w:rPr>
                <w:lang w:val="es-ES"/>
              </w:rPr>
            </w:pPr>
            <w:r w:rsidRPr="004A4F1B">
              <w:rPr>
                <w:noProof/>
                <w:lang w:val="es-ES"/>
              </w:rPr>
              <w:drawing>
                <wp:inline distT="0" distB="0" distL="0" distR="0" wp14:anchorId="13051E1C" wp14:editId="4660E24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E8BF104" w14:textId="77777777" w:rsidR="00E610A4" w:rsidRPr="004A4F1B" w:rsidRDefault="00E610A4" w:rsidP="00E610A4">
            <w:pPr>
              <w:rPr>
                <w:rFonts w:ascii="Verdana" w:hAnsi="Verdana" w:cs="Times New Roman Bold"/>
                <w:b/>
                <w:bCs/>
                <w:szCs w:val="24"/>
                <w:lang w:val="es-ES"/>
              </w:rPr>
            </w:pPr>
            <w:r w:rsidRPr="004A4F1B">
              <w:rPr>
                <w:rFonts w:ascii="Verdana" w:hAnsi="Verdana" w:cs="Times New Roman Bold"/>
                <w:b/>
                <w:bCs/>
                <w:szCs w:val="24"/>
                <w:lang w:val="es-ES"/>
              </w:rPr>
              <w:t>Asamblea Mundial de Normalización de las Telecomunicaciones (AMNT-24)</w:t>
            </w:r>
          </w:p>
          <w:p w14:paraId="09AA0AF0" w14:textId="77777777" w:rsidR="00D2023F" w:rsidRPr="004A4F1B" w:rsidRDefault="00E610A4" w:rsidP="00E610A4">
            <w:pPr>
              <w:pStyle w:val="TopHeader"/>
              <w:spacing w:before="0"/>
              <w:rPr>
                <w:lang w:val="es-ES"/>
              </w:rPr>
            </w:pPr>
            <w:r w:rsidRPr="004A4F1B">
              <w:rPr>
                <w:sz w:val="18"/>
                <w:szCs w:val="18"/>
                <w:lang w:val="es-ES"/>
              </w:rPr>
              <w:t>Nueva Delhi, 15-24 de octubre de 2024</w:t>
            </w:r>
          </w:p>
        </w:tc>
        <w:tc>
          <w:tcPr>
            <w:tcW w:w="1306" w:type="dxa"/>
            <w:tcBorders>
              <w:left w:val="nil"/>
            </w:tcBorders>
            <w:vAlign w:val="center"/>
          </w:tcPr>
          <w:p w14:paraId="5B723CA1" w14:textId="77777777" w:rsidR="00D2023F" w:rsidRPr="004A4F1B" w:rsidRDefault="00D2023F" w:rsidP="00C30155">
            <w:pPr>
              <w:spacing w:before="0"/>
              <w:rPr>
                <w:lang w:val="es-ES"/>
              </w:rPr>
            </w:pPr>
            <w:r w:rsidRPr="004A4F1B">
              <w:rPr>
                <w:noProof/>
                <w:lang w:val="es-ES" w:eastAsia="zh-CN"/>
              </w:rPr>
              <w:drawing>
                <wp:inline distT="0" distB="0" distL="0" distR="0" wp14:anchorId="0DD589EC" wp14:editId="5418EB3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A4F1B" w14:paraId="51A07F87" w14:textId="77777777" w:rsidTr="008E0616">
        <w:trPr>
          <w:cantSplit/>
        </w:trPr>
        <w:tc>
          <w:tcPr>
            <w:tcW w:w="9811" w:type="dxa"/>
            <w:gridSpan w:val="4"/>
            <w:tcBorders>
              <w:bottom w:val="single" w:sz="12" w:space="0" w:color="auto"/>
            </w:tcBorders>
          </w:tcPr>
          <w:p w14:paraId="5B25BBBF" w14:textId="77777777" w:rsidR="00D2023F" w:rsidRPr="004A4F1B" w:rsidRDefault="00D2023F" w:rsidP="00C30155">
            <w:pPr>
              <w:spacing w:before="0"/>
              <w:rPr>
                <w:lang w:val="es-ES"/>
              </w:rPr>
            </w:pPr>
          </w:p>
        </w:tc>
      </w:tr>
      <w:tr w:rsidR="00931298" w:rsidRPr="004A4F1B" w14:paraId="614003CB" w14:textId="77777777" w:rsidTr="008E0616">
        <w:trPr>
          <w:cantSplit/>
        </w:trPr>
        <w:tc>
          <w:tcPr>
            <w:tcW w:w="6237" w:type="dxa"/>
            <w:gridSpan w:val="2"/>
            <w:tcBorders>
              <w:top w:val="single" w:sz="12" w:space="0" w:color="auto"/>
            </w:tcBorders>
          </w:tcPr>
          <w:p w14:paraId="15494286" w14:textId="77777777" w:rsidR="00931298" w:rsidRPr="004A4F1B" w:rsidRDefault="00931298" w:rsidP="00EB5053">
            <w:pPr>
              <w:spacing w:before="0"/>
              <w:rPr>
                <w:sz w:val="20"/>
                <w:lang w:val="es-ES"/>
              </w:rPr>
            </w:pPr>
          </w:p>
        </w:tc>
        <w:tc>
          <w:tcPr>
            <w:tcW w:w="3574" w:type="dxa"/>
            <w:gridSpan w:val="2"/>
          </w:tcPr>
          <w:p w14:paraId="3689D869" w14:textId="77777777" w:rsidR="00931298" w:rsidRPr="004A4F1B" w:rsidRDefault="00931298" w:rsidP="00EB5053">
            <w:pPr>
              <w:spacing w:before="0"/>
              <w:rPr>
                <w:sz w:val="20"/>
                <w:lang w:val="es-ES"/>
              </w:rPr>
            </w:pPr>
          </w:p>
        </w:tc>
      </w:tr>
      <w:tr w:rsidR="00752D4D" w:rsidRPr="004A4F1B" w14:paraId="5D83C605" w14:textId="77777777" w:rsidTr="008E0616">
        <w:trPr>
          <w:cantSplit/>
        </w:trPr>
        <w:tc>
          <w:tcPr>
            <w:tcW w:w="6237" w:type="dxa"/>
            <w:gridSpan w:val="2"/>
          </w:tcPr>
          <w:p w14:paraId="6FDE5FCE" w14:textId="77777777" w:rsidR="00752D4D" w:rsidRPr="004A4F1B" w:rsidRDefault="006C136E" w:rsidP="00C30155">
            <w:pPr>
              <w:pStyle w:val="Committee"/>
              <w:rPr>
                <w:lang w:val="es-ES"/>
              </w:rPr>
            </w:pPr>
            <w:r w:rsidRPr="004A4F1B">
              <w:rPr>
                <w:lang w:val="es-ES"/>
              </w:rPr>
              <w:t>SESIÓN PLENARIA</w:t>
            </w:r>
          </w:p>
        </w:tc>
        <w:tc>
          <w:tcPr>
            <w:tcW w:w="3574" w:type="dxa"/>
            <w:gridSpan w:val="2"/>
          </w:tcPr>
          <w:p w14:paraId="410E529A" w14:textId="77777777" w:rsidR="00752D4D" w:rsidRPr="004A4F1B" w:rsidRDefault="006C136E" w:rsidP="00A52D1A">
            <w:pPr>
              <w:pStyle w:val="Docnumber"/>
              <w:rPr>
                <w:lang w:val="es-ES"/>
              </w:rPr>
            </w:pPr>
            <w:r w:rsidRPr="004A4F1B">
              <w:rPr>
                <w:lang w:val="es-ES"/>
              </w:rPr>
              <w:t>Addéndum 39 al</w:t>
            </w:r>
            <w:r w:rsidRPr="004A4F1B">
              <w:rPr>
                <w:lang w:val="es-ES"/>
              </w:rPr>
              <w:br/>
              <w:t>Documento 37</w:t>
            </w:r>
            <w:r w:rsidR="00D34410" w:rsidRPr="004A4F1B">
              <w:rPr>
                <w:lang w:val="es-ES"/>
              </w:rPr>
              <w:t>-S</w:t>
            </w:r>
          </w:p>
        </w:tc>
      </w:tr>
      <w:tr w:rsidR="00931298" w:rsidRPr="004A4F1B" w14:paraId="6AA3610D" w14:textId="77777777" w:rsidTr="008E0616">
        <w:trPr>
          <w:cantSplit/>
        </w:trPr>
        <w:tc>
          <w:tcPr>
            <w:tcW w:w="6237" w:type="dxa"/>
            <w:gridSpan w:val="2"/>
          </w:tcPr>
          <w:p w14:paraId="2350931F" w14:textId="77777777" w:rsidR="00931298" w:rsidRPr="004A4F1B" w:rsidRDefault="00931298" w:rsidP="00C30155">
            <w:pPr>
              <w:spacing w:before="0"/>
              <w:rPr>
                <w:sz w:val="20"/>
                <w:lang w:val="es-ES"/>
              </w:rPr>
            </w:pPr>
          </w:p>
        </w:tc>
        <w:tc>
          <w:tcPr>
            <w:tcW w:w="3574" w:type="dxa"/>
            <w:gridSpan w:val="2"/>
          </w:tcPr>
          <w:p w14:paraId="6528D5EA" w14:textId="77777777" w:rsidR="00931298" w:rsidRPr="004A4F1B" w:rsidRDefault="006C136E" w:rsidP="00C30155">
            <w:pPr>
              <w:pStyle w:val="TopHeader"/>
              <w:spacing w:before="0"/>
              <w:rPr>
                <w:sz w:val="20"/>
                <w:szCs w:val="20"/>
                <w:lang w:val="es-ES"/>
              </w:rPr>
            </w:pPr>
            <w:r w:rsidRPr="004A4F1B">
              <w:rPr>
                <w:sz w:val="20"/>
                <w:szCs w:val="16"/>
                <w:lang w:val="es-ES"/>
              </w:rPr>
              <w:t>22 de septiembre de 2024</w:t>
            </w:r>
          </w:p>
        </w:tc>
      </w:tr>
      <w:tr w:rsidR="00931298" w:rsidRPr="004A4F1B" w14:paraId="53D6E838" w14:textId="77777777" w:rsidTr="008E0616">
        <w:trPr>
          <w:cantSplit/>
        </w:trPr>
        <w:tc>
          <w:tcPr>
            <w:tcW w:w="6237" w:type="dxa"/>
            <w:gridSpan w:val="2"/>
          </w:tcPr>
          <w:p w14:paraId="18CF10E8" w14:textId="77777777" w:rsidR="00931298" w:rsidRPr="004A4F1B" w:rsidRDefault="00931298" w:rsidP="00C30155">
            <w:pPr>
              <w:spacing w:before="0"/>
              <w:rPr>
                <w:sz w:val="20"/>
                <w:lang w:val="es-ES"/>
              </w:rPr>
            </w:pPr>
          </w:p>
        </w:tc>
        <w:tc>
          <w:tcPr>
            <w:tcW w:w="3574" w:type="dxa"/>
            <w:gridSpan w:val="2"/>
          </w:tcPr>
          <w:p w14:paraId="5AC85E4F" w14:textId="77777777" w:rsidR="00931298" w:rsidRPr="004A4F1B" w:rsidRDefault="006C136E" w:rsidP="00C30155">
            <w:pPr>
              <w:pStyle w:val="TopHeader"/>
              <w:spacing w:before="0"/>
              <w:rPr>
                <w:sz w:val="20"/>
                <w:szCs w:val="20"/>
                <w:lang w:val="es-ES"/>
              </w:rPr>
            </w:pPr>
            <w:r w:rsidRPr="004A4F1B">
              <w:rPr>
                <w:sz w:val="20"/>
                <w:szCs w:val="16"/>
                <w:lang w:val="es-ES"/>
              </w:rPr>
              <w:t>Original: inglés</w:t>
            </w:r>
          </w:p>
        </w:tc>
      </w:tr>
      <w:tr w:rsidR="00931298" w:rsidRPr="004A4F1B" w14:paraId="31C67F6C" w14:textId="77777777" w:rsidTr="008E0616">
        <w:trPr>
          <w:cantSplit/>
        </w:trPr>
        <w:tc>
          <w:tcPr>
            <w:tcW w:w="9811" w:type="dxa"/>
            <w:gridSpan w:val="4"/>
          </w:tcPr>
          <w:p w14:paraId="76979F48" w14:textId="77777777" w:rsidR="00931298" w:rsidRPr="004A4F1B" w:rsidRDefault="00931298" w:rsidP="00EB5053">
            <w:pPr>
              <w:spacing w:before="0"/>
              <w:rPr>
                <w:sz w:val="20"/>
                <w:lang w:val="es-ES"/>
              </w:rPr>
            </w:pPr>
          </w:p>
        </w:tc>
      </w:tr>
      <w:tr w:rsidR="00931298" w:rsidRPr="009136CA" w14:paraId="25946651" w14:textId="77777777" w:rsidTr="008E0616">
        <w:trPr>
          <w:cantSplit/>
        </w:trPr>
        <w:tc>
          <w:tcPr>
            <w:tcW w:w="9811" w:type="dxa"/>
            <w:gridSpan w:val="4"/>
          </w:tcPr>
          <w:p w14:paraId="27132C3A" w14:textId="77777777" w:rsidR="00931298" w:rsidRPr="004A4F1B" w:rsidRDefault="006C136E" w:rsidP="00C30155">
            <w:pPr>
              <w:pStyle w:val="Source"/>
              <w:rPr>
                <w:lang w:val="es-ES"/>
              </w:rPr>
            </w:pPr>
            <w:r w:rsidRPr="004A4F1B">
              <w:rPr>
                <w:lang w:val="es-ES"/>
              </w:rPr>
              <w:t>Administraciones miembro de la Telecomunidad Asia-Pacífico</w:t>
            </w:r>
          </w:p>
        </w:tc>
      </w:tr>
      <w:tr w:rsidR="00931298" w:rsidRPr="009136CA" w14:paraId="523D9060" w14:textId="77777777" w:rsidTr="008E0616">
        <w:trPr>
          <w:cantSplit/>
        </w:trPr>
        <w:tc>
          <w:tcPr>
            <w:tcW w:w="9811" w:type="dxa"/>
            <w:gridSpan w:val="4"/>
          </w:tcPr>
          <w:p w14:paraId="49260293" w14:textId="24077946" w:rsidR="00931298" w:rsidRPr="004A4F1B" w:rsidRDefault="00751DF5" w:rsidP="00C30155">
            <w:pPr>
              <w:pStyle w:val="Title1"/>
              <w:rPr>
                <w:lang w:val="es-ES"/>
              </w:rPr>
            </w:pPr>
            <w:r w:rsidRPr="004A4F1B">
              <w:rPr>
                <w:lang w:val="es-ES"/>
              </w:rPr>
              <w:t>PROYECTO DE NUEVA RESOLUCIÓN</w:t>
            </w:r>
            <w:r w:rsidR="006C136E" w:rsidRPr="004A4F1B">
              <w:rPr>
                <w:lang w:val="es-ES"/>
              </w:rPr>
              <w:t xml:space="preserve"> [APT-NG] </w:t>
            </w:r>
            <w:r w:rsidR="009136CA" w:rsidRPr="009136CA">
              <w:rPr>
                <w:lang w:val="es-ES"/>
              </w:rPr>
              <w:t>–</w:t>
            </w:r>
            <w:r w:rsidR="006C136E" w:rsidRPr="004A4F1B">
              <w:rPr>
                <w:lang w:val="es-ES"/>
              </w:rPr>
              <w:t xml:space="preserve"> </w:t>
            </w:r>
            <w:r w:rsidRPr="004A4F1B">
              <w:rPr>
                <w:lang w:val="es-ES"/>
              </w:rPr>
              <w:t>Mejora de la participación de expertos de la próxima generación en las actividades de normalización del UIT-T</w:t>
            </w:r>
          </w:p>
        </w:tc>
      </w:tr>
      <w:tr w:rsidR="00657CDA" w:rsidRPr="009136CA" w14:paraId="77303C68" w14:textId="77777777" w:rsidTr="008E0616">
        <w:trPr>
          <w:cantSplit/>
          <w:trHeight w:hRule="exact" w:val="240"/>
        </w:trPr>
        <w:tc>
          <w:tcPr>
            <w:tcW w:w="9811" w:type="dxa"/>
            <w:gridSpan w:val="4"/>
          </w:tcPr>
          <w:p w14:paraId="1ED89DF3" w14:textId="77777777" w:rsidR="00657CDA" w:rsidRPr="004A4F1B" w:rsidRDefault="00657CDA" w:rsidP="006C136E">
            <w:pPr>
              <w:pStyle w:val="Title2"/>
              <w:spacing w:before="0"/>
              <w:rPr>
                <w:lang w:val="es-ES"/>
              </w:rPr>
            </w:pPr>
          </w:p>
        </w:tc>
      </w:tr>
      <w:tr w:rsidR="00657CDA" w:rsidRPr="009136CA" w14:paraId="23BC01E3" w14:textId="77777777" w:rsidTr="008E0616">
        <w:trPr>
          <w:cantSplit/>
          <w:trHeight w:hRule="exact" w:val="240"/>
        </w:trPr>
        <w:tc>
          <w:tcPr>
            <w:tcW w:w="9811" w:type="dxa"/>
            <w:gridSpan w:val="4"/>
          </w:tcPr>
          <w:p w14:paraId="108A466A" w14:textId="77777777" w:rsidR="00657CDA" w:rsidRPr="004A4F1B" w:rsidRDefault="00657CDA" w:rsidP="00293F9A">
            <w:pPr>
              <w:pStyle w:val="Agendaitem"/>
              <w:spacing w:before="0"/>
              <w:rPr>
                <w:lang w:val="es-ES"/>
              </w:rPr>
            </w:pPr>
          </w:p>
        </w:tc>
      </w:tr>
    </w:tbl>
    <w:p w14:paraId="7EA12FD6" w14:textId="77777777" w:rsidR="00931298" w:rsidRPr="004A4F1B"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9136CA" w14:paraId="565944F8" w14:textId="77777777" w:rsidTr="008E0616">
        <w:trPr>
          <w:cantSplit/>
        </w:trPr>
        <w:tc>
          <w:tcPr>
            <w:tcW w:w="1912" w:type="dxa"/>
          </w:tcPr>
          <w:p w14:paraId="08B524CC" w14:textId="77777777" w:rsidR="00931298" w:rsidRPr="004A4F1B" w:rsidRDefault="00E610A4" w:rsidP="00C30155">
            <w:pPr>
              <w:rPr>
                <w:lang w:val="es-ES"/>
              </w:rPr>
            </w:pPr>
            <w:r w:rsidRPr="004A4F1B">
              <w:rPr>
                <w:b/>
                <w:bCs/>
                <w:lang w:val="es-ES"/>
              </w:rPr>
              <w:t>Resumen:</w:t>
            </w:r>
          </w:p>
        </w:tc>
        <w:tc>
          <w:tcPr>
            <w:tcW w:w="7870" w:type="dxa"/>
            <w:gridSpan w:val="2"/>
          </w:tcPr>
          <w:p w14:paraId="285169EC" w14:textId="3515BCD2" w:rsidR="00931298" w:rsidRPr="004A4F1B" w:rsidRDefault="00751DF5" w:rsidP="00C30155">
            <w:pPr>
              <w:pStyle w:val="Abstract"/>
              <w:rPr>
                <w:lang w:val="es-ES"/>
              </w:rPr>
            </w:pPr>
            <w:r w:rsidRPr="004A4F1B">
              <w:rPr>
                <w:color w:val="000000" w:themeColor="text1"/>
                <w:lang w:val="es-ES"/>
              </w:rPr>
              <w:t xml:space="preserve">En este documento se propone una nueva Resolución, </w:t>
            </w:r>
            <w:r w:rsidR="009136CA">
              <w:rPr>
                <w:color w:val="000000" w:themeColor="text1"/>
                <w:lang w:val="es-ES"/>
              </w:rPr>
              <w:t>"</w:t>
            </w:r>
            <w:r w:rsidRPr="004A4F1B">
              <w:rPr>
                <w:color w:val="000000" w:themeColor="text1"/>
                <w:lang w:val="es-ES"/>
              </w:rPr>
              <w:t>Mejora de la participación de expertos de la próxima generación en las actividades de normalización del UIT-T</w:t>
            </w:r>
            <w:r w:rsidR="009136CA">
              <w:rPr>
                <w:color w:val="000000" w:themeColor="text1"/>
                <w:lang w:val="es-ES"/>
              </w:rPr>
              <w:t>"</w:t>
            </w:r>
            <w:r w:rsidRPr="004A4F1B">
              <w:rPr>
                <w:color w:val="000000" w:themeColor="text1"/>
                <w:lang w:val="es-ES"/>
              </w:rPr>
              <w:t>, con el objetivo principal de promover una mayor implicación de los expertos de la próxima generación en el UIT-T</w:t>
            </w:r>
          </w:p>
        </w:tc>
      </w:tr>
      <w:tr w:rsidR="00931298" w:rsidRPr="009136CA" w14:paraId="0F7F067B" w14:textId="77777777" w:rsidTr="008E0616">
        <w:trPr>
          <w:cantSplit/>
        </w:trPr>
        <w:tc>
          <w:tcPr>
            <w:tcW w:w="1912" w:type="dxa"/>
          </w:tcPr>
          <w:p w14:paraId="39B7CDD0" w14:textId="77777777" w:rsidR="00931298" w:rsidRPr="004A4F1B" w:rsidRDefault="00E610A4" w:rsidP="00C30155">
            <w:pPr>
              <w:rPr>
                <w:b/>
                <w:bCs/>
                <w:szCs w:val="24"/>
                <w:lang w:val="es-ES"/>
              </w:rPr>
            </w:pPr>
            <w:r w:rsidRPr="004A4F1B">
              <w:rPr>
                <w:b/>
                <w:bCs/>
                <w:lang w:val="es-ES"/>
              </w:rPr>
              <w:t>Contacto:</w:t>
            </w:r>
          </w:p>
        </w:tc>
        <w:tc>
          <w:tcPr>
            <w:tcW w:w="3935" w:type="dxa"/>
          </w:tcPr>
          <w:p w14:paraId="5B5F77BB" w14:textId="6EA64B55" w:rsidR="00FE5494" w:rsidRPr="004A4F1B" w:rsidRDefault="00751DF5" w:rsidP="00E6117A">
            <w:pPr>
              <w:rPr>
                <w:lang w:val="es-ES"/>
              </w:rPr>
            </w:pPr>
            <w:r w:rsidRPr="004A4F1B">
              <w:rPr>
                <w:lang w:val="es-ES"/>
              </w:rPr>
              <w:t>Sr. Masanori Kondo</w:t>
            </w:r>
            <w:r w:rsidR="00E610A4" w:rsidRPr="004A4F1B">
              <w:rPr>
                <w:lang w:val="es-ES"/>
              </w:rPr>
              <w:br/>
            </w:r>
            <w:r w:rsidRPr="004A4F1B">
              <w:rPr>
                <w:lang w:val="es-ES"/>
              </w:rPr>
              <w:t>Secretario General</w:t>
            </w:r>
            <w:r w:rsidR="00E610A4" w:rsidRPr="004A4F1B">
              <w:rPr>
                <w:lang w:val="es-ES"/>
              </w:rPr>
              <w:br/>
            </w:r>
            <w:r w:rsidRPr="004A4F1B">
              <w:rPr>
                <w:lang w:val="es-ES"/>
              </w:rPr>
              <w:t>Telecomunidad Asia-Pacífico</w:t>
            </w:r>
          </w:p>
        </w:tc>
        <w:tc>
          <w:tcPr>
            <w:tcW w:w="3935" w:type="dxa"/>
          </w:tcPr>
          <w:p w14:paraId="78813299" w14:textId="3E7720FF" w:rsidR="00931298" w:rsidRPr="004A4F1B" w:rsidRDefault="00E610A4" w:rsidP="00E6117A">
            <w:pPr>
              <w:rPr>
                <w:lang w:val="es-ES"/>
              </w:rPr>
            </w:pPr>
            <w:r w:rsidRPr="004A4F1B">
              <w:rPr>
                <w:lang w:val="es-ES"/>
              </w:rPr>
              <w:t>Correo-e:</w:t>
            </w:r>
            <w:r w:rsidR="00751DF5" w:rsidRPr="004A4F1B">
              <w:rPr>
                <w:lang w:val="es-ES"/>
              </w:rPr>
              <w:t xml:space="preserve"> </w:t>
            </w:r>
            <w:r w:rsidR="00751DF5" w:rsidRPr="004A4F1B">
              <w:rPr>
                <w:lang w:val="es-ES"/>
              </w:rPr>
              <w:tab/>
            </w:r>
            <w:hyperlink r:id="rId14" w:history="1">
              <w:r w:rsidR="00751DF5" w:rsidRPr="004A4F1B">
                <w:rPr>
                  <w:rStyle w:val="Hyperlink"/>
                  <w:lang w:val="es-ES"/>
                </w:rPr>
                <w:t>aptwtsa@apt.int</w:t>
              </w:r>
            </w:hyperlink>
          </w:p>
        </w:tc>
      </w:tr>
    </w:tbl>
    <w:p w14:paraId="17284992" w14:textId="7DFEF403" w:rsidR="00A52D1A" w:rsidRPr="004A4F1B" w:rsidRDefault="00751DF5" w:rsidP="009136CA">
      <w:pPr>
        <w:pStyle w:val="Headingb"/>
      </w:pPr>
      <w:r w:rsidRPr="004A4F1B">
        <w:t>Introducción</w:t>
      </w:r>
    </w:p>
    <w:p w14:paraId="3715A253" w14:textId="77777777" w:rsidR="00751DF5" w:rsidRPr="004A4F1B" w:rsidRDefault="00751DF5" w:rsidP="00751DF5">
      <w:pPr>
        <w:rPr>
          <w:lang w:val="es-ES"/>
        </w:rPr>
      </w:pPr>
      <w:r w:rsidRPr="004A4F1B">
        <w:rPr>
          <w:lang w:val="es-ES"/>
        </w:rPr>
        <w:t>La estrategia para la juventud propuesta por la Oficina de Normalización de las Telecomunicaciones (TSB) reconoce el papel fundamental de la participación de la próxima generación de expertos en la formulación de las normas de telecomunicaciones/TIC.</w:t>
      </w:r>
    </w:p>
    <w:p w14:paraId="54012723" w14:textId="3AA304F6" w:rsidR="00751DF5" w:rsidRPr="004A4F1B" w:rsidRDefault="00751DF5" w:rsidP="00751DF5">
      <w:pPr>
        <w:rPr>
          <w:lang w:val="es-ES"/>
        </w:rPr>
      </w:pPr>
      <w:r w:rsidRPr="004A4F1B">
        <w:rPr>
          <w:lang w:val="es-ES"/>
        </w:rPr>
        <w:t xml:space="preserve">Actualmente, se debería seguir desarrollando y promoviendo de forma amplia los programas del UIT-T existentes, como el programa de reducción de la brecha de normalización y el programa de formación para nuevos participantes, para ayudar a los expertos de la próxima generación que no están familiarizados con las labores de normalización del UIT-T. Además, el UIT-T debería dar a conocer </w:t>
      </w:r>
      <w:r w:rsidR="000F6525" w:rsidRPr="004A4F1B">
        <w:rPr>
          <w:lang w:val="es-ES"/>
        </w:rPr>
        <w:t xml:space="preserve">tanto </w:t>
      </w:r>
      <w:r w:rsidRPr="004A4F1B">
        <w:rPr>
          <w:lang w:val="es-ES"/>
        </w:rPr>
        <w:t>su papel en la normalización a los expertos de la próxima generación</w:t>
      </w:r>
      <w:r w:rsidR="000F6525" w:rsidRPr="004A4F1B">
        <w:rPr>
          <w:lang w:val="es-ES"/>
        </w:rPr>
        <w:t xml:space="preserve"> </w:t>
      </w:r>
      <w:r w:rsidRPr="004A4F1B">
        <w:rPr>
          <w:lang w:val="es-ES"/>
        </w:rPr>
        <w:t>como la necesidad de extender las actividades de participación juvenil del UIT-T más allá de su ámbito actual.</w:t>
      </w:r>
    </w:p>
    <w:p w14:paraId="4B475383" w14:textId="516B4102" w:rsidR="00751DF5" w:rsidRPr="004A4F1B" w:rsidRDefault="00751DF5" w:rsidP="00751DF5">
      <w:pPr>
        <w:rPr>
          <w:lang w:val="es-ES"/>
        </w:rPr>
      </w:pPr>
      <w:r w:rsidRPr="004A4F1B">
        <w:rPr>
          <w:lang w:val="es-ES"/>
        </w:rPr>
        <w:t>Por consiguiente, esta propuesta de nueva resolución se centra principalmente en cómo mejorar la participación de expertos de la próxima generación en el UIT-T, en particular en las actividades de normalización.</w:t>
      </w:r>
    </w:p>
    <w:p w14:paraId="0A5BB4B7" w14:textId="77777777" w:rsidR="00751DF5" w:rsidRPr="004A4F1B" w:rsidRDefault="00751DF5" w:rsidP="009136CA">
      <w:pPr>
        <w:pStyle w:val="Headingb"/>
        <w:rPr>
          <w:b w:val="0"/>
          <w:bCs/>
          <w:lang w:val="es-ES"/>
        </w:rPr>
      </w:pPr>
      <w:r w:rsidRPr="004A4F1B">
        <w:rPr>
          <w:bCs/>
          <w:lang w:val="es-ES"/>
        </w:rPr>
        <w:t>Propuesta</w:t>
      </w:r>
    </w:p>
    <w:p w14:paraId="38E41DE3" w14:textId="7B308813" w:rsidR="00751DF5" w:rsidRPr="004A4F1B" w:rsidRDefault="00751DF5" w:rsidP="00751DF5">
      <w:pPr>
        <w:rPr>
          <w:lang w:val="es-ES"/>
        </w:rPr>
      </w:pPr>
      <w:r w:rsidRPr="004A4F1B">
        <w:rPr>
          <w:lang w:val="es-ES"/>
        </w:rPr>
        <w:t>Habida cuenta de la introducción anterior, las administraciones de los Estados miembros de la APT proponen una nueva Resolución sobre Mejora de la participación de expertos de la próxima generación en las actividades de normalización del UIT-T.</w:t>
      </w:r>
    </w:p>
    <w:p w14:paraId="7F9B11F2" w14:textId="77777777" w:rsidR="00931298" w:rsidRPr="004A4F1B" w:rsidRDefault="009F4801" w:rsidP="00961DA9">
      <w:pPr>
        <w:tabs>
          <w:tab w:val="clear" w:pos="1134"/>
          <w:tab w:val="clear" w:pos="1871"/>
          <w:tab w:val="clear" w:pos="2268"/>
        </w:tabs>
        <w:overflowPunct/>
        <w:autoSpaceDE/>
        <w:autoSpaceDN/>
        <w:adjustRightInd/>
        <w:spacing w:before="0"/>
        <w:textAlignment w:val="auto"/>
        <w:rPr>
          <w:lang w:val="es-ES"/>
        </w:rPr>
      </w:pPr>
      <w:r w:rsidRPr="004A4F1B">
        <w:rPr>
          <w:lang w:val="es-ES"/>
        </w:rPr>
        <w:br w:type="page"/>
      </w:r>
    </w:p>
    <w:p w14:paraId="7B0C5BAF" w14:textId="77777777" w:rsidR="00A44B23" w:rsidRPr="004A4F1B" w:rsidRDefault="00E409AA">
      <w:pPr>
        <w:pStyle w:val="Proposal"/>
        <w:rPr>
          <w:lang w:val="es-ES"/>
        </w:rPr>
      </w:pPr>
      <w:r w:rsidRPr="004A4F1B">
        <w:rPr>
          <w:lang w:val="es-ES"/>
        </w:rPr>
        <w:lastRenderedPageBreak/>
        <w:t>ADD</w:t>
      </w:r>
      <w:r w:rsidRPr="004A4F1B">
        <w:rPr>
          <w:lang w:val="es-ES"/>
        </w:rPr>
        <w:tab/>
        <w:t>APT/37A39/1</w:t>
      </w:r>
    </w:p>
    <w:p w14:paraId="242642A2" w14:textId="24561408" w:rsidR="00A44B23" w:rsidRPr="009136CA" w:rsidRDefault="00E409AA">
      <w:pPr>
        <w:pStyle w:val="ResNo"/>
        <w:rPr>
          <w:lang w:val="es-ES"/>
        </w:rPr>
      </w:pPr>
      <w:r w:rsidRPr="004A4F1B">
        <w:rPr>
          <w:lang w:val="es-ES"/>
        </w:rPr>
        <w:t>PROYECTO DE NUEVA RESOLUCIÓN [APT-NG]</w:t>
      </w:r>
      <w:r w:rsidR="009136CA">
        <w:rPr>
          <w:lang w:val="es-ES"/>
        </w:rPr>
        <w:t xml:space="preserve"> </w:t>
      </w:r>
      <w:r w:rsidR="009136CA" w:rsidRPr="009136CA">
        <w:rPr>
          <w:lang w:val="es-ES"/>
        </w:rPr>
        <w:t>(</w:t>
      </w:r>
      <w:r w:rsidR="009136CA">
        <w:rPr>
          <w:bCs/>
          <w:caps w:val="0"/>
          <w:lang w:val="es-ES"/>
        </w:rPr>
        <w:t>Nueva Delhi, 2024</w:t>
      </w:r>
      <w:r w:rsidR="009136CA">
        <w:rPr>
          <w:bCs/>
          <w:caps w:val="0"/>
          <w:lang w:val="es-ES"/>
        </w:rPr>
        <w:t>)</w:t>
      </w:r>
    </w:p>
    <w:p w14:paraId="657308F0" w14:textId="59BD47BB" w:rsidR="00751DF5" w:rsidRPr="004A4F1B" w:rsidRDefault="00751DF5" w:rsidP="00751DF5">
      <w:pPr>
        <w:pStyle w:val="Restitle"/>
        <w:rPr>
          <w:lang w:val="es-ES"/>
        </w:rPr>
      </w:pPr>
      <w:r w:rsidRPr="004A4F1B">
        <w:rPr>
          <w:lang w:val="es-ES"/>
        </w:rPr>
        <w:t>Mejora de la participación de expertos de la próxima generación en las actividades de normalización del UIT-T</w:t>
      </w:r>
    </w:p>
    <w:p w14:paraId="092ACA6A" w14:textId="49E49A58" w:rsidR="00751DF5" w:rsidRPr="004A4F1B" w:rsidRDefault="00751DF5" w:rsidP="00751DF5">
      <w:pPr>
        <w:pStyle w:val="Resref"/>
        <w:rPr>
          <w:lang w:val="es-ES" w:eastAsia="zh-CN"/>
        </w:rPr>
      </w:pPr>
      <w:r w:rsidRPr="004A4F1B">
        <w:rPr>
          <w:lang w:val="es-ES"/>
        </w:rPr>
        <w:t>(Nueva Delhi, 2024)</w:t>
      </w:r>
    </w:p>
    <w:p w14:paraId="49A3F536" w14:textId="6CF516E7" w:rsidR="00751DF5" w:rsidRPr="004A4F1B" w:rsidRDefault="00751DF5" w:rsidP="00751DF5">
      <w:pPr>
        <w:pStyle w:val="Normalaftertitle"/>
        <w:rPr>
          <w:lang w:val="es-ES" w:eastAsia="zh-CN"/>
        </w:rPr>
      </w:pPr>
      <w:r w:rsidRPr="004A4F1B">
        <w:rPr>
          <w:lang w:val="es-ES" w:eastAsia="zh-CN"/>
        </w:rPr>
        <w:t xml:space="preserve">La Asamblea Mundial de Normalización de las Telecomunicaciones (Nueva </w:t>
      </w:r>
      <w:r w:rsidRPr="004A4F1B">
        <w:rPr>
          <w:lang w:val="es-ES"/>
        </w:rPr>
        <w:t>Delhi</w:t>
      </w:r>
      <w:r w:rsidRPr="004A4F1B">
        <w:rPr>
          <w:lang w:val="es-ES" w:eastAsia="zh-CN"/>
        </w:rPr>
        <w:t>, 2024),</w:t>
      </w:r>
    </w:p>
    <w:p w14:paraId="3202F501" w14:textId="731E56D9" w:rsidR="00751DF5" w:rsidRPr="004A4F1B" w:rsidRDefault="00751DF5" w:rsidP="00751DF5">
      <w:pPr>
        <w:pStyle w:val="Call"/>
        <w:rPr>
          <w:lang w:val="es-ES" w:eastAsia="zh-CN"/>
        </w:rPr>
      </w:pPr>
      <w:r w:rsidRPr="004A4F1B">
        <w:rPr>
          <w:lang w:val="es-ES" w:eastAsia="zh-CN"/>
        </w:rPr>
        <w:t>recordando</w:t>
      </w:r>
    </w:p>
    <w:p w14:paraId="367DFFC8" w14:textId="467C9397" w:rsidR="00751DF5" w:rsidRPr="004A4F1B" w:rsidRDefault="00751DF5" w:rsidP="00751DF5">
      <w:pPr>
        <w:rPr>
          <w:lang w:val="es-ES" w:eastAsia="zh-CN"/>
        </w:rPr>
      </w:pPr>
      <w:r w:rsidRPr="004A4F1B">
        <w:rPr>
          <w:i/>
          <w:iCs/>
          <w:lang w:val="es-ES" w:eastAsia="zh-CN"/>
        </w:rPr>
        <w:t>a)</w:t>
      </w:r>
      <w:r w:rsidRPr="004A4F1B">
        <w:rPr>
          <w:lang w:val="es-ES" w:eastAsia="zh-CN"/>
        </w:rPr>
        <w:tab/>
        <w:t xml:space="preserve">el número 13 del Artículo 1 de la Constitución de la UIT, que establece que la Unión facilitará, en particular, la normalización mundial de las telecomunicaciones con una calidad de servicio satisfactoria; </w:t>
      </w:r>
    </w:p>
    <w:p w14:paraId="1ACA5C06" w14:textId="13121424" w:rsidR="00751DF5" w:rsidRPr="004A4F1B" w:rsidRDefault="00751DF5" w:rsidP="00751DF5">
      <w:pPr>
        <w:rPr>
          <w:lang w:val="es-ES" w:eastAsia="zh-CN"/>
        </w:rPr>
      </w:pPr>
      <w:r w:rsidRPr="004A4F1B">
        <w:rPr>
          <w:i/>
          <w:iCs/>
          <w:lang w:val="es-ES" w:eastAsia="zh-CN"/>
        </w:rPr>
        <w:t>b)</w:t>
      </w:r>
      <w:r w:rsidRPr="004A4F1B">
        <w:rPr>
          <w:lang w:val="es-ES" w:eastAsia="zh-CN"/>
        </w:rPr>
        <w:tab/>
        <w:t>la Resolución 198 (Rev. Bucarest, 2022, de la Conferencia de Plenipotenciarios, en la que se reconoce la Estrategia para la Juventud de la UIT, adoptada por los Miembros de la UIT durante la 25ª reunión del Grupo Asesor de Desarrollo de las Telecomunicaciones (junio de 2020), que se ajusta a la Estrategia de las Naciones Unidas para la Juventud, Juventud 2030, y fomenta la implicación efectiva de los jóvenes en el desarrollo digital;</w:t>
      </w:r>
    </w:p>
    <w:p w14:paraId="603906C7" w14:textId="459CF7EF" w:rsidR="00751DF5" w:rsidRPr="004A4F1B" w:rsidRDefault="00751DF5" w:rsidP="00751DF5">
      <w:pPr>
        <w:rPr>
          <w:lang w:val="es-ES" w:eastAsia="zh-CN"/>
        </w:rPr>
      </w:pPr>
      <w:r w:rsidRPr="004A4F1B">
        <w:rPr>
          <w:i/>
          <w:iCs/>
          <w:lang w:val="es-ES" w:eastAsia="zh-CN"/>
        </w:rPr>
        <w:t>c)</w:t>
      </w:r>
      <w:r w:rsidRPr="004A4F1B">
        <w:rPr>
          <w:lang w:val="es-ES" w:eastAsia="zh-CN"/>
        </w:rPr>
        <w:tab/>
        <w:t>la Resolución 76 (Rev. Kigali, 2022) de la Conferencia Mundial de Desarrollo de las Telecomunicaciones, en la que se reconoce la necesidad de promover las tecnologías de la información y la comunicación entre los hombres y mujeres jóvenes para su emancipación social y económica,</w:t>
      </w:r>
    </w:p>
    <w:p w14:paraId="06C5EDC4" w14:textId="123A63A3" w:rsidR="00751DF5" w:rsidRPr="004A4F1B" w:rsidRDefault="00751DF5" w:rsidP="00751DF5">
      <w:pPr>
        <w:rPr>
          <w:lang w:val="es-ES" w:eastAsia="zh-CN"/>
        </w:rPr>
      </w:pPr>
      <w:r w:rsidRPr="004A4F1B">
        <w:rPr>
          <w:i/>
          <w:iCs/>
          <w:lang w:val="es-ES" w:eastAsia="zh-CN"/>
        </w:rPr>
        <w:t>d)</w:t>
      </w:r>
      <w:r w:rsidRPr="004A4F1B">
        <w:rPr>
          <w:lang w:val="es-ES" w:eastAsia="zh-CN"/>
        </w:rPr>
        <w:tab/>
        <w:t>la Resolución 123 (Rev. Bucarest, 2022) de la Conferencia de Plenipotenciarios y la Resolución 44 (Rev. Ginebra, 2022) de la presente Asamblea, en la que se reconoce que la reducción de la brecha de normalización es un trabajo en curso;</w:t>
      </w:r>
    </w:p>
    <w:p w14:paraId="723F3A23" w14:textId="1B102601" w:rsidR="00751DF5" w:rsidRPr="004A4F1B" w:rsidRDefault="00751DF5" w:rsidP="00751DF5">
      <w:pPr>
        <w:rPr>
          <w:lang w:val="es-ES" w:eastAsia="zh-CN"/>
        </w:rPr>
      </w:pPr>
      <w:r w:rsidRPr="004A4F1B">
        <w:rPr>
          <w:i/>
          <w:iCs/>
          <w:lang w:val="es-ES" w:eastAsia="zh-CN"/>
        </w:rPr>
        <w:t>e)</w:t>
      </w:r>
      <w:r w:rsidRPr="004A4F1B">
        <w:rPr>
          <w:lang w:val="es-ES" w:eastAsia="zh-CN"/>
        </w:rPr>
        <w:tab/>
        <w:t>la Resolución 34 (Rev. Ginebra, 2022) de esta Asamblea, en la que se reconoce que las contribuciones voluntarias son instrumentos eficientes para financiar las actividades adicionales del Sector,</w:t>
      </w:r>
    </w:p>
    <w:p w14:paraId="7EA64AEB" w14:textId="65777CED" w:rsidR="00751DF5" w:rsidRPr="004A4F1B" w:rsidRDefault="00751DF5" w:rsidP="00751DF5">
      <w:pPr>
        <w:pStyle w:val="Call"/>
        <w:rPr>
          <w:lang w:val="es-ES"/>
        </w:rPr>
      </w:pPr>
      <w:r w:rsidRPr="004A4F1B">
        <w:rPr>
          <w:lang w:val="es-ES"/>
        </w:rPr>
        <w:t>reconociendo</w:t>
      </w:r>
    </w:p>
    <w:p w14:paraId="4C952377" w14:textId="6094C005" w:rsidR="00751DF5" w:rsidRPr="004A4F1B" w:rsidRDefault="00751DF5" w:rsidP="00751DF5">
      <w:pPr>
        <w:rPr>
          <w:rFonts w:eastAsia="SimSun"/>
          <w:lang w:val="es-ES" w:eastAsia="zh-CN"/>
        </w:rPr>
      </w:pPr>
      <w:r w:rsidRPr="004A4F1B">
        <w:rPr>
          <w:i/>
          <w:iCs/>
          <w:lang w:val="es-ES" w:eastAsia="zh-CN"/>
        </w:rPr>
        <w:t>a)</w:t>
      </w:r>
      <w:r w:rsidRPr="004A4F1B">
        <w:rPr>
          <w:rFonts w:eastAsia="SimSun"/>
          <w:lang w:val="es-ES" w:eastAsia="zh-CN"/>
        </w:rPr>
        <w:tab/>
        <w:t xml:space="preserve">que entre los expertos de la próxima generación no sólo figuran jóvenes profesionales dispuestos a participar en la normalización, sino también profesionales experimentados que tienen interés por </w:t>
      </w:r>
      <w:r w:rsidR="000F6525" w:rsidRPr="004A4F1B">
        <w:rPr>
          <w:rFonts w:eastAsia="SimSun"/>
          <w:lang w:val="es-ES" w:eastAsia="zh-CN"/>
        </w:rPr>
        <w:t>este tema</w:t>
      </w:r>
      <w:r w:rsidRPr="004A4F1B">
        <w:rPr>
          <w:rFonts w:eastAsia="SimSun"/>
          <w:lang w:val="es-ES" w:eastAsia="zh-CN"/>
        </w:rPr>
        <w:t xml:space="preserve">; </w:t>
      </w:r>
    </w:p>
    <w:p w14:paraId="107E5D15" w14:textId="72121053" w:rsidR="00751DF5" w:rsidRPr="004A4F1B" w:rsidRDefault="00751DF5" w:rsidP="00751DF5">
      <w:pPr>
        <w:rPr>
          <w:lang w:val="es-ES" w:eastAsia="zh-CN"/>
        </w:rPr>
      </w:pPr>
      <w:r w:rsidRPr="004A4F1B">
        <w:rPr>
          <w:i/>
          <w:iCs/>
          <w:lang w:val="es-ES" w:eastAsia="zh-CN"/>
        </w:rPr>
        <w:t>b)</w:t>
      </w:r>
      <w:r w:rsidRPr="004A4F1B">
        <w:rPr>
          <w:lang w:val="es-ES" w:eastAsia="zh-CN"/>
        </w:rPr>
        <w:t xml:space="preserve"> </w:t>
      </w:r>
      <w:r w:rsidRPr="004A4F1B">
        <w:rPr>
          <w:lang w:val="es-ES" w:eastAsia="zh-CN"/>
        </w:rPr>
        <w:tab/>
        <w:t>que los expertos de la próxima generación son nativos digitales y pueden ser importantes promotores de las tecnologías de la información y la comunicación (TIC) e impulsores del progreso en todo el mundo;</w:t>
      </w:r>
    </w:p>
    <w:p w14:paraId="5AC5A1BB" w14:textId="364573CA" w:rsidR="00751DF5" w:rsidRPr="004A4F1B" w:rsidRDefault="00751DF5" w:rsidP="00751DF5">
      <w:pPr>
        <w:rPr>
          <w:rFonts w:eastAsia="SimSun"/>
          <w:lang w:val="es-ES" w:eastAsia="zh-CN"/>
        </w:rPr>
      </w:pPr>
      <w:r w:rsidRPr="004A4F1B">
        <w:rPr>
          <w:i/>
          <w:iCs/>
          <w:lang w:val="es-ES" w:eastAsia="zh-CN"/>
        </w:rPr>
        <w:t>c)</w:t>
      </w:r>
      <w:r w:rsidRPr="004A4F1B">
        <w:rPr>
          <w:lang w:val="es-ES" w:eastAsia="zh-CN"/>
        </w:rPr>
        <w:tab/>
        <w:t>que la estrategia para la juventud propuesta por la Oficina de Normalización de las Telecomunicaciones debe ser coherente con la Resolución 198 (Rev. Bucarest, 2022) de la Conferencia de Plenipotenciarios y la Estrategia para la Juventud de la UIT, y reconocer la decisiva contribución de los expertos de la próxima generación a la definición de las normas de telecomunicaciones/TIC</w:t>
      </w:r>
      <w:r w:rsidRPr="004A4F1B">
        <w:rPr>
          <w:rFonts w:eastAsia="SimSun"/>
          <w:lang w:val="es-ES" w:eastAsia="zh-CN"/>
        </w:rPr>
        <w:t>;</w:t>
      </w:r>
    </w:p>
    <w:p w14:paraId="6ADA5820" w14:textId="2A43280E" w:rsidR="00751DF5" w:rsidRPr="004A4F1B" w:rsidRDefault="00751DF5" w:rsidP="00751DF5">
      <w:pPr>
        <w:rPr>
          <w:rFonts w:eastAsia="SimSun"/>
          <w:lang w:val="es-ES" w:eastAsia="zh-CN"/>
        </w:rPr>
      </w:pPr>
      <w:r w:rsidRPr="004A4F1B">
        <w:rPr>
          <w:i/>
          <w:iCs/>
          <w:lang w:val="es-ES" w:eastAsia="zh-CN"/>
        </w:rPr>
        <w:t>d)</w:t>
      </w:r>
      <w:r w:rsidRPr="004A4F1B">
        <w:rPr>
          <w:lang w:val="es-ES"/>
        </w:rPr>
        <w:tab/>
        <w:t xml:space="preserve">que la brecha de normalización no solo </w:t>
      </w:r>
      <w:r w:rsidR="007D0EEF" w:rsidRPr="004A4F1B">
        <w:rPr>
          <w:lang w:val="es-ES"/>
        </w:rPr>
        <w:t>divide</w:t>
      </w:r>
      <w:r w:rsidRPr="004A4F1B">
        <w:rPr>
          <w:lang w:val="es-ES"/>
        </w:rPr>
        <w:t xml:space="preserve"> a los países en desarrollo </w:t>
      </w:r>
      <w:r w:rsidR="000F6525" w:rsidRPr="004A4F1B">
        <w:rPr>
          <w:lang w:val="es-ES"/>
        </w:rPr>
        <w:t xml:space="preserve">y a </w:t>
      </w:r>
      <w:r w:rsidRPr="004A4F1B">
        <w:rPr>
          <w:lang w:val="es-ES"/>
        </w:rPr>
        <w:t xml:space="preserve">los países desarrollados, sino también a </w:t>
      </w:r>
      <w:r w:rsidR="001910BB" w:rsidRPr="004A4F1B">
        <w:rPr>
          <w:lang w:val="es-ES"/>
        </w:rPr>
        <w:t xml:space="preserve">las </w:t>
      </w:r>
      <w:r w:rsidRPr="004A4F1B">
        <w:rPr>
          <w:lang w:val="es-ES"/>
        </w:rPr>
        <w:t>generaciones</w:t>
      </w:r>
      <w:r w:rsidRPr="004A4F1B">
        <w:rPr>
          <w:rFonts w:eastAsia="SimSun"/>
          <w:lang w:val="es-ES" w:eastAsia="zh-CN"/>
        </w:rPr>
        <w:t>;</w:t>
      </w:r>
    </w:p>
    <w:p w14:paraId="5573B19E" w14:textId="7B1A83B7" w:rsidR="00751DF5" w:rsidRPr="004A4F1B" w:rsidRDefault="00751DF5" w:rsidP="00751DF5">
      <w:pPr>
        <w:rPr>
          <w:lang w:val="es-ES" w:eastAsia="zh-CN"/>
        </w:rPr>
      </w:pPr>
      <w:r w:rsidRPr="004A4F1B">
        <w:rPr>
          <w:i/>
          <w:iCs/>
          <w:lang w:val="es-ES" w:eastAsia="zh-CN"/>
        </w:rPr>
        <w:t>e)</w:t>
      </w:r>
      <w:r w:rsidRPr="004A4F1B">
        <w:rPr>
          <w:lang w:val="es-ES" w:eastAsia="zh-CN"/>
        </w:rPr>
        <w:tab/>
        <w:t>la importancia de animar a los jóvenes de los países en desarrollo a que participen activamente en las actividades del UIT-T;</w:t>
      </w:r>
    </w:p>
    <w:p w14:paraId="5271ED1D" w14:textId="5C55EF2F" w:rsidR="00751DF5" w:rsidRPr="004A4F1B" w:rsidRDefault="00751DF5" w:rsidP="00751DF5">
      <w:pPr>
        <w:rPr>
          <w:rFonts w:eastAsia="SimSun"/>
          <w:lang w:val="es-ES" w:eastAsia="zh-CN"/>
        </w:rPr>
      </w:pPr>
      <w:r w:rsidRPr="004A4F1B">
        <w:rPr>
          <w:i/>
          <w:iCs/>
          <w:lang w:val="es-ES" w:eastAsia="zh-CN"/>
        </w:rPr>
        <w:lastRenderedPageBreak/>
        <w:t>f)</w:t>
      </w:r>
      <w:r w:rsidRPr="004A4F1B">
        <w:rPr>
          <w:lang w:val="es-ES"/>
        </w:rPr>
        <w:tab/>
        <w:t>que, a diferencia de otras carreras, no todos los expertos de la próxima generación conciben la normalización como una prioridad profesional ni reciben formación suficiente en este ámbito</w:t>
      </w:r>
      <w:r w:rsidRPr="004A4F1B">
        <w:rPr>
          <w:rFonts w:eastAsia="SimSun"/>
          <w:lang w:val="es-ES" w:eastAsia="zh-CN"/>
        </w:rPr>
        <w:t>;</w:t>
      </w:r>
    </w:p>
    <w:p w14:paraId="77A24EE5" w14:textId="6C69BD83" w:rsidR="00751DF5" w:rsidRPr="004A4F1B" w:rsidRDefault="00751DF5" w:rsidP="00751DF5">
      <w:pPr>
        <w:rPr>
          <w:lang w:val="es-ES" w:eastAsia="zh-CN"/>
        </w:rPr>
      </w:pPr>
      <w:r w:rsidRPr="004A4F1B">
        <w:rPr>
          <w:i/>
          <w:iCs/>
          <w:lang w:val="es-ES" w:eastAsia="zh-CN"/>
        </w:rPr>
        <w:t>g)</w:t>
      </w:r>
      <w:r w:rsidRPr="004A4F1B">
        <w:rPr>
          <w:lang w:val="es-ES" w:eastAsia="zh-CN"/>
        </w:rPr>
        <w:tab/>
        <w:t>que, para alentar la participación de la próxima generación de expertos en las labores de normalización, puede ser necesario proporcionar capacitación;</w:t>
      </w:r>
    </w:p>
    <w:p w14:paraId="28B98D78" w14:textId="56FB1F20" w:rsidR="00751DF5" w:rsidRPr="004A4F1B" w:rsidRDefault="00751DF5" w:rsidP="00751DF5">
      <w:pPr>
        <w:rPr>
          <w:lang w:val="es-ES" w:eastAsia="zh-CN"/>
        </w:rPr>
      </w:pPr>
      <w:r w:rsidRPr="004A4F1B">
        <w:rPr>
          <w:i/>
          <w:iCs/>
          <w:lang w:val="es-ES" w:eastAsia="zh-CN"/>
        </w:rPr>
        <w:t>h)</w:t>
      </w:r>
      <w:r w:rsidRPr="004A4F1B">
        <w:rPr>
          <w:lang w:val="es-ES" w:eastAsia="zh-CN"/>
        </w:rPr>
        <w:tab/>
        <w:t>que las organizaciones de normalización han puesto en marcha programas para jóvenes profesionales a fin de dar a conocer la normalización entre los expertos de la próxima generación,</w:t>
      </w:r>
    </w:p>
    <w:p w14:paraId="71750C2F" w14:textId="170536B4" w:rsidR="00751DF5" w:rsidRPr="004A4F1B" w:rsidRDefault="00751DF5" w:rsidP="00751DF5">
      <w:pPr>
        <w:pStyle w:val="Call"/>
        <w:rPr>
          <w:lang w:val="es-ES"/>
        </w:rPr>
      </w:pPr>
      <w:r w:rsidRPr="004A4F1B">
        <w:rPr>
          <w:lang w:val="es-ES"/>
        </w:rPr>
        <w:t>reconociendo además</w:t>
      </w:r>
    </w:p>
    <w:p w14:paraId="32614DE1" w14:textId="0993413D" w:rsidR="00751DF5" w:rsidRPr="004A4F1B" w:rsidRDefault="00751DF5" w:rsidP="00751DF5">
      <w:pPr>
        <w:rPr>
          <w:rFonts w:eastAsia="SimSun"/>
          <w:lang w:val="es-ES" w:eastAsia="zh-CN"/>
        </w:rPr>
      </w:pPr>
      <w:r w:rsidRPr="004A4F1B">
        <w:rPr>
          <w:i/>
          <w:iCs/>
          <w:lang w:val="es-ES" w:eastAsia="zh-CN"/>
        </w:rPr>
        <w:t>a)</w:t>
      </w:r>
      <w:r w:rsidRPr="004A4F1B">
        <w:rPr>
          <w:lang w:val="es-ES" w:eastAsia="zh-CN"/>
        </w:rPr>
        <w:tab/>
      </w:r>
      <w:r w:rsidRPr="004A4F1B">
        <w:rPr>
          <w:lang w:val="es-ES"/>
        </w:rPr>
        <w:t>que se debería</w:t>
      </w:r>
      <w:r w:rsidR="007D0EEF" w:rsidRPr="004A4F1B">
        <w:rPr>
          <w:lang w:val="es-ES"/>
        </w:rPr>
        <w:t>n</w:t>
      </w:r>
      <w:r w:rsidRPr="004A4F1B">
        <w:rPr>
          <w:lang w:val="es-ES"/>
        </w:rPr>
        <w:t xml:space="preserve"> seguir desarrollando y promoviendo de forma amplia las conferencias académicas Caleidoscopio para </w:t>
      </w:r>
      <w:r w:rsidR="007D0EEF" w:rsidRPr="004A4F1B">
        <w:rPr>
          <w:lang w:val="es-ES"/>
        </w:rPr>
        <w:t>atraer a</w:t>
      </w:r>
      <w:r w:rsidRPr="004A4F1B">
        <w:rPr>
          <w:lang w:val="es-ES"/>
        </w:rPr>
        <w:t xml:space="preserve"> las Instituciones Académicas </w:t>
      </w:r>
      <w:r w:rsidR="007D0EEF" w:rsidRPr="004A4F1B">
        <w:rPr>
          <w:lang w:val="es-ES"/>
        </w:rPr>
        <w:t xml:space="preserve">a </w:t>
      </w:r>
      <w:r w:rsidRPr="004A4F1B">
        <w:rPr>
          <w:lang w:val="es-ES"/>
        </w:rPr>
        <w:t xml:space="preserve">las actividades de normalización del UIT-T; </w:t>
      </w:r>
    </w:p>
    <w:p w14:paraId="59F56C4E" w14:textId="37BDEE8C" w:rsidR="00751DF5" w:rsidRPr="004A4F1B" w:rsidRDefault="00751DF5" w:rsidP="00751DF5">
      <w:pPr>
        <w:rPr>
          <w:rFonts w:eastAsia="SimSun"/>
          <w:lang w:val="es-ES" w:eastAsia="zh-CN"/>
        </w:rPr>
      </w:pPr>
      <w:r w:rsidRPr="004A4F1B">
        <w:rPr>
          <w:i/>
          <w:iCs/>
          <w:lang w:val="es-ES" w:eastAsia="zh-CN"/>
        </w:rPr>
        <w:t>b)</w:t>
      </w:r>
      <w:r w:rsidRPr="004A4F1B">
        <w:rPr>
          <w:lang w:val="es-ES" w:eastAsia="zh-CN"/>
        </w:rPr>
        <w:tab/>
      </w:r>
      <w:r w:rsidRPr="004A4F1B">
        <w:rPr>
          <w:lang w:val="es-ES"/>
        </w:rPr>
        <w:t>los programas del UIT-T existentes, como el programa de reducción de la brecha de normalización y el programa de formación para nuevos participantes;</w:t>
      </w:r>
    </w:p>
    <w:p w14:paraId="3748D5B0" w14:textId="34A4796C" w:rsidR="00751DF5" w:rsidRPr="004A4F1B" w:rsidRDefault="00751DF5" w:rsidP="00751DF5">
      <w:pPr>
        <w:rPr>
          <w:lang w:val="es-ES" w:eastAsia="zh-CN"/>
        </w:rPr>
      </w:pPr>
      <w:r w:rsidRPr="004A4F1B">
        <w:rPr>
          <w:i/>
          <w:iCs/>
          <w:lang w:val="es-ES" w:eastAsia="zh-CN"/>
        </w:rPr>
        <w:t>c)</w:t>
      </w:r>
      <w:r w:rsidRPr="004A4F1B">
        <w:rPr>
          <w:lang w:val="es-ES" w:eastAsia="zh-CN"/>
        </w:rPr>
        <w:tab/>
        <w:t>que el UIT-T debería dar a conocer</w:t>
      </w:r>
      <w:r w:rsidR="007D0EEF" w:rsidRPr="004A4F1B">
        <w:rPr>
          <w:lang w:val="es-ES" w:eastAsia="zh-CN"/>
        </w:rPr>
        <w:t xml:space="preserve"> tanto</w:t>
      </w:r>
      <w:r w:rsidRPr="004A4F1B">
        <w:rPr>
          <w:lang w:val="es-ES" w:eastAsia="zh-CN"/>
        </w:rPr>
        <w:t xml:space="preserve"> su papel en la normalización a los expertos de la próxima generación</w:t>
      </w:r>
      <w:r w:rsidR="007D0EEF" w:rsidRPr="004A4F1B">
        <w:rPr>
          <w:lang w:val="es-ES" w:eastAsia="zh-CN"/>
        </w:rPr>
        <w:t xml:space="preserve"> </w:t>
      </w:r>
      <w:r w:rsidRPr="004A4F1B">
        <w:rPr>
          <w:lang w:val="es-ES" w:eastAsia="zh-CN"/>
        </w:rPr>
        <w:t>como la necesidad de extender las actividades de participación juvenil del UIT-T más allá de su ámbito actual,</w:t>
      </w:r>
    </w:p>
    <w:p w14:paraId="003A8341" w14:textId="7FD9020A" w:rsidR="00751DF5" w:rsidRPr="004A4F1B" w:rsidRDefault="00751DF5" w:rsidP="00751DF5">
      <w:pPr>
        <w:pStyle w:val="Call"/>
        <w:rPr>
          <w:lang w:val="es-ES"/>
        </w:rPr>
      </w:pPr>
      <w:r w:rsidRPr="004A4F1B">
        <w:rPr>
          <w:lang w:val="es-ES"/>
        </w:rPr>
        <w:t>resuelve</w:t>
      </w:r>
    </w:p>
    <w:p w14:paraId="5FC9FE92" w14:textId="7EC3739B" w:rsidR="00751DF5" w:rsidRPr="004A4F1B" w:rsidRDefault="00751DF5" w:rsidP="00751DF5">
      <w:pPr>
        <w:rPr>
          <w:lang w:val="es-ES" w:eastAsia="zh-CN"/>
        </w:rPr>
      </w:pPr>
      <w:r w:rsidRPr="004A4F1B">
        <w:rPr>
          <w:lang w:val="es-ES" w:eastAsia="zh-CN"/>
        </w:rPr>
        <w:t>1</w:t>
      </w:r>
      <w:r w:rsidRPr="004A4F1B">
        <w:rPr>
          <w:lang w:val="es-ES" w:eastAsia="zh-CN"/>
        </w:rPr>
        <w:tab/>
        <w:t xml:space="preserve">que el UIT-T promueva la implicación y participación de expertos de la próxima generación en su labor; </w:t>
      </w:r>
    </w:p>
    <w:p w14:paraId="63381C74" w14:textId="20170D5F" w:rsidR="00751DF5" w:rsidRPr="004A4F1B" w:rsidRDefault="00751DF5" w:rsidP="00751DF5">
      <w:pPr>
        <w:rPr>
          <w:lang w:val="es-ES" w:eastAsia="zh-CN"/>
        </w:rPr>
      </w:pPr>
      <w:r w:rsidRPr="004A4F1B">
        <w:rPr>
          <w:lang w:val="es-ES" w:eastAsia="zh-CN"/>
        </w:rPr>
        <w:t>2</w:t>
      </w:r>
      <w:r w:rsidRPr="004A4F1B">
        <w:rPr>
          <w:lang w:val="es-ES" w:eastAsia="zh-CN"/>
        </w:rPr>
        <w:tab/>
        <w:t>que el UIT-T promueva el concepto general y los conocimientos básicos de normalización de las telecomunicaciones/TIC entre las instituciones académicas, incluida la utilización de plataformas digitales, para fomentar la participación de expertos de la próxima generación en las actividades de normalización;</w:t>
      </w:r>
    </w:p>
    <w:p w14:paraId="7AA86834" w14:textId="5AACDD95" w:rsidR="00751DF5" w:rsidRPr="004A4F1B" w:rsidRDefault="00751DF5" w:rsidP="00751DF5">
      <w:pPr>
        <w:rPr>
          <w:lang w:val="es-ES" w:eastAsia="zh-CN"/>
        </w:rPr>
      </w:pPr>
      <w:r w:rsidRPr="004A4F1B">
        <w:rPr>
          <w:lang w:val="es-ES" w:eastAsia="zh-CN"/>
        </w:rPr>
        <w:t>3</w:t>
      </w:r>
      <w:r w:rsidRPr="004A4F1B">
        <w:rPr>
          <w:lang w:val="es-ES" w:eastAsia="zh-CN"/>
        </w:rPr>
        <w:tab/>
        <w:t>que el UIT-T establezca incentivos para los expertos de la próxima generación, tales como premios, a fin de seguir dando a conocer el UIT-T y su papel en la normalización,</w:t>
      </w:r>
    </w:p>
    <w:p w14:paraId="29B27978" w14:textId="6F4280FC" w:rsidR="00751DF5" w:rsidRPr="004A4F1B" w:rsidRDefault="00751DF5" w:rsidP="00751DF5">
      <w:pPr>
        <w:pStyle w:val="Call"/>
        <w:rPr>
          <w:lang w:val="es-ES"/>
        </w:rPr>
      </w:pPr>
      <w:r w:rsidRPr="004A4F1B">
        <w:rPr>
          <w:lang w:val="es-ES"/>
        </w:rPr>
        <w:t>encarga al Director de la Oficina de Normalización de las Telecomunicaciones que, en colaboración con el Director de la Oficina de Desarrollo de las Telecomunicaciones</w:t>
      </w:r>
    </w:p>
    <w:p w14:paraId="3EEABDB2" w14:textId="48AA91A1" w:rsidR="00751DF5" w:rsidRPr="004A4F1B" w:rsidRDefault="00751DF5" w:rsidP="00751DF5">
      <w:pPr>
        <w:rPr>
          <w:lang w:val="es-ES" w:eastAsia="zh-CN"/>
        </w:rPr>
      </w:pPr>
      <w:r w:rsidRPr="004A4F1B">
        <w:rPr>
          <w:lang w:val="es-ES" w:eastAsia="zh-CN"/>
        </w:rPr>
        <w:t>1</w:t>
      </w:r>
      <w:r w:rsidRPr="004A4F1B">
        <w:rPr>
          <w:lang w:val="es-ES" w:eastAsia="zh-CN"/>
        </w:rPr>
        <w:tab/>
        <w:t>fomente la utilización de medios electrónicos, tales como cursos en línea y seminarios web sobre formación en materia de normalización, en estrecha colaboración con la Academia de la UIT y otras iniciativas de capacitación de la Oficina de Normalización de las Telecomunicaciones;</w:t>
      </w:r>
    </w:p>
    <w:p w14:paraId="4E7C2BFB" w14:textId="425E990E" w:rsidR="00751DF5" w:rsidRPr="004A4F1B" w:rsidRDefault="00751DF5" w:rsidP="00751DF5">
      <w:pPr>
        <w:rPr>
          <w:lang w:val="es-ES" w:eastAsia="zh-CN"/>
        </w:rPr>
      </w:pPr>
      <w:r w:rsidRPr="004A4F1B">
        <w:rPr>
          <w:lang w:val="es-ES" w:eastAsia="zh-CN"/>
        </w:rPr>
        <w:t>2</w:t>
      </w:r>
      <w:r w:rsidRPr="004A4F1B">
        <w:rPr>
          <w:lang w:val="es-ES" w:eastAsia="zh-CN"/>
        </w:rPr>
        <w:tab/>
        <w:t>mejore el desarrollo, la promoción y la comunicación de la formación para nuevos participantes, proporcionando también a los expertos de la próxima generación una visión general de la labor de normalización del UIT-T;</w:t>
      </w:r>
    </w:p>
    <w:p w14:paraId="0CB01F9E" w14:textId="46A97B34" w:rsidR="00751DF5" w:rsidRPr="004A4F1B" w:rsidRDefault="00751DF5" w:rsidP="00751DF5">
      <w:pPr>
        <w:rPr>
          <w:lang w:val="es-ES" w:eastAsia="zh-CN"/>
        </w:rPr>
      </w:pPr>
      <w:r w:rsidRPr="004A4F1B">
        <w:rPr>
          <w:lang w:val="es-ES" w:eastAsia="zh-CN"/>
        </w:rPr>
        <w:t>3</w:t>
      </w:r>
      <w:r w:rsidRPr="004A4F1B">
        <w:rPr>
          <w:lang w:val="es-ES" w:eastAsia="zh-CN"/>
        </w:rPr>
        <w:tab/>
        <w:t xml:space="preserve">organice sesiones y vías específicas durante los eventos existentes del UIT-T y brinde a los expertos de la próxima generación la oportunidad de implicarse y participar en las actividades de normalización del </w:t>
      </w:r>
      <w:r w:rsidR="001A6859" w:rsidRPr="004A4F1B">
        <w:rPr>
          <w:lang w:val="es-ES" w:eastAsia="zh-CN"/>
        </w:rPr>
        <w:t>Sector</w:t>
      </w:r>
      <w:r w:rsidRPr="004A4F1B">
        <w:rPr>
          <w:lang w:val="es-ES" w:eastAsia="zh-CN"/>
        </w:rPr>
        <w:t>;</w:t>
      </w:r>
    </w:p>
    <w:p w14:paraId="5BB9A54C" w14:textId="0F076AC7" w:rsidR="00751DF5" w:rsidRPr="004A4F1B" w:rsidRDefault="00751DF5" w:rsidP="00751DF5">
      <w:pPr>
        <w:rPr>
          <w:lang w:val="es-ES" w:eastAsia="zh-CN"/>
        </w:rPr>
      </w:pPr>
      <w:r w:rsidRPr="004A4F1B">
        <w:rPr>
          <w:lang w:val="es-ES" w:eastAsia="zh-CN"/>
        </w:rPr>
        <w:t>4</w:t>
      </w:r>
      <w:r w:rsidRPr="004A4F1B">
        <w:rPr>
          <w:lang w:val="es-ES" w:eastAsia="zh-CN"/>
        </w:rPr>
        <w:tab/>
        <w:t>que informe al Grupo Asesor de Normalización de las Telecomunicaciones y a la Asamblea Mundial de Normalización de las Telecomunicaciones sobre las iniciativas del UIT-T de participación de expertos de la próxima generación,</w:t>
      </w:r>
    </w:p>
    <w:p w14:paraId="7C073796" w14:textId="6EE84F3B" w:rsidR="00751DF5" w:rsidRPr="004A4F1B" w:rsidRDefault="00751DF5" w:rsidP="00751DF5">
      <w:pPr>
        <w:pStyle w:val="Call"/>
        <w:rPr>
          <w:lang w:val="es-ES"/>
        </w:rPr>
      </w:pPr>
      <w:r w:rsidRPr="004A4F1B">
        <w:rPr>
          <w:lang w:val="es-ES"/>
        </w:rPr>
        <w:t>invita a las Estados Miembros, Miembros de Sector y Asociados</w:t>
      </w:r>
    </w:p>
    <w:p w14:paraId="3BEC73AC" w14:textId="6134865D" w:rsidR="00751DF5" w:rsidRPr="004A4F1B" w:rsidRDefault="00751DF5" w:rsidP="00751DF5">
      <w:pPr>
        <w:rPr>
          <w:lang w:val="es-ES" w:eastAsia="zh-CN"/>
        </w:rPr>
      </w:pPr>
      <w:r w:rsidRPr="004A4F1B">
        <w:rPr>
          <w:lang w:val="es-ES" w:eastAsia="zh-CN"/>
        </w:rPr>
        <w:t>1</w:t>
      </w:r>
      <w:r w:rsidRPr="004A4F1B">
        <w:rPr>
          <w:lang w:val="es-ES" w:eastAsia="zh-CN"/>
        </w:rPr>
        <w:tab/>
        <w:t>a respaldar las actividades del UIT-T que fomenten la participación de expertos de la próxima generación en las labores de normalización y sus beneficios mediante contribuciones voluntarias y patrocinios;</w:t>
      </w:r>
    </w:p>
    <w:p w14:paraId="791E62D3" w14:textId="507A82E0" w:rsidR="00751DF5" w:rsidRPr="004A4F1B" w:rsidRDefault="00751DF5" w:rsidP="00751DF5">
      <w:pPr>
        <w:rPr>
          <w:lang w:val="es-ES" w:eastAsia="zh-CN"/>
        </w:rPr>
      </w:pPr>
      <w:r w:rsidRPr="004A4F1B">
        <w:rPr>
          <w:rFonts w:eastAsia="SimSun"/>
          <w:lang w:val="es-ES" w:eastAsia="zh-CN"/>
        </w:rPr>
        <w:lastRenderedPageBreak/>
        <w:t>2</w:t>
      </w:r>
      <w:r w:rsidRPr="004A4F1B">
        <w:rPr>
          <w:rFonts w:eastAsia="SimSun"/>
          <w:lang w:val="es-ES" w:eastAsia="zh-CN"/>
        </w:rPr>
        <w:tab/>
      </w:r>
      <w:r w:rsidRPr="004A4F1B">
        <w:rPr>
          <w:lang w:val="es-ES" w:eastAsia="zh-CN"/>
        </w:rPr>
        <w:t>a incluir a jóvenes delegados en las delegaciones oficiales de las reuniones del UIT-T y a apoyar su integración mediante programas de tutoría,</w:t>
      </w:r>
    </w:p>
    <w:p w14:paraId="1DC23496" w14:textId="5B5B2449" w:rsidR="00751DF5" w:rsidRPr="004A4F1B" w:rsidRDefault="00751DF5" w:rsidP="00751DF5">
      <w:pPr>
        <w:pStyle w:val="Call"/>
        <w:rPr>
          <w:lang w:val="es-ES"/>
        </w:rPr>
      </w:pPr>
      <w:r w:rsidRPr="004A4F1B">
        <w:rPr>
          <w:lang w:val="es-ES"/>
        </w:rPr>
        <w:t>invita a las Instituciones Académicas</w:t>
      </w:r>
    </w:p>
    <w:p w14:paraId="3E6822C1" w14:textId="37138869" w:rsidR="00751DF5" w:rsidRPr="004A4F1B" w:rsidRDefault="00751DF5" w:rsidP="00751DF5">
      <w:pPr>
        <w:rPr>
          <w:lang w:val="es-ES" w:eastAsia="zh-CN"/>
        </w:rPr>
      </w:pPr>
      <w:r w:rsidRPr="004A4F1B">
        <w:rPr>
          <w:lang w:val="es-ES" w:eastAsia="zh-CN"/>
        </w:rPr>
        <w:t>1</w:t>
      </w:r>
      <w:r w:rsidRPr="004A4F1B">
        <w:rPr>
          <w:lang w:val="es-ES" w:eastAsia="zh-CN"/>
        </w:rPr>
        <w:tab/>
        <w:t>a apoyar y promover la participación de expertos de la próxima generación en las labores de normalización, mediante el acceso a la información, la concesión de becas y el reconocimiento de su participación en las actividades del UIT-T, entre otras cosas;</w:t>
      </w:r>
    </w:p>
    <w:p w14:paraId="3C0A0BCC" w14:textId="0364E9D5" w:rsidR="00751DF5" w:rsidRPr="004A4F1B" w:rsidRDefault="00751DF5" w:rsidP="00751DF5">
      <w:pPr>
        <w:rPr>
          <w:lang w:val="es-ES" w:eastAsia="zh-CN"/>
        </w:rPr>
      </w:pPr>
      <w:r w:rsidRPr="004A4F1B">
        <w:rPr>
          <w:lang w:val="es-ES" w:eastAsia="zh-CN"/>
        </w:rPr>
        <w:t>2</w:t>
      </w:r>
      <w:r w:rsidRPr="004A4F1B">
        <w:rPr>
          <w:lang w:val="es-ES" w:eastAsia="zh-CN"/>
        </w:rPr>
        <w:tab/>
        <w:t>a implicar a jóvenes investigadores y estudiantes en las actividades del UIT-T pertinentes y a fomentar su participación efectiva en ellas, incluso mediante la capacitación y la formación;</w:t>
      </w:r>
    </w:p>
    <w:p w14:paraId="68736819" w14:textId="135530EC" w:rsidR="00751DF5" w:rsidRPr="004A4F1B" w:rsidRDefault="00751DF5" w:rsidP="00751DF5">
      <w:pPr>
        <w:rPr>
          <w:lang w:val="es-ES" w:eastAsia="zh-CN"/>
        </w:rPr>
      </w:pPr>
      <w:r w:rsidRPr="004A4F1B">
        <w:rPr>
          <w:lang w:val="es-ES" w:eastAsia="zh-CN"/>
        </w:rPr>
        <w:t>3</w:t>
      </w:r>
      <w:r w:rsidRPr="004A4F1B">
        <w:rPr>
          <w:lang w:val="es-ES" w:eastAsia="zh-CN"/>
        </w:rPr>
        <w:tab/>
        <w:t>a colaborar estrechamente con los gobiernos, la industria y las organizaciones asociadas para promover el concepto de normalización en los planes de estudio.</w:t>
      </w:r>
    </w:p>
    <w:p w14:paraId="27E848A7" w14:textId="77777777" w:rsidR="0012728F" w:rsidRDefault="0012728F" w:rsidP="00411C49">
      <w:pPr>
        <w:pStyle w:val="Reasons"/>
      </w:pPr>
    </w:p>
    <w:p w14:paraId="153804C3" w14:textId="77777777" w:rsidR="0012728F" w:rsidRDefault="0012728F">
      <w:pPr>
        <w:jc w:val="center"/>
      </w:pPr>
      <w:r>
        <w:t>______________</w:t>
      </w:r>
    </w:p>
    <w:sectPr w:rsidR="0012728F" w:rsidSect="00291A03">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03F6F" w14:textId="77777777" w:rsidR="009928E8" w:rsidRDefault="009928E8">
      <w:r>
        <w:separator/>
      </w:r>
    </w:p>
  </w:endnote>
  <w:endnote w:type="continuationSeparator" w:id="0">
    <w:p w14:paraId="1AB6059B" w14:textId="77777777" w:rsidR="009928E8" w:rsidRDefault="009928E8">
      <w:r>
        <w:continuationSeparator/>
      </w:r>
    </w:p>
  </w:endnote>
  <w:endnote w:type="continuationNotice" w:id="1">
    <w:p w14:paraId="652012BD" w14:textId="77777777" w:rsidR="009928E8" w:rsidRDefault="009928E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494FB" w14:textId="77777777" w:rsidR="009D4900" w:rsidRDefault="009D4900">
    <w:pPr>
      <w:framePr w:wrap="around" w:vAnchor="text" w:hAnchor="margin" w:xAlign="right" w:y="1"/>
    </w:pPr>
    <w:r>
      <w:fldChar w:fldCharType="begin"/>
    </w:r>
    <w:r>
      <w:instrText xml:space="preserve">PAGE  </w:instrText>
    </w:r>
    <w:r>
      <w:fldChar w:fldCharType="end"/>
    </w:r>
  </w:p>
  <w:p w14:paraId="6F442CDC" w14:textId="64CD4DC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F0E59">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E6D13" w14:textId="77777777" w:rsidR="009928E8" w:rsidRDefault="009928E8">
      <w:r>
        <w:rPr>
          <w:b/>
        </w:rPr>
        <w:t>_______________</w:t>
      </w:r>
    </w:p>
  </w:footnote>
  <w:footnote w:type="continuationSeparator" w:id="0">
    <w:p w14:paraId="6CDE359B" w14:textId="77777777" w:rsidR="009928E8" w:rsidRDefault="00992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E0D30"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WTSA-24/37(Add.39)-</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56196287">
    <w:abstractNumId w:val="8"/>
  </w:num>
  <w:num w:numId="2" w16cid:durableId="83022106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5123486">
    <w:abstractNumId w:val="9"/>
  </w:num>
  <w:num w:numId="4" w16cid:durableId="800542236">
    <w:abstractNumId w:val="7"/>
  </w:num>
  <w:num w:numId="5" w16cid:durableId="279068157">
    <w:abstractNumId w:val="6"/>
  </w:num>
  <w:num w:numId="6" w16cid:durableId="1051929149">
    <w:abstractNumId w:val="5"/>
  </w:num>
  <w:num w:numId="7" w16cid:durableId="95950961">
    <w:abstractNumId w:val="4"/>
  </w:num>
  <w:num w:numId="8" w16cid:durableId="85659991">
    <w:abstractNumId w:val="3"/>
  </w:num>
  <w:num w:numId="9" w16cid:durableId="1596859719">
    <w:abstractNumId w:val="2"/>
  </w:num>
  <w:num w:numId="10" w16cid:durableId="1138104671">
    <w:abstractNumId w:val="1"/>
  </w:num>
  <w:num w:numId="11" w16cid:durableId="700790159">
    <w:abstractNumId w:val="0"/>
  </w:num>
  <w:num w:numId="12" w16cid:durableId="575170086">
    <w:abstractNumId w:val="12"/>
  </w:num>
  <w:num w:numId="13" w16cid:durableId="1366491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6525"/>
    <w:rsid w:val="000F73FF"/>
    <w:rsid w:val="001043FF"/>
    <w:rsid w:val="001059D5"/>
    <w:rsid w:val="00114CF7"/>
    <w:rsid w:val="0011715B"/>
    <w:rsid w:val="00123B68"/>
    <w:rsid w:val="00126F2E"/>
    <w:rsid w:val="0012728F"/>
    <w:rsid w:val="001301F4"/>
    <w:rsid w:val="00130789"/>
    <w:rsid w:val="00137CF6"/>
    <w:rsid w:val="00146F6F"/>
    <w:rsid w:val="00161472"/>
    <w:rsid w:val="00163E58"/>
    <w:rsid w:val="0017074E"/>
    <w:rsid w:val="00182117"/>
    <w:rsid w:val="0018215C"/>
    <w:rsid w:val="00187BD9"/>
    <w:rsid w:val="00190B55"/>
    <w:rsid w:val="001910BB"/>
    <w:rsid w:val="001A6859"/>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7B83"/>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E6832"/>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0F3"/>
    <w:rsid w:val="003F020A"/>
    <w:rsid w:val="0041348E"/>
    <w:rsid w:val="004142ED"/>
    <w:rsid w:val="00420EDB"/>
    <w:rsid w:val="004373CA"/>
    <w:rsid w:val="004420C9"/>
    <w:rsid w:val="00443CCE"/>
    <w:rsid w:val="00465799"/>
    <w:rsid w:val="00471EF9"/>
    <w:rsid w:val="00492075"/>
    <w:rsid w:val="00495699"/>
    <w:rsid w:val="004969AD"/>
    <w:rsid w:val="004A26C4"/>
    <w:rsid w:val="004A4F1B"/>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6F0E59"/>
    <w:rsid w:val="00700547"/>
    <w:rsid w:val="00707E39"/>
    <w:rsid w:val="007149F9"/>
    <w:rsid w:val="00733A30"/>
    <w:rsid w:val="00742988"/>
    <w:rsid w:val="00742F1D"/>
    <w:rsid w:val="00744830"/>
    <w:rsid w:val="007452F0"/>
    <w:rsid w:val="00745AEE"/>
    <w:rsid w:val="00750F10"/>
    <w:rsid w:val="00751DF5"/>
    <w:rsid w:val="00752D4D"/>
    <w:rsid w:val="00761B19"/>
    <w:rsid w:val="00770AF4"/>
    <w:rsid w:val="007742CA"/>
    <w:rsid w:val="00776230"/>
    <w:rsid w:val="00777235"/>
    <w:rsid w:val="00780F10"/>
    <w:rsid w:val="00785E1D"/>
    <w:rsid w:val="00790D70"/>
    <w:rsid w:val="00797C4B"/>
    <w:rsid w:val="007B55A0"/>
    <w:rsid w:val="007B5698"/>
    <w:rsid w:val="007C60C2"/>
    <w:rsid w:val="007D0EEF"/>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36CA"/>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928E8"/>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4B23"/>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09AA"/>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AA61E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980ea20-6726-47e5-80d4-03a83d229360" targetNamespace="http://schemas.microsoft.com/office/2006/metadata/properties" ma:root="true" ma:fieldsID="d41af5c836d734370eb92e7ee5f83852" ns2:_="" ns3:_="">
    <xsd:import namespace="996b2e75-67fd-4955-a3b0-5ab9934cb50b"/>
    <xsd:import namespace="3980ea20-6726-47e5-80d4-03a83d2293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980ea20-6726-47e5-80d4-03a83d2293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980ea20-6726-47e5-80d4-03a83d229360">DPM</DPM_x0020_Author>
    <DPM_x0020_File_x0020_name xmlns="3980ea20-6726-47e5-80d4-03a83d229360">T22-WTSA.24-C-0037!A39!MSW-S</DPM_x0020_File_x0020_name>
    <DPM_x0020_Version xmlns="3980ea20-6726-47e5-80d4-03a83d229360">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980ea20-6726-47e5-80d4-03a83d229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980ea20-6726-47e5-80d4-03a83d229360"/>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1344</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T22-WTSA.24-C-1000!!MSW-S</vt:lpstr>
    </vt:vector>
  </TitlesOfParts>
  <Manager>General Secretariat - Pool</Manager>
  <Company>International Telecommunication Union (ITU)</Company>
  <LinksUpToDate>false</LinksUpToDate>
  <CharactersWithSpaces>8833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T22-WTSA.24-C-0037!A39!MSW-S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14</cp:revision>
  <cp:lastPrinted>2016-06-06T07:49:00Z</cp:lastPrinted>
  <dcterms:created xsi:type="dcterms:W3CDTF">2024-10-10T12:10:00Z</dcterms:created>
  <dcterms:modified xsi:type="dcterms:W3CDTF">2024-10-10T13:32:00Z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