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9138AA" w14:paraId="0E6D9B8D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57A8B81E" w14:textId="77777777" w:rsidR="00D2023F" w:rsidRPr="009138AA" w:rsidRDefault="0018215C" w:rsidP="00C30155">
            <w:pPr>
              <w:spacing w:before="0"/>
            </w:pPr>
            <w:r w:rsidRPr="009138AA">
              <w:drawing>
                <wp:inline distT="0" distB="0" distL="0" distR="0" wp14:anchorId="40A3B030" wp14:editId="62AAF32F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7EAC3AED" w14:textId="77777777" w:rsidR="00D2023F" w:rsidRPr="009138AA" w:rsidRDefault="005B7B2D" w:rsidP="00E610A4">
            <w:pPr>
              <w:pStyle w:val="TopHeader"/>
              <w:spacing w:before="0"/>
            </w:pPr>
            <w:r w:rsidRPr="009138AA">
              <w:rPr>
                <w:szCs w:val="22"/>
              </w:rPr>
              <w:t xml:space="preserve">Всемирная ассамблея по стандартизации </w:t>
            </w:r>
            <w:r w:rsidRPr="009138AA">
              <w:rPr>
                <w:szCs w:val="22"/>
              </w:rPr>
              <w:br/>
              <w:t>электросвязи (ВАСЭ-24)</w:t>
            </w:r>
            <w:r w:rsidRPr="009138AA">
              <w:rPr>
                <w:szCs w:val="22"/>
              </w:rPr>
              <w:br/>
            </w:r>
            <w:r w:rsidRPr="009138AA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9138AA">
              <w:rPr>
                <w:rFonts w:cstheme="minorHAnsi"/>
                <w:sz w:val="18"/>
                <w:szCs w:val="18"/>
              </w:rPr>
              <w:t>15</w:t>
            </w:r>
            <w:r w:rsidR="00461C79" w:rsidRPr="009138AA">
              <w:rPr>
                <w:sz w:val="16"/>
                <w:szCs w:val="16"/>
              </w:rPr>
              <w:t>−</w:t>
            </w:r>
            <w:r w:rsidRPr="009138AA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9138AA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305D82BF" w14:textId="77777777" w:rsidR="00D2023F" w:rsidRPr="009138AA" w:rsidRDefault="00D2023F" w:rsidP="00C30155">
            <w:pPr>
              <w:spacing w:before="0"/>
            </w:pPr>
            <w:r w:rsidRPr="009138AA">
              <w:rPr>
                <w:lang w:eastAsia="zh-CN"/>
              </w:rPr>
              <w:drawing>
                <wp:inline distT="0" distB="0" distL="0" distR="0" wp14:anchorId="5340326E" wp14:editId="60DB966D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9138AA" w14:paraId="62A361F6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1DF5329D" w14:textId="77777777" w:rsidR="00D2023F" w:rsidRPr="009138AA" w:rsidRDefault="00D2023F" w:rsidP="00C30155">
            <w:pPr>
              <w:spacing w:before="0"/>
            </w:pPr>
          </w:p>
        </w:tc>
      </w:tr>
      <w:tr w:rsidR="00931298" w:rsidRPr="009138AA" w14:paraId="75BAE343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30F20BA9" w14:textId="77777777" w:rsidR="00931298" w:rsidRPr="009138AA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0B61E72" w14:textId="77777777" w:rsidR="00931298" w:rsidRPr="009138AA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9138AA" w14:paraId="52C2A3A8" w14:textId="77777777" w:rsidTr="0068791E">
        <w:trPr>
          <w:cantSplit/>
        </w:trPr>
        <w:tc>
          <w:tcPr>
            <w:tcW w:w="6237" w:type="dxa"/>
            <w:gridSpan w:val="2"/>
          </w:tcPr>
          <w:p w14:paraId="1DAD781B" w14:textId="77777777" w:rsidR="00752D4D" w:rsidRPr="009138AA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9138AA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22E5538A" w14:textId="77777777" w:rsidR="00752D4D" w:rsidRPr="009138AA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9138AA">
              <w:rPr>
                <w:sz w:val="18"/>
                <w:szCs w:val="18"/>
              </w:rPr>
              <w:t>Дополнительный документ 39</w:t>
            </w:r>
            <w:r w:rsidRPr="009138AA">
              <w:rPr>
                <w:sz w:val="18"/>
                <w:szCs w:val="18"/>
              </w:rPr>
              <w:br/>
              <w:t>к Документу 37</w:t>
            </w:r>
            <w:r w:rsidR="00967E61" w:rsidRPr="009138AA">
              <w:rPr>
                <w:sz w:val="18"/>
                <w:szCs w:val="18"/>
              </w:rPr>
              <w:t>-</w:t>
            </w:r>
            <w:r w:rsidR="00986BCD" w:rsidRPr="009138AA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9138AA" w14:paraId="7DE4DFD8" w14:textId="77777777" w:rsidTr="0068791E">
        <w:trPr>
          <w:cantSplit/>
        </w:trPr>
        <w:tc>
          <w:tcPr>
            <w:tcW w:w="6237" w:type="dxa"/>
            <w:gridSpan w:val="2"/>
          </w:tcPr>
          <w:p w14:paraId="100D4BA9" w14:textId="77777777" w:rsidR="00931298" w:rsidRPr="009138AA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91C4DE3" w14:textId="55DFA518" w:rsidR="00931298" w:rsidRPr="009138AA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9138AA">
              <w:rPr>
                <w:sz w:val="18"/>
                <w:szCs w:val="18"/>
              </w:rPr>
              <w:t>22 сентября 2024</w:t>
            </w:r>
            <w:r w:rsidR="006A317F" w:rsidRPr="009138AA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9138AA" w14:paraId="2920173E" w14:textId="77777777" w:rsidTr="0068791E">
        <w:trPr>
          <w:cantSplit/>
        </w:trPr>
        <w:tc>
          <w:tcPr>
            <w:tcW w:w="6237" w:type="dxa"/>
            <w:gridSpan w:val="2"/>
          </w:tcPr>
          <w:p w14:paraId="506C4E44" w14:textId="77777777" w:rsidR="00931298" w:rsidRPr="009138AA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60356A6" w14:textId="77777777" w:rsidR="00931298" w:rsidRPr="009138AA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9138AA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9138AA" w14:paraId="5AE25B8C" w14:textId="77777777" w:rsidTr="0068791E">
        <w:trPr>
          <w:cantSplit/>
        </w:trPr>
        <w:tc>
          <w:tcPr>
            <w:tcW w:w="9811" w:type="dxa"/>
            <w:gridSpan w:val="4"/>
          </w:tcPr>
          <w:p w14:paraId="4F285F71" w14:textId="77777777" w:rsidR="00931298" w:rsidRPr="009138AA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9138AA" w14:paraId="5E21EA09" w14:textId="77777777" w:rsidTr="0068791E">
        <w:trPr>
          <w:cantSplit/>
        </w:trPr>
        <w:tc>
          <w:tcPr>
            <w:tcW w:w="9811" w:type="dxa"/>
            <w:gridSpan w:val="4"/>
          </w:tcPr>
          <w:p w14:paraId="38DF0079" w14:textId="77777777" w:rsidR="00931298" w:rsidRPr="009138AA" w:rsidRDefault="00BE7C34" w:rsidP="00C30155">
            <w:pPr>
              <w:pStyle w:val="Source"/>
            </w:pPr>
            <w:r w:rsidRPr="009138AA">
              <w:t>Администрации стран – членов Азиатско-Тихоокеанского сообщества электросвязи</w:t>
            </w:r>
          </w:p>
        </w:tc>
      </w:tr>
      <w:tr w:rsidR="00931298" w:rsidRPr="009138AA" w14:paraId="176CD3F6" w14:textId="77777777" w:rsidTr="0068791E">
        <w:trPr>
          <w:cantSplit/>
        </w:trPr>
        <w:tc>
          <w:tcPr>
            <w:tcW w:w="9811" w:type="dxa"/>
            <w:gridSpan w:val="4"/>
          </w:tcPr>
          <w:p w14:paraId="561C516E" w14:textId="2190E22C" w:rsidR="00931298" w:rsidRPr="009138AA" w:rsidRDefault="00D016A9" w:rsidP="00C30155">
            <w:pPr>
              <w:pStyle w:val="Title1"/>
            </w:pPr>
            <w:r w:rsidRPr="009138AA">
              <w:t>ПРОЕКТ НОВОЙ РЕЗОЛЮЦИИ [</w:t>
            </w:r>
            <w:proofErr w:type="spellStart"/>
            <w:r w:rsidRPr="009138AA">
              <w:t>APT-NG</w:t>
            </w:r>
            <w:proofErr w:type="spellEnd"/>
            <w:r w:rsidRPr="009138AA">
              <w:t xml:space="preserve">] – РАСШИРЕНИЕ </w:t>
            </w:r>
            <w:r w:rsidR="00514AF0" w:rsidRPr="009138AA">
              <w:t>ПРИВЛЕЧЕНИЯ</w:t>
            </w:r>
            <w:r w:rsidRPr="009138AA">
              <w:t xml:space="preserve"> ЭКСПЕРТОВ СЛЕДУЮЩЕГО ПОКОЛЕНИЯ </w:t>
            </w:r>
            <w:r w:rsidR="00514AF0" w:rsidRPr="009138AA">
              <w:t>К</w:t>
            </w:r>
            <w:r w:rsidRPr="009138AA">
              <w:t xml:space="preserve"> ДЕЯТЕЛЬНОСТИ МСЭ-Т ПО</w:t>
            </w:r>
            <w:r w:rsidR="00C30D45" w:rsidRPr="009138AA">
              <w:t> </w:t>
            </w:r>
            <w:r w:rsidRPr="009138AA">
              <w:t>СТАНДАРТИЗАЦИИ</w:t>
            </w:r>
          </w:p>
        </w:tc>
      </w:tr>
      <w:tr w:rsidR="00657CDA" w:rsidRPr="009138AA" w14:paraId="02FA91CC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450C4687" w14:textId="77777777" w:rsidR="00657CDA" w:rsidRPr="009138AA" w:rsidRDefault="00657CDA" w:rsidP="00BE7C34">
            <w:pPr>
              <w:pStyle w:val="Title2"/>
              <w:spacing w:before="0"/>
            </w:pPr>
          </w:p>
        </w:tc>
      </w:tr>
      <w:tr w:rsidR="00657CDA" w:rsidRPr="009138AA" w14:paraId="68807A90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61B7F009" w14:textId="77777777" w:rsidR="00657CDA" w:rsidRPr="009138AA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23EAC95F" w14:textId="77777777" w:rsidR="00931298" w:rsidRPr="009138AA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4280"/>
        <w:gridCol w:w="3402"/>
      </w:tblGrid>
      <w:tr w:rsidR="00931298" w:rsidRPr="009138AA" w14:paraId="39B0FD4E" w14:textId="77777777" w:rsidTr="00196D4C">
        <w:trPr>
          <w:cantSplit/>
        </w:trPr>
        <w:tc>
          <w:tcPr>
            <w:tcW w:w="1957" w:type="dxa"/>
          </w:tcPr>
          <w:p w14:paraId="013BF9F0" w14:textId="77777777" w:rsidR="00931298" w:rsidRPr="009138AA" w:rsidRDefault="00B357A0" w:rsidP="00E45467">
            <w:r w:rsidRPr="009138AA">
              <w:rPr>
                <w:b/>
                <w:bCs/>
                <w:szCs w:val="22"/>
              </w:rPr>
              <w:t>Резюме</w:t>
            </w:r>
            <w:r w:rsidRPr="009138AA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74F0170B" w14:textId="0C340E45" w:rsidR="00931298" w:rsidRPr="009138AA" w:rsidRDefault="00D016A9" w:rsidP="00E45467">
            <w:pPr>
              <w:pStyle w:val="Abstract"/>
              <w:rPr>
                <w:lang w:val="ru-RU"/>
              </w:rPr>
            </w:pPr>
            <w:r w:rsidRPr="009138AA">
              <w:rPr>
                <w:lang w:val="ru-RU"/>
              </w:rPr>
              <w:t>В настоящем документе содержится предложение о добавлении новой Резолюции "Расширение привлечения экспертов следующего поколения к</w:t>
            </w:r>
            <w:r w:rsidR="006A317F" w:rsidRPr="009138AA">
              <w:rPr>
                <w:lang w:val="ru-RU"/>
              </w:rPr>
              <w:t> </w:t>
            </w:r>
            <w:r w:rsidRPr="009138AA">
              <w:rPr>
                <w:lang w:val="ru-RU"/>
              </w:rPr>
              <w:t>деятельности МСЭ-Т по стандартизации", главным образом для стимулирования дальнейшего участия экспертов следующего поколения в</w:t>
            </w:r>
            <w:r w:rsidR="006A317F" w:rsidRPr="009138AA">
              <w:rPr>
                <w:lang w:val="ru-RU"/>
              </w:rPr>
              <w:t> </w:t>
            </w:r>
            <w:r w:rsidRPr="009138AA">
              <w:rPr>
                <w:lang w:val="ru-RU"/>
              </w:rPr>
              <w:t>работе МСЭ-Т.</w:t>
            </w:r>
          </w:p>
        </w:tc>
      </w:tr>
      <w:tr w:rsidR="00D016A9" w:rsidRPr="009138AA" w14:paraId="1FBA9E94" w14:textId="77777777" w:rsidTr="00C30D45">
        <w:trPr>
          <w:cantSplit/>
        </w:trPr>
        <w:tc>
          <w:tcPr>
            <w:tcW w:w="1957" w:type="dxa"/>
          </w:tcPr>
          <w:p w14:paraId="55F26589" w14:textId="77777777" w:rsidR="00D016A9" w:rsidRPr="009138AA" w:rsidRDefault="00D016A9" w:rsidP="00D016A9">
            <w:pPr>
              <w:rPr>
                <w:b/>
                <w:bCs/>
                <w:szCs w:val="24"/>
              </w:rPr>
            </w:pPr>
            <w:r w:rsidRPr="009138AA">
              <w:rPr>
                <w:b/>
                <w:bCs/>
              </w:rPr>
              <w:t>Для контактов</w:t>
            </w:r>
            <w:r w:rsidRPr="009138AA">
              <w:t>:</w:t>
            </w:r>
          </w:p>
        </w:tc>
        <w:tc>
          <w:tcPr>
            <w:tcW w:w="4280" w:type="dxa"/>
          </w:tcPr>
          <w:p w14:paraId="4F2E2E8E" w14:textId="67226381" w:rsidR="00D016A9" w:rsidRPr="009138AA" w:rsidRDefault="00D016A9" w:rsidP="00D016A9">
            <w:r w:rsidRPr="009138AA">
              <w:t xml:space="preserve">г-н </w:t>
            </w:r>
            <w:proofErr w:type="spellStart"/>
            <w:r w:rsidRPr="009138AA">
              <w:t>Масанори</w:t>
            </w:r>
            <w:proofErr w:type="spellEnd"/>
            <w:r w:rsidRPr="009138AA">
              <w:t xml:space="preserve"> Кондо (Mr </w:t>
            </w:r>
            <w:proofErr w:type="spellStart"/>
            <w:r w:rsidRPr="009138AA">
              <w:t>Masanori</w:t>
            </w:r>
            <w:proofErr w:type="spellEnd"/>
            <w:r w:rsidRPr="009138AA">
              <w:t xml:space="preserve"> </w:t>
            </w:r>
            <w:proofErr w:type="spellStart"/>
            <w:r w:rsidRPr="009138AA">
              <w:t>Kondo</w:t>
            </w:r>
            <w:proofErr w:type="spellEnd"/>
            <w:r w:rsidRPr="009138AA">
              <w:t xml:space="preserve">) </w:t>
            </w:r>
            <w:r w:rsidR="00C30D45" w:rsidRPr="009138AA">
              <w:br/>
            </w:r>
            <w:r w:rsidRPr="009138AA">
              <w:t xml:space="preserve">Генеральный секретарь </w:t>
            </w:r>
            <w:r w:rsidR="00C30D45" w:rsidRPr="009138AA">
              <w:br/>
            </w:r>
            <w:r w:rsidRPr="009138AA">
              <w:t>Азиатско-Тихоокеанское сообщество электросвязи</w:t>
            </w:r>
          </w:p>
        </w:tc>
        <w:tc>
          <w:tcPr>
            <w:tcW w:w="3402" w:type="dxa"/>
          </w:tcPr>
          <w:p w14:paraId="39BCEC1B" w14:textId="349764A4" w:rsidR="00D016A9" w:rsidRPr="009138AA" w:rsidRDefault="00D016A9" w:rsidP="00D016A9">
            <w:r w:rsidRPr="009138AA">
              <w:t>Эл. почта:</w:t>
            </w:r>
            <w:r w:rsidRPr="009138AA">
              <w:tab/>
            </w:r>
            <w:hyperlink r:id="rId14" w:history="1">
              <w:r w:rsidR="006A317F" w:rsidRPr="009138AA">
                <w:rPr>
                  <w:rStyle w:val="Hyperlink"/>
                </w:rPr>
                <w:t>aptwtsa@apt.int</w:t>
              </w:r>
            </w:hyperlink>
          </w:p>
        </w:tc>
      </w:tr>
    </w:tbl>
    <w:p w14:paraId="5FF11C9F" w14:textId="77777777" w:rsidR="00D016A9" w:rsidRPr="009138AA" w:rsidRDefault="00D016A9" w:rsidP="00D016A9">
      <w:pPr>
        <w:pStyle w:val="Headingb"/>
        <w:rPr>
          <w:lang w:val="ru-RU"/>
        </w:rPr>
      </w:pPr>
      <w:r w:rsidRPr="009138AA">
        <w:rPr>
          <w:bCs/>
          <w:lang w:val="ru-RU"/>
        </w:rPr>
        <w:t>Введение</w:t>
      </w:r>
    </w:p>
    <w:p w14:paraId="3FE3DAF3" w14:textId="77777777" w:rsidR="00D016A9" w:rsidRPr="009138AA" w:rsidRDefault="00D016A9" w:rsidP="00D016A9">
      <w:r w:rsidRPr="009138AA">
        <w:t xml:space="preserve">В предлагаемой молодежной стратегии, разработанной Бюро стандартизации электросвязи (БСЭ), признается ключевая роль привлечения экспертов следующего поколения в формировании стандартов в области электросвязи/ИКТ. </w:t>
      </w:r>
    </w:p>
    <w:p w14:paraId="2353784B" w14:textId="5250F144" w:rsidR="00D016A9" w:rsidRPr="009138AA" w:rsidRDefault="00D016A9" w:rsidP="00D016A9">
      <w:r w:rsidRPr="009138AA">
        <w:t>В настоящее время следует продолжать разрабатывать существующие программы МСЭ-Т, такие как программы по преодолению разрыва в стандартизации и сессии</w:t>
      </w:r>
      <w:r w:rsidR="00514AF0" w:rsidRPr="009138AA">
        <w:t xml:space="preserve"> для новых участников</w:t>
      </w:r>
      <w:r w:rsidRPr="009138AA">
        <w:t>, и активно их продвигать, с тем чтобы они принесли пользу следующему поколению экспертов, которые не знакомы со стандартизацией в МСЭ-Т. Кроме того, МСЭ-Т следует продвигать свою роль в области стандартизации среди экспертов следующего поколения, а также представление о необходимости расширения деятельности МСЭ-Т по привлечению молодежи за пределы ее нынешней сферы.</w:t>
      </w:r>
    </w:p>
    <w:p w14:paraId="543A8AD2" w14:textId="665FCF92" w:rsidR="00D016A9" w:rsidRPr="009138AA" w:rsidRDefault="00D016A9" w:rsidP="00D016A9">
      <w:pPr>
        <w:rPr>
          <w:color w:val="000000" w:themeColor="text1"/>
        </w:rPr>
      </w:pPr>
      <w:r w:rsidRPr="009138AA">
        <w:t xml:space="preserve">Таким образом, данное предложение </w:t>
      </w:r>
      <w:r w:rsidR="00514AF0" w:rsidRPr="009138AA">
        <w:t xml:space="preserve">по </w:t>
      </w:r>
      <w:r w:rsidRPr="009138AA">
        <w:t>новой Резолюции в основном сосредоточено на том, как расширить дальнейшее участие экспертов следующего поколения в работе МСЭ-Т, в частности в деятельности по стандартизации.</w:t>
      </w:r>
    </w:p>
    <w:p w14:paraId="65954B1A" w14:textId="77777777" w:rsidR="00D016A9" w:rsidRPr="009138AA" w:rsidRDefault="00D016A9" w:rsidP="00D016A9">
      <w:pPr>
        <w:pStyle w:val="Headingb"/>
        <w:rPr>
          <w:lang w:val="ru-RU"/>
        </w:rPr>
      </w:pPr>
      <w:r w:rsidRPr="009138AA">
        <w:rPr>
          <w:bCs/>
          <w:lang w:val="ru-RU"/>
        </w:rPr>
        <w:t>Предложение</w:t>
      </w:r>
    </w:p>
    <w:p w14:paraId="2B6F1C42" w14:textId="6600891E" w:rsidR="00D016A9" w:rsidRPr="009138AA" w:rsidRDefault="00D016A9" w:rsidP="00D016A9">
      <w:r w:rsidRPr="009138AA">
        <w:t xml:space="preserve">На основании изложенной выше базовой информации администрации стран – членов АТСЭ предлагают новую резолюцию "Расширение </w:t>
      </w:r>
      <w:r w:rsidR="00514AF0" w:rsidRPr="009138AA">
        <w:t>привлечения</w:t>
      </w:r>
      <w:r w:rsidRPr="009138AA">
        <w:t xml:space="preserve"> экспертов следующего поколения </w:t>
      </w:r>
      <w:r w:rsidR="00514AF0" w:rsidRPr="009138AA">
        <w:t>к</w:t>
      </w:r>
      <w:r w:rsidRPr="009138AA">
        <w:t xml:space="preserve"> деятельности МСЭ-Т по стандартизации".</w:t>
      </w:r>
    </w:p>
    <w:p w14:paraId="384810B2" w14:textId="77777777" w:rsidR="00461C79" w:rsidRPr="009138AA" w:rsidRDefault="009F4801" w:rsidP="00781A83">
      <w:r w:rsidRPr="009138AA">
        <w:br w:type="page"/>
      </w:r>
    </w:p>
    <w:p w14:paraId="3FB53B87" w14:textId="77777777" w:rsidR="0076027E" w:rsidRPr="009138AA" w:rsidRDefault="00F5352D">
      <w:pPr>
        <w:pStyle w:val="Proposal"/>
      </w:pPr>
      <w:r w:rsidRPr="009138AA">
        <w:lastRenderedPageBreak/>
        <w:t>ADD</w:t>
      </w:r>
      <w:r w:rsidRPr="009138AA">
        <w:tab/>
      </w:r>
      <w:proofErr w:type="spellStart"/>
      <w:r w:rsidRPr="009138AA">
        <w:t>APT</w:t>
      </w:r>
      <w:proofErr w:type="spellEnd"/>
      <w:r w:rsidRPr="009138AA">
        <w:t>/</w:t>
      </w:r>
      <w:proofErr w:type="spellStart"/>
      <w:r w:rsidRPr="009138AA">
        <w:t>37A39</w:t>
      </w:r>
      <w:proofErr w:type="spellEnd"/>
      <w:r w:rsidRPr="009138AA">
        <w:t>/1</w:t>
      </w:r>
    </w:p>
    <w:p w14:paraId="26B99318" w14:textId="3E5E1A29" w:rsidR="0076027E" w:rsidRPr="009138AA" w:rsidRDefault="00F5352D">
      <w:pPr>
        <w:pStyle w:val="ResNo"/>
      </w:pPr>
      <w:r w:rsidRPr="009138AA">
        <w:t>ПРОЕКТ НОВОЙ РЕЗОЛЮЦИИ [</w:t>
      </w:r>
      <w:proofErr w:type="spellStart"/>
      <w:r w:rsidRPr="009138AA">
        <w:t>APT-NG</w:t>
      </w:r>
      <w:proofErr w:type="spellEnd"/>
      <w:r w:rsidRPr="009138AA">
        <w:t>]</w:t>
      </w:r>
      <w:r w:rsidR="00196D4C" w:rsidRPr="009138AA">
        <w:t xml:space="preserve"> (Нью-Дели, 2024 г.)</w:t>
      </w:r>
    </w:p>
    <w:p w14:paraId="08B854BC" w14:textId="77777777" w:rsidR="00D016A9" w:rsidRPr="009138AA" w:rsidRDefault="00D016A9" w:rsidP="00D016A9">
      <w:pPr>
        <w:pStyle w:val="Restitle"/>
      </w:pPr>
      <w:r w:rsidRPr="009138AA">
        <w:t>Расширение привлечения экспертов следующего поколения к деятельности МСЭ-Т по стандартизации</w:t>
      </w:r>
    </w:p>
    <w:p w14:paraId="22976B0B" w14:textId="77777777" w:rsidR="00D016A9" w:rsidRPr="009138AA" w:rsidRDefault="00D016A9" w:rsidP="00D016A9">
      <w:pPr>
        <w:pStyle w:val="Resref"/>
      </w:pPr>
      <w:r w:rsidRPr="009138AA">
        <w:rPr>
          <w:iCs/>
        </w:rPr>
        <w:t>(Нью-Дели, 2024 г.)</w:t>
      </w:r>
    </w:p>
    <w:p w14:paraId="25F2480F" w14:textId="77777777" w:rsidR="00D016A9" w:rsidRPr="009138AA" w:rsidRDefault="00D016A9" w:rsidP="00D016A9">
      <w:pPr>
        <w:pStyle w:val="Normalaftertitle"/>
      </w:pPr>
      <w:r w:rsidRPr="009138AA">
        <w:t>Всемирная ассамблея по стандартизации электросвязи (Нью-Дели, 2024 г.),</w:t>
      </w:r>
    </w:p>
    <w:p w14:paraId="5AC330BA" w14:textId="77777777" w:rsidR="00D016A9" w:rsidRPr="009138AA" w:rsidRDefault="00D016A9" w:rsidP="00D016A9">
      <w:pPr>
        <w:pStyle w:val="Call"/>
      </w:pPr>
      <w:r w:rsidRPr="009138AA">
        <w:rPr>
          <w:iCs/>
        </w:rPr>
        <w:t>напоминая</w:t>
      </w:r>
    </w:p>
    <w:p w14:paraId="0D314224" w14:textId="77777777" w:rsidR="00D016A9" w:rsidRPr="009138AA" w:rsidRDefault="00D016A9" w:rsidP="00D016A9">
      <w:r w:rsidRPr="009138AA">
        <w:rPr>
          <w:i/>
          <w:iCs/>
        </w:rPr>
        <w:t>a)</w:t>
      </w:r>
      <w:r w:rsidRPr="009138AA">
        <w:tab/>
        <w:t xml:space="preserve">о пункте 13 Статьи 1 Устава МСЭ, в котором устанавливается, что Союз, в частности, облегчает международную стандартизацию электросвязи с удовлетворительным качеством обслуживания; </w:t>
      </w:r>
    </w:p>
    <w:p w14:paraId="35C30824" w14:textId="77777777" w:rsidR="00D016A9" w:rsidRPr="009138AA" w:rsidRDefault="00D016A9" w:rsidP="00D016A9">
      <w:r w:rsidRPr="009138AA">
        <w:rPr>
          <w:i/>
          <w:iCs/>
        </w:rPr>
        <w:t>b)</w:t>
      </w:r>
      <w:r w:rsidRPr="009138AA">
        <w:tab/>
        <w:t>о Резолюции 198 (Пересм. Бухарест, 2022 г.) Полномочной конференции, в которой признается Молодежная стратегия МСЭ, принятая членами МСЭ в ходе 25-го собрания Консультативной группы по развитию электросвязи (июнь 2020 г.), которая согласована с Молодежной стратегией Организации Объединенных Наций "Молодежь-2030" и способствует целенаправленному привлечению молодежи к цифровому развитию;</w:t>
      </w:r>
    </w:p>
    <w:p w14:paraId="161C153D" w14:textId="23130C61" w:rsidR="00D016A9" w:rsidRPr="009138AA" w:rsidRDefault="00D016A9" w:rsidP="00D016A9">
      <w:r w:rsidRPr="009138AA">
        <w:rPr>
          <w:i/>
          <w:iCs/>
        </w:rPr>
        <w:t>c)</w:t>
      </w:r>
      <w:r w:rsidRPr="009138AA">
        <w:tab/>
        <w:t xml:space="preserve">о Резолюции 76 (Пересм. Кигали, 2022 г.) Всемирной конференции по развитию электросвязи, в которой признается необходимость </w:t>
      </w:r>
      <w:r w:rsidR="00514AF0" w:rsidRPr="009138AA">
        <w:t>пропаганды</w:t>
      </w:r>
      <w:r w:rsidRPr="009138AA">
        <w:t xml:space="preserve"> информационно-коммуникационных технологий среди молодых женщин и мужчин для расширения их социально-экономических прав и возможностей,</w:t>
      </w:r>
    </w:p>
    <w:p w14:paraId="4E677590" w14:textId="77777777" w:rsidR="00D016A9" w:rsidRPr="009138AA" w:rsidRDefault="00D016A9" w:rsidP="00D016A9">
      <w:r w:rsidRPr="009138AA">
        <w:rPr>
          <w:i/>
          <w:iCs/>
        </w:rPr>
        <w:t>d)</w:t>
      </w:r>
      <w:r w:rsidRPr="009138AA">
        <w:tab/>
        <w:t>о Резолюции 123 (Пересм. Бухарест, 2022 г.) Полномочной конференции и Резолюцию 44 (Пересм. Женева, 2022 г.) настоящей Ассамблеи, в которых признается, что преодоление разрыва в стандартизации – это непрерывная работа;</w:t>
      </w:r>
    </w:p>
    <w:p w14:paraId="7215FC30" w14:textId="01F66962" w:rsidR="00D016A9" w:rsidRPr="009138AA" w:rsidRDefault="00D016A9" w:rsidP="00D016A9">
      <w:r w:rsidRPr="009138AA">
        <w:rPr>
          <w:i/>
          <w:iCs/>
        </w:rPr>
        <w:t>e)</w:t>
      </w:r>
      <w:r w:rsidRPr="009138AA">
        <w:tab/>
        <w:t>о Резолюции 34 (Пересм. Женева, 2022 г.) настоящей Ассамблеи, в которой признается, что добровольные взносы являются эффективным инструментом финансирования дополнительных видов деятельности Сектора,</w:t>
      </w:r>
    </w:p>
    <w:p w14:paraId="5078A656" w14:textId="77777777" w:rsidR="00D016A9" w:rsidRPr="009138AA" w:rsidRDefault="00D016A9" w:rsidP="00D016A9">
      <w:pPr>
        <w:pStyle w:val="Call"/>
        <w:rPr>
          <w:i w:val="0"/>
        </w:rPr>
      </w:pPr>
      <w:r w:rsidRPr="009138AA">
        <w:rPr>
          <w:iCs/>
        </w:rPr>
        <w:t>признавая</w:t>
      </w:r>
      <w:r w:rsidRPr="009138AA">
        <w:rPr>
          <w:i w:val="0"/>
        </w:rPr>
        <w:t>,</w:t>
      </w:r>
    </w:p>
    <w:p w14:paraId="3F921678" w14:textId="77777777" w:rsidR="00D016A9" w:rsidRPr="009138AA" w:rsidRDefault="00D016A9" w:rsidP="00D016A9">
      <w:pPr>
        <w:rPr>
          <w:rFonts w:eastAsia="SimSun"/>
        </w:rPr>
      </w:pPr>
      <w:r w:rsidRPr="009138AA">
        <w:rPr>
          <w:i/>
          <w:iCs/>
        </w:rPr>
        <w:t>a)</w:t>
      </w:r>
      <w:r w:rsidRPr="009138AA">
        <w:tab/>
        <w:t xml:space="preserve">что к экспертам следующего поколения должны относиться не только молодые специалисты, которые желают участвовать в работе по стандартизации, но и опытные специалисты, которые заинтересованы в стандартизации; </w:t>
      </w:r>
    </w:p>
    <w:p w14:paraId="6274E2A4" w14:textId="77777777" w:rsidR="00D016A9" w:rsidRPr="009138AA" w:rsidRDefault="00D016A9" w:rsidP="00D016A9">
      <w:r w:rsidRPr="009138AA">
        <w:rPr>
          <w:i/>
          <w:iCs/>
        </w:rPr>
        <w:t>b)</w:t>
      </w:r>
      <w:r w:rsidRPr="009138AA">
        <w:t xml:space="preserve"> </w:t>
      </w:r>
      <w:r w:rsidRPr="009138AA">
        <w:tab/>
        <w:t>что эксперты следующего поколения являются "цифровыми аборигенами" и могут стать ценными проводниками электросвязи/ИКТ и мировой движущей силой прогресса;</w:t>
      </w:r>
    </w:p>
    <w:p w14:paraId="3927A0BE" w14:textId="3DB2E8B1" w:rsidR="00D016A9" w:rsidRPr="009138AA" w:rsidRDefault="00D016A9" w:rsidP="00D016A9">
      <w:pPr>
        <w:rPr>
          <w:rFonts w:eastAsia="SimSun"/>
        </w:rPr>
      </w:pPr>
      <w:r w:rsidRPr="009138AA">
        <w:rPr>
          <w:i/>
          <w:iCs/>
        </w:rPr>
        <w:t>c)</w:t>
      </w:r>
      <w:r w:rsidRPr="009138AA">
        <w:tab/>
        <w:t xml:space="preserve">что предлагаемая молодежная стратегия, разрабатываемая Бюро стандартизации электросвязи (БСЭ), должна быть согласована с Резолюцией 198 (Пересм. Бухарест, 2022 г.) Полномочной конференции и Молодежной стратегией МСЭ, а также признавать ключевую роль привлечения экспертов следующего поколения </w:t>
      </w:r>
      <w:r w:rsidR="00514AF0" w:rsidRPr="009138AA">
        <w:t>к</w:t>
      </w:r>
      <w:r w:rsidRPr="009138AA">
        <w:t xml:space="preserve"> формировани</w:t>
      </w:r>
      <w:r w:rsidR="00514AF0" w:rsidRPr="009138AA">
        <w:t>ю</w:t>
      </w:r>
      <w:r w:rsidRPr="009138AA">
        <w:t xml:space="preserve"> стандартов в области электросвязи/ИКТ;</w:t>
      </w:r>
    </w:p>
    <w:p w14:paraId="404E79D5" w14:textId="77777777" w:rsidR="00D016A9" w:rsidRPr="009138AA" w:rsidRDefault="00D016A9" w:rsidP="00D016A9">
      <w:pPr>
        <w:rPr>
          <w:rFonts w:eastAsia="SimSun"/>
        </w:rPr>
      </w:pPr>
      <w:r w:rsidRPr="009138AA">
        <w:rPr>
          <w:i/>
          <w:iCs/>
        </w:rPr>
        <w:t>d)</w:t>
      </w:r>
      <w:r w:rsidRPr="009138AA">
        <w:tab/>
        <w:t>что разрыв в стандартизации существует не только между развивающимися и развитыми странами, но и между поколениями;</w:t>
      </w:r>
    </w:p>
    <w:p w14:paraId="1DA4ADEF" w14:textId="77777777" w:rsidR="00D016A9" w:rsidRPr="009138AA" w:rsidRDefault="00D016A9" w:rsidP="00D016A9">
      <w:r w:rsidRPr="009138AA">
        <w:rPr>
          <w:i/>
          <w:iCs/>
        </w:rPr>
        <w:t>e)</w:t>
      </w:r>
      <w:r w:rsidRPr="009138AA">
        <w:tab/>
        <w:t>что важно оказывать поддержку молодежи из развивающихся стран для ее активного участия в деятельности МСЭ-Т;</w:t>
      </w:r>
    </w:p>
    <w:p w14:paraId="51B15D39" w14:textId="2E6A5603" w:rsidR="00D016A9" w:rsidRPr="009138AA" w:rsidRDefault="00D016A9" w:rsidP="00D016A9">
      <w:pPr>
        <w:rPr>
          <w:rFonts w:eastAsia="SimSun"/>
        </w:rPr>
      </w:pPr>
      <w:r w:rsidRPr="009138AA">
        <w:rPr>
          <w:i/>
          <w:iCs/>
        </w:rPr>
        <w:t>f)</w:t>
      </w:r>
      <w:r w:rsidRPr="009138AA">
        <w:tab/>
        <w:t xml:space="preserve">что, по сравнению с другими видами профессиональной деятельности, для </w:t>
      </w:r>
      <w:r w:rsidR="0054537D" w:rsidRPr="009138AA">
        <w:t>экспертов следующего</w:t>
      </w:r>
      <w:r w:rsidRPr="009138AA">
        <w:t xml:space="preserve"> поколения стандартизация необязательно является приоритетным направлением развития карьеры и при этом в области стандартизации недостаточно программ подготовки;</w:t>
      </w:r>
    </w:p>
    <w:p w14:paraId="1C5244C7" w14:textId="68665FB6" w:rsidR="00D016A9" w:rsidRPr="009138AA" w:rsidRDefault="00D016A9" w:rsidP="00D016A9">
      <w:r w:rsidRPr="009138AA">
        <w:rPr>
          <w:i/>
          <w:iCs/>
        </w:rPr>
        <w:t>g)</w:t>
      </w:r>
      <w:r w:rsidRPr="009138AA">
        <w:tab/>
        <w:t xml:space="preserve">что для </w:t>
      </w:r>
      <w:r w:rsidR="0054537D" w:rsidRPr="009138AA">
        <w:t xml:space="preserve">поощрения привлечения </w:t>
      </w:r>
      <w:r w:rsidRPr="009138AA">
        <w:t xml:space="preserve">экспертов следующего поколения </w:t>
      </w:r>
      <w:r w:rsidR="0054537D" w:rsidRPr="009138AA">
        <w:t>к</w:t>
      </w:r>
      <w:r w:rsidRPr="009138AA">
        <w:t xml:space="preserve"> стандартизации может потребоваться создание потенциала;</w:t>
      </w:r>
    </w:p>
    <w:p w14:paraId="1B253D71" w14:textId="77777777" w:rsidR="00D016A9" w:rsidRPr="009138AA" w:rsidRDefault="00D016A9" w:rsidP="00D016A9">
      <w:r w:rsidRPr="009138AA">
        <w:rPr>
          <w:i/>
          <w:iCs/>
        </w:rPr>
        <w:lastRenderedPageBreak/>
        <w:t>h)</w:t>
      </w:r>
      <w:r w:rsidRPr="009138AA">
        <w:tab/>
        <w:t>что организации по разработке стандартов приступили к осуществлению программ молодых специалистов по популяризации стандартизации среди экспертов следующего поколения,</w:t>
      </w:r>
    </w:p>
    <w:p w14:paraId="7EB2E5E6" w14:textId="77777777" w:rsidR="00D016A9" w:rsidRPr="009138AA" w:rsidRDefault="00D016A9" w:rsidP="00D016A9">
      <w:pPr>
        <w:pStyle w:val="Call"/>
        <w:rPr>
          <w:i w:val="0"/>
        </w:rPr>
      </w:pPr>
      <w:r w:rsidRPr="009138AA">
        <w:rPr>
          <w:iCs/>
        </w:rPr>
        <w:t>признавая далее</w:t>
      </w:r>
      <w:r w:rsidRPr="009138AA">
        <w:rPr>
          <w:i w:val="0"/>
        </w:rPr>
        <w:t>,</w:t>
      </w:r>
    </w:p>
    <w:p w14:paraId="302A9E32" w14:textId="77777777" w:rsidR="00D016A9" w:rsidRPr="009138AA" w:rsidRDefault="00D016A9" w:rsidP="00D016A9">
      <w:pPr>
        <w:rPr>
          <w:rFonts w:eastAsia="SimSun"/>
        </w:rPr>
      </w:pPr>
      <w:r w:rsidRPr="009138AA">
        <w:rPr>
          <w:i/>
          <w:iCs/>
        </w:rPr>
        <w:t>a)</w:t>
      </w:r>
      <w:r w:rsidRPr="009138AA">
        <w:tab/>
        <w:t xml:space="preserve">что следует и далее активно продвигать научные конференции "Калейдоскоп" для привлечения академических организаций к деятельности МСЭ-Т в области стандартизации; </w:t>
      </w:r>
    </w:p>
    <w:p w14:paraId="6E039E62" w14:textId="77777777" w:rsidR="00D016A9" w:rsidRPr="009138AA" w:rsidRDefault="00D016A9" w:rsidP="00D016A9">
      <w:pPr>
        <w:rPr>
          <w:rFonts w:eastAsia="SimSun"/>
        </w:rPr>
      </w:pPr>
      <w:r w:rsidRPr="009138AA">
        <w:rPr>
          <w:i/>
          <w:iCs/>
        </w:rPr>
        <w:t>b)</w:t>
      </w:r>
      <w:r w:rsidRPr="009138AA">
        <w:tab/>
        <w:t>существующие программы МСЭ-Т, такие как программы по преодолению разрыва в стандартизации и сессии для новых участников;</w:t>
      </w:r>
    </w:p>
    <w:p w14:paraId="1BDFF49D" w14:textId="48D2E00D" w:rsidR="00D016A9" w:rsidRPr="009138AA" w:rsidRDefault="00D016A9" w:rsidP="00D016A9">
      <w:r w:rsidRPr="009138AA">
        <w:rPr>
          <w:i/>
          <w:iCs/>
        </w:rPr>
        <w:t>c)</w:t>
      </w:r>
      <w:r w:rsidRPr="009138AA">
        <w:tab/>
        <w:t xml:space="preserve">что МСЭ-Т следует </w:t>
      </w:r>
      <w:r w:rsidR="009475C8" w:rsidRPr="009138AA">
        <w:t>продвигать</w:t>
      </w:r>
      <w:r w:rsidRPr="009138AA">
        <w:t xml:space="preserve"> свою роль в области стандартизации среди экспертов следующего поколения, а также представление о необходимости расширения деятельности МСЭ-Т по привлечению молодежи за пределы ее нынешней сферы деятельности,</w:t>
      </w:r>
    </w:p>
    <w:p w14:paraId="79B7EACC" w14:textId="77777777" w:rsidR="00D016A9" w:rsidRPr="009138AA" w:rsidRDefault="00D016A9" w:rsidP="00D016A9">
      <w:pPr>
        <w:pStyle w:val="Call"/>
        <w:rPr>
          <w:i w:val="0"/>
        </w:rPr>
      </w:pPr>
      <w:r w:rsidRPr="009138AA">
        <w:rPr>
          <w:iCs/>
        </w:rPr>
        <w:t>решает</w:t>
      </w:r>
      <w:r w:rsidRPr="009138AA">
        <w:rPr>
          <w:i w:val="0"/>
        </w:rPr>
        <w:t>,</w:t>
      </w:r>
    </w:p>
    <w:p w14:paraId="1FB7840E" w14:textId="389F45C9" w:rsidR="00D016A9" w:rsidRPr="009138AA" w:rsidRDefault="00D016A9" w:rsidP="00D016A9">
      <w:r w:rsidRPr="009138AA">
        <w:t>1</w:t>
      </w:r>
      <w:r w:rsidRPr="009138AA">
        <w:tab/>
        <w:t xml:space="preserve">что МСЭ-Т </w:t>
      </w:r>
      <w:r w:rsidR="0054537D" w:rsidRPr="009138AA">
        <w:t>следует</w:t>
      </w:r>
      <w:r w:rsidRPr="009138AA">
        <w:t xml:space="preserve"> содействовать </w:t>
      </w:r>
      <w:r w:rsidR="0054537D" w:rsidRPr="009138AA">
        <w:t xml:space="preserve">привлечению экспертов следующего поколения к своей работе и их </w:t>
      </w:r>
      <w:r w:rsidRPr="009138AA">
        <w:t>участию</w:t>
      </w:r>
      <w:r w:rsidR="0054537D" w:rsidRPr="009138AA">
        <w:t xml:space="preserve"> в ней</w:t>
      </w:r>
      <w:r w:rsidRPr="009138AA">
        <w:t>;</w:t>
      </w:r>
    </w:p>
    <w:p w14:paraId="5E51CECC" w14:textId="58298313" w:rsidR="00D016A9" w:rsidRPr="009138AA" w:rsidRDefault="00D016A9" w:rsidP="00D016A9">
      <w:r w:rsidRPr="009138AA">
        <w:t>2</w:t>
      </w:r>
      <w:r w:rsidRPr="009138AA">
        <w:tab/>
        <w:t>что МСЭ-Т следует про</w:t>
      </w:r>
      <w:r w:rsidR="0054537D" w:rsidRPr="009138AA">
        <w:t xml:space="preserve">пагандировать </w:t>
      </w:r>
      <w:r w:rsidRPr="009138AA">
        <w:t xml:space="preserve">среди представителей академических кругов общую концепцию и базовые знания в области стандартизации электросвязи/ИКТ, в том числе с использованием цифровых платформ, для поощрения </w:t>
      </w:r>
      <w:r w:rsidR="0054537D" w:rsidRPr="009138AA">
        <w:t>привлечения</w:t>
      </w:r>
      <w:r w:rsidRPr="009138AA">
        <w:t xml:space="preserve"> экспертов следующего поколения </w:t>
      </w:r>
      <w:r w:rsidR="0054537D" w:rsidRPr="009138AA">
        <w:t>к</w:t>
      </w:r>
      <w:r w:rsidRPr="009138AA">
        <w:t xml:space="preserve"> деятельности в области стандартизации;</w:t>
      </w:r>
    </w:p>
    <w:p w14:paraId="03774D6B" w14:textId="1DB80B89" w:rsidR="00D016A9" w:rsidRPr="009138AA" w:rsidRDefault="00D016A9" w:rsidP="00D016A9">
      <w:r w:rsidRPr="009138AA">
        <w:t>3</w:t>
      </w:r>
      <w:r w:rsidRPr="009138AA">
        <w:tab/>
        <w:t>что для дальнейшего продвижения МСЭ-Т и его роли в стандартизации МСЭ</w:t>
      </w:r>
      <w:r w:rsidR="009138AA" w:rsidRPr="009138AA">
        <w:noBreakHyphen/>
      </w:r>
      <w:r w:rsidRPr="009138AA">
        <w:t>Т следует ввести стимулы, такие как награды, для экспертов следующего поколения,</w:t>
      </w:r>
    </w:p>
    <w:p w14:paraId="12E1A52A" w14:textId="1F3CA788" w:rsidR="00D016A9" w:rsidRPr="009138AA" w:rsidRDefault="00D016A9" w:rsidP="00D016A9">
      <w:pPr>
        <w:pStyle w:val="Call"/>
      </w:pPr>
      <w:r w:rsidRPr="009138AA">
        <w:rPr>
          <w:iCs/>
        </w:rPr>
        <w:t>поручает Директору Бюро стандартизации электросвязи в сотрудничестве с Директором Бюро развития электросвязи</w:t>
      </w:r>
    </w:p>
    <w:p w14:paraId="758A04EF" w14:textId="1C7A9BFB" w:rsidR="00D016A9" w:rsidRPr="009138AA" w:rsidRDefault="00D016A9" w:rsidP="00D016A9">
      <w:r w:rsidRPr="009138AA">
        <w:t>1</w:t>
      </w:r>
      <w:r w:rsidRPr="009138AA">
        <w:tab/>
        <w:t>расширять использование электронных каналов, таких как онлайновые курсы вебинары</w:t>
      </w:r>
      <w:r w:rsidR="009475C8" w:rsidRPr="009138AA">
        <w:t>,</w:t>
      </w:r>
      <w:r w:rsidRPr="009138AA">
        <w:t xml:space="preserve"> для обучения стандартизации, в тесном сотрудничестве с Академией МСЭ и другими инициативами БРЭ по созданию потенциала</w:t>
      </w:r>
    </w:p>
    <w:p w14:paraId="4AEC4C5F" w14:textId="18837D20" w:rsidR="00D016A9" w:rsidRPr="009138AA" w:rsidRDefault="00D016A9" w:rsidP="00D016A9">
      <w:r w:rsidRPr="009138AA">
        <w:t>2</w:t>
      </w:r>
      <w:r w:rsidRPr="009138AA">
        <w:tab/>
        <w:t>активизировать разработку, продвижение и распространение информации о подготовительных курсах для новых участников, предоставляя также обзор работы МСЭ</w:t>
      </w:r>
      <w:r w:rsidR="009138AA" w:rsidRPr="009138AA">
        <w:noBreakHyphen/>
      </w:r>
      <w:r w:rsidRPr="009138AA">
        <w:t>Т в области стандартизации для экспертов следующего поколения;</w:t>
      </w:r>
    </w:p>
    <w:p w14:paraId="663AA29D" w14:textId="301DAE91" w:rsidR="00D016A9" w:rsidRPr="009138AA" w:rsidRDefault="00D016A9" w:rsidP="00D016A9">
      <w:r w:rsidRPr="009138AA">
        <w:t>3</w:t>
      </w:r>
      <w:r w:rsidRPr="009138AA">
        <w:tab/>
        <w:t>организовать специальные сессии/сегменты в рамках существующих мероприятий МСЭ</w:t>
      </w:r>
      <w:r w:rsidR="009138AA" w:rsidRPr="009138AA">
        <w:noBreakHyphen/>
      </w:r>
      <w:r w:rsidRPr="009138AA">
        <w:t xml:space="preserve">Т и </w:t>
      </w:r>
      <w:r w:rsidR="009475C8" w:rsidRPr="009138AA">
        <w:t xml:space="preserve">обеспечить возможности привлечения </w:t>
      </w:r>
      <w:r w:rsidRPr="009138AA">
        <w:t>эксперт</w:t>
      </w:r>
      <w:r w:rsidR="009475C8" w:rsidRPr="009138AA">
        <w:t>ов</w:t>
      </w:r>
      <w:r w:rsidRPr="009138AA">
        <w:t xml:space="preserve"> следующего поколения </w:t>
      </w:r>
      <w:r w:rsidR="009475C8" w:rsidRPr="009138AA">
        <w:t>к деятельности МСЭ</w:t>
      </w:r>
      <w:r w:rsidR="009138AA" w:rsidRPr="009138AA">
        <w:noBreakHyphen/>
      </w:r>
      <w:r w:rsidR="009475C8" w:rsidRPr="009138AA">
        <w:t xml:space="preserve">Т по стандартизации и их </w:t>
      </w:r>
      <w:r w:rsidRPr="009138AA">
        <w:t>участ</w:t>
      </w:r>
      <w:r w:rsidR="009475C8" w:rsidRPr="009138AA">
        <w:t>ия</w:t>
      </w:r>
      <w:r w:rsidRPr="009138AA">
        <w:t xml:space="preserve"> в</w:t>
      </w:r>
      <w:r w:rsidR="009475C8" w:rsidRPr="009138AA">
        <w:t xml:space="preserve"> ней</w:t>
      </w:r>
      <w:r w:rsidRPr="009138AA">
        <w:t>;</w:t>
      </w:r>
    </w:p>
    <w:p w14:paraId="727D5386" w14:textId="77777777" w:rsidR="00D016A9" w:rsidRPr="009138AA" w:rsidRDefault="00D016A9" w:rsidP="00D016A9">
      <w:r w:rsidRPr="009138AA">
        <w:t>4</w:t>
      </w:r>
      <w:r w:rsidRPr="009138AA">
        <w:tab/>
        <w:t>представлять КГСЭ и ВАСЭ отчет об инициативах МСЭ-Т по привлечению экспертов нового поколения,</w:t>
      </w:r>
    </w:p>
    <w:p w14:paraId="4CFA2A80" w14:textId="77777777" w:rsidR="00D016A9" w:rsidRPr="009138AA" w:rsidRDefault="00D016A9" w:rsidP="00D016A9">
      <w:pPr>
        <w:pStyle w:val="Call"/>
      </w:pPr>
      <w:r w:rsidRPr="009138AA">
        <w:rPr>
          <w:iCs/>
        </w:rPr>
        <w:t>предлагает Государствам-Членам, Членам Сектора, Ассоциированным членам</w:t>
      </w:r>
    </w:p>
    <w:p w14:paraId="343D3CDA" w14:textId="768CB131" w:rsidR="00D016A9" w:rsidRPr="009138AA" w:rsidRDefault="00D016A9" w:rsidP="00D016A9">
      <w:r w:rsidRPr="009138AA">
        <w:t>1</w:t>
      </w:r>
      <w:r w:rsidRPr="009138AA">
        <w:tab/>
        <w:t xml:space="preserve">поддерживать деятельность МСЭ-Т, направленную на </w:t>
      </w:r>
      <w:r w:rsidR="009475C8" w:rsidRPr="009138AA">
        <w:t xml:space="preserve">содействие </w:t>
      </w:r>
      <w:r w:rsidRPr="009138AA">
        <w:t>привлечени</w:t>
      </w:r>
      <w:r w:rsidR="009475C8" w:rsidRPr="009138AA">
        <w:t>ю</w:t>
      </w:r>
      <w:r w:rsidRPr="009138AA">
        <w:t xml:space="preserve"> экспертов следующего поколения к работе по стандартизации и получения преимуществ от их участия в стандартизации, используя добровольные взносы и спонсорскую помощь;</w:t>
      </w:r>
    </w:p>
    <w:p w14:paraId="2C54548F" w14:textId="75080BF7" w:rsidR="00D016A9" w:rsidRPr="009138AA" w:rsidRDefault="00D016A9" w:rsidP="00D016A9">
      <w:r w:rsidRPr="009138AA">
        <w:t>2</w:t>
      </w:r>
      <w:r w:rsidRPr="009138AA">
        <w:tab/>
        <w:t xml:space="preserve">включать молодых делегатов в состав официальных делегаций </w:t>
      </w:r>
      <w:r w:rsidR="009475C8" w:rsidRPr="009138AA">
        <w:t xml:space="preserve">на </w:t>
      </w:r>
      <w:r w:rsidRPr="009138AA">
        <w:t>собрани</w:t>
      </w:r>
      <w:r w:rsidR="009475C8" w:rsidRPr="009138AA">
        <w:t>ях</w:t>
      </w:r>
      <w:r w:rsidRPr="009138AA">
        <w:t xml:space="preserve"> МСЭ-Т и поддерживать их интеграцию с помощью программ наставничества,</w:t>
      </w:r>
    </w:p>
    <w:p w14:paraId="3A3CB1DD" w14:textId="77777777" w:rsidR="00D016A9" w:rsidRPr="009138AA" w:rsidRDefault="00D016A9" w:rsidP="00D016A9">
      <w:pPr>
        <w:pStyle w:val="Call"/>
      </w:pPr>
      <w:r w:rsidRPr="009138AA">
        <w:rPr>
          <w:iCs/>
        </w:rPr>
        <w:t>предлагает Академическим организациям</w:t>
      </w:r>
    </w:p>
    <w:p w14:paraId="458042CD" w14:textId="7DB0C207" w:rsidR="00D016A9" w:rsidRPr="009138AA" w:rsidRDefault="00D016A9" w:rsidP="00D016A9">
      <w:r w:rsidRPr="009138AA">
        <w:t>1</w:t>
      </w:r>
      <w:r w:rsidRPr="009138AA">
        <w:tab/>
        <w:t xml:space="preserve">поддерживать </w:t>
      </w:r>
      <w:r w:rsidR="009475C8" w:rsidRPr="009138AA">
        <w:t xml:space="preserve">привлечение экспертов следующего поколения к деятельности по стандартизации </w:t>
      </w:r>
      <w:r w:rsidRPr="009138AA">
        <w:t>и содействовать</w:t>
      </w:r>
      <w:r w:rsidR="009475C8" w:rsidRPr="009138AA">
        <w:t xml:space="preserve"> этому</w:t>
      </w:r>
      <w:r w:rsidRPr="009138AA">
        <w:t xml:space="preserve">, </w:t>
      </w:r>
      <w:r w:rsidR="009475C8" w:rsidRPr="009138AA">
        <w:t xml:space="preserve">в том числе путем </w:t>
      </w:r>
      <w:r w:rsidRPr="009138AA">
        <w:t>обеспечени</w:t>
      </w:r>
      <w:r w:rsidR="009475C8" w:rsidRPr="009138AA">
        <w:t>я</w:t>
      </w:r>
      <w:r w:rsidRPr="009138AA">
        <w:t xml:space="preserve"> доступа к информации, предоставлени</w:t>
      </w:r>
      <w:r w:rsidR="009475C8" w:rsidRPr="009138AA">
        <w:t>я</w:t>
      </w:r>
      <w:r w:rsidRPr="009138AA">
        <w:t xml:space="preserve"> стипендий и признани</w:t>
      </w:r>
      <w:r w:rsidR="009475C8" w:rsidRPr="009138AA">
        <w:t>я</w:t>
      </w:r>
      <w:r w:rsidRPr="009138AA">
        <w:t xml:space="preserve"> их участия в деятельности МСЭ-Т;</w:t>
      </w:r>
    </w:p>
    <w:p w14:paraId="648F924E" w14:textId="27EC8455" w:rsidR="00D016A9" w:rsidRPr="009138AA" w:rsidRDefault="00D016A9" w:rsidP="00D016A9">
      <w:r w:rsidRPr="009138AA">
        <w:t>2</w:t>
      </w:r>
      <w:r w:rsidRPr="009138AA">
        <w:tab/>
      </w:r>
      <w:r w:rsidR="009475C8" w:rsidRPr="009138AA">
        <w:t>во</w:t>
      </w:r>
      <w:r w:rsidRPr="009138AA">
        <w:t xml:space="preserve">влекать молодых преподавателей и исследователей, а также студентов, </w:t>
      </w:r>
      <w:r w:rsidR="009475C8" w:rsidRPr="009138AA">
        <w:t>в</w:t>
      </w:r>
      <w:r w:rsidRPr="009138AA">
        <w:t xml:space="preserve"> соответствующ</w:t>
      </w:r>
      <w:r w:rsidR="009475C8" w:rsidRPr="009138AA">
        <w:t>ую</w:t>
      </w:r>
      <w:r w:rsidRPr="009138AA">
        <w:t xml:space="preserve"> деятельност</w:t>
      </w:r>
      <w:r w:rsidR="009475C8" w:rsidRPr="009138AA">
        <w:t>ь</w:t>
      </w:r>
      <w:r w:rsidRPr="009138AA">
        <w:t xml:space="preserve"> МСЭ и </w:t>
      </w:r>
      <w:r w:rsidR="009475C8" w:rsidRPr="009138AA">
        <w:t xml:space="preserve">расширять </w:t>
      </w:r>
      <w:r w:rsidRPr="009138AA">
        <w:t>возможност</w:t>
      </w:r>
      <w:r w:rsidR="009475C8" w:rsidRPr="009138AA">
        <w:t>и</w:t>
      </w:r>
      <w:r w:rsidRPr="009138AA">
        <w:t xml:space="preserve"> </w:t>
      </w:r>
      <w:r w:rsidR="009475C8" w:rsidRPr="009138AA">
        <w:t xml:space="preserve">их </w:t>
      </w:r>
      <w:r w:rsidRPr="009138AA">
        <w:t>эффективно</w:t>
      </w:r>
      <w:r w:rsidR="009475C8" w:rsidRPr="009138AA">
        <w:t>го</w:t>
      </w:r>
      <w:r w:rsidRPr="009138AA">
        <w:t xml:space="preserve"> участи</w:t>
      </w:r>
      <w:r w:rsidR="009475C8" w:rsidRPr="009138AA">
        <w:t>я в ней</w:t>
      </w:r>
      <w:r w:rsidRPr="009138AA">
        <w:t>, в том числе путем создания потенциала и развития навыков</w:t>
      </w:r>
      <w:r w:rsidR="009475C8" w:rsidRPr="009138AA">
        <w:t>;</w:t>
      </w:r>
    </w:p>
    <w:p w14:paraId="72ECA063" w14:textId="49767BD0" w:rsidR="00D016A9" w:rsidRPr="009138AA" w:rsidRDefault="00D016A9" w:rsidP="009138AA">
      <w:pPr>
        <w:keepNext/>
      </w:pPr>
      <w:r w:rsidRPr="009138AA">
        <w:lastRenderedPageBreak/>
        <w:t>3</w:t>
      </w:r>
      <w:r w:rsidRPr="009138AA">
        <w:tab/>
        <w:t xml:space="preserve">тесно сотрудничать с правительствами, отраслевыми и партнерскими организациями в целях </w:t>
      </w:r>
      <w:r w:rsidR="009475C8" w:rsidRPr="009138AA">
        <w:t xml:space="preserve">содействия </w:t>
      </w:r>
      <w:r w:rsidRPr="009138AA">
        <w:t>включени</w:t>
      </w:r>
      <w:r w:rsidR="009475C8" w:rsidRPr="009138AA">
        <w:t>ю</w:t>
      </w:r>
      <w:r w:rsidRPr="009138AA">
        <w:t xml:space="preserve"> концепции стандартизации в учебные программы.</w:t>
      </w:r>
    </w:p>
    <w:p w14:paraId="27268ADD" w14:textId="77777777" w:rsidR="00F5352D" w:rsidRPr="009138AA" w:rsidRDefault="00F5352D" w:rsidP="009138AA">
      <w:pPr>
        <w:pStyle w:val="Reasons"/>
        <w:keepNext/>
      </w:pPr>
    </w:p>
    <w:p w14:paraId="0CAA1302" w14:textId="77777777" w:rsidR="00F5352D" w:rsidRPr="009138AA" w:rsidRDefault="00F5352D">
      <w:pPr>
        <w:jc w:val="center"/>
      </w:pPr>
      <w:r w:rsidRPr="009138AA">
        <w:t>______________</w:t>
      </w:r>
    </w:p>
    <w:sectPr w:rsidR="00F5352D" w:rsidRPr="009138AA" w:rsidSect="00461C79">
      <w:headerReference w:type="default" r:id="rId15"/>
      <w:footerReference w:type="even" r:id="rId16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D2A76" w14:textId="77777777" w:rsidR="00726962" w:rsidRDefault="00726962">
      <w:r>
        <w:separator/>
      </w:r>
    </w:p>
  </w:endnote>
  <w:endnote w:type="continuationSeparator" w:id="0">
    <w:p w14:paraId="4079FD62" w14:textId="77777777" w:rsidR="00726962" w:rsidRDefault="00726962">
      <w:r>
        <w:continuationSeparator/>
      </w:r>
    </w:p>
  </w:endnote>
  <w:endnote w:type="continuationNotice" w:id="1">
    <w:p w14:paraId="7E837985" w14:textId="77777777" w:rsidR="00726962" w:rsidRDefault="0072696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98D94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EE96133" w14:textId="675DAB9E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30D45">
      <w:rPr>
        <w:noProof/>
      </w:rPr>
      <w:t>09.10.24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A7674" w14:textId="77777777" w:rsidR="00726962" w:rsidRDefault="00726962">
      <w:r>
        <w:rPr>
          <w:b/>
        </w:rPr>
        <w:t>_______________</w:t>
      </w:r>
    </w:p>
  </w:footnote>
  <w:footnote w:type="continuationSeparator" w:id="0">
    <w:p w14:paraId="1629DDED" w14:textId="77777777" w:rsidR="00726962" w:rsidRDefault="00726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8A6CA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WTSA-24/37(Add.39)-R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847937833">
    <w:abstractNumId w:val="8"/>
  </w:num>
  <w:num w:numId="2" w16cid:durableId="48034496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98069667">
    <w:abstractNumId w:val="9"/>
  </w:num>
  <w:num w:numId="4" w16cid:durableId="154419233">
    <w:abstractNumId w:val="7"/>
  </w:num>
  <w:num w:numId="5" w16cid:durableId="1432627537">
    <w:abstractNumId w:val="6"/>
  </w:num>
  <w:num w:numId="6" w16cid:durableId="1508473446">
    <w:abstractNumId w:val="5"/>
  </w:num>
  <w:num w:numId="7" w16cid:durableId="947198340">
    <w:abstractNumId w:val="4"/>
  </w:num>
  <w:num w:numId="8" w16cid:durableId="182790394">
    <w:abstractNumId w:val="3"/>
  </w:num>
  <w:num w:numId="9" w16cid:durableId="2125464889">
    <w:abstractNumId w:val="2"/>
  </w:num>
  <w:num w:numId="10" w16cid:durableId="987248900">
    <w:abstractNumId w:val="1"/>
  </w:num>
  <w:num w:numId="11" w16cid:durableId="374739698">
    <w:abstractNumId w:val="0"/>
  </w:num>
  <w:num w:numId="12" w16cid:durableId="1176841032">
    <w:abstractNumId w:val="12"/>
  </w:num>
  <w:num w:numId="13" w16cid:durableId="1087411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1FC3"/>
    <w:rsid w:val="0009706C"/>
    <w:rsid w:val="000A4F50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96D4C"/>
    <w:rsid w:val="001A0EBF"/>
    <w:rsid w:val="001C3B5F"/>
    <w:rsid w:val="001D058F"/>
    <w:rsid w:val="001E6F73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5717D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14AF0"/>
    <w:rsid w:val="00520045"/>
    <w:rsid w:val="0054537D"/>
    <w:rsid w:val="0055140B"/>
    <w:rsid w:val="00553247"/>
    <w:rsid w:val="005627AF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C440B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317F"/>
    <w:rsid w:val="006A6E9B"/>
    <w:rsid w:val="006A72A4"/>
    <w:rsid w:val="006B7C2A"/>
    <w:rsid w:val="006C23DA"/>
    <w:rsid w:val="006D4032"/>
    <w:rsid w:val="006D4183"/>
    <w:rsid w:val="006E3D45"/>
    <w:rsid w:val="006E6EE0"/>
    <w:rsid w:val="006F0DB7"/>
    <w:rsid w:val="00700547"/>
    <w:rsid w:val="00707E39"/>
    <w:rsid w:val="007149F9"/>
    <w:rsid w:val="00726962"/>
    <w:rsid w:val="00733A30"/>
    <w:rsid w:val="00742988"/>
    <w:rsid w:val="00742F1D"/>
    <w:rsid w:val="00744830"/>
    <w:rsid w:val="007452F0"/>
    <w:rsid w:val="00745AEE"/>
    <w:rsid w:val="00750F10"/>
    <w:rsid w:val="00752D4D"/>
    <w:rsid w:val="0076027E"/>
    <w:rsid w:val="00761B19"/>
    <w:rsid w:val="00761F8D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560C2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38AA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475C8"/>
    <w:rsid w:val="00952A66"/>
    <w:rsid w:val="00955FE7"/>
    <w:rsid w:val="0095691C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015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0D4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16A9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14BE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67C5"/>
    <w:rsid w:val="00E870AC"/>
    <w:rsid w:val="00E94DBA"/>
    <w:rsid w:val="00E976C1"/>
    <w:rsid w:val="00EA12E5"/>
    <w:rsid w:val="00EB554E"/>
    <w:rsid w:val="00EB55C6"/>
    <w:rsid w:val="00EC7F04"/>
    <w:rsid w:val="00ED30BC"/>
    <w:rsid w:val="00EF49CF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5352D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1DF78A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uiPriority w:val="99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bebb2b3-d971-4f55-9375-34db50ba0c91" targetNamespace="http://schemas.microsoft.com/office/2006/metadata/properties" ma:root="true" ma:fieldsID="d41af5c836d734370eb92e7ee5f83852" ns2:_="" ns3:_="">
    <xsd:import namespace="996b2e75-67fd-4955-a3b0-5ab9934cb50b"/>
    <xsd:import namespace="dbebb2b3-d971-4f55-9375-34db50ba0c9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bb2b3-d971-4f55-9375-34db50ba0c9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bebb2b3-d971-4f55-9375-34db50ba0c91">DPM</DPM_x0020_Author>
    <DPM_x0020_File_x0020_name xmlns="dbebb2b3-d971-4f55-9375-34db50ba0c91">T22-WTSA.24-C-0037!A39!MSW-R</DPM_x0020_File_x0020_name>
    <DPM_x0020_Version xmlns="dbebb2b3-d971-4f55-9375-34db50ba0c91">DPM_2022.05.12.01</DPM_x0020_Version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bebb2b3-d971-4f55-9375-34db50ba0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bebb2b3-d971-4f55-9375-34db50ba0c91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996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T22-WTSA.24-C-0037!A39!MSW-R</vt:lpstr>
    </vt:vector>
  </TitlesOfParts>
  <Manager>General Secretariat - Pool</Manager>
  <Company>International Telecommunication Union (ITU)</Company>
  <LinksUpToDate>false</LinksUpToDate>
  <CharactersWithSpaces>8207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T22-WTSA.24-C-0037!A39!MSW-R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AN</cp:lastModifiedBy>
  <cp:revision>4</cp:revision>
  <cp:lastPrinted>2016-06-06T07:49:00Z</cp:lastPrinted>
  <dcterms:created xsi:type="dcterms:W3CDTF">2024-10-09T08:04:00Z</dcterms:created>
  <dcterms:modified xsi:type="dcterms:W3CDTF">2024-10-09T09:18:00Z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