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5BFC741" w14:textId="77777777" w:rsidTr="00DE1F2F">
        <w:trPr>
          <w:cantSplit/>
          <w:trHeight w:val="1132"/>
        </w:trPr>
        <w:tc>
          <w:tcPr>
            <w:tcW w:w="1290" w:type="dxa"/>
            <w:vAlign w:val="center"/>
          </w:tcPr>
          <w:p w14:paraId="04BD0D37" w14:textId="77777777" w:rsidR="00D2023F" w:rsidRPr="0077349A" w:rsidRDefault="0018215C" w:rsidP="00C30155">
            <w:pPr>
              <w:spacing w:before="0"/>
            </w:pPr>
            <w:r w:rsidRPr="0077349A">
              <w:rPr>
                <w:noProof/>
              </w:rPr>
              <w:drawing>
                <wp:inline distT="0" distB="0" distL="0" distR="0" wp14:anchorId="4DFA56EA" wp14:editId="17E540D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3B0A3F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A8E076E" w14:textId="77777777" w:rsidR="00D2023F" w:rsidRPr="0077349A" w:rsidRDefault="00D2023F" w:rsidP="00C30155">
            <w:pPr>
              <w:spacing w:before="0"/>
            </w:pPr>
            <w:r w:rsidRPr="0077349A">
              <w:rPr>
                <w:noProof/>
                <w:lang w:eastAsia="zh-CN"/>
              </w:rPr>
              <w:drawing>
                <wp:inline distT="0" distB="0" distL="0" distR="0" wp14:anchorId="50F4B51E" wp14:editId="56D5314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89B5A1D" w14:textId="77777777" w:rsidTr="00DE1F2F">
        <w:trPr>
          <w:cantSplit/>
        </w:trPr>
        <w:tc>
          <w:tcPr>
            <w:tcW w:w="9811" w:type="dxa"/>
            <w:gridSpan w:val="4"/>
            <w:tcBorders>
              <w:bottom w:val="single" w:sz="12" w:space="0" w:color="auto"/>
            </w:tcBorders>
          </w:tcPr>
          <w:p w14:paraId="294BB63F" w14:textId="77777777" w:rsidR="00D2023F" w:rsidRPr="0077349A" w:rsidRDefault="00D2023F" w:rsidP="00C30155">
            <w:pPr>
              <w:spacing w:before="0"/>
            </w:pPr>
          </w:p>
        </w:tc>
      </w:tr>
      <w:tr w:rsidR="00931298" w:rsidRPr="002D0535" w14:paraId="01347FB3" w14:textId="77777777" w:rsidTr="00DE1F2F">
        <w:trPr>
          <w:cantSplit/>
        </w:trPr>
        <w:tc>
          <w:tcPr>
            <w:tcW w:w="6237" w:type="dxa"/>
            <w:gridSpan w:val="2"/>
            <w:tcBorders>
              <w:top w:val="single" w:sz="12" w:space="0" w:color="auto"/>
            </w:tcBorders>
          </w:tcPr>
          <w:p w14:paraId="5ADCF276" w14:textId="77777777" w:rsidR="00931298" w:rsidRPr="002D0535" w:rsidRDefault="00931298" w:rsidP="00C30155">
            <w:pPr>
              <w:spacing w:before="0"/>
              <w:rPr>
                <w:sz w:val="20"/>
              </w:rPr>
            </w:pPr>
          </w:p>
        </w:tc>
        <w:tc>
          <w:tcPr>
            <w:tcW w:w="3574" w:type="dxa"/>
            <w:gridSpan w:val="2"/>
          </w:tcPr>
          <w:p w14:paraId="694E703B" w14:textId="77777777" w:rsidR="00931298" w:rsidRPr="002D0535" w:rsidRDefault="00931298" w:rsidP="00C30155">
            <w:pPr>
              <w:spacing w:before="0"/>
              <w:rPr>
                <w:sz w:val="20"/>
              </w:rPr>
            </w:pPr>
          </w:p>
        </w:tc>
      </w:tr>
      <w:tr w:rsidR="00752D4D" w:rsidRPr="0077349A" w14:paraId="77EB0FC0" w14:textId="77777777" w:rsidTr="00DE1F2F">
        <w:trPr>
          <w:cantSplit/>
        </w:trPr>
        <w:tc>
          <w:tcPr>
            <w:tcW w:w="6237" w:type="dxa"/>
            <w:gridSpan w:val="2"/>
          </w:tcPr>
          <w:p w14:paraId="56139798" w14:textId="77777777" w:rsidR="00752D4D" w:rsidRPr="0077349A" w:rsidRDefault="00E83B2D" w:rsidP="00E83B2D">
            <w:pPr>
              <w:pStyle w:val="Committee"/>
            </w:pPr>
            <w:r w:rsidRPr="00E83B2D">
              <w:t>PLENARY MEETING</w:t>
            </w:r>
          </w:p>
        </w:tc>
        <w:tc>
          <w:tcPr>
            <w:tcW w:w="3574" w:type="dxa"/>
            <w:gridSpan w:val="2"/>
          </w:tcPr>
          <w:p w14:paraId="48AB8A72" w14:textId="77777777" w:rsidR="00752D4D" w:rsidRPr="0077349A" w:rsidRDefault="00E83B2D" w:rsidP="00A52D1A">
            <w:pPr>
              <w:pStyle w:val="Docnumber"/>
            </w:pPr>
            <w:r>
              <w:t>Addendum 39 to</w:t>
            </w:r>
            <w:r>
              <w:br/>
              <w:t>Document 37</w:t>
            </w:r>
            <w:r w:rsidRPr="0056747D">
              <w:t>-</w:t>
            </w:r>
            <w:r w:rsidRPr="003251EA">
              <w:t>E</w:t>
            </w:r>
          </w:p>
        </w:tc>
      </w:tr>
      <w:tr w:rsidR="00931298" w:rsidRPr="0077349A" w14:paraId="55E1D58E" w14:textId="77777777" w:rsidTr="00DE1F2F">
        <w:trPr>
          <w:cantSplit/>
        </w:trPr>
        <w:tc>
          <w:tcPr>
            <w:tcW w:w="6237" w:type="dxa"/>
            <w:gridSpan w:val="2"/>
          </w:tcPr>
          <w:p w14:paraId="0FC83EE0" w14:textId="77777777" w:rsidR="00931298" w:rsidRPr="002D0535" w:rsidRDefault="00931298" w:rsidP="00C30155">
            <w:pPr>
              <w:spacing w:before="0"/>
              <w:rPr>
                <w:sz w:val="20"/>
              </w:rPr>
            </w:pPr>
          </w:p>
        </w:tc>
        <w:tc>
          <w:tcPr>
            <w:tcW w:w="3574" w:type="dxa"/>
            <w:gridSpan w:val="2"/>
          </w:tcPr>
          <w:p w14:paraId="1020D040"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1234333F" w14:textId="77777777" w:rsidTr="00DE1F2F">
        <w:trPr>
          <w:cantSplit/>
        </w:trPr>
        <w:tc>
          <w:tcPr>
            <w:tcW w:w="6237" w:type="dxa"/>
            <w:gridSpan w:val="2"/>
          </w:tcPr>
          <w:p w14:paraId="53CA8C2A" w14:textId="77777777" w:rsidR="00931298" w:rsidRPr="002D0535" w:rsidRDefault="00931298" w:rsidP="00C30155">
            <w:pPr>
              <w:spacing w:before="0"/>
              <w:rPr>
                <w:sz w:val="20"/>
              </w:rPr>
            </w:pPr>
          </w:p>
        </w:tc>
        <w:tc>
          <w:tcPr>
            <w:tcW w:w="3574" w:type="dxa"/>
            <w:gridSpan w:val="2"/>
          </w:tcPr>
          <w:p w14:paraId="1C70107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CF002A8" w14:textId="77777777" w:rsidTr="00DE1F2F">
        <w:trPr>
          <w:cantSplit/>
        </w:trPr>
        <w:tc>
          <w:tcPr>
            <w:tcW w:w="9811" w:type="dxa"/>
            <w:gridSpan w:val="4"/>
          </w:tcPr>
          <w:p w14:paraId="779EAA16" w14:textId="77777777" w:rsidR="00931298" w:rsidRPr="007D6EC2" w:rsidRDefault="00931298" w:rsidP="007D6EC2">
            <w:pPr>
              <w:spacing w:before="0"/>
              <w:rPr>
                <w:sz w:val="20"/>
              </w:rPr>
            </w:pPr>
          </w:p>
        </w:tc>
      </w:tr>
      <w:tr w:rsidR="00931298" w:rsidRPr="0077349A" w14:paraId="03BFC8D8" w14:textId="77777777" w:rsidTr="00DE1F2F">
        <w:trPr>
          <w:cantSplit/>
        </w:trPr>
        <w:tc>
          <w:tcPr>
            <w:tcW w:w="9811" w:type="dxa"/>
            <w:gridSpan w:val="4"/>
          </w:tcPr>
          <w:p w14:paraId="3EA2B9D4" w14:textId="77777777" w:rsidR="00931298" w:rsidRPr="0077349A" w:rsidRDefault="00E83B2D" w:rsidP="00C30155">
            <w:pPr>
              <w:pStyle w:val="Source"/>
            </w:pPr>
            <w:r>
              <w:t xml:space="preserve">Asia-Pacific </w:t>
            </w:r>
            <w:proofErr w:type="spellStart"/>
            <w:r>
              <w:t>Telecommunity</w:t>
            </w:r>
            <w:proofErr w:type="spellEnd"/>
            <w:r>
              <w:t xml:space="preserve"> Member Administrations</w:t>
            </w:r>
          </w:p>
        </w:tc>
      </w:tr>
      <w:tr w:rsidR="00931298" w:rsidRPr="0077349A" w14:paraId="6BD0C4E5" w14:textId="77777777" w:rsidTr="00DE1F2F">
        <w:trPr>
          <w:cantSplit/>
        </w:trPr>
        <w:tc>
          <w:tcPr>
            <w:tcW w:w="9811" w:type="dxa"/>
            <w:gridSpan w:val="4"/>
          </w:tcPr>
          <w:p w14:paraId="6F88BD3D" w14:textId="61E14621" w:rsidR="00931298" w:rsidRPr="0077349A" w:rsidRDefault="0030488B" w:rsidP="00C30155">
            <w:pPr>
              <w:pStyle w:val="Title1"/>
            </w:pPr>
            <w:r>
              <w:t>DRAFT</w:t>
            </w:r>
            <w:r w:rsidR="00E83B2D">
              <w:t xml:space="preserve"> NEW RESOLUTION [APT-NG] - ENHANCING THE ENGAGEMENT OF NEXT GENERATION EXPERTS IN ITU-T STANDARDIZATION ACTIVITIES</w:t>
            </w:r>
          </w:p>
        </w:tc>
      </w:tr>
      <w:tr w:rsidR="00657CDA" w:rsidRPr="0077349A" w14:paraId="00B77612" w14:textId="77777777" w:rsidTr="00DE1F2F">
        <w:trPr>
          <w:cantSplit/>
          <w:trHeight w:hRule="exact" w:val="240"/>
        </w:trPr>
        <w:tc>
          <w:tcPr>
            <w:tcW w:w="9811" w:type="dxa"/>
            <w:gridSpan w:val="4"/>
          </w:tcPr>
          <w:p w14:paraId="431E6939" w14:textId="77777777" w:rsidR="00657CDA" w:rsidRPr="0077349A" w:rsidRDefault="00657CDA" w:rsidP="0078695E">
            <w:pPr>
              <w:pStyle w:val="Title2"/>
              <w:spacing w:before="0"/>
            </w:pPr>
          </w:p>
        </w:tc>
      </w:tr>
      <w:tr w:rsidR="00657CDA" w:rsidRPr="0077349A" w14:paraId="426C5C3A" w14:textId="77777777" w:rsidTr="00DE1F2F">
        <w:trPr>
          <w:cantSplit/>
          <w:trHeight w:hRule="exact" w:val="240"/>
        </w:trPr>
        <w:tc>
          <w:tcPr>
            <w:tcW w:w="9811" w:type="dxa"/>
            <w:gridSpan w:val="4"/>
          </w:tcPr>
          <w:p w14:paraId="19393329" w14:textId="77777777" w:rsidR="00657CDA" w:rsidRPr="0077349A" w:rsidRDefault="00657CDA" w:rsidP="00293F9A">
            <w:pPr>
              <w:pStyle w:val="Agendaitem"/>
              <w:spacing w:before="0"/>
            </w:pPr>
          </w:p>
        </w:tc>
      </w:tr>
    </w:tbl>
    <w:p w14:paraId="521AE21E"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548F103" w14:textId="77777777" w:rsidTr="00E26599">
        <w:trPr>
          <w:cantSplit/>
        </w:trPr>
        <w:tc>
          <w:tcPr>
            <w:tcW w:w="1885" w:type="dxa"/>
          </w:tcPr>
          <w:p w14:paraId="6C616E2A" w14:textId="77777777" w:rsidR="00931298" w:rsidRPr="0077349A" w:rsidRDefault="00931298" w:rsidP="00C30155">
            <w:r w:rsidRPr="0077349A">
              <w:rPr>
                <w:b/>
                <w:bCs/>
              </w:rPr>
              <w:t>Abstract:</w:t>
            </w:r>
          </w:p>
        </w:tc>
        <w:tc>
          <w:tcPr>
            <w:tcW w:w="7754" w:type="dxa"/>
            <w:gridSpan w:val="2"/>
          </w:tcPr>
          <w:p w14:paraId="70CC3638" w14:textId="625B7B37" w:rsidR="00931298" w:rsidRPr="0077349A" w:rsidRDefault="00E26599" w:rsidP="00C30155">
            <w:pPr>
              <w:pStyle w:val="Abstract"/>
              <w:rPr>
                <w:lang w:val="en-GB"/>
              </w:rPr>
            </w:pPr>
            <w:r w:rsidRPr="000E4701">
              <w:rPr>
                <w:lang w:val="en-GB"/>
              </w:rPr>
              <w:t>This document contains the proposal for addition of new resolution</w:t>
            </w:r>
            <w:r w:rsidR="00D90225">
              <w:rPr>
                <w:lang w:val="en-GB"/>
              </w:rPr>
              <w:t>, “</w:t>
            </w:r>
            <w:r w:rsidRPr="000E4701">
              <w:rPr>
                <w:lang w:val="en-GB"/>
              </w:rPr>
              <w:t>Enhancing the engagement of next generation experts in ITU-T standardization activities</w:t>
            </w:r>
            <w:r w:rsidR="00D90225">
              <w:rPr>
                <w:lang w:val="en-GB"/>
              </w:rPr>
              <w:t>”</w:t>
            </w:r>
            <w:r w:rsidRPr="000E4701">
              <w:rPr>
                <w:lang w:val="en-GB"/>
              </w:rPr>
              <w:t>, mainly to encourage further participation of next generation experts in ITU-T.</w:t>
            </w:r>
          </w:p>
        </w:tc>
      </w:tr>
      <w:tr w:rsidR="00E26599" w:rsidRPr="0077349A" w14:paraId="5CBD2ADA" w14:textId="77777777" w:rsidTr="00E26599">
        <w:trPr>
          <w:cantSplit/>
        </w:trPr>
        <w:tc>
          <w:tcPr>
            <w:tcW w:w="1885" w:type="dxa"/>
          </w:tcPr>
          <w:p w14:paraId="3A52E4DE" w14:textId="77777777" w:rsidR="00E26599" w:rsidRPr="0077349A" w:rsidRDefault="00E26599" w:rsidP="00E26599">
            <w:pPr>
              <w:rPr>
                <w:b/>
                <w:bCs/>
                <w:szCs w:val="24"/>
              </w:rPr>
            </w:pPr>
            <w:r w:rsidRPr="0077349A">
              <w:rPr>
                <w:b/>
                <w:bCs/>
                <w:szCs w:val="24"/>
              </w:rPr>
              <w:t>Contact:</w:t>
            </w:r>
          </w:p>
        </w:tc>
        <w:tc>
          <w:tcPr>
            <w:tcW w:w="3877" w:type="dxa"/>
          </w:tcPr>
          <w:p w14:paraId="1922FE41" w14:textId="7625C112" w:rsidR="00E26599" w:rsidRPr="0077349A" w:rsidRDefault="00E26599" w:rsidP="00E26599">
            <w:r>
              <w:t xml:space="preserve">Mr. Masanori Kondo </w:t>
            </w:r>
            <w:r>
              <w:br/>
              <w:t>Secretary General</w:t>
            </w:r>
            <w:r w:rsidRPr="0077349A">
              <w:br/>
            </w:r>
            <w:r>
              <w:t xml:space="preserve">Asia-Pacific </w:t>
            </w:r>
            <w:proofErr w:type="spellStart"/>
            <w:r>
              <w:t>Telecommunity</w:t>
            </w:r>
            <w:proofErr w:type="spellEnd"/>
          </w:p>
        </w:tc>
        <w:tc>
          <w:tcPr>
            <w:tcW w:w="3877" w:type="dxa"/>
          </w:tcPr>
          <w:p w14:paraId="6E80C2C6" w14:textId="3361F34F" w:rsidR="00E26599" w:rsidRPr="0077349A" w:rsidRDefault="00E26599" w:rsidP="00E26599">
            <w:r w:rsidRPr="0077349A">
              <w:t>E-mail:</w:t>
            </w:r>
            <w:r>
              <w:tab/>
            </w:r>
            <w:hyperlink r:id="rId14" w:history="1">
              <w:r w:rsidRPr="00287419">
                <w:rPr>
                  <w:rStyle w:val="Hyperlink"/>
                </w:rPr>
                <w:t>aptwtsa@apt.int</w:t>
              </w:r>
            </w:hyperlink>
            <w:r>
              <w:t xml:space="preserve"> </w:t>
            </w:r>
          </w:p>
        </w:tc>
      </w:tr>
    </w:tbl>
    <w:p w14:paraId="229930D0" w14:textId="77777777" w:rsidR="00E26599" w:rsidRPr="008C51BA" w:rsidRDefault="00E26599" w:rsidP="00E26599">
      <w:pPr>
        <w:pStyle w:val="Headingb"/>
      </w:pPr>
      <w:r w:rsidRPr="008C51BA">
        <w:t>Introduction</w:t>
      </w:r>
    </w:p>
    <w:p w14:paraId="69F24E10" w14:textId="77777777" w:rsidR="00E26599" w:rsidRDefault="00E26599" w:rsidP="00E26599">
      <w:r w:rsidRPr="008C51BA">
        <w:rPr>
          <w:lang w:eastAsia="zh-CN"/>
        </w:rPr>
        <w:t xml:space="preserve">The proposed youth strategy developed by Telecommunication Standardization Bureau (TSB) </w:t>
      </w:r>
      <w:r w:rsidRPr="008C51BA">
        <w:t>recognizes the key role of the next generation experts’ engagement in shaping</w:t>
      </w:r>
      <w:r>
        <w:t xml:space="preserve"> </w:t>
      </w:r>
      <w:r w:rsidRPr="008C51BA">
        <w:t>telecommunication/ICT standards.</w:t>
      </w:r>
      <w:r>
        <w:t xml:space="preserve"> </w:t>
      </w:r>
    </w:p>
    <w:p w14:paraId="0FA9A5FD" w14:textId="4060447C" w:rsidR="00E26599" w:rsidRDefault="00E26599" w:rsidP="00E26599">
      <w:pPr>
        <w:rPr>
          <w:lang w:eastAsia="zh-CN"/>
        </w:rPr>
      </w:pPr>
      <w:r w:rsidRPr="008C51BA">
        <w:rPr>
          <w:lang w:eastAsia="zh-CN"/>
        </w:rPr>
        <w:t xml:space="preserve">Currently, </w:t>
      </w:r>
      <w:r w:rsidRPr="008C51BA">
        <w:t xml:space="preserve">existing ITU-T programmes, such as the </w:t>
      </w:r>
      <w:r w:rsidRPr="008C51BA">
        <w:rPr>
          <w:lang w:eastAsia="zh-CN"/>
        </w:rPr>
        <w:t>bridging the standardization gap</w:t>
      </w:r>
      <w:r w:rsidRPr="008C51BA">
        <w:t xml:space="preserve"> and newcomer sessions, should continue to be developed and extensively promoted to benefit </w:t>
      </w:r>
      <w:r w:rsidR="00D90225">
        <w:t xml:space="preserve">the </w:t>
      </w:r>
      <w:r w:rsidRPr="008C51BA">
        <w:t xml:space="preserve">next generation </w:t>
      </w:r>
      <w:r w:rsidR="00D90225">
        <w:t xml:space="preserve">of </w:t>
      </w:r>
      <w:r w:rsidRPr="008C51BA">
        <w:t>experts who are not familiar with ITU-T standardization</w:t>
      </w:r>
      <w:r w:rsidRPr="008C51BA">
        <w:rPr>
          <w:rFonts w:eastAsia="SimSun"/>
          <w:lang w:eastAsia="zh-CN"/>
        </w:rPr>
        <w:t xml:space="preserve">. Furthermore, </w:t>
      </w:r>
      <w:r w:rsidRPr="008C51BA">
        <w:rPr>
          <w:lang w:eastAsia="zh-CN"/>
        </w:rPr>
        <w:t>ITU-T should promote its role in standardization among next generation experts, and that it is necessary to expand ITU-T’s youth engagement activities beyond their current scope</w:t>
      </w:r>
      <w:r>
        <w:rPr>
          <w:lang w:eastAsia="zh-CN"/>
        </w:rPr>
        <w:t>.</w:t>
      </w:r>
    </w:p>
    <w:p w14:paraId="7A519D25" w14:textId="77777777" w:rsidR="00E26599" w:rsidRPr="008C51BA" w:rsidRDefault="00E26599" w:rsidP="00E26599">
      <w:pPr>
        <w:rPr>
          <w:color w:val="000000" w:themeColor="text1"/>
        </w:rPr>
      </w:pPr>
      <w:r w:rsidRPr="008C51BA">
        <w:rPr>
          <w:rFonts w:eastAsia="SimSun"/>
          <w:color w:val="000000" w:themeColor="text1"/>
          <w:lang w:eastAsia="zh-CN"/>
        </w:rPr>
        <w:t xml:space="preserve">Therefore, this new resolution proposal mainly focuses on how to enhance </w:t>
      </w:r>
      <w:r w:rsidRPr="008C51BA">
        <w:rPr>
          <w:lang w:val="en-AU" w:eastAsia="ko-KR"/>
        </w:rPr>
        <w:t>further participation of next generation experts in ITU-T, particularly in standardization activities.</w:t>
      </w:r>
    </w:p>
    <w:p w14:paraId="1871581A" w14:textId="77777777" w:rsidR="00E26599" w:rsidRDefault="00E26599" w:rsidP="00E26599">
      <w:pPr>
        <w:pStyle w:val="Headingb"/>
      </w:pPr>
      <w:proofErr w:type="spellStart"/>
      <w:r w:rsidRPr="008C51BA">
        <w:t>Proposal</w:t>
      </w:r>
      <w:proofErr w:type="spellEnd"/>
    </w:p>
    <w:p w14:paraId="6021D006" w14:textId="1A655F4F" w:rsidR="00A52D1A" w:rsidRPr="0077349A" w:rsidRDefault="00E26599" w:rsidP="00E26599">
      <w:r w:rsidRPr="008C51BA">
        <w:rPr>
          <w:rFonts w:eastAsia="Batang"/>
          <w:lang w:eastAsia="ko-KR"/>
        </w:rPr>
        <w:t xml:space="preserve">Based on the background above, APT Member Administrations propose </w:t>
      </w:r>
      <w:r>
        <w:rPr>
          <w:rFonts w:eastAsia="Batang"/>
          <w:lang w:eastAsia="ko-KR"/>
        </w:rPr>
        <w:t xml:space="preserve">a </w:t>
      </w:r>
      <w:r w:rsidRPr="008C51BA">
        <w:rPr>
          <w:lang w:val="en-AU" w:eastAsia="ko-KR"/>
        </w:rPr>
        <w:t xml:space="preserve">new </w:t>
      </w:r>
      <w:r w:rsidR="00D90225" w:rsidRPr="008C51BA">
        <w:rPr>
          <w:lang w:val="en-AU" w:eastAsia="ko-KR"/>
        </w:rPr>
        <w:t xml:space="preserve">resolution </w:t>
      </w:r>
      <w:r w:rsidRPr="008C51BA">
        <w:rPr>
          <w:lang w:val="en-AU" w:eastAsia="ko-KR"/>
        </w:rPr>
        <w:t xml:space="preserve">on </w:t>
      </w:r>
      <w:r w:rsidRPr="008C51BA">
        <w:rPr>
          <w:rFonts w:eastAsia="SimSun"/>
          <w:lang w:eastAsia="zh-CN"/>
        </w:rPr>
        <w:t>Enhancing the engagement of next generation experts in ITU-T standardization activities</w:t>
      </w:r>
      <w:r>
        <w:rPr>
          <w:rFonts w:eastAsia="Batang"/>
          <w:lang w:eastAsia="ko-KR"/>
        </w:rPr>
        <w:t>.</w:t>
      </w:r>
    </w:p>
    <w:p w14:paraId="0C36666D" w14:textId="77777777" w:rsidR="00931298" w:rsidRPr="0077349A" w:rsidRDefault="00A8242E" w:rsidP="00A52D1A">
      <w:r w:rsidRPr="008D37A5">
        <w:br w:type="page"/>
      </w:r>
    </w:p>
    <w:p w14:paraId="1E041AD2" w14:textId="77777777" w:rsidR="00B27C8F" w:rsidRDefault="00E26599">
      <w:pPr>
        <w:pStyle w:val="Proposal"/>
      </w:pPr>
      <w:r>
        <w:lastRenderedPageBreak/>
        <w:t>ADD</w:t>
      </w:r>
      <w:r>
        <w:tab/>
        <w:t>APT/37A39/1</w:t>
      </w:r>
    </w:p>
    <w:p w14:paraId="1E85BF1C" w14:textId="5F9845C5" w:rsidR="00B27C8F" w:rsidRDefault="00E26599">
      <w:pPr>
        <w:pStyle w:val="ResNo"/>
      </w:pPr>
      <w:r>
        <w:t>DRAFT NEW RESOLUTION [APT-NG] (New Delhi, 2024)</w:t>
      </w:r>
    </w:p>
    <w:p w14:paraId="3F156084" w14:textId="77777777" w:rsidR="00E26599" w:rsidRPr="008C51BA" w:rsidRDefault="00E26599" w:rsidP="00E26599">
      <w:pPr>
        <w:pStyle w:val="Restitle"/>
      </w:pPr>
      <w:r>
        <w:t>E</w:t>
      </w:r>
      <w:r w:rsidRPr="008C51BA">
        <w:t xml:space="preserve">nhancing </w:t>
      </w:r>
      <w:r w:rsidRPr="008C51BA">
        <w:rPr>
          <w:rFonts w:eastAsia="SimSun"/>
          <w:lang w:eastAsia="zh-CN"/>
        </w:rPr>
        <w:t>the</w:t>
      </w:r>
      <w:r w:rsidRPr="008C51BA">
        <w:t xml:space="preserve"> engagement</w:t>
      </w:r>
      <w:r w:rsidRPr="008C51BA">
        <w:rPr>
          <w:rFonts w:eastAsia="SimSun"/>
          <w:lang w:eastAsia="zh-CN"/>
        </w:rPr>
        <w:t xml:space="preserve"> of </w:t>
      </w:r>
      <w:r w:rsidRPr="008C51BA">
        <w:t>next generation experts in ITU-T standardization activities</w:t>
      </w:r>
    </w:p>
    <w:p w14:paraId="32248551" w14:textId="77777777" w:rsidR="00E26599" w:rsidRPr="008C51BA" w:rsidRDefault="00E26599" w:rsidP="00E26599">
      <w:pPr>
        <w:pStyle w:val="Resref"/>
        <w:rPr>
          <w:lang w:eastAsia="zh-CN"/>
        </w:rPr>
      </w:pPr>
      <w:r w:rsidRPr="008C51BA">
        <w:t>(New Delhi, 2024)</w:t>
      </w:r>
    </w:p>
    <w:p w14:paraId="3E1B3457" w14:textId="77777777" w:rsidR="00E26599" w:rsidRPr="008C51BA" w:rsidRDefault="00E26599" w:rsidP="00E26599">
      <w:pPr>
        <w:pStyle w:val="Normalaftertitle"/>
        <w:rPr>
          <w:lang w:eastAsia="zh-CN"/>
        </w:rPr>
      </w:pPr>
      <w:r w:rsidRPr="008C51BA">
        <w:rPr>
          <w:lang w:eastAsia="zh-CN"/>
        </w:rPr>
        <w:t>The World Telecommunication Standardization Assembly (</w:t>
      </w:r>
      <w:r w:rsidRPr="008C51BA">
        <w:t>New Delhi</w:t>
      </w:r>
      <w:r w:rsidRPr="008C51BA">
        <w:rPr>
          <w:lang w:eastAsia="zh-CN"/>
        </w:rPr>
        <w:t>, 2024),</w:t>
      </w:r>
    </w:p>
    <w:p w14:paraId="6F9E1618" w14:textId="77777777" w:rsidR="00E26599" w:rsidRPr="008C51BA" w:rsidRDefault="00E26599" w:rsidP="00E26599">
      <w:pPr>
        <w:pStyle w:val="Call"/>
        <w:rPr>
          <w:lang w:eastAsia="zh-CN"/>
        </w:rPr>
      </w:pPr>
      <w:r w:rsidRPr="008C51BA">
        <w:rPr>
          <w:lang w:eastAsia="zh-CN"/>
        </w:rPr>
        <w:t>recalling</w:t>
      </w:r>
    </w:p>
    <w:p w14:paraId="26397AB1" w14:textId="77777777" w:rsidR="00E26599" w:rsidRPr="008C51BA" w:rsidRDefault="00E26599" w:rsidP="00E26599">
      <w:pPr>
        <w:rPr>
          <w:lang w:eastAsia="zh-CN"/>
        </w:rPr>
      </w:pPr>
      <w:r w:rsidRPr="00E71E23">
        <w:rPr>
          <w:i/>
          <w:iCs/>
          <w:lang w:eastAsia="zh-CN"/>
        </w:rPr>
        <w:t>a)</w:t>
      </w:r>
      <w:r w:rsidRPr="008C51BA">
        <w:rPr>
          <w:lang w:eastAsia="zh-CN"/>
        </w:rPr>
        <w:tab/>
        <w:t xml:space="preserve">No. 13 of Article 1 of the ITU Constitution, which establishes that the Union shall in particular facilitate the worldwide standardization of telecommunications, with a satisfactory quality of </w:t>
      </w:r>
      <w:proofErr w:type="gramStart"/>
      <w:r w:rsidRPr="008C51BA">
        <w:rPr>
          <w:lang w:eastAsia="zh-CN"/>
        </w:rPr>
        <w:t>service;</w:t>
      </w:r>
      <w:proofErr w:type="gramEnd"/>
      <w:r w:rsidRPr="008C51BA">
        <w:rPr>
          <w:lang w:eastAsia="zh-CN"/>
        </w:rPr>
        <w:t xml:space="preserve"> </w:t>
      </w:r>
    </w:p>
    <w:p w14:paraId="0624AC13" w14:textId="77777777" w:rsidR="00E26599" w:rsidRPr="008C51BA" w:rsidRDefault="00E26599" w:rsidP="00E26599">
      <w:pPr>
        <w:rPr>
          <w:lang w:eastAsia="zh-CN"/>
        </w:rPr>
      </w:pPr>
      <w:r w:rsidRPr="00E71E23">
        <w:rPr>
          <w:i/>
          <w:iCs/>
          <w:lang w:eastAsia="zh-CN"/>
        </w:rPr>
        <w:t>b)</w:t>
      </w:r>
      <w:r w:rsidRPr="008C51BA">
        <w:rPr>
          <w:lang w:eastAsia="zh-CN"/>
        </w:rPr>
        <w:tab/>
        <w:t>Resolution 198 (</w:t>
      </w:r>
      <w:r w:rsidRPr="008C51BA">
        <w:t xml:space="preserve">Rev. Bucharest, </w:t>
      </w:r>
      <w:r w:rsidRPr="008C51BA">
        <w:rPr>
          <w:lang w:eastAsia="zh-CN"/>
        </w:rPr>
        <w:t xml:space="preserve">2022) of the Plenipotentiary Conference, which recognizes the ITU Youth Strategy adopted by ITU members during the 25th meeting of the Telecommunication Development Advisory Group (June 2020), which is in line with Youth 2030: The United Nations Strategy on Youth and promotes meaningful youth engagement in digital </w:t>
      </w:r>
      <w:proofErr w:type="gramStart"/>
      <w:r w:rsidRPr="008C51BA">
        <w:rPr>
          <w:lang w:eastAsia="zh-CN"/>
        </w:rPr>
        <w:t>development;</w:t>
      </w:r>
      <w:proofErr w:type="gramEnd"/>
    </w:p>
    <w:p w14:paraId="47EA0B3A" w14:textId="77777777" w:rsidR="00E26599" w:rsidRPr="008C51BA" w:rsidRDefault="00E26599" w:rsidP="00E26599">
      <w:pPr>
        <w:rPr>
          <w:lang w:eastAsia="zh-CN"/>
        </w:rPr>
      </w:pPr>
      <w:r w:rsidRPr="00E71E23">
        <w:rPr>
          <w:i/>
          <w:iCs/>
          <w:lang w:eastAsia="zh-CN"/>
        </w:rPr>
        <w:t>c)</w:t>
      </w:r>
      <w:r w:rsidRPr="008C51BA">
        <w:rPr>
          <w:lang w:eastAsia="zh-CN"/>
        </w:rPr>
        <w:tab/>
        <w:t>Resolution 76 (</w:t>
      </w:r>
      <w:r w:rsidRPr="008C51BA">
        <w:t xml:space="preserve">Rev. </w:t>
      </w:r>
      <w:r w:rsidRPr="008C51BA">
        <w:rPr>
          <w:lang w:eastAsia="zh-CN"/>
        </w:rPr>
        <w:t xml:space="preserve">Kigali, 2022) of </w:t>
      </w:r>
      <w:r w:rsidRPr="008C51BA">
        <w:t>the World Telecommunication Development Conference (</w:t>
      </w:r>
      <w:r w:rsidRPr="008C51BA">
        <w:rPr>
          <w:lang w:eastAsia="zh-CN"/>
        </w:rPr>
        <w:t>WTDC</w:t>
      </w:r>
      <w:r w:rsidRPr="008C51BA">
        <w:t>)</w:t>
      </w:r>
      <w:r w:rsidRPr="008C51BA">
        <w:rPr>
          <w:lang w:eastAsia="zh-CN"/>
        </w:rPr>
        <w:t>, which recognizes the need to promote information and communication technologies among young women and men for social and economic empowerment,</w:t>
      </w:r>
    </w:p>
    <w:p w14:paraId="78BD7DFE" w14:textId="77777777" w:rsidR="00E26599" w:rsidRPr="008C51BA" w:rsidRDefault="00E26599" w:rsidP="00E26599">
      <w:pPr>
        <w:rPr>
          <w:lang w:eastAsia="zh-CN"/>
        </w:rPr>
      </w:pPr>
      <w:r w:rsidRPr="00E71E23">
        <w:rPr>
          <w:i/>
          <w:iCs/>
          <w:lang w:eastAsia="zh-CN"/>
        </w:rPr>
        <w:t>d)</w:t>
      </w:r>
      <w:r w:rsidRPr="008C51BA">
        <w:rPr>
          <w:lang w:eastAsia="zh-CN"/>
        </w:rPr>
        <w:tab/>
        <w:t>Resolution 123 (</w:t>
      </w:r>
      <w:r w:rsidRPr="008C51BA">
        <w:t xml:space="preserve">Rev. Bucharest, </w:t>
      </w:r>
      <w:r w:rsidRPr="008C51BA">
        <w:rPr>
          <w:lang w:eastAsia="zh-CN"/>
        </w:rPr>
        <w:t>2022) of the Plenipotentiary Conference, and Resolution 44 (</w:t>
      </w:r>
      <w:r w:rsidRPr="008C51BA">
        <w:t>Rev. Geneva</w:t>
      </w:r>
      <w:r w:rsidRPr="008C51BA">
        <w:rPr>
          <w:lang w:eastAsia="zh-CN"/>
        </w:rPr>
        <w:t xml:space="preserve">, 2022) of </w:t>
      </w:r>
      <w:r>
        <w:t>this A</w:t>
      </w:r>
      <w:r w:rsidRPr="008C51BA">
        <w:t>ssembly</w:t>
      </w:r>
      <w:r w:rsidRPr="008C51BA">
        <w:rPr>
          <w:lang w:eastAsia="zh-CN"/>
        </w:rPr>
        <w:t xml:space="preserve">, which recognizes that bridging standardization gap is an ongoing </w:t>
      </w:r>
      <w:proofErr w:type="gramStart"/>
      <w:r w:rsidRPr="008C51BA">
        <w:rPr>
          <w:lang w:eastAsia="zh-CN"/>
        </w:rPr>
        <w:t>work;</w:t>
      </w:r>
      <w:proofErr w:type="gramEnd"/>
    </w:p>
    <w:p w14:paraId="189775E2" w14:textId="77777777" w:rsidR="00E26599" w:rsidRPr="008C51BA" w:rsidRDefault="00E26599" w:rsidP="00E26599">
      <w:pPr>
        <w:rPr>
          <w:lang w:eastAsia="zh-CN"/>
        </w:rPr>
      </w:pPr>
      <w:r w:rsidRPr="00E71E23">
        <w:rPr>
          <w:i/>
          <w:iCs/>
          <w:lang w:eastAsia="zh-CN"/>
        </w:rPr>
        <w:t>e)</w:t>
      </w:r>
      <w:r w:rsidRPr="008C51BA">
        <w:rPr>
          <w:lang w:eastAsia="zh-CN"/>
        </w:rPr>
        <w:tab/>
        <w:t>Resolution 34 (</w:t>
      </w:r>
      <w:r w:rsidRPr="008C51BA">
        <w:t>Rev. Geneva</w:t>
      </w:r>
      <w:r w:rsidRPr="008C51BA">
        <w:rPr>
          <w:lang w:eastAsia="zh-CN"/>
        </w:rPr>
        <w:t xml:space="preserve">, 2022) of </w:t>
      </w:r>
      <w:r w:rsidRPr="008C51BA">
        <w:t>this Assembly</w:t>
      </w:r>
      <w:r w:rsidRPr="008C51BA">
        <w:rPr>
          <w:lang w:eastAsia="zh-CN"/>
        </w:rPr>
        <w:t>, which recognizes that voluntary contributions are efficient instruments to finance extra activities of the Sector,</w:t>
      </w:r>
    </w:p>
    <w:p w14:paraId="504704C8" w14:textId="77777777" w:rsidR="00E26599" w:rsidRPr="008C51BA" w:rsidRDefault="00E26599" w:rsidP="00E26599">
      <w:pPr>
        <w:pStyle w:val="Call"/>
      </w:pPr>
      <w:r w:rsidRPr="008C51BA">
        <w:t>recognizing</w:t>
      </w:r>
    </w:p>
    <w:p w14:paraId="47427FCA" w14:textId="77777777" w:rsidR="00E26599" w:rsidRPr="008C51BA" w:rsidRDefault="00E26599" w:rsidP="00E26599">
      <w:pPr>
        <w:rPr>
          <w:rFonts w:eastAsia="SimSun"/>
          <w:lang w:eastAsia="zh-CN"/>
        </w:rPr>
      </w:pPr>
      <w:r w:rsidRPr="00E71E23">
        <w:rPr>
          <w:i/>
          <w:iCs/>
          <w:lang w:eastAsia="zh-CN"/>
        </w:rPr>
        <w:t>a)</w:t>
      </w:r>
      <w:r w:rsidRPr="008C51BA">
        <w:rPr>
          <w:rFonts w:eastAsia="SimSun"/>
          <w:lang w:eastAsia="zh-CN"/>
        </w:rPr>
        <w:tab/>
        <w:t xml:space="preserve">that the </w:t>
      </w:r>
      <w:r>
        <w:rPr>
          <w:rFonts w:eastAsia="SimSun"/>
          <w:lang w:eastAsia="zh-CN"/>
        </w:rPr>
        <w:t>next generation experts</w:t>
      </w:r>
      <w:r w:rsidRPr="008C51BA">
        <w:rPr>
          <w:rFonts w:eastAsia="SimSun"/>
          <w:lang w:eastAsia="zh-CN"/>
        </w:rPr>
        <w:t xml:space="preserve"> include not only young professionals who are willing to participate in standardization, but also include those experienced professionals who have interest in </w:t>
      </w:r>
      <w:proofErr w:type="gramStart"/>
      <w:r w:rsidRPr="008C51BA">
        <w:rPr>
          <w:rFonts w:eastAsia="SimSun"/>
          <w:lang w:eastAsia="zh-CN"/>
        </w:rPr>
        <w:t>standardization;</w:t>
      </w:r>
      <w:proofErr w:type="gramEnd"/>
      <w:r w:rsidRPr="008C51BA">
        <w:rPr>
          <w:rFonts w:eastAsia="SimSun"/>
          <w:lang w:eastAsia="zh-CN"/>
        </w:rPr>
        <w:t xml:space="preserve"> </w:t>
      </w:r>
    </w:p>
    <w:p w14:paraId="5D2D4ECF" w14:textId="77777777" w:rsidR="00E26599" w:rsidRPr="008C51BA" w:rsidRDefault="00E26599" w:rsidP="00E26599">
      <w:pPr>
        <w:rPr>
          <w:lang w:eastAsia="zh-CN"/>
        </w:rPr>
      </w:pPr>
      <w:r w:rsidRPr="00E71E23">
        <w:rPr>
          <w:i/>
          <w:iCs/>
          <w:lang w:eastAsia="zh-CN"/>
        </w:rPr>
        <w:t>b)</w:t>
      </w:r>
      <w:r w:rsidRPr="008C51BA">
        <w:rPr>
          <w:lang w:eastAsia="zh-CN"/>
        </w:rPr>
        <w:t xml:space="preserve"> </w:t>
      </w:r>
      <w:r w:rsidRPr="008C51BA">
        <w:rPr>
          <w:lang w:eastAsia="zh-CN"/>
        </w:rPr>
        <w:tab/>
        <w:t xml:space="preserve">that the </w:t>
      </w:r>
      <w:r>
        <w:rPr>
          <w:lang w:eastAsia="zh-CN"/>
        </w:rPr>
        <w:t>next generation experts</w:t>
      </w:r>
      <w:r w:rsidRPr="008C51BA">
        <w:rPr>
          <w:lang w:eastAsia="zh-CN"/>
        </w:rPr>
        <w:t xml:space="preserve"> are digital natives, and can be valuable promoters of telecommunications/ICTs and a world force for </w:t>
      </w:r>
      <w:proofErr w:type="gramStart"/>
      <w:r w:rsidRPr="008C51BA">
        <w:rPr>
          <w:lang w:eastAsia="zh-CN"/>
        </w:rPr>
        <w:t>progress;</w:t>
      </w:r>
      <w:proofErr w:type="gramEnd"/>
    </w:p>
    <w:p w14:paraId="2E3540A7" w14:textId="77777777" w:rsidR="00E26599" w:rsidRPr="008C51BA" w:rsidRDefault="00E26599" w:rsidP="00E26599">
      <w:pPr>
        <w:rPr>
          <w:rFonts w:eastAsia="SimSun"/>
          <w:lang w:eastAsia="zh-CN"/>
        </w:rPr>
      </w:pPr>
      <w:r w:rsidRPr="00E71E23">
        <w:rPr>
          <w:i/>
          <w:iCs/>
          <w:lang w:eastAsia="zh-CN"/>
        </w:rPr>
        <w:t>c)</w:t>
      </w:r>
      <w:r w:rsidRPr="008C51BA">
        <w:rPr>
          <w:lang w:eastAsia="zh-CN"/>
        </w:rPr>
        <w:tab/>
        <w:t xml:space="preserve">that the proposed youth strategy developed by Telecommunication Standardization Bureau (TSB) should </w:t>
      </w:r>
      <w:r w:rsidRPr="008C51BA">
        <w:t>align with Resolution 198 (Rev. Bucharest, 2022)</w:t>
      </w:r>
      <w:r w:rsidRPr="008C51BA">
        <w:rPr>
          <w:lang w:eastAsia="zh-CN"/>
        </w:rPr>
        <w:t xml:space="preserve"> of the Plenipotentiary Conference and the ITU Youth Strategy, and </w:t>
      </w:r>
      <w:r w:rsidRPr="008C51BA">
        <w:t xml:space="preserve">recognize the key role of the </w:t>
      </w:r>
      <w:r>
        <w:t>next generation experts</w:t>
      </w:r>
      <w:r w:rsidRPr="008C51BA">
        <w:t xml:space="preserve">’ engagement in shaping telecommunication/ICT </w:t>
      </w:r>
      <w:proofErr w:type="gramStart"/>
      <w:r w:rsidRPr="008C51BA">
        <w:t>standards</w:t>
      </w:r>
      <w:r w:rsidRPr="008C51BA">
        <w:rPr>
          <w:rFonts w:eastAsia="SimSun"/>
          <w:lang w:eastAsia="zh-CN"/>
        </w:rPr>
        <w:t>;</w:t>
      </w:r>
      <w:proofErr w:type="gramEnd"/>
    </w:p>
    <w:p w14:paraId="4BFE1E42" w14:textId="77777777" w:rsidR="00E26599" w:rsidRPr="008C51BA" w:rsidRDefault="00E26599" w:rsidP="00E26599">
      <w:pPr>
        <w:rPr>
          <w:rFonts w:eastAsia="SimSun"/>
          <w:lang w:eastAsia="zh-CN"/>
        </w:rPr>
      </w:pPr>
      <w:r w:rsidRPr="00E71E23">
        <w:rPr>
          <w:i/>
          <w:iCs/>
          <w:lang w:eastAsia="zh-CN"/>
        </w:rPr>
        <w:t>d)</w:t>
      </w:r>
      <w:r w:rsidRPr="008C51BA">
        <w:tab/>
        <w:t xml:space="preserve">that the standardization gap is not only between developing and developed countries, but also between </w:t>
      </w:r>
      <w:proofErr w:type="gramStart"/>
      <w:r w:rsidRPr="008C51BA">
        <w:t>generations</w:t>
      </w:r>
      <w:r w:rsidRPr="008C51BA">
        <w:rPr>
          <w:rFonts w:eastAsia="SimSun"/>
          <w:lang w:eastAsia="zh-CN"/>
        </w:rPr>
        <w:t>;</w:t>
      </w:r>
      <w:proofErr w:type="gramEnd"/>
    </w:p>
    <w:p w14:paraId="6EDBB0C7" w14:textId="77777777" w:rsidR="00E26599" w:rsidRPr="008C51BA" w:rsidRDefault="00E26599" w:rsidP="00E26599">
      <w:pPr>
        <w:rPr>
          <w:lang w:eastAsia="zh-CN"/>
        </w:rPr>
      </w:pPr>
      <w:r w:rsidRPr="00E71E23">
        <w:rPr>
          <w:i/>
          <w:iCs/>
          <w:lang w:eastAsia="zh-CN"/>
        </w:rPr>
        <w:t>e)</w:t>
      </w:r>
      <w:r w:rsidRPr="008C51BA">
        <w:rPr>
          <w:lang w:eastAsia="zh-CN"/>
        </w:rPr>
        <w:tab/>
        <w:t xml:space="preserve">that the importance of supporting youth from developing countries to actively participate in ITU-T </w:t>
      </w:r>
      <w:proofErr w:type="gramStart"/>
      <w:r w:rsidRPr="008C51BA">
        <w:rPr>
          <w:lang w:eastAsia="zh-CN"/>
        </w:rPr>
        <w:t>activities;</w:t>
      </w:r>
      <w:proofErr w:type="gramEnd"/>
    </w:p>
    <w:p w14:paraId="7D19A439" w14:textId="77777777" w:rsidR="00E26599" w:rsidRPr="008C51BA" w:rsidRDefault="00E26599" w:rsidP="00E26599">
      <w:pPr>
        <w:rPr>
          <w:rFonts w:eastAsia="SimSun"/>
          <w:lang w:eastAsia="zh-CN"/>
        </w:rPr>
      </w:pPr>
      <w:r w:rsidRPr="00E71E23">
        <w:rPr>
          <w:i/>
          <w:iCs/>
          <w:lang w:eastAsia="zh-CN"/>
        </w:rPr>
        <w:t>f)</w:t>
      </w:r>
      <w:r w:rsidRPr="008C51BA">
        <w:tab/>
        <w:t xml:space="preserve">that compared to </w:t>
      </w:r>
      <w:r w:rsidRPr="008C51BA">
        <w:rPr>
          <w:iCs/>
          <w:lang w:eastAsia="en-GB"/>
        </w:rPr>
        <w:t>other careers</w:t>
      </w:r>
      <w:r w:rsidRPr="008C51BA">
        <w:rPr>
          <w:lang w:eastAsia="en-GB"/>
        </w:rPr>
        <w:t>, standardization may not be a career priority</w:t>
      </w:r>
      <w:r w:rsidRPr="008C51BA">
        <w:rPr>
          <w:lang w:eastAsia="zh-CN"/>
        </w:rPr>
        <w:t xml:space="preserve">, nor is there sufficient training in standardization, </w:t>
      </w:r>
      <w:r w:rsidRPr="008C51BA">
        <w:rPr>
          <w:lang w:eastAsia="en-GB"/>
        </w:rPr>
        <w:t xml:space="preserve">for the </w:t>
      </w:r>
      <w:r>
        <w:rPr>
          <w:lang w:eastAsia="en-GB"/>
        </w:rPr>
        <w:t xml:space="preserve">next generation </w:t>
      </w:r>
      <w:proofErr w:type="gramStart"/>
      <w:r>
        <w:rPr>
          <w:lang w:eastAsia="en-GB"/>
        </w:rPr>
        <w:t>experts</w:t>
      </w:r>
      <w:r w:rsidRPr="008C51BA">
        <w:rPr>
          <w:rFonts w:eastAsia="SimSun"/>
          <w:lang w:eastAsia="zh-CN"/>
        </w:rPr>
        <w:t>;</w:t>
      </w:r>
      <w:proofErr w:type="gramEnd"/>
    </w:p>
    <w:p w14:paraId="5BBE0821" w14:textId="77777777" w:rsidR="00E26599" w:rsidRPr="008C51BA" w:rsidRDefault="00E26599" w:rsidP="00E26599">
      <w:pPr>
        <w:rPr>
          <w:lang w:eastAsia="zh-CN"/>
        </w:rPr>
      </w:pPr>
      <w:r w:rsidRPr="00E71E23">
        <w:rPr>
          <w:i/>
          <w:iCs/>
          <w:lang w:eastAsia="zh-CN"/>
        </w:rPr>
        <w:t>g)</w:t>
      </w:r>
      <w:r w:rsidRPr="008C51BA">
        <w:rPr>
          <w:lang w:eastAsia="zh-CN"/>
        </w:rPr>
        <w:tab/>
        <w:t xml:space="preserve">that to encourage the </w:t>
      </w:r>
      <w:r>
        <w:rPr>
          <w:lang w:eastAsia="zh-CN"/>
        </w:rPr>
        <w:t>next generation experts</w:t>
      </w:r>
      <w:r w:rsidRPr="008C51BA">
        <w:rPr>
          <w:lang w:eastAsia="zh-CN"/>
        </w:rPr>
        <w:t xml:space="preserve">’ engagement in standardization may require providing capacity </w:t>
      </w:r>
      <w:proofErr w:type="gramStart"/>
      <w:r w:rsidRPr="008C51BA">
        <w:rPr>
          <w:lang w:eastAsia="zh-CN"/>
        </w:rPr>
        <w:t>building;</w:t>
      </w:r>
      <w:proofErr w:type="gramEnd"/>
    </w:p>
    <w:p w14:paraId="244AC9B5" w14:textId="77777777" w:rsidR="00E26599" w:rsidRPr="008C51BA" w:rsidRDefault="00E26599" w:rsidP="00E26599">
      <w:pPr>
        <w:rPr>
          <w:lang w:eastAsia="zh-CN"/>
        </w:rPr>
      </w:pPr>
      <w:r w:rsidRPr="00E71E23">
        <w:rPr>
          <w:i/>
          <w:iCs/>
          <w:lang w:eastAsia="zh-CN"/>
        </w:rPr>
        <w:lastRenderedPageBreak/>
        <w:t>h)</w:t>
      </w:r>
      <w:r w:rsidRPr="008C51BA">
        <w:rPr>
          <w:lang w:eastAsia="zh-CN"/>
        </w:rPr>
        <w:tab/>
        <w:t xml:space="preserve">that Standards Developing Organizations have launched young professional programmes on promoting standardization to the </w:t>
      </w:r>
      <w:r>
        <w:rPr>
          <w:lang w:eastAsia="zh-CN"/>
        </w:rPr>
        <w:t>next generation experts,</w:t>
      </w:r>
    </w:p>
    <w:p w14:paraId="12BC0A67" w14:textId="77777777" w:rsidR="00E26599" w:rsidRPr="008C51BA" w:rsidRDefault="00E26599" w:rsidP="00E26599">
      <w:pPr>
        <w:pStyle w:val="Call"/>
      </w:pPr>
      <w:r w:rsidRPr="008C51BA">
        <w:t>recognizing further</w:t>
      </w:r>
    </w:p>
    <w:p w14:paraId="23A11286" w14:textId="77777777" w:rsidR="00E26599" w:rsidRPr="008C51BA" w:rsidRDefault="00E26599" w:rsidP="00E26599">
      <w:pPr>
        <w:rPr>
          <w:rFonts w:eastAsia="SimSun"/>
          <w:lang w:eastAsia="zh-CN"/>
        </w:rPr>
      </w:pPr>
      <w:r w:rsidRPr="00E71E23">
        <w:rPr>
          <w:i/>
          <w:iCs/>
          <w:lang w:eastAsia="zh-CN"/>
        </w:rPr>
        <w:t>a)</w:t>
      </w:r>
      <w:r w:rsidRPr="008C51BA">
        <w:rPr>
          <w:lang w:eastAsia="zh-CN"/>
        </w:rPr>
        <w:tab/>
      </w:r>
      <w:r w:rsidRPr="008C51BA">
        <w:t>that the Kaleidoscope academic conferences should continue to be developed and extensively promoted to engage academia in the standardization activities of ITU-</w:t>
      </w:r>
      <w:proofErr w:type="gramStart"/>
      <w:r w:rsidRPr="008C51BA">
        <w:t>T;</w:t>
      </w:r>
      <w:proofErr w:type="gramEnd"/>
      <w:r w:rsidRPr="008C51BA">
        <w:t xml:space="preserve"> </w:t>
      </w:r>
    </w:p>
    <w:p w14:paraId="755070F3" w14:textId="0CA10194" w:rsidR="00E26599" w:rsidRPr="008C51BA" w:rsidRDefault="00E26599" w:rsidP="00E26599">
      <w:pPr>
        <w:rPr>
          <w:rFonts w:eastAsia="SimSun"/>
          <w:lang w:eastAsia="zh-CN"/>
        </w:rPr>
      </w:pPr>
      <w:r w:rsidRPr="00E71E23">
        <w:rPr>
          <w:i/>
          <w:iCs/>
          <w:lang w:eastAsia="zh-CN"/>
        </w:rPr>
        <w:t>b)</w:t>
      </w:r>
      <w:r w:rsidRPr="008C51BA">
        <w:rPr>
          <w:lang w:eastAsia="zh-CN"/>
        </w:rPr>
        <w:tab/>
      </w:r>
      <w:r w:rsidRPr="008C51BA">
        <w:t xml:space="preserve">existing ITU-T programmes, such as the </w:t>
      </w:r>
      <w:r w:rsidRPr="008C51BA">
        <w:rPr>
          <w:lang w:eastAsia="zh-CN"/>
        </w:rPr>
        <w:t>bridging the standardization gap</w:t>
      </w:r>
      <w:r w:rsidRPr="008C51BA">
        <w:t xml:space="preserve"> and newcomer </w:t>
      </w:r>
      <w:proofErr w:type="gramStart"/>
      <w:r w:rsidRPr="008C51BA">
        <w:t>sessions;</w:t>
      </w:r>
      <w:proofErr w:type="gramEnd"/>
    </w:p>
    <w:p w14:paraId="2A0A050D" w14:textId="77777777" w:rsidR="00E26599" w:rsidRPr="008C51BA" w:rsidRDefault="00E26599" w:rsidP="00E26599">
      <w:pPr>
        <w:rPr>
          <w:lang w:eastAsia="zh-CN"/>
        </w:rPr>
      </w:pPr>
      <w:r w:rsidRPr="00E71E23">
        <w:rPr>
          <w:i/>
          <w:iCs/>
          <w:lang w:eastAsia="zh-CN"/>
        </w:rPr>
        <w:t>c)</w:t>
      </w:r>
      <w:r w:rsidRPr="008C51BA">
        <w:rPr>
          <w:lang w:eastAsia="zh-CN"/>
        </w:rPr>
        <w:tab/>
        <w:t xml:space="preserve">that ITU-T should promote its role in standardization among </w:t>
      </w:r>
      <w:r>
        <w:rPr>
          <w:lang w:eastAsia="zh-CN"/>
        </w:rPr>
        <w:t>next generation experts</w:t>
      </w:r>
      <w:r w:rsidRPr="008C51BA">
        <w:rPr>
          <w:lang w:eastAsia="zh-CN"/>
        </w:rPr>
        <w:t>, and that it is necessary to expand ITU-T’s youth engagement activities beyond their current scope,</w:t>
      </w:r>
    </w:p>
    <w:p w14:paraId="436DB997" w14:textId="77777777" w:rsidR="00E26599" w:rsidRPr="008C51BA" w:rsidRDefault="00E26599" w:rsidP="00E26599">
      <w:pPr>
        <w:pStyle w:val="Call"/>
      </w:pPr>
      <w:r w:rsidRPr="008C51BA">
        <w:t>resolves</w:t>
      </w:r>
    </w:p>
    <w:p w14:paraId="33B71EC9" w14:textId="77777777" w:rsidR="00E26599" w:rsidRPr="008C51BA" w:rsidRDefault="00E26599" w:rsidP="00E26599">
      <w:pPr>
        <w:rPr>
          <w:lang w:eastAsia="zh-CN"/>
        </w:rPr>
      </w:pPr>
      <w:r w:rsidRPr="008C51BA">
        <w:rPr>
          <w:lang w:eastAsia="zh-CN"/>
        </w:rPr>
        <w:t>1</w:t>
      </w:r>
      <w:r w:rsidRPr="008C51BA">
        <w:rPr>
          <w:lang w:eastAsia="zh-CN"/>
        </w:rPr>
        <w:tab/>
        <w:t xml:space="preserve">that ITU-T should promote the engagement and participation of the </w:t>
      </w:r>
      <w:r>
        <w:rPr>
          <w:lang w:eastAsia="zh-CN"/>
        </w:rPr>
        <w:t>next generation experts</w:t>
      </w:r>
      <w:r w:rsidRPr="008C51BA">
        <w:rPr>
          <w:lang w:eastAsia="zh-CN"/>
        </w:rPr>
        <w:t xml:space="preserve"> in its </w:t>
      </w:r>
      <w:proofErr w:type="gramStart"/>
      <w:r w:rsidRPr="008C51BA">
        <w:rPr>
          <w:lang w:eastAsia="zh-CN"/>
        </w:rPr>
        <w:t>work;</w:t>
      </w:r>
      <w:proofErr w:type="gramEnd"/>
      <w:r w:rsidRPr="008C51BA">
        <w:rPr>
          <w:lang w:eastAsia="zh-CN"/>
        </w:rPr>
        <w:t xml:space="preserve"> </w:t>
      </w:r>
    </w:p>
    <w:p w14:paraId="1324E501" w14:textId="77777777" w:rsidR="00E26599" w:rsidRPr="008C51BA" w:rsidRDefault="00E26599" w:rsidP="00E26599">
      <w:pPr>
        <w:rPr>
          <w:lang w:eastAsia="zh-CN"/>
        </w:rPr>
      </w:pPr>
      <w:r w:rsidRPr="008C51BA">
        <w:rPr>
          <w:lang w:eastAsia="zh-CN"/>
        </w:rPr>
        <w:t>2</w:t>
      </w:r>
      <w:r w:rsidRPr="008C51BA">
        <w:rPr>
          <w:lang w:eastAsia="zh-CN"/>
        </w:rPr>
        <w:tab/>
        <w:t xml:space="preserve">that ITU-T should promote the general concept and basic knowledge of telecommunication/ICT standardization among academia, including using digital platforms, to encourage the engagement of </w:t>
      </w:r>
      <w:r>
        <w:rPr>
          <w:lang w:eastAsia="zh-CN"/>
        </w:rPr>
        <w:t>next generation experts</w:t>
      </w:r>
      <w:r w:rsidRPr="008C51BA">
        <w:rPr>
          <w:lang w:eastAsia="zh-CN"/>
        </w:rPr>
        <w:t xml:space="preserve"> in standardization </w:t>
      </w:r>
      <w:proofErr w:type="gramStart"/>
      <w:r w:rsidRPr="008C51BA">
        <w:rPr>
          <w:lang w:eastAsia="zh-CN"/>
        </w:rPr>
        <w:t>activities;</w:t>
      </w:r>
      <w:proofErr w:type="gramEnd"/>
    </w:p>
    <w:p w14:paraId="097224FE" w14:textId="77777777" w:rsidR="00E26599" w:rsidRPr="008C51BA" w:rsidRDefault="00E26599" w:rsidP="00E26599">
      <w:pPr>
        <w:rPr>
          <w:lang w:eastAsia="zh-CN"/>
        </w:rPr>
      </w:pPr>
      <w:r w:rsidRPr="008C51BA">
        <w:rPr>
          <w:lang w:eastAsia="zh-CN"/>
        </w:rPr>
        <w:t>3</w:t>
      </w:r>
      <w:r w:rsidRPr="008C51BA">
        <w:rPr>
          <w:lang w:eastAsia="zh-CN"/>
        </w:rPr>
        <w:tab/>
        <w:t xml:space="preserve">that ITU-T should establish incentives, such as awards, targeting the </w:t>
      </w:r>
      <w:r>
        <w:rPr>
          <w:lang w:eastAsia="zh-CN"/>
        </w:rPr>
        <w:t>next generation experts</w:t>
      </w:r>
      <w:r w:rsidRPr="008C51BA">
        <w:rPr>
          <w:lang w:eastAsia="zh-CN"/>
        </w:rPr>
        <w:t xml:space="preserve"> to further promote ITU-T and its role in standardization,</w:t>
      </w:r>
    </w:p>
    <w:p w14:paraId="11C72687" w14:textId="77777777" w:rsidR="00E26599" w:rsidRPr="008C51BA" w:rsidRDefault="00E26599" w:rsidP="00E26599">
      <w:pPr>
        <w:pStyle w:val="Call"/>
      </w:pPr>
      <w:r w:rsidRPr="008C51BA">
        <w:t xml:space="preserve">instructs the Director of the Telecommunication Standardization Bureau, in collaboration with the Director of the Telecommunication Development Bureau </w:t>
      </w:r>
    </w:p>
    <w:p w14:paraId="307704BF" w14:textId="77777777" w:rsidR="00E26599" w:rsidRPr="008C51BA" w:rsidRDefault="00E26599" w:rsidP="00E26599">
      <w:pPr>
        <w:rPr>
          <w:lang w:eastAsia="zh-CN"/>
        </w:rPr>
      </w:pPr>
      <w:r w:rsidRPr="008C51BA">
        <w:rPr>
          <w:lang w:eastAsia="zh-CN"/>
        </w:rPr>
        <w:t>1</w:t>
      </w:r>
      <w:r w:rsidRPr="008C51BA">
        <w:rPr>
          <w:lang w:eastAsia="zh-CN"/>
        </w:rPr>
        <w:tab/>
        <w:t xml:space="preserve">to enhance the use of electronic channels such as online courses and webinars on standardization education, in close collaboration with the ITU Academy and other capacity-building initiatives of </w:t>
      </w:r>
      <w:proofErr w:type="gramStart"/>
      <w:r w:rsidRPr="008C51BA">
        <w:rPr>
          <w:lang w:eastAsia="zh-CN"/>
        </w:rPr>
        <w:t>BDT;</w:t>
      </w:r>
      <w:proofErr w:type="gramEnd"/>
    </w:p>
    <w:p w14:paraId="60FDEC2D" w14:textId="77777777" w:rsidR="00E26599" w:rsidRPr="008C51BA" w:rsidRDefault="00E26599" w:rsidP="00E26599">
      <w:pPr>
        <w:rPr>
          <w:lang w:eastAsia="zh-CN"/>
        </w:rPr>
      </w:pPr>
      <w:r w:rsidRPr="008C51BA">
        <w:rPr>
          <w:lang w:eastAsia="zh-CN"/>
        </w:rPr>
        <w:t>2</w:t>
      </w:r>
      <w:r w:rsidRPr="008C51BA">
        <w:rPr>
          <w:rFonts w:hint="eastAsia"/>
          <w:lang w:eastAsia="zh-CN"/>
        </w:rPr>
        <w:t xml:space="preserve">          to enhance</w:t>
      </w:r>
      <w:r w:rsidRPr="008C51BA">
        <w:t xml:space="preserve"> the development, promotion and communication of the </w:t>
      </w:r>
      <w:r w:rsidRPr="008C51BA">
        <w:rPr>
          <w:rFonts w:hint="eastAsia"/>
          <w:lang w:eastAsia="zh-CN"/>
        </w:rPr>
        <w:t>newcomer training</w:t>
      </w:r>
      <w:r w:rsidRPr="008C51BA">
        <w:rPr>
          <w:lang w:eastAsia="zh-CN"/>
        </w:rPr>
        <w:t>s</w:t>
      </w:r>
      <w:r w:rsidRPr="008C51BA">
        <w:rPr>
          <w:rFonts w:hint="eastAsia"/>
          <w:lang w:eastAsia="zh-CN"/>
        </w:rPr>
        <w:t xml:space="preserve"> </w:t>
      </w:r>
      <w:r w:rsidRPr="008C51BA">
        <w:rPr>
          <w:lang w:eastAsia="zh-CN"/>
        </w:rPr>
        <w:t>by also</w:t>
      </w:r>
      <w:r w:rsidRPr="008C51BA">
        <w:rPr>
          <w:rFonts w:hint="eastAsia"/>
          <w:lang w:eastAsia="zh-CN"/>
        </w:rPr>
        <w:t xml:space="preserve"> provid</w:t>
      </w:r>
      <w:r w:rsidRPr="008C51BA">
        <w:rPr>
          <w:lang w:eastAsia="zh-CN"/>
        </w:rPr>
        <w:t xml:space="preserve">ing an overview of ITU-T standardization work </w:t>
      </w:r>
      <w:r w:rsidRPr="008C51BA">
        <w:rPr>
          <w:rFonts w:hint="eastAsia"/>
          <w:lang w:eastAsia="zh-CN"/>
        </w:rPr>
        <w:t>for the next generation</w:t>
      </w:r>
      <w:r w:rsidRPr="008C51BA">
        <w:rPr>
          <w:lang w:eastAsia="zh-CN"/>
        </w:rPr>
        <w:t xml:space="preserve"> </w:t>
      </w:r>
      <w:proofErr w:type="gramStart"/>
      <w:r w:rsidRPr="008C51BA">
        <w:rPr>
          <w:lang w:eastAsia="zh-CN"/>
        </w:rPr>
        <w:t>experts</w:t>
      </w:r>
      <w:r w:rsidRPr="008C51BA">
        <w:rPr>
          <w:rFonts w:hint="eastAsia"/>
          <w:lang w:eastAsia="zh-CN"/>
        </w:rPr>
        <w:t>;</w:t>
      </w:r>
      <w:proofErr w:type="gramEnd"/>
    </w:p>
    <w:p w14:paraId="085A5D8E" w14:textId="77777777" w:rsidR="00E26599" w:rsidRPr="008C51BA" w:rsidRDefault="00E26599" w:rsidP="00E26599">
      <w:pPr>
        <w:rPr>
          <w:lang w:eastAsia="zh-CN"/>
        </w:rPr>
      </w:pPr>
      <w:r w:rsidRPr="008C51BA">
        <w:rPr>
          <w:lang w:eastAsia="zh-CN"/>
        </w:rPr>
        <w:t>3</w:t>
      </w:r>
      <w:r w:rsidRPr="008C51BA">
        <w:rPr>
          <w:rFonts w:hint="eastAsia"/>
          <w:lang w:eastAsia="zh-CN"/>
        </w:rPr>
        <w:t xml:space="preserve">          to organize </w:t>
      </w:r>
      <w:r w:rsidRPr="008C51BA">
        <w:rPr>
          <w:lang w:eastAsia="zh-CN"/>
        </w:rPr>
        <w:t>dedicated sessions/tracks</w:t>
      </w:r>
      <w:r w:rsidRPr="008C51BA">
        <w:rPr>
          <w:rFonts w:hint="eastAsia"/>
          <w:lang w:eastAsia="zh-CN"/>
        </w:rPr>
        <w:t xml:space="preserve"> </w:t>
      </w:r>
      <w:r w:rsidRPr="008C51BA">
        <w:rPr>
          <w:lang w:eastAsia="zh-CN"/>
        </w:rPr>
        <w:t xml:space="preserve">in existing ITU-T events and provide opportunities for </w:t>
      </w:r>
      <w:r w:rsidRPr="008C51BA">
        <w:rPr>
          <w:rFonts w:hint="eastAsia"/>
          <w:lang w:eastAsia="zh-CN"/>
        </w:rPr>
        <w:t>next generation</w:t>
      </w:r>
      <w:r w:rsidRPr="008C51BA">
        <w:rPr>
          <w:lang w:eastAsia="zh-CN"/>
        </w:rPr>
        <w:t xml:space="preserve"> experts</w:t>
      </w:r>
      <w:r w:rsidRPr="008C51BA">
        <w:rPr>
          <w:rFonts w:hint="eastAsia"/>
          <w:lang w:eastAsia="zh-CN"/>
        </w:rPr>
        <w:t xml:space="preserve"> to </w:t>
      </w:r>
      <w:r w:rsidRPr="008C51BA">
        <w:rPr>
          <w:lang w:eastAsia="zh-CN"/>
        </w:rPr>
        <w:t xml:space="preserve">engage and </w:t>
      </w:r>
      <w:r w:rsidRPr="008C51BA">
        <w:rPr>
          <w:rFonts w:hint="eastAsia"/>
          <w:lang w:eastAsia="zh-CN"/>
        </w:rPr>
        <w:t xml:space="preserve">participate in </w:t>
      </w:r>
      <w:r w:rsidRPr="008C51BA">
        <w:rPr>
          <w:lang w:eastAsia="zh-CN"/>
        </w:rPr>
        <w:t xml:space="preserve">ITU-T standardization </w:t>
      </w:r>
      <w:proofErr w:type="gramStart"/>
      <w:r w:rsidRPr="008C51BA">
        <w:rPr>
          <w:lang w:eastAsia="zh-CN"/>
        </w:rPr>
        <w:t>activities;</w:t>
      </w:r>
      <w:proofErr w:type="gramEnd"/>
    </w:p>
    <w:p w14:paraId="0DC3D6F2" w14:textId="0D685446" w:rsidR="00E26599" w:rsidRPr="008C51BA" w:rsidRDefault="00E26599" w:rsidP="00E26599">
      <w:pPr>
        <w:rPr>
          <w:lang w:eastAsia="zh-CN"/>
        </w:rPr>
      </w:pPr>
      <w:r w:rsidRPr="008C51BA">
        <w:rPr>
          <w:lang w:eastAsia="zh-CN"/>
        </w:rPr>
        <w:t>4</w:t>
      </w:r>
      <w:r w:rsidRPr="008C51BA">
        <w:rPr>
          <w:lang w:eastAsia="zh-CN"/>
        </w:rPr>
        <w:tab/>
        <w:t>to report to TSAG and WTSA on the ITU-T next generation experts’ engagement initiatives,</w:t>
      </w:r>
    </w:p>
    <w:p w14:paraId="518989E2" w14:textId="77777777" w:rsidR="00E26599" w:rsidRPr="008C51BA" w:rsidRDefault="00E26599" w:rsidP="00E26599">
      <w:pPr>
        <w:pStyle w:val="Call"/>
      </w:pPr>
      <w:r w:rsidRPr="008C51BA">
        <w:t>invites Member States, Sector Members, Associate Members</w:t>
      </w:r>
    </w:p>
    <w:p w14:paraId="315DD0C0" w14:textId="77777777" w:rsidR="00E26599" w:rsidRPr="008C51BA" w:rsidRDefault="00E26599" w:rsidP="00E26599">
      <w:pPr>
        <w:rPr>
          <w:lang w:eastAsia="zh-CN"/>
        </w:rPr>
      </w:pPr>
      <w:r w:rsidRPr="008C51BA">
        <w:rPr>
          <w:lang w:eastAsia="zh-CN"/>
        </w:rPr>
        <w:t>1</w:t>
      </w:r>
      <w:r w:rsidRPr="008C51BA">
        <w:rPr>
          <w:lang w:eastAsia="zh-CN"/>
        </w:rPr>
        <w:tab/>
        <w:t xml:space="preserve">to support ITU-T activities promoting engagement and benefits of next generation experts’ participation in standardization with voluntary contributions and </w:t>
      </w:r>
      <w:proofErr w:type="gramStart"/>
      <w:r w:rsidRPr="008C51BA">
        <w:rPr>
          <w:lang w:eastAsia="zh-CN"/>
        </w:rPr>
        <w:t>sponsorships;</w:t>
      </w:r>
      <w:proofErr w:type="gramEnd"/>
    </w:p>
    <w:p w14:paraId="771E143D" w14:textId="77777777" w:rsidR="00E26599" w:rsidRPr="008C51BA" w:rsidRDefault="00E26599" w:rsidP="00E26599">
      <w:pPr>
        <w:rPr>
          <w:lang w:eastAsia="zh-CN"/>
        </w:rPr>
      </w:pPr>
      <w:r w:rsidRPr="008C51BA">
        <w:rPr>
          <w:rFonts w:eastAsia="SimSun"/>
          <w:lang w:eastAsia="zh-CN"/>
        </w:rPr>
        <w:t>2</w:t>
      </w:r>
      <w:r w:rsidRPr="008C51BA">
        <w:rPr>
          <w:rFonts w:eastAsia="SimSun"/>
          <w:lang w:eastAsia="zh-CN"/>
        </w:rPr>
        <w:tab/>
      </w:r>
      <w:r w:rsidRPr="008C51BA">
        <w:rPr>
          <w:lang w:eastAsia="zh-CN"/>
        </w:rPr>
        <w:t>to include youth delegates in official delegations of ITU-T meetings and to support their integration through mentorship programmes,</w:t>
      </w:r>
    </w:p>
    <w:p w14:paraId="5FEE6B6A" w14:textId="77777777" w:rsidR="00E26599" w:rsidRPr="008C51BA" w:rsidRDefault="00E26599" w:rsidP="00E26599">
      <w:pPr>
        <w:pStyle w:val="Call"/>
      </w:pPr>
      <w:r w:rsidRPr="008C51BA">
        <w:t>invites Academia</w:t>
      </w:r>
    </w:p>
    <w:p w14:paraId="6672422E" w14:textId="77777777" w:rsidR="00E26599" w:rsidRPr="008C51BA" w:rsidRDefault="00E26599" w:rsidP="00E26599">
      <w:pPr>
        <w:rPr>
          <w:lang w:eastAsia="zh-CN"/>
        </w:rPr>
      </w:pPr>
      <w:r w:rsidRPr="008C51BA">
        <w:rPr>
          <w:lang w:eastAsia="zh-CN"/>
        </w:rPr>
        <w:t>1</w:t>
      </w:r>
      <w:r w:rsidRPr="008C51BA">
        <w:rPr>
          <w:lang w:eastAsia="zh-CN"/>
        </w:rPr>
        <w:tab/>
        <w:t xml:space="preserve">to support and promote engagement of next generation experts in standardization, including access to information, fellowships and recognition for participation in ITU-T </w:t>
      </w:r>
      <w:proofErr w:type="gramStart"/>
      <w:r w:rsidRPr="008C51BA">
        <w:rPr>
          <w:lang w:eastAsia="zh-CN"/>
        </w:rPr>
        <w:t>activities;</w:t>
      </w:r>
      <w:proofErr w:type="gramEnd"/>
    </w:p>
    <w:p w14:paraId="4861D326" w14:textId="77777777" w:rsidR="00E26599" w:rsidRPr="008C51BA" w:rsidRDefault="00E26599" w:rsidP="00E26599">
      <w:pPr>
        <w:rPr>
          <w:lang w:eastAsia="zh-CN"/>
        </w:rPr>
      </w:pPr>
      <w:r w:rsidRPr="008C51BA">
        <w:rPr>
          <w:lang w:eastAsia="zh-CN"/>
        </w:rPr>
        <w:t>2</w:t>
      </w:r>
      <w:r w:rsidRPr="008C51BA">
        <w:rPr>
          <w:lang w:eastAsia="zh-CN"/>
        </w:rPr>
        <w:tab/>
        <w:t xml:space="preserve">to involve early career researchers and students in relevant ITU-T activities and empower their effective participation therein, including through capacity building and skills </w:t>
      </w:r>
      <w:proofErr w:type="gramStart"/>
      <w:r w:rsidRPr="008C51BA">
        <w:rPr>
          <w:lang w:eastAsia="zh-CN"/>
        </w:rPr>
        <w:t>development;</w:t>
      </w:r>
      <w:proofErr w:type="gramEnd"/>
    </w:p>
    <w:p w14:paraId="046409B7" w14:textId="77777777" w:rsidR="00E26599" w:rsidRDefault="00E26599" w:rsidP="00E26599">
      <w:pPr>
        <w:rPr>
          <w:lang w:eastAsia="zh-CN"/>
        </w:rPr>
      </w:pPr>
      <w:r w:rsidRPr="008C51BA">
        <w:rPr>
          <w:lang w:eastAsia="zh-CN"/>
        </w:rPr>
        <w:t>3</w:t>
      </w:r>
      <w:r w:rsidRPr="008C51BA">
        <w:rPr>
          <w:lang w:eastAsia="zh-CN"/>
        </w:rPr>
        <w:tab/>
        <w:t xml:space="preserve">to collaborate </w:t>
      </w:r>
      <w:r w:rsidRPr="008C51BA">
        <w:t>closely with governments, industry</w:t>
      </w:r>
      <w:r w:rsidRPr="008C51BA">
        <w:rPr>
          <w:lang w:eastAsia="zh-CN"/>
        </w:rPr>
        <w:t xml:space="preserve"> and partner organizations to promote the concept of standardization in academic curricula</w:t>
      </w:r>
      <w:r>
        <w:rPr>
          <w:lang w:eastAsia="zh-CN"/>
        </w:rPr>
        <w:t>.</w:t>
      </w:r>
    </w:p>
    <w:p w14:paraId="463DDAA9" w14:textId="584EAFBA" w:rsidR="00B27C8F" w:rsidRPr="00E26599" w:rsidRDefault="00B27C8F" w:rsidP="00E26599">
      <w:pPr>
        <w:pStyle w:val="Reasons"/>
        <w:rPr>
          <w:b/>
          <w:bCs/>
        </w:rPr>
      </w:pPr>
    </w:p>
    <w:sectPr w:rsidR="00B27C8F" w:rsidRPr="00E26599"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F572B" w14:textId="77777777" w:rsidR="00D17682" w:rsidRDefault="00D17682">
      <w:r>
        <w:separator/>
      </w:r>
    </w:p>
  </w:endnote>
  <w:endnote w:type="continuationSeparator" w:id="0">
    <w:p w14:paraId="25B87121" w14:textId="77777777" w:rsidR="00D17682" w:rsidRDefault="00D17682">
      <w:r>
        <w:continuationSeparator/>
      </w:r>
    </w:p>
  </w:endnote>
  <w:endnote w:type="continuationNotice" w:id="1">
    <w:p w14:paraId="2B28C40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41B4" w14:textId="77777777" w:rsidR="009D4900" w:rsidRDefault="009D4900">
    <w:pPr>
      <w:framePr w:wrap="around" w:vAnchor="text" w:hAnchor="margin" w:xAlign="right" w:y="1"/>
    </w:pPr>
    <w:r>
      <w:fldChar w:fldCharType="begin"/>
    </w:r>
    <w:r>
      <w:instrText xml:space="preserve">PAGE  </w:instrText>
    </w:r>
    <w:r>
      <w:fldChar w:fldCharType="end"/>
    </w:r>
  </w:p>
  <w:p w14:paraId="49F09B77" w14:textId="1844179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0488B">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C3F6" w14:textId="77777777" w:rsidR="00D17682" w:rsidRDefault="00D17682">
      <w:r>
        <w:rPr>
          <w:b/>
        </w:rPr>
        <w:t>_______________</w:t>
      </w:r>
    </w:p>
  </w:footnote>
  <w:footnote w:type="continuationSeparator" w:id="0">
    <w:p w14:paraId="08756558"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664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80321336">
    <w:abstractNumId w:val="8"/>
  </w:num>
  <w:num w:numId="2" w16cid:durableId="13296772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1928368">
    <w:abstractNumId w:val="9"/>
  </w:num>
  <w:num w:numId="4" w16cid:durableId="992949986">
    <w:abstractNumId w:val="7"/>
  </w:num>
  <w:num w:numId="5" w16cid:durableId="410080127">
    <w:abstractNumId w:val="6"/>
  </w:num>
  <w:num w:numId="6" w16cid:durableId="328486546">
    <w:abstractNumId w:val="5"/>
  </w:num>
  <w:num w:numId="7" w16cid:durableId="1801418835">
    <w:abstractNumId w:val="4"/>
  </w:num>
  <w:num w:numId="8" w16cid:durableId="277180138">
    <w:abstractNumId w:val="3"/>
  </w:num>
  <w:num w:numId="9" w16cid:durableId="991517990">
    <w:abstractNumId w:val="2"/>
  </w:num>
  <w:num w:numId="10" w16cid:durableId="1760564148">
    <w:abstractNumId w:val="1"/>
  </w:num>
  <w:num w:numId="11" w16cid:durableId="2039964286">
    <w:abstractNumId w:val="0"/>
  </w:num>
  <w:num w:numId="12" w16cid:durableId="1546480861">
    <w:abstractNumId w:val="12"/>
  </w:num>
  <w:num w:numId="13" w16cid:durableId="657417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0488B"/>
    <w:rsid w:val="00316B80"/>
    <w:rsid w:val="003251EA"/>
    <w:rsid w:val="00336B4E"/>
    <w:rsid w:val="0034635C"/>
    <w:rsid w:val="0035154F"/>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62C9C"/>
    <w:rsid w:val="009741DA"/>
    <w:rsid w:val="009B2216"/>
    <w:rsid w:val="009B33B8"/>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27C8F"/>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4CF2"/>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0225"/>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26599"/>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5FCA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dabf068-256f-41bd-ae99-b166f32ebb81">DPM</DPM_x0020_Author>
    <DPM_x0020_File_x0020_name xmlns="fdabf068-256f-41bd-ae99-b166f32ebb81">T22-WTSA.24-C-0037!A39!MSW-E</DPM_x0020_File_x0020_name>
    <DPM_x0020_Version xmlns="fdabf068-256f-41bd-ae99-b166f32ebb81">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abf068-256f-41bd-ae99-b166f32ebb81" targetNamespace="http://schemas.microsoft.com/office/2006/metadata/properties" ma:root="true" ma:fieldsID="d41af5c836d734370eb92e7ee5f83852" ns2:_="" ns3:_="">
    <xsd:import namespace="996b2e75-67fd-4955-a3b0-5ab9934cb50b"/>
    <xsd:import namespace="fdabf068-256f-41bd-ae99-b166f32ebb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abf068-256f-41bd-ae99-b166f32ebb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bf068-256f-41bd-ae99-b166f32eb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abf068-256f-41bd-ae99-b166f32eb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980</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T22-WTSA.24-C-0037!A39!MSW-E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5</cp:revision>
  <cp:lastPrinted>2016-06-06T07:49:00Z</cp:lastPrinted>
  <dcterms:created xsi:type="dcterms:W3CDTF">2024-09-24T14:37:00Z</dcterms:created>
  <dcterms:modified xsi:type="dcterms:W3CDTF">2024-09-25T09:10:00Z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