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333F04B8" w14:textId="77777777" w:rsidTr="00A8044A">
        <w:trPr>
          <w:cantSplit/>
          <w:trHeight w:val="20"/>
        </w:trPr>
        <w:tc>
          <w:tcPr>
            <w:tcW w:w="1318" w:type="dxa"/>
          </w:tcPr>
          <w:p w14:paraId="4157CBDD" w14:textId="77777777" w:rsidR="00314F41" w:rsidRPr="00B344B6" w:rsidRDefault="00863FEE" w:rsidP="009D0810">
            <w:pPr>
              <w:rPr>
                <w:sz w:val="24"/>
                <w:szCs w:val="24"/>
                <w:rtl/>
              </w:rPr>
            </w:pPr>
            <w:r w:rsidRPr="00B344B6">
              <w:rPr>
                <w:noProof/>
              </w:rPr>
              <w:drawing>
                <wp:inline distT="0" distB="0" distL="0" distR="0" wp14:anchorId="13D581B9" wp14:editId="00DE460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6034BF11"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6292CA96"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3472CD69" w14:textId="77777777" w:rsidR="00314F41" w:rsidRPr="00B344B6" w:rsidRDefault="00314F41" w:rsidP="009D0810">
            <w:pPr>
              <w:rPr>
                <w:rtl/>
                <w:lang w:bidi="ar-EG"/>
              </w:rPr>
            </w:pPr>
            <w:r w:rsidRPr="00B344B6">
              <w:rPr>
                <w:noProof/>
                <w:lang w:eastAsia="zh-CN"/>
              </w:rPr>
              <w:drawing>
                <wp:inline distT="0" distB="0" distL="0" distR="0" wp14:anchorId="6A30B695" wp14:editId="69D955A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7FFA7ABD" w14:textId="77777777" w:rsidTr="00A8044A">
        <w:trPr>
          <w:cantSplit/>
          <w:trHeight w:val="20"/>
        </w:trPr>
        <w:tc>
          <w:tcPr>
            <w:tcW w:w="6496" w:type="dxa"/>
            <w:gridSpan w:val="2"/>
            <w:tcBorders>
              <w:bottom w:val="single" w:sz="12" w:space="0" w:color="auto"/>
            </w:tcBorders>
          </w:tcPr>
          <w:p w14:paraId="13A4DCF0"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36BCB1B7" w14:textId="77777777" w:rsidR="00280E04" w:rsidRPr="00B344B6" w:rsidRDefault="00280E04" w:rsidP="003309DA">
            <w:pPr>
              <w:spacing w:before="0" w:line="120" w:lineRule="auto"/>
              <w:rPr>
                <w:lang w:bidi="ar-EG"/>
              </w:rPr>
            </w:pPr>
          </w:p>
        </w:tc>
      </w:tr>
      <w:tr w:rsidR="00280E04" w:rsidRPr="00B344B6" w14:paraId="23FF2970" w14:textId="77777777" w:rsidTr="00A8044A">
        <w:trPr>
          <w:cantSplit/>
          <w:trHeight w:val="240"/>
        </w:trPr>
        <w:tc>
          <w:tcPr>
            <w:tcW w:w="6496" w:type="dxa"/>
            <w:gridSpan w:val="2"/>
            <w:tcBorders>
              <w:top w:val="single" w:sz="12" w:space="0" w:color="auto"/>
            </w:tcBorders>
          </w:tcPr>
          <w:p w14:paraId="4743ACE1"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0A4C1646" w14:textId="77777777" w:rsidR="00280E04" w:rsidRPr="000B0891" w:rsidRDefault="00280E04" w:rsidP="000B0891">
            <w:pPr>
              <w:spacing w:before="0" w:line="240" w:lineRule="exact"/>
              <w:rPr>
                <w:rFonts w:eastAsia="SimSun"/>
                <w:b/>
                <w:bCs/>
              </w:rPr>
            </w:pPr>
          </w:p>
        </w:tc>
      </w:tr>
      <w:tr w:rsidR="00AD538E" w:rsidRPr="00B344B6" w14:paraId="7F438753" w14:textId="77777777" w:rsidTr="00A8044A">
        <w:trPr>
          <w:cantSplit/>
        </w:trPr>
        <w:tc>
          <w:tcPr>
            <w:tcW w:w="6496" w:type="dxa"/>
            <w:gridSpan w:val="2"/>
          </w:tcPr>
          <w:p w14:paraId="0EE57566" w14:textId="77777777" w:rsidR="00AD538E" w:rsidRPr="00A8044A" w:rsidRDefault="00D21D8E" w:rsidP="004A05FC">
            <w:pPr>
              <w:pStyle w:val="Committee"/>
              <w:framePr w:hSpace="0" w:wrap="auto" w:hAnchor="text" w:yAlign="inline"/>
              <w:bidi/>
              <w:spacing w:before="40" w:after="40"/>
              <w:rPr>
                <w:rtl/>
              </w:rPr>
            </w:pPr>
            <w:r w:rsidRPr="00A8044A">
              <w:rPr>
                <w:rtl/>
              </w:rPr>
              <w:t>الجلسة العامة</w:t>
            </w:r>
          </w:p>
        </w:tc>
        <w:tc>
          <w:tcPr>
            <w:tcW w:w="3143" w:type="dxa"/>
            <w:gridSpan w:val="2"/>
          </w:tcPr>
          <w:p w14:paraId="13D57704" w14:textId="40D165D3" w:rsidR="00AD538E" w:rsidRPr="00A8044A" w:rsidRDefault="00A8044A" w:rsidP="004A05FC">
            <w:pPr>
              <w:pStyle w:val="Docnumber"/>
              <w:bidi/>
              <w:spacing w:before="40" w:after="40" w:line="300" w:lineRule="exact"/>
            </w:pPr>
            <w:r>
              <w:rPr>
                <w:rtl/>
              </w:rPr>
              <w:t>‏الإضافة 39</w:t>
            </w:r>
            <w:r>
              <w:rPr>
                <w:rtl/>
              </w:rPr>
              <w:br/>
              <w:t xml:space="preserve">‏للوثيقة </w:t>
            </w:r>
            <w:r>
              <w:rPr>
                <w:cs/>
              </w:rPr>
              <w:t>‎</w:t>
            </w:r>
            <w:r>
              <w:t>37-A</w:t>
            </w:r>
            <w:r>
              <w:rPr>
                <w:rtl/>
              </w:rPr>
              <w:t>‏</w:t>
            </w:r>
          </w:p>
        </w:tc>
      </w:tr>
      <w:tr w:rsidR="006175E7" w:rsidRPr="00B344B6" w14:paraId="2B7E115F" w14:textId="77777777" w:rsidTr="00A8044A">
        <w:trPr>
          <w:cantSplit/>
        </w:trPr>
        <w:tc>
          <w:tcPr>
            <w:tcW w:w="6496" w:type="dxa"/>
            <w:gridSpan w:val="2"/>
          </w:tcPr>
          <w:p w14:paraId="5CAB882A" w14:textId="77777777" w:rsidR="006175E7" w:rsidRPr="00A8044A" w:rsidRDefault="006175E7" w:rsidP="004A05FC">
            <w:pPr>
              <w:spacing w:before="40" w:after="40" w:line="300" w:lineRule="exact"/>
              <w:jc w:val="left"/>
              <w:rPr>
                <w:b/>
                <w:bCs/>
                <w:rtl/>
              </w:rPr>
            </w:pPr>
          </w:p>
        </w:tc>
        <w:tc>
          <w:tcPr>
            <w:tcW w:w="3143" w:type="dxa"/>
            <w:gridSpan w:val="2"/>
          </w:tcPr>
          <w:p w14:paraId="3B93ADC4" w14:textId="77777777" w:rsidR="006175E7" w:rsidRPr="00A8044A" w:rsidRDefault="00EC0AD3" w:rsidP="004A05FC">
            <w:pPr>
              <w:pStyle w:val="TopHeader"/>
              <w:bidi/>
              <w:spacing w:before="40" w:after="40" w:line="300" w:lineRule="exact"/>
              <w:rPr>
                <w:rFonts w:ascii="Dubai" w:hAnsi="Dubai" w:cs="Dubai"/>
                <w:sz w:val="22"/>
                <w:szCs w:val="22"/>
                <w:rtl/>
              </w:rPr>
            </w:pPr>
            <w:r w:rsidRPr="00A8044A">
              <w:rPr>
                <w:rFonts w:ascii="Dubai" w:eastAsia="SimSun" w:hAnsi="Dubai" w:cs="Dubai"/>
                <w:sz w:val="22"/>
                <w:szCs w:val="22"/>
              </w:rPr>
              <w:t>22</w:t>
            </w:r>
            <w:r w:rsidRPr="00A8044A">
              <w:rPr>
                <w:rFonts w:ascii="Dubai" w:eastAsia="SimSun" w:hAnsi="Dubai" w:cs="Dubai"/>
                <w:sz w:val="22"/>
                <w:szCs w:val="22"/>
                <w:rtl/>
              </w:rPr>
              <w:t xml:space="preserve"> سبتمبر </w:t>
            </w:r>
            <w:r w:rsidRPr="00A8044A">
              <w:rPr>
                <w:rFonts w:ascii="Dubai" w:eastAsia="SimSun" w:hAnsi="Dubai" w:cs="Dubai"/>
                <w:sz w:val="22"/>
                <w:szCs w:val="22"/>
              </w:rPr>
              <w:t>2024</w:t>
            </w:r>
          </w:p>
        </w:tc>
      </w:tr>
      <w:tr w:rsidR="006175E7" w:rsidRPr="00B344B6" w14:paraId="731E5BFD" w14:textId="77777777" w:rsidTr="00A8044A">
        <w:trPr>
          <w:cantSplit/>
        </w:trPr>
        <w:tc>
          <w:tcPr>
            <w:tcW w:w="6496" w:type="dxa"/>
            <w:gridSpan w:val="2"/>
          </w:tcPr>
          <w:p w14:paraId="1E6D22D6" w14:textId="77777777" w:rsidR="006175E7" w:rsidRPr="00A8044A" w:rsidRDefault="006175E7" w:rsidP="004A05FC">
            <w:pPr>
              <w:spacing w:before="40" w:after="40" w:line="300" w:lineRule="exact"/>
              <w:jc w:val="left"/>
              <w:rPr>
                <w:b/>
                <w:bCs/>
                <w:rtl/>
              </w:rPr>
            </w:pPr>
          </w:p>
        </w:tc>
        <w:tc>
          <w:tcPr>
            <w:tcW w:w="3143" w:type="dxa"/>
            <w:gridSpan w:val="2"/>
          </w:tcPr>
          <w:p w14:paraId="5BDE1D7E" w14:textId="77777777" w:rsidR="006175E7" w:rsidRPr="00A8044A" w:rsidRDefault="00EC0AD3" w:rsidP="004A05FC">
            <w:pPr>
              <w:pStyle w:val="TopHeader"/>
              <w:bidi/>
              <w:spacing w:before="40" w:after="40" w:line="300" w:lineRule="exact"/>
              <w:rPr>
                <w:rFonts w:ascii="Dubai" w:eastAsia="SimSun" w:hAnsi="Dubai" w:cs="Dubai"/>
                <w:sz w:val="22"/>
                <w:szCs w:val="22"/>
              </w:rPr>
            </w:pPr>
            <w:r w:rsidRPr="00A8044A">
              <w:rPr>
                <w:rFonts w:ascii="Dubai" w:hAnsi="Dubai" w:cs="Dubai"/>
                <w:sz w:val="22"/>
                <w:szCs w:val="22"/>
                <w:rtl/>
              </w:rPr>
              <w:t>الأصل: بالإنكليزية</w:t>
            </w:r>
          </w:p>
        </w:tc>
      </w:tr>
      <w:tr w:rsidR="006175E7" w:rsidRPr="00B344B6" w14:paraId="3934632E" w14:textId="77777777" w:rsidTr="00A8044A">
        <w:trPr>
          <w:cantSplit/>
        </w:trPr>
        <w:tc>
          <w:tcPr>
            <w:tcW w:w="9639" w:type="dxa"/>
            <w:gridSpan w:val="4"/>
          </w:tcPr>
          <w:p w14:paraId="6EBBE45B" w14:textId="77777777" w:rsidR="006175E7" w:rsidRPr="009D0810" w:rsidRDefault="006175E7" w:rsidP="000B0891">
            <w:pPr>
              <w:spacing w:before="0" w:line="240" w:lineRule="exact"/>
              <w:rPr>
                <w:rFonts w:eastAsia="SimSun"/>
                <w:b/>
                <w:bCs/>
              </w:rPr>
            </w:pPr>
          </w:p>
        </w:tc>
      </w:tr>
      <w:tr w:rsidR="006175E7" w:rsidRPr="00B344B6" w14:paraId="545BACA7" w14:textId="77777777" w:rsidTr="00A8044A">
        <w:trPr>
          <w:cantSplit/>
        </w:trPr>
        <w:tc>
          <w:tcPr>
            <w:tcW w:w="9639" w:type="dxa"/>
            <w:gridSpan w:val="4"/>
          </w:tcPr>
          <w:p w14:paraId="29CDB9BF" w14:textId="77777777" w:rsidR="006175E7" w:rsidRPr="00B344B6" w:rsidRDefault="00D21D8E" w:rsidP="006175E7">
            <w:pPr>
              <w:pStyle w:val="Source"/>
              <w:rPr>
                <w:rtl/>
              </w:rPr>
            </w:pPr>
            <w:r w:rsidRPr="00D21D8E">
              <w:rPr>
                <w:rtl/>
              </w:rPr>
              <w:t>إدارات أعضاء جماعة آسيا والمحيط الهادئ للاتصالات</w:t>
            </w:r>
          </w:p>
        </w:tc>
      </w:tr>
      <w:tr w:rsidR="00A8044A" w:rsidRPr="00B344B6" w14:paraId="54F07AB5" w14:textId="77777777" w:rsidTr="00A8044A">
        <w:trPr>
          <w:cantSplit/>
        </w:trPr>
        <w:tc>
          <w:tcPr>
            <w:tcW w:w="9639" w:type="dxa"/>
            <w:gridSpan w:val="4"/>
          </w:tcPr>
          <w:p w14:paraId="5BFB5B75" w14:textId="342BEC2B" w:rsidR="00A8044A" w:rsidRPr="00BB1FC8" w:rsidRDefault="00A8044A" w:rsidP="00A8044A">
            <w:pPr>
              <w:pStyle w:val="Title1"/>
              <w:spacing w:before="240"/>
              <w:rPr>
                <w:highlight w:val="yellow"/>
                <w:rtl/>
              </w:rPr>
            </w:pPr>
            <w:r w:rsidRPr="00FA2B24">
              <w:rPr>
                <w:rFonts w:hint="cs"/>
                <w:rtl/>
              </w:rPr>
              <w:t xml:space="preserve">مشروع </w:t>
            </w:r>
            <w:r w:rsidR="00EE5F37">
              <w:rPr>
                <w:rFonts w:hint="cs"/>
                <w:rtl/>
              </w:rPr>
              <w:t>ال</w:t>
            </w:r>
            <w:r w:rsidRPr="00FA2B24">
              <w:rPr>
                <w:rFonts w:hint="cs"/>
                <w:rtl/>
              </w:rPr>
              <w:t xml:space="preserve">قرار </w:t>
            </w:r>
            <w:r w:rsidR="00EE5F37">
              <w:rPr>
                <w:rFonts w:hint="cs"/>
                <w:rtl/>
              </w:rPr>
              <w:t>ال</w:t>
            </w:r>
            <w:r w:rsidRPr="00FA2B24">
              <w:rPr>
                <w:rFonts w:hint="cs"/>
                <w:rtl/>
              </w:rPr>
              <w:t xml:space="preserve">جديد </w:t>
            </w:r>
            <w:r w:rsidRPr="00FA2B24">
              <w:rPr>
                <w:rtl/>
              </w:rPr>
              <w:t xml:space="preserve">[APT-NG] - </w:t>
            </w:r>
            <w:r w:rsidRPr="00FA2B24">
              <w:rPr>
                <w:rFonts w:hint="cs"/>
                <w:rtl/>
                <w:lang w:val="fr-CA"/>
              </w:rPr>
              <w:t>ت</w:t>
            </w:r>
            <w:r w:rsidRPr="00FA2B24">
              <w:rPr>
                <w:rtl/>
              </w:rPr>
              <w:t xml:space="preserve">عزيز مشاركة خبراء الجيل </w:t>
            </w:r>
            <w:r>
              <w:rPr>
                <w:rFonts w:hint="cs"/>
                <w:rtl/>
              </w:rPr>
              <w:t>القادم</w:t>
            </w:r>
            <w:r w:rsidRPr="00FA2B24">
              <w:rPr>
                <w:rtl/>
              </w:rPr>
              <w:t xml:space="preserve"> </w:t>
            </w:r>
            <w:r w:rsidR="00F300E6">
              <w:rPr>
                <w:rtl/>
              </w:rPr>
              <w:br/>
            </w:r>
            <w:r w:rsidRPr="00FA2B24">
              <w:rPr>
                <w:rtl/>
              </w:rPr>
              <w:t>في أنشطة التقييس</w:t>
            </w:r>
            <w:r>
              <w:rPr>
                <w:rFonts w:hint="cs"/>
                <w:rtl/>
              </w:rPr>
              <w:t xml:space="preserve"> الخاصة ب</w:t>
            </w:r>
            <w:r w:rsidRPr="00FA2B24">
              <w:rPr>
                <w:rtl/>
              </w:rPr>
              <w:t>قطاع تقييس الاتصالات</w:t>
            </w:r>
          </w:p>
        </w:tc>
      </w:tr>
      <w:tr w:rsidR="00A8044A" w:rsidRPr="00B344B6" w14:paraId="2B55374D" w14:textId="77777777" w:rsidTr="00A8044A">
        <w:trPr>
          <w:cantSplit/>
          <w:trHeight w:hRule="exact" w:val="240"/>
        </w:trPr>
        <w:tc>
          <w:tcPr>
            <w:tcW w:w="9639" w:type="dxa"/>
            <w:gridSpan w:val="4"/>
          </w:tcPr>
          <w:p w14:paraId="28A05E7A" w14:textId="77777777" w:rsidR="00A8044A" w:rsidRPr="00B344B6" w:rsidRDefault="00A8044A" w:rsidP="00A8044A">
            <w:pPr>
              <w:pStyle w:val="Title2"/>
              <w:spacing w:before="240"/>
            </w:pPr>
          </w:p>
        </w:tc>
      </w:tr>
      <w:tr w:rsidR="00A8044A" w:rsidRPr="00B344B6" w14:paraId="09C468AB" w14:textId="77777777" w:rsidTr="00A8044A">
        <w:trPr>
          <w:cantSplit/>
          <w:trHeight w:hRule="exact" w:val="240"/>
        </w:trPr>
        <w:tc>
          <w:tcPr>
            <w:tcW w:w="9639" w:type="dxa"/>
            <w:gridSpan w:val="4"/>
          </w:tcPr>
          <w:p w14:paraId="06C03914" w14:textId="77777777" w:rsidR="00A8044A" w:rsidRDefault="00A8044A" w:rsidP="00A8044A">
            <w:pPr>
              <w:pStyle w:val="Agendaitem"/>
              <w:spacing w:before="0" w:after="0"/>
              <w:rPr>
                <w:rtl/>
              </w:rPr>
            </w:pPr>
          </w:p>
          <w:p w14:paraId="016ECF98" w14:textId="77777777" w:rsidR="00A8044A" w:rsidRDefault="00A8044A" w:rsidP="00A8044A">
            <w:pPr>
              <w:pStyle w:val="Agendaitem"/>
              <w:spacing w:before="0" w:after="0"/>
              <w:rPr>
                <w:rtl/>
              </w:rPr>
            </w:pPr>
          </w:p>
          <w:p w14:paraId="7F375BA9" w14:textId="175A6203" w:rsidR="00A8044A" w:rsidRPr="00B344B6" w:rsidRDefault="00A8044A" w:rsidP="00A8044A">
            <w:pPr>
              <w:pStyle w:val="Agendaitem"/>
              <w:spacing w:before="0" w:after="0"/>
              <w:rPr>
                <w:rtl/>
              </w:rPr>
            </w:pPr>
          </w:p>
        </w:tc>
      </w:tr>
    </w:tbl>
    <w:p w14:paraId="4557D2A7" w14:textId="77777777" w:rsidR="003A56A8" w:rsidRDefault="003A56A8"/>
    <w:tbl>
      <w:tblPr>
        <w:bidiVisual/>
        <w:tblW w:w="5000" w:type="pct"/>
        <w:tblLayout w:type="fixed"/>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A8044A" w:rsidRPr="00B344B6" w14:paraId="2DD88193" w14:textId="77777777" w:rsidTr="008077A5">
        <w:tc>
          <w:tcPr>
            <w:tcW w:w="1355" w:type="dxa"/>
            <w:shd w:val="clear" w:color="auto" w:fill="FFFFFF"/>
          </w:tcPr>
          <w:p w14:paraId="6F3F6D25" w14:textId="77777777" w:rsidR="00A8044A" w:rsidRPr="00B344B6" w:rsidRDefault="00A8044A" w:rsidP="00A8044A">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6F4B1103" w14:textId="5D19D15C" w:rsidR="00A8044A" w:rsidRPr="00A8044A" w:rsidRDefault="00A8044A" w:rsidP="00A8044A">
            <w:pPr>
              <w:pStyle w:val="Abstract"/>
              <w:bidi/>
              <w:spacing w:line="192" w:lineRule="auto"/>
              <w:jc w:val="both"/>
              <w:rPr>
                <w:rFonts w:ascii="Dubai" w:eastAsia="SimSun" w:hAnsi="Dubai" w:cs="Dubai"/>
                <w:position w:val="2"/>
                <w:sz w:val="22"/>
                <w:szCs w:val="22"/>
                <w:rtl/>
                <w:lang w:val="fr-FR" w:eastAsia="zh-CN" w:bidi="ar-EG"/>
              </w:rPr>
            </w:pPr>
            <w:r w:rsidRPr="00A8044A">
              <w:rPr>
                <w:rFonts w:ascii="Dubai" w:hAnsi="Dubai" w:cs="Dubai" w:hint="cs"/>
                <w:sz w:val="22"/>
                <w:szCs w:val="22"/>
                <w:rtl/>
                <w:lang w:val="en-GB"/>
              </w:rPr>
              <w:t>تتضمن</w:t>
            </w:r>
            <w:r w:rsidRPr="00A8044A">
              <w:rPr>
                <w:rFonts w:ascii="Dubai" w:hAnsi="Dubai" w:cs="Dubai"/>
                <w:sz w:val="22"/>
                <w:szCs w:val="22"/>
                <w:rtl/>
                <w:lang w:val="en-GB"/>
              </w:rPr>
              <w:t xml:space="preserve"> هذه </w:t>
            </w:r>
            <w:r w:rsidRPr="00A8044A">
              <w:rPr>
                <w:rFonts w:ascii="Dubai" w:hAnsi="Dubai" w:cs="Dubai"/>
                <w:spacing w:val="2"/>
                <w:sz w:val="22"/>
                <w:szCs w:val="22"/>
                <w:rtl/>
                <w:lang w:val="en-GB"/>
              </w:rPr>
              <w:t>الوثيقة</w:t>
            </w:r>
            <w:r w:rsidRPr="00A8044A">
              <w:rPr>
                <w:rFonts w:ascii="Dubai" w:hAnsi="Dubai" w:cs="Dubai"/>
                <w:sz w:val="22"/>
                <w:szCs w:val="22"/>
                <w:rtl/>
                <w:lang w:val="en-GB"/>
              </w:rPr>
              <w:t xml:space="preserve"> </w:t>
            </w:r>
            <w:r w:rsidRPr="00A8044A">
              <w:rPr>
                <w:rFonts w:ascii="Dubai" w:hAnsi="Dubai" w:cs="Dubai" w:hint="cs"/>
                <w:sz w:val="22"/>
                <w:szCs w:val="22"/>
                <w:rtl/>
                <w:lang w:val="en-GB"/>
              </w:rPr>
              <w:t>مقترح</w:t>
            </w:r>
            <w:r w:rsidRPr="00A8044A">
              <w:rPr>
                <w:rFonts w:ascii="Dubai" w:hAnsi="Dubai" w:cs="Dubai"/>
                <w:sz w:val="22"/>
                <w:szCs w:val="22"/>
                <w:rtl/>
                <w:lang w:val="en-GB"/>
              </w:rPr>
              <w:t xml:space="preserve"> بإضافة قرار جديد بعنوان "تعزيز مشاركة خبراء الجيل القادم في أنشطة التقييس </w:t>
            </w:r>
            <w:r w:rsidR="00EE5F37">
              <w:rPr>
                <w:rFonts w:ascii="Dubai" w:hAnsi="Dubai" w:cs="Dubai" w:hint="cs"/>
                <w:sz w:val="22"/>
                <w:szCs w:val="22"/>
                <w:rtl/>
                <w:lang w:val="en-GB"/>
              </w:rPr>
              <w:t>ب</w:t>
            </w:r>
            <w:r w:rsidRPr="00A8044A">
              <w:rPr>
                <w:rFonts w:ascii="Dubai" w:hAnsi="Dubai" w:cs="Dubai"/>
                <w:sz w:val="22"/>
                <w:szCs w:val="22"/>
                <w:rtl/>
                <w:lang w:val="en-GB"/>
              </w:rPr>
              <w:t>قطاع تقييس الاتصالات"، وذلك أساساً لتشجيع المزيد من مشاركة خبراء الجيل القادم في قطاع تقييس الاتصالات.</w:t>
            </w:r>
          </w:p>
        </w:tc>
      </w:tr>
      <w:tr w:rsidR="00A8044A" w:rsidRPr="00B344B6" w14:paraId="5340BBD8" w14:textId="77777777" w:rsidTr="008077A5">
        <w:tc>
          <w:tcPr>
            <w:tcW w:w="1355" w:type="dxa"/>
            <w:shd w:val="clear" w:color="auto" w:fill="FFFFFF"/>
            <w:hideMark/>
          </w:tcPr>
          <w:p w14:paraId="65EFA404" w14:textId="77777777" w:rsidR="00A8044A" w:rsidRPr="00B344B6" w:rsidRDefault="00A8044A" w:rsidP="00A8044A">
            <w:pPr>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35740F76" w14:textId="19B67BF1" w:rsidR="00A8044A" w:rsidRPr="00B344B6" w:rsidRDefault="00A8044A" w:rsidP="00A8044A">
            <w:pPr>
              <w:jc w:val="left"/>
              <w:rPr>
                <w:rFonts w:eastAsia="SimSun"/>
                <w:position w:val="2"/>
                <w:lang w:val="en-GB" w:eastAsia="zh-CN"/>
              </w:rPr>
            </w:pPr>
            <w:r w:rsidRPr="00DC33E2">
              <w:rPr>
                <w:rFonts w:hint="cs"/>
                <w:rtl/>
                <w:lang w:val="en-GB"/>
              </w:rPr>
              <w:t xml:space="preserve">السيد </w:t>
            </w:r>
            <w:r w:rsidRPr="00DC33E2">
              <w:rPr>
                <w:lang w:val="en-GB"/>
              </w:rPr>
              <w:t>Masanori Kondo</w:t>
            </w:r>
            <w:r w:rsidRPr="00DC33E2">
              <w:br/>
            </w:r>
            <w:r w:rsidRPr="00DC33E2">
              <w:rPr>
                <w:rFonts w:hint="cs"/>
                <w:rtl/>
              </w:rPr>
              <w:t>الأمين العام</w:t>
            </w:r>
            <w:r w:rsidRPr="00DC33E2">
              <w:br/>
            </w:r>
            <w:r w:rsidRPr="00DC33E2">
              <w:rPr>
                <w:rtl/>
              </w:rPr>
              <w:t>جماعة آسيا والمحيط الهادئ للاتصالات</w:t>
            </w:r>
          </w:p>
        </w:tc>
        <w:tc>
          <w:tcPr>
            <w:tcW w:w="4250" w:type="dxa"/>
            <w:shd w:val="clear" w:color="auto" w:fill="FFFFFF"/>
          </w:tcPr>
          <w:p w14:paraId="4081EBD2" w14:textId="4B68301D" w:rsidR="00A8044A" w:rsidRPr="00B344B6" w:rsidRDefault="00A8044A" w:rsidP="00A8044A">
            <w:pPr>
              <w:jc w:val="lef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Pr="00287419">
                <w:rPr>
                  <w:rStyle w:val="Hyperlink"/>
                </w:rPr>
                <w:t>aptwtsa@apt.int</w:t>
              </w:r>
            </w:hyperlink>
          </w:p>
        </w:tc>
      </w:tr>
    </w:tbl>
    <w:p w14:paraId="75731E2A" w14:textId="15F731E5" w:rsidR="00314F41" w:rsidRDefault="00B20C25" w:rsidP="00B20C25">
      <w:pPr>
        <w:pStyle w:val="Headingb"/>
        <w:rPr>
          <w:rtl/>
        </w:rPr>
      </w:pPr>
      <w:r>
        <w:rPr>
          <w:rFonts w:hint="cs"/>
          <w:rtl/>
        </w:rPr>
        <w:t>مقدمة</w:t>
      </w:r>
    </w:p>
    <w:p w14:paraId="4F33F054" w14:textId="57714CA5" w:rsidR="000000AF" w:rsidRDefault="000000AF" w:rsidP="000000AF">
      <w:pPr>
        <w:rPr>
          <w:rtl/>
        </w:rPr>
      </w:pPr>
      <w:r>
        <w:rPr>
          <w:rFonts w:hint="cs"/>
          <w:rtl/>
        </w:rPr>
        <w:t>تُقر</w:t>
      </w:r>
      <w:r>
        <w:rPr>
          <w:rtl/>
        </w:rPr>
        <w:t xml:space="preserve"> استراتيجية الشباب المقترحة التي وضعها مكتب تقييس </w:t>
      </w:r>
      <w:r>
        <w:rPr>
          <w:rFonts w:hint="cs"/>
          <w:rtl/>
        </w:rPr>
        <w:t>الاتصالات</w:t>
      </w:r>
      <w:r w:rsidR="00EE5F37">
        <w:rPr>
          <w:rFonts w:hint="cs"/>
          <w:rtl/>
        </w:rPr>
        <w:t xml:space="preserve"> </w:t>
      </w:r>
      <w:r w:rsidR="00EE5F37">
        <w:t>(TSB)</w:t>
      </w:r>
      <w:r>
        <w:rPr>
          <w:rFonts w:hint="cs"/>
          <w:rtl/>
        </w:rPr>
        <w:t xml:space="preserve"> بالدور</w:t>
      </w:r>
      <w:r>
        <w:rPr>
          <w:rtl/>
        </w:rPr>
        <w:t xml:space="preserve"> الرئيسي لمشاركة خبراء الجيل القادم في</w:t>
      </w:r>
      <w:r w:rsidR="00EE5F37">
        <w:rPr>
          <w:rFonts w:hint="cs"/>
          <w:rtl/>
        </w:rPr>
        <w:t> </w:t>
      </w:r>
      <w:r>
        <w:rPr>
          <w:rFonts w:hint="cs"/>
          <w:rtl/>
        </w:rPr>
        <w:t>صياغة</w:t>
      </w:r>
      <w:r>
        <w:rPr>
          <w:rtl/>
        </w:rPr>
        <w:t xml:space="preserve"> معايير الاتصالات/تكنولوجيا المعلومات والاتصالات.</w:t>
      </w:r>
    </w:p>
    <w:p w14:paraId="1697B8B6" w14:textId="30962DD5" w:rsidR="000000AF" w:rsidRDefault="000000AF" w:rsidP="000000AF">
      <w:pPr>
        <w:rPr>
          <w:rtl/>
        </w:rPr>
      </w:pPr>
      <w:r>
        <w:rPr>
          <w:rtl/>
        </w:rPr>
        <w:t xml:space="preserve">وفي الوقت الحالي، ينبغي مواصلة تطوير البرامج الحالية لقطاع تقييس الاتصالات، مثل سد الفجوة التقييسية وجلسات الوافدين الجدد، والترويج لها على نطاق واسع لإفادة الجيل القادم من الخبراء الذين ليسوا على دراية بتقييس قطاع تقييس الاتصالات. </w:t>
      </w:r>
      <w:r w:rsidR="00C17699">
        <w:rPr>
          <w:rFonts w:hint="cs"/>
          <w:rtl/>
          <w:lang w:val="fr-CA" w:bidi="ar-EG"/>
        </w:rPr>
        <w:t>و</w:t>
      </w:r>
      <w:r>
        <w:rPr>
          <w:rtl/>
        </w:rPr>
        <w:t>علاوة</w:t>
      </w:r>
      <w:r w:rsidR="00EE5F37">
        <w:rPr>
          <w:rFonts w:hint="cs"/>
          <w:rtl/>
        </w:rPr>
        <w:t>ً</w:t>
      </w:r>
      <w:r>
        <w:rPr>
          <w:rtl/>
        </w:rPr>
        <w:t xml:space="preserve"> على ذلك، ينبغي لقطاع تقييس الاتصالات تعزيز دوره في</w:t>
      </w:r>
      <w:r w:rsidR="00C17699">
        <w:rPr>
          <w:rFonts w:hint="cs"/>
          <w:rtl/>
        </w:rPr>
        <w:t xml:space="preserve"> مجال</w:t>
      </w:r>
      <w:r>
        <w:rPr>
          <w:rtl/>
        </w:rPr>
        <w:t xml:space="preserve"> التقييس </w:t>
      </w:r>
      <w:r w:rsidR="002D76AC">
        <w:rPr>
          <w:rFonts w:hint="cs"/>
          <w:rtl/>
        </w:rPr>
        <w:t>في صفوف</w:t>
      </w:r>
      <w:r>
        <w:rPr>
          <w:rtl/>
        </w:rPr>
        <w:t xml:space="preserve"> خبراء الجيل القادم، وأنه من الضروري توسيع أنشطة مشاركة الشباب في قطاع تقييس الاتصالات بما يتجاوز نطاقها الحالي.</w:t>
      </w:r>
    </w:p>
    <w:p w14:paraId="3DDFA706" w14:textId="092CE0BE" w:rsidR="00B20C25" w:rsidRPr="00210C93" w:rsidRDefault="00C17699" w:rsidP="000000AF">
      <w:pPr>
        <w:rPr>
          <w:rtl/>
          <w:lang w:bidi="ar-EG"/>
        </w:rPr>
      </w:pPr>
      <w:r>
        <w:rPr>
          <w:rFonts w:hint="cs"/>
          <w:rtl/>
        </w:rPr>
        <w:t>وعليه</w:t>
      </w:r>
      <w:r w:rsidR="000000AF">
        <w:rPr>
          <w:rtl/>
        </w:rPr>
        <w:t>، يركز مقترح القرار الجديد هذا بشكل أساسي على كيفية تعزيز مشاركة خبراء الجيل القادم في قطاع تقييس الاتصالات، لا</w:t>
      </w:r>
      <w:r w:rsidR="00A8044A">
        <w:rPr>
          <w:rFonts w:hint="cs"/>
          <w:rtl/>
        </w:rPr>
        <w:t> </w:t>
      </w:r>
      <w:r w:rsidR="000000AF">
        <w:rPr>
          <w:rtl/>
        </w:rPr>
        <w:t>سيما في أنشطة التقييس</w:t>
      </w:r>
      <w:r w:rsidR="00210C93">
        <w:t>.</w:t>
      </w:r>
    </w:p>
    <w:p w14:paraId="0F2D3A94" w14:textId="68F85C94" w:rsidR="00B20C25" w:rsidRPr="00B344B6" w:rsidRDefault="00B20C25" w:rsidP="00B20C25">
      <w:pPr>
        <w:pStyle w:val="Headingb"/>
      </w:pPr>
      <w:r>
        <w:rPr>
          <w:rFonts w:hint="cs"/>
          <w:rtl/>
        </w:rPr>
        <w:t>المقترح</w:t>
      </w:r>
    </w:p>
    <w:p w14:paraId="5C592326" w14:textId="252CF703" w:rsidR="002F3E46" w:rsidRPr="00B344B6" w:rsidRDefault="00C17699" w:rsidP="00523D37">
      <w:pPr>
        <w:rPr>
          <w:lang w:bidi="ar-EG"/>
        </w:rPr>
      </w:pPr>
      <w:r w:rsidRPr="00C17699">
        <w:rPr>
          <w:rtl/>
          <w:lang w:bidi="ar-EG"/>
        </w:rPr>
        <w:t xml:space="preserve">استناداً إلى الخلفية المذكورة أعلاه، تقترح إدارات أعضاء جماعة آسيا والمحيط الهادئ </w:t>
      </w:r>
      <w:r w:rsidRPr="00C17699">
        <w:rPr>
          <w:rFonts w:hint="cs"/>
          <w:rtl/>
          <w:lang w:bidi="ar-EG"/>
        </w:rPr>
        <w:t>للاتصالات قراراً</w:t>
      </w:r>
      <w:r w:rsidRPr="00C17699">
        <w:rPr>
          <w:rtl/>
          <w:lang w:bidi="ar-EG"/>
        </w:rPr>
        <w:t xml:space="preserve"> جديداً بشأن تعزيز مشاركة خبراء الجيل القادم في أنشطة التقييس الخاصة بقطاع تقييس الاتصالات</w:t>
      </w:r>
      <w:r>
        <w:rPr>
          <w:rFonts w:hint="cs"/>
          <w:rtl/>
          <w:lang w:bidi="ar-EG"/>
        </w:rPr>
        <w:t>.</w:t>
      </w:r>
    </w:p>
    <w:p w14:paraId="62A6463D" w14:textId="77777777" w:rsidR="0012545F" w:rsidRPr="00B344B6" w:rsidRDefault="0012545F" w:rsidP="00F300E6">
      <w:pPr>
        <w:rPr>
          <w:rtl/>
        </w:rPr>
      </w:pPr>
      <w:r w:rsidRPr="00B344B6">
        <w:rPr>
          <w:rtl/>
        </w:rPr>
        <w:br w:type="page"/>
      </w:r>
    </w:p>
    <w:p w14:paraId="1FE17F68" w14:textId="77777777" w:rsidR="00A11BBA" w:rsidRDefault="00F60B7F">
      <w:pPr>
        <w:pStyle w:val="Proposal"/>
      </w:pPr>
      <w:r>
        <w:lastRenderedPageBreak/>
        <w:t>ADD</w:t>
      </w:r>
      <w:r>
        <w:tab/>
        <w:t>APT/37A39/1</w:t>
      </w:r>
    </w:p>
    <w:p w14:paraId="28E18C2E" w14:textId="7C20745E" w:rsidR="00A11BBA" w:rsidRPr="00EE5F37" w:rsidRDefault="00207E67" w:rsidP="00EE5F37">
      <w:pPr>
        <w:pStyle w:val="ResNo"/>
        <w:rPr>
          <w:rtl/>
        </w:rPr>
      </w:pPr>
      <w:r w:rsidRPr="00EE5F37">
        <w:rPr>
          <w:rFonts w:hint="cs"/>
          <w:rtl/>
        </w:rPr>
        <w:t>مشروع</w:t>
      </w:r>
      <w:r w:rsidR="00741B61" w:rsidRPr="00EE5F37">
        <w:rPr>
          <w:rFonts w:hint="cs"/>
          <w:rtl/>
        </w:rPr>
        <w:t xml:space="preserve"> </w:t>
      </w:r>
      <w:r w:rsidR="00EE5F37">
        <w:rPr>
          <w:rFonts w:hint="cs"/>
          <w:rtl/>
        </w:rPr>
        <w:t>ال</w:t>
      </w:r>
      <w:r w:rsidR="00741B61" w:rsidRPr="00EE5F37">
        <w:rPr>
          <w:rFonts w:hint="cs"/>
          <w:rtl/>
        </w:rPr>
        <w:t xml:space="preserve">قرار </w:t>
      </w:r>
      <w:r w:rsidR="00EE5F37">
        <w:rPr>
          <w:rFonts w:hint="cs"/>
          <w:rtl/>
        </w:rPr>
        <w:t>ال</w:t>
      </w:r>
      <w:r w:rsidR="00741B61" w:rsidRPr="00EE5F37">
        <w:rPr>
          <w:rFonts w:hint="cs"/>
          <w:rtl/>
        </w:rPr>
        <w:t xml:space="preserve">جديد </w:t>
      </w:r>
      <w:r w:rsidR="00F60B7F" w:rsidRPr="00EE5F37">
        <w:t>[APT-NG]</w:t>
      </w:r>
      <w:r w:rsidR="00741B61" w:rsidRPr="00EE5F37">
        <w:rPr>
          <w:rFonts w:hint="cs"/>
          <w:rtl/>
        </w:rPr>
        <w:t xml:space="preserve"> (نيودلهي، </w:t>
      </w:r>
      <w:r w:rsidR="00741B61" w:rsidRPr="00EE5F37">
        <w:t>2024</w:t>
      </w:r>
      <w:r w:rsidR="00741B61" w:rsidRPr="00EE5F37">
        <w:rPr>
          <w:rFonts w:hint="cs"/>
          <w:rtl/>
        </w:rPr>
        <w:t>)</w:t>
      </w:r>
    </w:p>
    <w:p w14:paraId="6FCB7A8E" w14:textId="543C323B" w:rsidR="00A11BBA" w:rsidRPr="00EE5F37" w:rsidRDefault="00C17699" w:rsidP="00EE5F37">
      <w:pPr>
        <w:pStyle w:val="Restitle"/>
        <w:rPr>
          <w:rtl/>
        </w:rPr>
      </w:pPr>
      <w:r w:rsidRPr="00EE5F37">
        <w:rPr>
          <w:rtl/>
        </w:rPr>
        <w:t>تعزيز مشاركة خبراء الجيل القادم في أنشطة التقييس الخاصة بقطاع تقييس الاتصالات</w:t>
      </w:r>
    </w:p>
    <w:p w14:paraId="67C71B6B" w14:textId="28315BC2" w:rsidR="00741B61" w:rsidRPr="00EE5F37" w:rsidRDefault="00BB1FC8" w:rsidP="00EE5F37">
      <w:pPr>
        <w:pStyle w:val="Resref"/>
      </w:pPr>
      <w:r w:rsidRPr="00EE5F37">
        <w:rPr>
          <w:rFonts w:hint="cs"/>
          <w:rtl/>
        </w:rPr>
        <w:t xml:space="preserve">(نيودلهي، </w:t>
      </w:r>
      <w:r w:rsidRPr="00EE5F37">
        <w:t>2024</w:t>
      </w:r>
      <w:r w:rsidRPr="00EE5F37">
        <w:rPr>
          <w:rFonts w:hint="cs"/>
          <w:rtl/>
        </w:rPr>
        <w:t>)</w:t>
      </w:r>
    </w:p>
    <w:p w14:paraId="1D50EB14" w14:textId="44D9CF53" w:rsidR="00B20C25" w:rsidRPr="00EE5F37" w:rsidRDefault="00B20C25" w:rsidP="00EE5F37">
      <w:pPr>
        <w:pStyle w:val="Normalaftertitle"/>
        <w:rPr>
          <w:rtl/>
        </w:rPr>
      </w:pPr>
      <w:r w:rsidRPr="00EE5F37">
        <w:rPr>
          <w:rtl/>
        </w:rPr>
        <w:t>إن الجمعية العالمية لتقييس الاتصالات (نيودلهي، 2024)،</w:t>
      </w:r>
    </w:p>
    <w:p w14:paraId="445717BC" w14:textId="77777777" w:rsidR="00B20C25" w:rsidRPr="00EE5F37" w:rsidRDefault="00B20C25" w:rsidP="00EE5F37">
      <w:pPr>
        <w:pStyle w:val="Call"/>
        <w:rPr>
          <w:rtl/>
        </w:rPr>
      </w:pPr>
      <w:r w:rsidRPr="00EE5F37">
        <w:rPr>
          <w:rtl/>
        </w:rPr>
        <w:t>إذ تذكّر</w:t>
      </w:r>
    </w:p>
    <w:p w14:paraId="5C366D59" w14:textId="636BAD5C" w:rsidR="00B20C25" w:rsidRPr="00EE5F37" w:rsidRDefault="00B20C25" w:rsidP="00EE5F37">
      <w:pPr>
        <w:rPr>
          <w:rtl/>
        </w:rPr>
      </w:pPr>
      <w:r w:rsidRPr="00EE5F37">
        <w:rPr>
          <w:rFonts w:hint="cs"/>
          <w:i/>
          <w:iCs/>
          <w:rtl/>
        </w:rPr>
        <w:t> </w:t>
      </w:r>
      <w:proofErr w:type="gramStart"/>
      <w:r w:rsidRPr="00EE5F37">
        <w:rPr>
          <w:i/>
          <w:iCs/>
          <w:rtl/>
        </w:rPr>
        <w:t>أ</w:t>
      </w:r>
      <w:r w:rsidRPr="00EE5F37">
        <w:rPr>
          <w:rFonts w:hint="cs"/>
          <w:i/>
          <w:iCs/>
          <w:rtl/>
        </w:rPr>
        <w:t> </w:t>
      </w:r>
      <w:r w:rsidRPr="00EE5F37">
        <w:rPr>
          <w:i/>
          <w:iCs/>
          <w:rtl/>
        </w:rPr>
        <w:t>)</w:t>
      </w:r>
      <w:proofErr w:type="gramEnd"/>
      <w:r w:rsidRPr="00EE5F37">
        <w:rPr>
          <w:rtl/>
        </w:rPr>
        <w:tab/>
      </w:r>
      <w:r w:rsidR="00403376" w:rsidRPr="00EE5F37">
        <w:rPr>
          <w:rtl/>
        </w:rPr>
        <w:t>بالرقم 13 في المادة 1 من دستور الاتحاد الذي ينص على أن الاتحاد يسه</w:t>
      </w:r>
      <w:r w:rsidR="00EE5F37">
        <w:rPr>
          <w:rFonts w:hint="cs"/>
          <w:rtl/>
        </w:rPr>
        <w:t>ِّ</w:t>
      </w:r>
      <w:r w:rsidR="00403376" w:rsidRPr="00EE5F37">
        <w:rPr>
          <w:rtl/>
        </w:rPr>
        <w:t>ل تقييس الاتصالات على الصعيد العالمي مع نوعية خدمة مرضية</w:t>
      </w:r>
      <w:r w:rsidR="0091653F" w:rsidRPr="00EE5F37">
        <w:rPr>
          <w:rFonts w:hint="cs"/>
          <w:rtl/>
        </w:rPr>
        <w:t>؛</w:t>
      </w:r>
    </w:p>
    <w:p w14:paraId="2F0DD84F" w14:textId="04C5AEDC" w:rsidR="00B20C25" w:rsidRDefault="00B20C25" w:rsidP="00EE5F37">
      <w:pPr>
        <w:rPr>
          <w:rtl/>
        </w:rPr>
      </w:pPr>
      <w:r w:rsidRPr="004E017D">
        <w:rPr>
          <w:i/>
          <w:iCs/>
          <w:rtl/>
        </w:rPr>
        <w:t>ب)</w:t>
      </w:r>
      <w:r w:rsidRPr="004E017D">
        <w:rPr>
          <w:rtl/>
        </w:rPr>
        <w:tab/>
      </w:r>
      <w:r w:rsidR="00683852" w:rsidRPr="004E017D">
        <w:rPr>
          <w:rFonts w:hint="cs"/>
          <w:rtl/>
        </w:rPr>
        <w:t>بال</w:t>
      </w:r>
      <w:r w:rsidR="0091653F" w:rsidRPr="004E017D">
        <w:rPr>
          <w:rtl/>
        </w:rPr>
        <w:t>قرار 198 (</w:t>
      </w:r>
      <w:r w:rsidR="001F280A" w:rsidRPr="004E017D">
        <w:rPr>
          <w:rtl/>
        </w:rPr>
        <w:t>المراجَع</w:t>
      </w:r>
      <w:r w:rsidR="0091653F" w:rsidRPr="004E017D">
        <w:rPr>
          <w:rtl/>
        </w:rPr>
        <w:t xml:space="preserve"> في بوخارست، 2022) لمؤتمر المندوبين المفوضين، الذي </w:t>
      </w:r>
      <w:r w:rsidR="00683852" w:rsidRPr="004E017D">
        <w:rPr>
          <w:rFonts w:hint="cs"/>
          <w:rtl/>
        </w:rPr>
        <w:t xml:space="preserve">يُقر </w:t>
      </w:r>
      <w:r w:rsidR="00683852" w:rsidRPr="004E017D">
        <w:rPr>
          <w:rtl/>
        </w:rPr>
        <w:t>باستراتيجية الاتحاد بشأن الشباب التي اعتمدها أعضاء الاتحاد خلال الاجتماع الخامس والعشرين للفريق الاستشاري لتنمية الاتصالات (يونيو 2020)، التي تتماشى مع استراتيجية الأمم المتحدة للشباب: شباب 2030 وتشجّع على مشاركة الشباب مشاركةً هادفة في التنمية الرقمية</w:t>
      </w:r>
      <w:r w:rsidR="00683852" w:rsidRPr="004E017D">
        <w:rPr>
          <w:rFonts w:hint="cs"/>
          <w:rtl/>
        </w:rPr>
        <w:t>؛</w:t>
      </w:r>
    </w:p>
    <w:p w14:paraId="41301488" w14:textId="08C07C82" w:rsidR="00B20C25" w:rsidRPr="00EE5F37" w:rsidRDefault="00B20C25" w:rsidP="00EE5F37">
      <w:pPr>
        <w:rPr>
          <w:rtl/>
        </w:rPr>
      </w:pPr>
      <w:r w:rsidRPr="004E017D">
        <w:rPr>
          <w:i/>
          <w:iCs/>
          <w:rtl/>
        </w:rPr>
        <w:t>ج)</w:t>
      </w:r>
      <w:r w:rsidRPr="00EE5F37">
        <w:rPr>
          <w:rtl/>
        </w:rPr>
        <w:tab/>
      </w:r>
      <w:r w:rsidR="00683852" w:rsidRPr="00EE5F37">
        <w:rPr>
          <w:rFonts w:hint="cs"/>
          <w:rtl/>
        </w:rPr>
        <w:t>ب</w:t>
      </w:r>
      <w:r w:rsidR="0091653F" w:rsidRPr="00EE5F37">
        <w:rPr>
          <w:rtl/>
        </w:rPr>
        <w:t>القرار 76 (</w:t>
      </w:r>
      <w:r w:rsidR="001F280A" w:rsidRPr="00EE5F37">
        <w:rPr>
          <w:rtl/>
        </w:rPr>
        <w:t>المراجَع</w:t>
      </w:r>
      <w:r w:rsidR="0091653F" w:rsidRPr="00EE5F37">
        <w:rPr>
          <w:rtl/>
        </w:rPr>
        <w:t xml:space="preserve"> في كيغالي، 2022) للمؤتمر العالمي لتنمية الاتصالات (</w:t>
      </w:r>
      <w:r w:rsidR="0091653F" w:rsidRPr="00EE5F37">
        <w:t>WTDC</w:t>
      </w:r>
      <w:r w:rsidR="0091653F" w:rsidRPr="00EE5F37">
        <w:rPr>
          <w:rtl/>
        </w:rPr>
        <w:t xml:space="preserve">)، </w:t>
      </w:r>
      <w:r w:rsidR="00683852" w:rsidRPr="00EE5F37">
        <w:rPr>
          <w:rtl/>
        </w:rPr>
        <w:t xml:space="preserve">الذي </w:t>
      </w:r>
      <w:r w:rsidR="00683852" w:rsidRPr="00EE5F37">
        <w:rPr>
          <w:rFonts w:hint="cs"/>
          <w:rtl/>
        </w:rPr>
        <w:t>يُقر ب</w:t>
      </w:r>
      <w:r w:rsidR="00683852" w:rsidRPr="00EE5F37">
        <w:rPr>
          <w:rtl/>
        </w:rPr>
        <w:t>تعزيز استخدام تكنولوجيا المعلومات والاتصالات بين الشباب من الجنسين من أجل تمكينهم اجتماعياً واقتصادياً</w:t>
      </w:r>
      <w:r w:rsidR="00683852" w:rsidRPr="00EE5F37">
        <w:rPr>
          <w:rFonts w:hint="cs"/>
          <w:rtl/>
        </w:rPr>
        <w:t>؛</w:t>
      </w:r>
    </w:p>
    <w:p w14:paraId="6C908A55" w14:textId="56374E13" w:rsidR="00B20C25" w:rsidRPr="00EE5F37" w:rsidRDefault="00B20C25" w:rsidP="00EE5F37">
      <w:pPr>
        <w:rPr>
          <w:rtl/>
        </w:rPr>
      </w:pPr>
      <w:proofErr w:type="gramStart"/>
      <w:r w:rsidRPr="00D81B35">
        <w:rPr>
          <w:i/>
          <w:iCs/>
          <w:rtl/>
        </w:rPr>
        <w:t>د</w:t>
      </w:r>
      <w:r w:rsidRPr="00D81B35">
        <w:rPr>
          <w:rFonts w:hint="cs"/>
          <w:i/>
          <w:iCs/>
          <w:rtl/>
        </w:rPr>
        <w:t> </w:t>
      </w:r>
      <w:r w:rsidRPr="00D81B35">
        <w:rPr>
          <w:i/>
          <w:iCs/>
          <w:rtl/>
        </w:rPr>
        <w:t>)</w:t>
      </w:r>
      <w:proofErr w:type="gramEnd"/>
      <w:r w:rsidRPr="00EE5F37">
        <w:rPr>
          <w:rtl/>
        </w:rPr>
        <w:tab/>
      </w:r>
      <w:r w:rsidR="00683852" w:rsidRPr="00EE5F37">
        <w:rPr>
          <w:rFonts w:hint="cs"/>
          <w:rtl/>
        </w:rPr>
        <w:t>ب</w:t>
      </w:r>
      <w:r w:rsidR="0091653F" w:rsidRPr="00EE5F37">
        <w:rPr>
          <w:rtl/>
        </w:rPr>
        <w:t>القرار 123 (</w:t>
      </w:r>
      <w:r w:rsidR="001F280A" w:rsidRPr="00EE5F37">
        <w:rPr>
          <w:rtl/>
        </w:rPr>
        <w:t>المراجَع</w:t>
      </w:r>
      <w:r w:rsidR="0091653F" w:rsidRPr="00EE5F37">
        <w:rPr>
          <w:rtl/>
        </w:rPr>
        <w:t xml:space="preserve"> في بوخارست، 2022) لمؤتمر المندوبين المفوضين، والقرار 44 (</w:t>
      </w:r>
      <w:r w:rsidR="001F280A" w:rsidRPr="00EE5F37">
        <w:rPr>
          <w:rtl/>
        </w:rPr>
        <w:t>المراجَع</w:t>
      </w:r>
      <w:r w:rsidR="0091653F" w:rsidRPr="00EE5F37">
        <w:rPr>
          <w:rtl/>
        </w:rPr>
        <w:t xml:space="preserve"> في جنيف، 2022) لهذه الجمعية، الذي </w:t>
      </w:r>
      <w:r w:rsidR="00683852" w:rsidRPr="00EE5F37">
        <w:rPr>
          <w:rFonts w:hint="cs"/>
          <w:rtl/>
        </w:rPr>
        <w:t xml:space="preserve">يُقر </w:t>
      </w:r>
      <w:r w:rsidR="0091653F" w:rsidRPr="00EE5F37">
        <w:rPr>
          <w:rtl/>
        </w:rPr>
        <w:t xml:space="preserve">بأن سد الفجوة </w:t>
      </w:r>
      <w:proofErr w:type="spellStart"/>
      <w:r w:rsidR="0091653F" w:rsidRPr="00EE5F37">
        <w:rPr>
          <w:rtl/>
        </w:rPr>
        <w:t>التقييسية</w:t>
      </w:r>
      <w:proofErr w:type="spellEnd"/>
      <w:r w:rsidR="0091653F" w:rsidRPr="00EE5F37">
        <w:rPr>
          <w:rtl/>
        </w:rPr>
        <w:t xml:space="preserve"> هو عمل </w:t>
      </w:r>
      <w:r w:rsidR="00683852" w:rsidRPr="00EE5F37">
        <w:rPr>
          <w:rFonts w:hint="cs"/>
          <w:rtl/>
        </w:rPr>
        <w:t>متواصل</w:t>
      </w:r>
      <w:r w:rsidR="003A7F3F" w:rsidRPr="00EE5F37">
        <w:rPr>
          <w:rFonts w:hint="cs"/>
          <w:rtl/>
        </w:rPr>
        <w:t>؛</w:t>
      </w:r>
    </w:p>
    <w:p w14:paraId="0017D26C" w14:textId="6B5FEA42" w:rsidR="00B20C25" w:rsidRPr="00EE5F37" w:rsidRDefault="00B20C25" w:rsidP="00EE5F37">
      <w:pPr>
        <w:rPr>
          <w:rtl/>
        </w:rPr>
      </w:pPr>
      <w:proofErr w:type="gramStart"/>
      <w:r w:rsidRPr="00D81B35">
        <w:rPr>
          <w:rFonts w:hint="cs"/>
          <w:i/>
          <w:iCs/>
          <w:rtl/>
        </w:rPr>
        <w:t>ﻫ </w:t>
      </w:r>
      <w:r w:rsidRPr="00D81B35">
        <w:rPr>
          <w:i/>
          <w:iCs/>
          <w:rtl/>
        </w:rPr>
        <w:t>)</w:t>
      </w:r>
      <w:proofErr w:type="gramEnd"/>
      <w:r w:rsidRPr="00EE5F37">
        <w:rPr>
          <w:rtl/>
        </w:rPr>
        <w:tab/>
      </w:r>
      <w:r w:rsidR="00683852" w:rsidRPr="00EE5F37">
        <w:rPr>
          <w:rFonts w:hint="cs"/>
          <w:rtl/>
        </w:rPr>
        <w:t>ب</w:t>
      </w:r>
      <w:r w:rsidR="0091653F" w:rsidRPr="00EE5F37">
        <w:rPr>
          <w:rtl/>
        </w:rPr>
        <w:t>القرار 34 (</w:t>
      </w:r>
      <w:r w:rsidR="001F280A" w:rsidRPr="00EE5F37">
        <w:rPr>
          <w:rtl/>
        </w:rPr>
        <w:t>المراجَع</w:t>
      </w:r>
      <w:r w:rsidR="0091653F" w:rsidRPr="00EE5F37">
        <w:rPr>
          <w:rtl/>
        </w:rPr>
        <w:t xml:space="preserve"> في جنيف، 2022) لهذه الجمعية، الذي </w:t>
      </w:r>
      <w:r w:rsidR="00EB6A42" w:rsidRPr="00EE5F37">
        <w:rPr>
          <w:rtl/>
        </w:rPr>
        <w:t xml:space="preserve">يقر </w:t>
      </w:r>
      <w:r w:rsidR="0091653F" w:rsidRPr="00EE5F37">
        <w:rPr>
          <w:rtl/>
        </w:rPr>
        <w:t xml:space="preserve">بأن المساهمات الطوعية </w:t>
      </w:r>
      <w:r w:rsidR="00EB6A42" w:rsidRPr="00EE5F37">
        <w:rPr>
          <w:rFonts w:hint="cs"/>
          <w:rtl/>
        </w:rPr>
        <w:t>تشكل</w:t>
      </w:r>
      <w:r w:rsidR="0091653F" w:rsidRPr="00EE5F37">
        <w:rPr>
          <w:rtl/>
        </w:rPr>
        <w:t xml:space="preserve"> أدوات فع</w:t>
      </w:r>
      <w:r w:rsidR="00D81B35">
        <w:rPr>
          <w:rFonts w:hint="cs"/>
          <w:rtl/>
        </w:rPr>
        <w:t>ّ</w:t>
      </w:r>
      <w:r w:rsidR="0091653F" w:rsidRPr="00EE5F37">
        <w:rPr>
          <w:rtl/>
        </w:rPr>
        <w:t>الة لتمويل الأنشطة الإضافية للقطاع</w:t>
      </w:r>
      <w:r w:rsidR="00EB6A42" w:rsidRPr="00EE5F37">
        <w:rPr>
          <w:rFonts w:hint="cs"/>
          <w:rtl/>
        </w:rPr>
        <w:t>،</w:t>
      </w:r>
    </w:p>
    <w:p w14:paraId="3413FF9E" w14:textId="77777777" w:rsidR="00B20C25" w:rsidRPr="00EE5F37" w:rsidRDefault="00B20C25" w:rsidP="00EE5F37">
      <w:pPr>
        <w:pStyle w:val="Call"/>
        <w:rPr>
          <w:rtl/>
        </w:rPr>
      </w:pPr>
      <w:r w:rsidRPr="00EE5F37">
        <w:rPr>
          <w:rFonts w:hint="eastAsia"/>
          <w:rtl/>
        </w:rPr>
        <w:t>وإذ</w:t>
      </w:r>
      <w:r w:rsidRPr="00EE5F37">
        <w:rPr>
          <w:rtl/>
        </w:rPr>
        <w:t xml:space="preserve"> تدرك</w:t>
      </w:r>
    </w:p>
    <w:p w14:paraId="7E42254A" w14:textId="0BF1489A" w:rsidR="00B20C25" w:rsidRPr="00EE5F37" w:rsidRDefault="005F5832" w:rsidP="00EE5F37">
      <w:r w:rsidRPr="00D81B35">
        <w:rPr>
          <w:rFonts w:hint="cs"/>
          <w:i/>
          <w:iCs/>
          <w:rtl/>
        </w:rPr>
        <w:t> </w:t>
      </w:r>
      <w:proofErr w:type="gramStart"/>
      <w:r w:rsidR="00B20C25" w:rsidRPr="00D81B35">
        <w:rPr>
          <w:i/>
          <w:iCs/>
          <w:rtl/>
        </w:rPr>
        <w:t>أ</w:t>
      </w:r>
      <w:r w:rsidRPr="00D81B35">
        <w:rPr>
          <w:rFonts w:hint="cs"/>
          <w:i/>
          <w:iCs/>
          <w:rtl/>
        </w:rPr>
        <w:t> </w:t>
      </w:r>
      <w:r w:rsidR="00B20C25" w:rsidRPr="00D81B35">
        <w:rPr>
          <w:i/>
          <w:iCs/>
          <w:rtl/>
        </w:rPr>
        <w:t>)</w:t>
      </w:r>
      <w:proofErr w:type="gramEnd"/>
      <w:r w:rsidR="00B20C25" w:rsidRPr="00EE5F37">
        <w:rPr>
          <w:rtl/>
        </w:rPr>
        <w:tab/>
      </w:r>
      <w:r w:rsidR="00EB6A42" w:rsidRPr="00EE5F37">
        <w:rPr>
          <w:rtl/>
        </w:rPr>
        <w:t xml:space="preserve">أن خبراء الجيل القادم لا يشملون فقط المهنيين الشباب الراغبين في المشاركة في </w:t>
      </w:r>
      <w:r w:rsidR="0089074E" w:rsidRPr="00EE5F37">
        <w:rPr>
          <w:rFonts w:hint="cs"/>
          <w:rtl/>
        </w:rPr>
        <w:t xml:space="preserve">مجال </w:t>
      </w:r>
      <w:r w:rsidR="00EB6A42" w:rsidRPr="00EE5F37">
        <w:rPr>
          <w:rtl/>
        </w:rPr>
        <w:t xml:space="preserve">التقييس، </w:t>
      </w:r>
      <w:r w:rsidR="0089074E" w:rsidRPr="00EE5F37">
        <w:rPr>
          <w:rFonts w:hint="cs"/>
          <w:rtl/>
        </w:rPr>
        <w:t>وإنما</w:t>
      </w:r>
      <w:r w:rsidR="00EB6A42" w:rsidRPr="00EE5F37">
        <w:rPr>
          <w:rtl/>
        </w:rPr>
        <w:t xml:space="preserve"> يشملون أيضا</w:t>
      </w:r>
      <w:r w:rsidR="00D81B35">
        <w:rPr>
          <w:rFonts w:hint="cs"/>
          <w:rtl/>
        </w:rPr>
        <w:t>ً</w:t>
      </w:r>
      <w:r w:rsidR="00EB6A42" w:rsidRPr="00EE5F37">
        <w:rPr>
          <w:rtl/>
        </w:rPr>
        <w:t xml:space="preserve"> المهنيين ذوي الخبرة الذين لديهم اهتمام ب</w:t>
      </w:r>
      <w:r w:rsidR="0089074E" w:rsidRPr="00EE5F37">
        <w:rPr>
          <w:rFonts w:hint="cs"/>
          <w:rtl/>
        </w:rPr>
        <w:t>مجال التقييس؛</w:t>
      </w:r>
    </w:p>
    <w:p w14:paraId="4A9D805E" w14:textId="422F5622" w:rsidR="00B20C25" w:rsidRPr="00EE5F37" w:rsidRDefault="00B20C25" w:rsidP="00EE5F37">
      <w:pPr>
        <w:rPr>
          <w:rtl/>
        </w:rPr>
      </w:pPr>
      <w:r w:rsidRPr="00D81B35">
        <w:rPr>
          <w:rFonts w:hint="eastAsia"/>
          <w:i/>
          <w:iCs/>
          <w:rtl/>
        </w:rPr>
        <w:t>ب</w:t>
      </w:r>
      <w:r w:rsidRPr="00D81B35">
        <w:rPr>
          <w:i/>
          <w:iCs/>
          <w:rtl/>
        </w:rPr>
        <w:t>)</w:t>
      </w:r>
      <w:r w:rsidRPr="00EE5F37">
        <w:rPr>
          <w:rtl/>
        </w:rPr>
        <w:tab/>
      </w:r>
      <w:r w:rsidR="00EB6A42" w:rsidRPr="00EE5F37">
        <w:rPr>
          <w:rtl/>
        </w:rPr>
        <w:t>أن خبراء الجيل القادم هم مواطنون رقميون، ويمكن أن يكونوا من المروجين القي</w:t>
      </w:r>
      <w:r w:rsidR="0089074E" w:rsidRPr="00EE5F37">
        <w:rPr>
          <w:rFonts w:hint="cs"/>
          <w:rtl/>
        </w:rPr>
        <w:t>ّ</w:t>
      </w:r>
      <w:r w:rsidR="00EB6A42" w:rsidRPr="00EE5F37">
        <w:rPr>
          <w:rtl/>
        </w:rPr>
        <w:t>مين للاتصالات/تكنولوجيا المعلومات والاتصالات وقوة عالمية لتحقيق التقدم</w:t>
      </w:r>
      <w:r w:rsidR="0089074E" w:rsidRPr="00EE5F37">
        <w:rPr>
          <w:rFonts w:hint="cs"/>
          <w:rtl/>
        </w:rPr>
        <w:t>؛</w:t>
      </w:r>
    </w:p>
    <w:p w14:paraId="175272FD" w14:textId="2EB1FBA8" w:rsidR="00B20C25" w:rsidRPr="00F300E6" w:rsidRDefault="00B20C25" w:rsidP="00EE5F37">
      <w:pPr>
        <w:rPr>
          <w:spacing w:val="-2"/>
          <w:rtl/>
        </w:rPr>
      </w:pPr>
      <w:r w:rsidRPr="00F300E6">
        <w:rPr>
          <w:rFonts w:hint="eastAsia"/>
          <w:i/>
          <w:iCs/>
          <w:spacing w:val="-2"/>
          <w:rtl/>
        </w:rPr>
        <w:t>ج</w:t>
      </w:r>
      <w:r w:rsidRPr="00F300E6">
        <w:rPr>
          <w:i/>
          <w:iCs/>
          <w:spacing w:val="-2"/>
          <w:rtl/>
        </w:rPr>
        <w:t>)</w:t>
      </w:r>
      <w:r w:rsidRPr="00F300E6">
        <w:rPr>
          <w:spacing w:val="-2"/>
          <w:rtl/>
        </w:rPr>
        <w:tab/>
      </w:r>
      <w:r w:rsidR="00EB6A42" w:rsidRPr="00F300E6">
        <w:rPr>
          <w:spacing w:val="-2"/>
          <w:rtl/>
        </w:rPr>
        <w:t>أن استراتيجية الشباب المقترحة التي وضعها مكتب تقييس الاتصالات (</w:t>
      </w:r>
      <w:r w:rsidR="00EB6A42" w:rsidRPr="00F300E6">
        <w:rPr>
          <w:spacing w:val="-2"/>
        </w:rPr>
        <w:t>TSB</w:t>
      </w:r>
      <w:r w:rsidR="00EB6A42" w:rsidRPr="00F300E6">
        <w:rPr>
          <w:spacing w:val="-2"/>
          <w:rtl/>
        </w:rPr>
        <w:t>) ينبغي أن تتماشى مع القرار 198</w:t>
      </w:r>
      <w:r w:rsidR="000D0971">
        <w:rPr>
          <w:rFonts w:hint="cs"/>
          <w:spacing w:val="-2"/>
          <w:rtl/>
        </w:rPr>
        <w:t xml:space="preserve"> </w:t>
      </w:r>
      <w:r w:rsidR="00EB6A42" w:rsidRPr="00F300E6">
        <w:rPr>
          <w:spacing w:val="-2"/>
          <w:rtl/>
        </w:rPr>
        <w:t>(</w:t>
      </w:r>
      <w:r w:rsidR="001F280A" w:rsidRPr="00F300E6">
        <w:rPr>
          <w:spacing w:val="-2"/>
          <w:rtl/>
        </w:rPr>
        <w:t>المراجَع</w:t>
      </w:r>
      <w:r w:rsidR="00EB6A42" w:rsidRPr="00F300E6">
        <w:rPr>
          <w:spacing w:val="-2"/>
          <w:rtl/>
        </w:rPr>
        <w:t xml:space="preserve"> في بوخارست، 2022) لمؤتمر المندوبين المفوضين واستراتيجية الشباب في الاتحاد، وأن </w:t>
      </w:r>
      <w:r w:rsidR="0089074E" w:rsidRPr="00F300E6">
        <w:rPr>
          <w:rFonts w:hint="cs"/>
          <w:spacing w:val="-2"/>
          <w:rtl/>
        </w:rPr>
        <w:t>تقر</w:t>
      </w:r>
      <w:r w:rsidR="00EB6A42" w:rsidRPr="00F300E6">
        <w:rPr>
          <w:spacing w:val="-2"/>
          <w:rtl/>
        </w:rPr>
        <w:t xml:space="preserve"> بالدور الرئيسي لمشاركة خبراء الجيل القادم في صياغة معايير الاتصالات/تكنولوجيا المعلومات والاتصالات</w:t>
      </w:r>
      <w:r w:rsidR="0089074E" w:rsidRPr="00F300E6">
        <w:rPr>
          <w:rFonts w:hint="cs"/>
          <w:spacing w:val="-2"/>
          <w:rtl/>
        </w:rPr>
        <w:t>؛</w:t>
      </w:r>
    </w:p>
    <w:p w14:paraId="51120969" w14:textId="0309E6EF" w:rsidR="00B20C25" w:rsidRPr="00EE5F37" w:rsidRDefault="00B20C25" w:rsidP="00EE5F37">
      <w:pPr>
        <w:rPr>
          <w:rtl/>
        </w:rPr>
      </w:pPr>
      <w:proofErr w:type="gramStart"/>
      <w:r w:rsidRPr="00D81B35">
        <w:rPr>
          <w:rFonts w:hint="eastAsia"/>
          <w:i/>
          <w:iCs/>
          <w:rtl/>
        </w:rPr>
        <w:t>د</w:t>
      </w:r>
      <w:r w:rsidR="005F5832" w:rsidRPr="00D81B35">
        <w:rPr>
          <w:rFonts w:hint="cs"/>
          <w:i/>
          <w:iCs/>
          <w:rtl/>
        </w:rPr>
        <w:t> </w:t>
      </w:r>
      <w:r w:rsidRPr="00D81B35">
        <w:rPr>
          <w:i/>
          <w:iCs/>
          <w:rtl/>
        </w:rPr>
        <w:t>)</w:t>
      </w:r>
      <w:proofErr w:type="gramEnd"/>
      <w:r w:rsidRPr="00EE5F37">
        <w:rPr>
          <w:rtl/>
        </w:rPr>
        <w:tab/>
      </w:r>
      <w:r w:rsidR="00EB6A42" w:rsidRPr="00EE5F37">
        <w:rPr>
          <w:rtl/>
        </w:rPr>
        <w:t xml:space="preserve">أن الفجوة </w:t>
      </w:r>
      <w:proofErr w:type="spellStart"/>
      <w:r w:rsidR="00EB6A42" w:rsidRPr="00EE5F37">
        <w:rPr>
          <w:rtl/>
        </w:rPr>
        <w:t>التقييسية</w:t>
      </w:r>
      <w:proofErr w:type="spellEnd"/>
      <w:r w:rsidR="00EB6A42" w:rsidRPr="00EE5F37">
        <w:rPr>
          <w:rtl/>
        </w:rPr>
        <w:t xml:space="preserve"> </w:t>
      </w:r>
      <w:r w:rsidR="0089074E" w:rsidRPr="00EE5F37">
        <w:rPr>
          <w:rFonts w:hint="cs"/>
          <w:rtl/>
        </w:rPr>
        <w:t>ليست موجودة</w:t>
      </w:r>
      <w:r w:rsidR="00EB6A42" w:rsidRPr="00EE5F37">
        <w:rPr>
          <w:rtl/>
        </w:rPr>
        <w:t xml:space="preserve"> </w:t>
      </w:r>
      <w:r w:rsidR="0089074E" w:rsidRPr="00EE5F37">
        <w:rPr>
          <w:rFonts w:hint="cs"/>
          <w:rtl/>
        </w:rPr>
        <w:t>بين</w:t>
      </w:r>
      <w:r w:rsidR="00EB6A42" w:rsidRPr="00EE5F37">
        <w:rPr>
          <w:rtl/>
        </w:rPr>
        <w:t xml:space="preserve"> البلدان النامية والبلدان المتقدمة فحسب، </w:t>
      </w:r>
      <w:r w:rsidR="0089074E" w:rsidRPr="00EE5F37">
        <w:rPr>
          <w:rFonts w:hint="cs"/>
          <w:rtl/>
        </w:rPr>
        <w:t>وإنما</w:t>
      </w:r>
      <w:r w:rsidR="00EB6A42" w:rsidRPr="00EE5F37">
        <w:rPr>
          <w:rtl/>
        </w:rPr>
        <w:t xml:space="preserve"> أيضاً بين الأجيال</w:t>
      </w:r>
      <w:r w:rsidR="0089074E" w:rsidRPr="00EE5F37">
        <w:rPr>
          <w:rFonts w:hint="cs"/>
          <w:rtl/>
        </w:rPr>
        <w:t>؛</w:t>
      </w:r>
    </w:p>
    <w:p w14:paraId="3BFFCF25" w14:textId="7C0358B6" w:rsidR="00B20C25" w:rsidRPr="00EE5F37" w:rsidRDefault="00B20C25" w:rsidP="00EE5F37">
      <w:pPr>
        <w:rPr>
          <w:rtl/>
        </w:rPr>
      </w:pPr>
      <w:proofErr w:type="gramStart"/>
      <w:r w:rsidRPr="00D81B35">
        <w:rPr>
          <w:rFonts w:hint="cs"/>
          <w:i/>
          <w:iCs/>
          <w:rtl/>
        </w:rPr>
        <w:t>ﻫ</w:t>
      </w:r>
      <w:r w:rsidR="005F5832" w:rsidRPr="00D81B35">
        <w:rPr>
          <w:rFonts w:hint="cs"/>
          <w:i/>
          <w:iCs/>
          <w:rtl/>
        </w:rPr>
        <w:t> </w:t>
      </w:r>
      <w:r w:rsidRPr="00D81B35">
        <w:rPr>
          <w:i/>
          <w:iCs/>
          <w:rtl/>
        </w:rPr>
        <w:t>)</w:t>
      </w:r>
      <w:proofErr w:type="gramEnd"/>
      <w:r w:rsidRPr="00EE5F37">
        <w:rPr>
          <w:rtl/>
        </w:rPr>
        <w:tab/>
      </w:r>
      <w:r w:rsidR="00EB6A42" w:rsidRPr="00EE5F37">
        <w:rPr>
          <w:rtl/>
        </w:rPr>
        <w:t>أهمية دعم الشباب من البلدان النامية للمشاركة بنشاط في أنشطة قطاع تقييس الاتصالات</w:t>
      </w:r>
      <w:r w:rsidR="0089074E" w:rsidRPr="00EE5F37">
        <w:rPr>
          <w:rFonts w:hint="cs"/>
          <w:rtl/>
        </w:rPr>
        <w:t>؛</w:t>
      </w:r>
    </w:p>
    <w:p w14:paraId="5FBA9BA7" w14:textId="422EF9B0" w:rsidR="00B20C25" w:rsidRPr="00EE5F37" w:rsidRDefault="00B20C25" w:rsidP="00EE5F37">
      <w:pPr>
        <w:rPr>
          <w:rtl/>
        </w:rPr>
      </w:pPr>
      <w:proofErr w:type="gramStart"/>
      <w:r w:rsidRPr="00D81B35">
        <w:rPr>
          <w:rFonts w:hint="eastAsia"/>
          <w:i/>
          <w:iCs/>
          <w:rtl/>
        </w:rPr>
        <w:t>و</w:t>
      </w:r>
      <w:r w:rsidR="005F5832" w:rsidRPr="00D81B35">
        <w:rPr>
          <w:rFonts w:hint="cs"/>
          <w:i/>
          <w:iCs/>
          <w:rtl/>
        </w:rPr>
        <w:t> </w:t>
      </w:r>
      <w:r w:rsidRPr="00D81B35">
        <w:rPr>
          <w:i/>
          <w:iCs/>
          <w:rtl/>
        </w:rPr>
        <w:t>)</w:t>
      </w:r>
      <w:proofErr w:type="gramEnd"/>
      <w:r w:rsidRPr="00EE5F37">
        <w:rPr>
          <w:rtl/>
        </w:rPr>
        <w:tab/>
      </w:r>
      <w:r w:rsidR="00EB6A42" w:rsidRPr="00EE5F37">
        <w:rPr>
          <w:rtl/>
        </w:rPr>
        <w:t>أن</w:t>
      </w:r>
      <w:r w:rsidR="0089074E" w:rsidRPr="00EE5F37">
        <w:rPr>
          <w:rFonts w:hint="cs"/>
          <w:rtl/>
        </w:rPr>
        <w:t xml:space="preserve"> التقييس</w:t>
      </w:r>
      <w:r w:rsidR="00EB6A42" w:rsidRPr="00EE5F37">
        <w:rPr>
          <w:rtl/>
        </w:rPr>
        <w:t xml:space="preserve"> قد لا</w:t>
      </w:r>
      <w:r w:rsidR="00D81B35">
        <w:rPr>
          <w:rFonts w:hint="cs"/>
          <w:rtl/>
        </w:rPr>
        <w:t> </w:t>
      </w:r>
      <w:r w:rsidR="00EB6A42" w:rsidRPr="00EE5F37">
        <w:rPr>
          <w:rtl/>
        </w:rPr>
        <w:t>يشكل أولوية مهنية،</w:t>
      </w:r>
      <w:r w:rsidR="00EB3D22" w:rsidRPr="00EE5F37">
        <w:rPr>
          <w:rtl/>
        </w:rPr>
        <w:t xml:space="preserve"> مقارنة </w:t>
      </w:r>
      <w:r w:rsidR="00EB3D22" w:rsidRPr="00EE5F37">
        <w:rPr>
          <w:rFonts w:hint="cs"/>
          <w:rtl/>
        </w:rPr>
        <w:t>ب</w:t>
      </w:r>
      <w:r w:rsidR="00EB3D22" w:rsidRPr="00EE5F37">
        <w:rPr>
          <w:rtl/>
        </w:rPr>
        <w:t>مهن أخرى</w:t>
      </w:r>
      <w:r w:rsidR="00EB3D22" w:rsidRPr="00EE5F37">
        <w:rPr>
          <w:rFonts w:hint="cs"/>
          <w:rtl/>
        </w:rPr>
        <w:t>،</w:t>
      </w:r>
      <w:r w:rsidR="00EB6A42" w:rsidRPr="00EE5F37">
        <w:rPr>
          <w:rtl/>
        </w:rPr>
        <w:t xml:space="preserve"> ولا</w:t>
      </w:r>
      <w:r w:rsidR="00D81B35">
        <w:rPr>
          <w:rFonts w:hint="cs"/>
          <w:rtl/>
        </w:rPr>
        <w:t> </w:t>
      </w:r>
      <w:r w:rsidR="00EB6A42" w:rsidRPr="00EE5F37">
        <w:rPr>
          <w:rtl/>
        </w:rPr>
        <w:t xml:space="preserve">يوجد تدريب كافٍ على التقييس </w:t>
      </w:r>
      <w:r w:rsidR="00EB3D22" w:rsidRPr="00EE5F37">
        <w:rPr>
          <w:rFonts w:hint="cs"/>
          <w:rtl/>
        </w:rPr>
        <w:t>بالنسبة ل</w:t>
      </w:r>
      <w:r w:rsidR="00EB6A42" w:rsidRPr="00EE5F37">
        <w:rPr>
          <w:rtl/>
        </w:rPr>
        <w:t>خبراء الجيل</w:t>
      </w:r>
      <w:r w:rsidR="00D81B35">
        <w:rPr>
          <w:rFonts w:hint="cs"/>
          <w:rtl/>
        </w:rPr>
        <w:t> </w:t>
      </w:r>
      <w:r w:rsidR="00EB6A42" w:rsidRPr="00EE5F37">
        <w:rPr>
          <w:rtl/>
        </w:rPr>
        <w:t>القادم</w:t>
      </w:r>
      <w:r w:rsidR="00EB3D22" w:rsidRPr="00EE5F37">
        <w:rPr>
          <w:rFonts w:hint="cs"/>
          <w:rtl/>
        </w:rPr>
        <w:t>؛</w:t>
      </w:r>
    </w:p>
    <w:p w14:paraId="14F22E03" w14:textId="631AE35D" w:rsidR="00B20C25" w:rsidRPr="00EE5F37" w:rsidRDefault="00B20C25" w:rsidP="00EE5F37">
      <w:pPr>
        <w:rPr>
          <w:rtl/>
        </w:rPr>
      </w:pPr>
      <w:proofErr w:type="gramStart"/>
      <w:r w:rsidRPr="00D81B35">
        <w:rPr>
          <w:rFonts w:hint="eastAsia"/>
          <w:i/>
          <w:iCs/>
          <w:rtl/>
        </w:rPr>
        <w:t>ز</w:t>
      </w:r>
      <w:r w:rsidR="005F5832" w:rsidRPr="00D81B35">
        <w:rPr>
          <w:rFonts w:hint="cs"/>
          <w:i/>
          <w:iCs/>
          <w:rtl/>
        </w:rPr>
        <w:t> </w:t>
      </w:r>
      <w:r w:rsidRPr="00D81B35">
        <w:rPr>
          <w:i/>
          <w:iCs/>
          <w:rtl/>
        </w:rPr>
        <w:t>)</w:t>
      </w:r>
      <w:proofErr w:type="gramEnd"/>
      <w:r w:rsidRPr="00EE5F37">
        <w:rPr>
          <w:rtl/>
        </w:rPr>
        <w:tab/>
      </w:r>
      <w:r w:rsidR="00EB6A42" w:rsidRPr="00EE5F37">
        <w:rPr>
          <w:rtl/>
        </w:rPr>
        <w:t>أن تشجيع الجيل القادم من الخبراء على المشاركة في التقييس قد يتطلب توفير بناء القدرات</w:t>
      </w:r>
      <w:r w:rsidR="00EB3D22" w:rsidRPr="00EE5F37">
        <w:rPr>
          <w:rFonts w:hint="cs"/>
          <w:rtl/>
        </w:rPr>
        <w:t>؛</w:t>
      </w:r>
    </w:p>
    <w:p w14:paraId="29DBE27D" w14:textId="42D9BBFB" w:rsidR="00B20C25" w:rsidRPr="00EE5F37" w:rsidRDefault="00B20C25" w:rsidP="00EE5F37">
      <w:r w:rsidRPr="00D81B35">
        <w:rPr>
          <w:rFonts w:hint="eastAsia"/>
          <w:i/>
          <w:iCs/>
          <w:rtl/>
        </w:rPr>
        <w:t>ح</w:t>
      </w:r>
      <w:r w:rsidRPr="00D81B35">
        <w:rPr>
          <w:i/>
          <w:iCs/>
          <w:rtl/>
        </w:rPr>
        <w:t>)</w:t>
      </w:r>
      <w:r w:rsidRPr="00EE5F37">
        <w:rPr>
          <w:rtl/>
        </w:rPr>
        <w:tab/>
      </w:r>
      <w:r w:rsidR="00EB6A42" w:rsidRPr="00EE5F37">
        <w:rPr>
          <w:rtl/>
        </w:rPr>
        <w:t xml:space="preserve">أن منظمات وضع المعايير أطلقت </w:t>
      </w:r>
      <w:r w:rsidR="00EB3D22" w:rsidRPr="00EE5F37">
        <w:rPr>
          <w:rtl/>
        </w:rPr>
        <w:t xml:space="preserve">برامج </w:t>
      </w:r>
      <w:r w:rsidR="00EB3D22" w:rsidRPr="00EE5F37">
        <w:rPr>
          <w:rFonts w:hint="cs"/>
          <w:rtl/>
        </w:rPr>
        <w:t>لل</w:t>
      </w:r>
      <w:r w:rsidR="00EB3D22" w:rsidRPr="00EE5F37">
        <w:rPr>
          <w:rtl/>
        </w:rPr>
        <w:t>مهنيين الشباب</w:t>
      </w:r>
      <w:r w:rsidR="00EB3D22" w:rsidRPr="00EE5F37">
        <w:rPr>
          <w:rFonts w:hint="cs"/>
          <w:rtl/>
        </w:rPr>
        <w:t xml:space="preserve"> بشأن </w:t>
      </w:r>
      <w:r w:rsidR="00EB6A42" w:rsidRPr="00EE5F37">
        <w:rPr>
          <w:rtl/>
        </w:rPr>
        <w:t xml:space="preserve">تعزيز التقييس </w:t>
      </w:r>
      <w:r w:rsidR="00EB3D22" w:rsidRPr="00EE5F37">
        <w:rPr>
          <w:rFonts w:hint="cs"/>
          <w:rtl/>
        </w:rPr>
        <w:t>ل</w:t>
      </w:r>
      <w:r w:rsidR="00EB6A42" w:rsidRPr="00EE5F37">
        <w:rPr>
          <w:rtl/>
        </w:rPr>
        <w:t>لجيل القادم من الخبراء</w:t>
      </w:r>
      <w:r w:rsidR="00EB3D22" w:rsidRPr="00EE5F37">
        <w:rPr>
          <w:rFonts w:hint="cs"/>
          <w:rtl/>
        </w:rPr>
        <w:t>،</w:t>
      </w:r>
    </w:p>
    <w:p w14:paraId="40D42E4D" w14:textId="77777777" w:rsidR="00B20C25" w:rsidRPr="00EE5F37" w:rsidRDefault="00B20C25" w:rsidP="00EE5F37">
      <w:pPr>
        <w:pStyle w:val="Call"/>
        <w:rPr>
          <w:rtl/>
        </w:rPr>
      </w:pPr>
      <w:r w:rsidRPr="00EE5F37">
        <w:rPr>
          <w:rFonts w:hint="eastAsia"/>
          <w:rtl/>
        </w:rPr>
        <w:t>وإذ</w:t>
      </w:r>
      <w:r w:rsidRPr="00EE5F37">
        <w:rPr>
          <w:rtl/>
        </w:rPr>
        <w:t xml:space="preserve"> تدرك كذلك</w:t>
      </w:r>
    </w:p>
    <w:p w14:paraId="270128B9" w14:textId="03A9E8C0" w:rsidR="00B20C25" w:rsidRPr="00EE5F37" w:rsidRDefault="005F5832" w:rsidP="00EE5F37">
      <w:pPr>
        <w:rPr>
          <w:rtl/>
        </w:rPr>
      </w:pPr>
      <w:r w:rsidRPr="00D81B35">
        <w:rPr>
          <w:rFonts w:hint="cs"/>
          <w:i/>
          <w:iCs/>
          <w:rtl/>
        </w:rPr>
        <w:t> </w:t>
      </w:r>
      <w:proofErr w:type="gramStart"/>
      <w:r w:rsidR="00B20C25" w:rsidRPr="00D81B35">
        <w:rPr>
          <w:i/>
          <w:iCs/>
          <w:rtl/>
        </w:rPr>
        <w:t>أ</w:t>
      </w:r>
      <w:r w:rsidRPr="00D81B35">
        <w:rPr>
          <w:rFonts w:hint="cs"/>
          <w:i/>
          <w:iCs/>
          <w:rtl/>
        </w:rPr>
        <w:t> </w:t>
      </w:r>
      <w:r w:rsidR="00B20C25" w:rsidRPr="00D81B35">
        <w:rPr>
          <w:i/>
          <w:iCs/>
          <w:rtl/>
        </w:rPr>
        <w:t>)</w:t>
      </w:r>
      <w:proofErr w:type="gramEnd"/>
      <w:r w:rsidR="00B20C25" w:rsidRPr="00EE5F37">
        <w:rPr>
          <w:rtl/>
        </w:rPr>
        <w:tab/>
      </w:r>
      <w:r w:rsidR="00BB43B5" w:rsidRPr="00EE5F37">
        <w:rPr>
          <w:rtl/>
        </w:rPr>
        <w:t xml:space="preserve">أنه ينبغي الاستمرار في تطوير مؤتمرات </w:t>
      </w:r>
      <w:proofErr w:type="spellStart"/>
      <w:r w:rsidR="00BB43B5" w:rsidRPr="00EE5F37">
        <w:rPr>
          <w:rtl/>
        </w:rPr>
        <w:t>كاليدوسكوب</w:t>
      </w:r>
      <w:proofErr w:type="spellEnd"/>
      <w:r w:rsidR="00BB43B5" w:rsidRPr="00EE5F37">
        <w:rPr>
          <w:rtl/>
        </w:rPr>
        <w:t xml:space="preserve"> الأكاديمية والترويج لها على نطاق واسع لإشراك الأوساط الأكاديمية في أنشطة التقييس </w:t>
      </w:r>
      <w:r w:rsidR="002D76AC" w:rsidRPr="00EE5F37">
        <w:rPr>
          <w:rFonts w:hint="cs"/>
          <w:rtl/>
        </w:rPr>
        <w:t>الخاصة ب</w:t>
      </w:r>
      <w:r w:rsidR="00BB43B5" w:rsidRPr="00EE5F37">
        <w:rPr>
          <w:rtl/>
        </w:rPr>
        <w:t>قطاع تقييس الاتصالات</w:t>
      </w:r>
      <w:r w:rsidR="008C0420" w:rsidRPr="00EE5F37">
        <w:rPr>
          <w:rFonts w:hint="cs"/>
          <w:rtl/>
        </w:rPr>
        <w:t>؛</w:t>
      </w:r>
    </w:p>
    <w:p w14:paraId="525072E9" w14:textId="0AF0DE0D" w:rsidR="005F5832" w:rsidRPr="00EE5F37" w:rsidRDefault="005F5832" w:rsidP="00EE5F37">
      <w:pPr>
        <w:rPr>
          <w:rtl/>
        </w:rPr>
      </w:pPr>
      <w:r w:rsidRPr="00D81B35">
        <w:rPr>
          <w:rFonts w:hint="eastAsia"/>
          <w:i/>
          <w:iCs/>
          <w:rtl/>
        </w:rPr>
        <w:t>ب</w:t>
      </w:r>
      <w:r w:rsidRPr="00D81B35">
        <w:rPr>
          <w:i/>
          <w:iCs/>
          <w:rtl/>
        </w:rPr>
        <w:t>)</w:t>
      </w:r>
      <w:r w:rsidRPr="00EE5F37">
        <w:rPr>
          <w:rtl/>
        </w:rPr>
        <w:tab/>
      </w:r>
      <w:r w:rsidR="00BB43B5" w:rsidRPr="00EE5F37">
        <w:rPr>
          <w:rtl/>
        </w:rPr>
        <w:t xml:space="preserve">برامج قطاع تقييس الاتصالات الحالية، مثل سد الفجوة </w:t>
      </w:r>
      <w:proofErr w:type="spellStart"/>
      <w:r w:rsidR="00BB43B5" w:rsidRPr="00EE5F37">
        <w:rPr>
          <w:rtl/>
        </w:rPr>
        <w:t>التقييسية</w:t>
      </w:r>
      <w:proofErr w:type="spellEnd"/>
      <w:r w:rsidR="00BB43B5" w:rsidRPr="00EE5F37">
        <w:rPr>
          <w:rtl/>
        </w:rPr>
        <w:t xml:space="preserve"> ودورات الوافدين الجدد</w:t>
      </w:r>
      <w:r w:rsidR="008C0420" w:rsidRPr="00EE5F37">
        <w:rPr>
          <w:rFonts w:hint="cs"/>
          <w:rtl/>
        </w:rPr>
        <w:t>؛</w:t>
      </w:r>
    </w:p>
    <w:p w14:paraId="7284187F" w14:textId="0FA2AFFD" w:rsidR="00B20C25" w:rsidRPr="00EE5F37" w:rsidRDefault="005F5832" w:rsidP="00EE5F37">
      <w:pPr>
        <w:rPr>
          <w:rtl/>
        </w:rPr>
      </w:pPr>
      <w:r w:rsidRPr="00843CBE">
        <w:rPr>
          <w:rFonts w:hint="cs"/>
          <w:i/>
          <w:iCs/>
          <w:rtl/>
        </w:rPr>
        <w:lastRenderedPageBreak/>
        <w:t>ج</w:t>
      </w:r>
      <w:r w:rsidR="00B20C25" w:rsidRPr="00843CBE">
        <w:rPr>
          <w:i/>
          <w:iCs/>
          <w:rtl/>
        </w:rPr>
        <w:t>)</w:t>
      </w:r>
      <w:r w:rsidR="00B20C25" w:rsidRPr="00EE5F37">
        <w:rPr>
          <w:rtl/>
        </w:rPr>
        <w:tab/>
      </w:r>
      <w:r w:rsidR="00BB43B5" w:rsidRPr="00EE5F37">
        <w:rPr>
          <w:rtl/>
        </w:rPr>
        <w:t xml:space="preserve">أنه ينبغي لقطاع تقييس الاتصالات تعزيز دوره في مجال التقييس </w:t>
      </w:r>
      <w:r w:rsidR="002D76AC" w:rsidRPr="00EE5F37">
        <w:rPr>
          <w:rFonts w:hint="cs"/>
          <w:rtl/>
        </w:rPr>
        <w:t>في صفوف</w:t>
      </w:r>
      <w:r w:rsidR="00BB43B5" w:rsidRPr="00EE5F37">
        <w:rPr>
          <w:rtl/>
        </w:rPr>
        <w:t xml:space="preserve"> خبراء الجيل القادم، وأنه من الضروري توسيع أنشطة مشاركة الشباب في قطاع تقييس الاتصالات بما يتجاوز نطاقها الحالي</w:t>
      </w:r>
      <w:r w:rsidR="00BB43B5" w:rsidRPr="00EE5F37">
        <w:rPr>
          <w:rFonts w:hint="cs"/>
          <w:rtl/>
        </w:rPr>
        <w:t>،</w:t>
      </w:r>
    </w:p>
    <w:p w14:paraId="2B2210E8" w14:textId="77777777" w:rsidR="00B20C25" w:rsidRPr="00EE5F37" w:rsidRDefault="00B20C25" w:rsidP="00EE5F37">
      <w:pPr>
        <w:pStyle w:val="Call"/>
        <w:rPr>
          <w:rtl/>
        </w:rPr>
      </w:pPr>
      <w:r w:rsidRPr="00EE5F37">
        <w:rPr>
          <w:rFonts w:hint="eastAsia"/>
          <w:rtl/>
        </w:rPr>
        <w:t>تقرر</w:t>
      </w:r>
    </w:p>
    <w:p w14:paraId="54EF656D" w14:textId="2A49D40A" w:rsidR="00B20C25" w:rsidRPr="00EE5F37" w:rsidRDefault="00B20C25" w:rsidP="00EE5F37">
      <w:pPr>
        <w:rPr>
          <w:rtl/>
        </w:rPr>
      </w:pPr>
      <w:r w:rsidRPr="00EE5F37">
        <w:rPr>
          <w:rtl/>
        </w:rPr>
        <w:t>1</w:t>
      </w:r>
      <w:r w:rsidRPr="00EE5F37">
        <w:rPr>
          <w:rtl/>
        </w:rPr>
        <w:tab/>
      </w:r>
      <w:r w:rsidR="00BB43B5" w:rsidRPr="00EE5F37">
        <w:rPr>
          <w:rtl/>
        </w:rPr>
        <w:t xml:space="preserve">أنه ينبغي لقطاع تقييس الاتصالات أن يشجع </w:t>
      </w:r>
      <w:r w:rsidR="00506A12" w:rsidRPr="00EE5F37">
        <w:rPr>
          <w:rFonts w:hint="cs"/>
          <w:rtl/>
        </w:rPr>
        <w:t>انخراط</w:t>
      </w:r>
      <w:r w:rsidR="00BB43B5" w:rsidRPr="00EE5F37">
        <w:rPr>
          <w:rtl/>
        </w:rPr>
        <w:t xml:space="preserve"> خبراء الجيل القادم </w:t>
      </w:r>
      <w:r w:rsidR="00506A12" w:rsidRPr="00EE5F37">
        <w:rPr>
          <w:rtl/>
        </w:rPr>
        <w:t>ومشارك</w:t>
      </w:r>
      <w:r w:rsidR="00506A12" w:rsidRPr="00EE5F37">
        <w:rPr>
          <w:rFonts w:hint="cs"/>
          <w:rtl/>
        </w:rPr>
        <w:t>تهم</w:t>
      </w:r>
      <w:r w:rsidR="00506A12" w:rsidRPr="00EE5F37">
        <w:rPr>
          <w:rtl/>
        </w:rPr>
        <w:t xml:space="preserve"> </w:t>
      </w:r>
      <w:r w:rsidR="00BB43B5" w:rsidRPr="00EE5F37">
        <w:rPr>
          <w:rtl/>
        </w:rPr>
        <w:t>في عمله</w:t>
      </w:r>
      <w:r w:rsidR="008C0420" w:rsidRPr="00EE5F37">
        <w:rPr>
          <w:rFonts w:hint="cs"/>
          <w:rtl/>
        </w:rPr>
        <w:t>؛</w:t>
      </w:r>
    </w:p>
    <w:p w14:paraId="6F9AF62B" w14:textId="70716EDC" w:rsidR="005F5832" w:rsidRPr="000D0971" w:rsidRDefault="005F5832" w:rsidP="00EE5F37">
      <w:pPr>
        <w:rPr>
          <w:spacing w:val="-4"/>
          <w:rtl/>
        </w:rPr>
      </w:pPr>
      <w:r w:rsidRPr="000D0971">
        <w:rPr>
          <w:rFonts w:hint="cs"/>
          <w:spacing w:val="-4"/>
          <w:rtl/>
        </w:rPr>
        <w:t>2</w:t>
      </w:r>
      <w:r w:rsidRPr="000D0971">
        <w:rPr>
          <w:spacing w:val="-4"/>
          <w:rtl/>
        </w:rPr>
        <w:tab/>
      </w:r>
      <w:r w:rsidR="00BB43B5" w:rsidRPr="000D0971">
        <w:rPr>
          <w:spacing w:val="-4"/>
          <w:rtl/>
        </w:rPr>
        <w:t>أنه ينبغي لقطاع تقييس الاتصالات تعزيز المفهوم العام والمعرفة الأساسية لتقييس الاتصالات/تكنولوجيا المعلومات والاتصالات بين الأوساط الأكاديمية، بما في ذلك استخدام المنصات الرقمية، لتشجيع مشاركة خبراء الجيل القادم في أنشطة التقييس</w:t>
      </w:r>
      <w:r w:rsidR="008C0420" w:rsidRPr="000D0971">
        <w:rPr>
          <w:rFonts w:hint="cs"/>
          <w:spacing w:val="-4"/>
          <w:rtl/>
        </w:rPr>
        <w:t>؛</w:t>
      </w:r>
    </w:p>
    <w:p w14:paraId="7F12FBEF" w14:textId="79240435" w:rsidR="00B20C25" w:rsidRPr="00EE5F37" w:rsidRDefault="005F5832" w:rsidP="00EE5F37">
      <w:pPr>
        <w:rPr>
          <w:rtl/>
        </w:rPr>
      </w:pPr>
      <w:r w:rsidRPr="00EE5F37">
        <w:rPr>
          <w:rFonts w:hint="cs"/>
          <w:rtl/>
        </w:rPr>
        <w:t>3</w:t>
      </w:r>
      <w:r w:rsidR="00B20C25" w:rsidRPr="00EE5F37">
        <w:rPr>
          <w:rtl/>
        </w:rPr>
        <w:tab/>
      </w:r>
      <w:r w:rsidR="00BB43B5" w:rsidRPr="00EE5F37">
        <w:rPr>
          <w:rtl/>
        </w:rPr>
        <w:t>أنه ينبغي لقطاع تقييس الاتصالات أن يضع حوافز، مثل الجوائز، تستهدف خبراء الجيل القادم لمواصلة تعزيز قطاع تقييس الاتصالات ودوره في</w:t>
      </w:r>
      <w:r w:rsidR="00506A12" w:rsidRPr="00EE5F37">
        <w:rPr>
          <w:rFonts w:hint="cs"/>
          <w:rtl/>
        </w:rPr>
        <w:t xml:space="preserve"> مجال</w:t>
      </w:r>
      <w:r w:rsidR="00BB43B5" w:rsidRPr="00EE5F37">
        <w:rPr>
          <w:rtl/>
        </w:rPr>
        <w:t xml:space="preserve"> التقييس</w:t>
      </w:r>
      <w:r w:rsidR="00BB43B5" w:rsidRPr="00EE5F37">
        <w:rPr>
          <w:rFonts w:hint="cs"/>
          <w:rtl/>
        </w:rPr>
        <w:t>،</w:t>
      </w:r>
    </w:p>
    <w:p w14:paraId="1657EAE6" w14:textId="1191F2CF" w:rsidR="00B20C25" w:rsidRPr="00EE5F37" w:rsidRDefault="00B20C25" w:rsidP="00EE5F37">
      <w:pPr>
        <w:pStyle w:val="Call"/>
        <w:rPr>
          <w:rtl/>
        </w:rPr>
      </w:pPr>
      <w:r w:rsidRPr="00EE5F37">
        <w:rPr>
          <w:rFonts w:hint="eastAsia"/>
          <w:rtl/>
        </w:rPr>
        <w:t>تكلف</w:t>
      </w:r>
      <w:r w:rsidRPr="00EE5F37">
        <w:rPr>
          <w:rtl/>
        </w:rPr>
        <w:t xml:space="preserve"> مدير مكتب تقييس الاتصالات</w:t>
      </w:r>
      <w:r w:rsidR="00843CBE">
        <w:rPr>
          <w:rFonts w:hint="cs"/>
          <w:rtl/>
        </w:rPr>
        <w:t xml:space="preserve">، </w:t>
      </w:r>
      <w:r w:rsidRPr="00EE5F37">
        <w:rPr>
          <w:rtl/>
        </w:rPr>
        <w:t>بالتعاون الوثيق مع مدير مكتب تنمية الاتصالات</w:t>
      </w:r>
    </w:p>
    <w:p w14:paraId="45DB42C2" w14:textId="3BF81908" w:rsidR="00B20C25" w:rsidRPr="00EE5F37" w:rsidRDefault="00B20C25" w:rsidP="00EE5F37">
      <w:pPr>
        <w:rPr>
          <w:rtl/>
        </w:rPr>
      </w:pPr>
      <w:r w:rsidRPr="00EE5F37">
        <w:rPr>
          <w:rtl/>
        </w:rPr>
        <w:t>1</w:t>
      </w:r>
      <w:r w:rsidRPr="00EE5F37">
        <w:rPr>
          <w:rtl/>
        </w:rPr>
        <w:tab/>
      </w:r>
      <w:r w:rsidR="00BB43B5" w:rsidRPr="00EE5F37">
        <w:rPr>
          <w:rtl/>
        </w:rPr>
        <w:t xml:space="preserve">بتعزيز استخدام القنوات الإلكترونية مثل الدورات التدريبية والندوات </w:t>
      </w:r>
      <w:r w:rsidR="00506A12" w:rsidRPr="00EE5F37">
        <w:rPr>
          <w:rFonts w:hint="cs"/>
          <w:rtl/>
        </w:rPr>
        <w:t>الإلكترونية</w:t>
      </w:r>
      <w:r w:rsidR="00BB43B5" w:rsidRPr="00EE5F37">
        <w:rPr>
          <w:rtl/>
        </w:rPr>
        <w:t xml:space="preserve"> بشأن التثقيف في مجال التقييس، بالتعاون الوثيق مع أكاديمية الاتحاد وغيرها من مبادرات بناء القدرات التي ينفذها مكتب تنمية الاتصالات</w:t>
      </w:r>
      <w:r w:rsidR="00506A12" w:rsidRPr="00EE5F37">
        <w:rPr>
          <w:rFonts w:hint="cs"/>
          <w:rtl/>
        </w:rPr>
        <w:t>؛</w:t>
      </w:r>
    </w:p>
    <w:p w14:paraId="079CF814" w14:textId="2ECE4B03" w:rsidR="00B20C25" w:rsidRPr="00EE5F37" w:rsidRDefault="00B20C25" w:rsidP="00EE5F37">
      <w:pPr>
        <w:rPr>
          <w:rtl/>
        </w:rPr>
      </w:pPr>
      <w:r w:rsidRPr="00EE5F37">
        <w:rPr>
          <w:rtl/>
        </w:rPr>
        <w:t>2</w:t>
      </w:r>
      <w:r w:rsidRPr="00EE5F37">
        <w:rPr>
          <w:rtl/>
        </w:rPr>
        <w:tab/>
      </w:r>
      <w:r w:rsidR="00BB43B5" w:rsidRPr="00EE5F37">
        <w:rPr>
          <w:rtl/>
        </w:rPr>
        <w:t xml:space="preserve">بتعزيز تدريبات الوافدين الجدد </w:t>
      </w:r>
      <w:r w:rsidR="00506A12" w:rsidRPr="00EE5F37">
        <w:rPr>
          <w:rFonts w:hint="cs"/>
          <w:rtl/>
        </w:rPr>
        <w:t>و</w:t>
      </w:r>
      <w:r w:rsidR="00506A12" w:rsidRPr="00EE5F37">
        <w:rPr>
          <w:rtl/>
        </w:rPr>
        <w:t>تطوير</w:t>
      </w:r>
      <w:r w:rsidR="00506A12" w:rsidRPr="00EE5F37">
        <w:rPr>
          <w:rFonts w:hint="cs"/>
          <w:rtl/>
        </w:rPr>
        <w:t>ها</w:t>
      </w:r>
      <w:r w:rsidR="00506A12" w:rsidRPr="00EE5F37">
        <w:rPr>
          <w:rtl/>
        </w:rPr>
        <w:t xml:space="preserve"> و</w:t>
      </w:r>
      <w:r w:rsidR="00506A12" w:rsidRPr="00EE5F37">
        <w:rPr>
          <w:rFonts w:hint="cs"/>
          <w:rtl/>
        </w:rPr>
        <w:t>ال</w:t>
      </w:r>
      <w:r w:rsidR="00506A12" w:rsidRPr="00EE5F37">
        <w:rPr>
          <w:rtl/>
        </w:rPr>
        <w:t xml:space="preserve">ترويج </w:t>
      </w:r>
      <w:r w:rsidR="00506A12" w:rsidRPr="00EE5F37">
        <w:rPr>
          <w:rFonts w:hint="cs"/>
          <w:rtl/>
        </w:rPr>
        <w:t xml:space="preserve">لها </w:t>
      </w:r>
      <w:r w:rsidR="00506A12" w:rsidRPr="00EE5F37">
        <w:rPr>
          <w:rtl/>
        </w:rPr>
        <w:t xml:space="preserve">ونشر </w:t>
      </w:r>
      <w:r w:rsidR="00506A12" w:rsidRPr="00EE5F37">
        <w:rPr>
          <w:rFonts w:hint="cs"/>
          <w:rtl/>
        </w:rPr>
        <w:t xml:space="preserve">ها </w:t>
      </w:r>
      <w:r w:rsidR="00BB43B5" w:rsidRPr="00EE5F37">
        <w:rPr>
          <w:rtl/>
        </w:rPr>
        <w:t xml:space="preserve">من خلال </w:t>
      </w:r>
      <w:r w:rsidR="00506A12" w:rsidRPr="00EE5F37">
        <w:rPr>
          <w:rFonts w:hint="cs"/>
          <w:rtl/>
        </w:rPr>
        <w:t xml:space="preserve">تزويد </w:t>
      </w:r>
      <w:r w:rsidR="00506A12" w:rsidRPr="00EE5F37">
        <w:rPr>
          <w:rtl/>
        </w:rPr>
        <w:t>خبراء الجيل القادم</w:t>
      </w:r>
      <w:r w:rsidR="00BB43B5" w:rsidRPr="00EE5F37">
        <w:rPr>
          <w:rtl/>
        </w:rPr>
        <w:t xml:space="preserve"> </w:t>
      </w:r>
      <w:r w:rsidR="00506A12" w:rsidRPr="00EE5F37">
        <w:rPr>
          <w:rFonts w:hint="cs"/>
          <w:rtl/>
        </w:rPr>
        <w:t>ب</w:t>
      </w:r>
      <w:r w:rsidR="00BB43B5" w:rsidRPr="00EE5F37">
        <w:rPr>
          <w:rtl/>
        </w:rPr>
        <w:t>لمحة عامة عن</w:t>
      </w:r>
      <w:r w:rsidR="001F280A" w:rsidRPr="00EE5F37">
        <w:rPr>
          <w:rFonts w:hint="cs"/>
          <w:rtl/>
        </w:rPr>
        <w:t> </w:t>
      </w:r>
      <w:r w:rsidR="00BB43B5" w:rsidRPr="00EE5F37">
        <w:rPr>
          <w:rtl/>
        </w:rPr>
        <w:t>أعمال التقييس في قطاع تقييس الاتصالات</w:t>
      </w:r>
      <w:r w:rsidR="00506A12" w:rsidRPr="00EE5F37">
        <w:rPr>
          <w:rFonts w:hint="cs"/>
          <w:rtl/>
        </w:rPr>
        <w:t>؛</w:t>
      </w:r>
    </w:p>
    <w:p w14:paraId="2BE5C473" w14:textId="33AC4142" w:rsidR="00B20C25" w:rsidRPr="00EE5F37" w:rsidRDefault="00B20C25" w:rsidP="00EE5F37">
      <w:pPr>
        <w:rPr>
          <w:rtl/>
        </w:rPr>
      </w:pPr>
      <w:r w:rsidRPr="00EE5F37">
        <w:rPr>
          <w:rtl/>
        </w:rPr>
        <w:t>3</w:t>
      </w:r>
      <w:r w:rsidRPr="00EE5F37">
        <w:rPr>
          <w:rtl/>
        </w:rPr>
        <w:tab/>
      </w:r>
      <w:r w:rsidR="00BB43B5" w:rsidRPr="00EE5F37">
        <w:rPr>
          <w:rtl/>
        </w:rPr>
        <w:t>بتنظيم جلسات/مسارات مخصصة في الأحداث الحالية لقطاع تقييس الاتصالات وإتاحة الفرص لخبراء الجيل القادم للانخراط والمشاركة في أنشطة التقييس</w:t>
      </w:r>
      <w:r w:rsidR="00506A12" w:rsidRPr="00EE5F37">
        <w:rPr>
          <w:rFonts w:hint="cs"/>
          <w:rtl/>
        </w:rPr>
        <w:t xml:space="preserve"> الخاصة ب</w:t>
      </w:r>
      <w:r w:rsidR="00BB43B5" w:rsidRPr="00EE5F37">
        <w:rPr>
          <w:rtl/>
        </w:rPr>
        <w:t>قطاع تقييس الاتصالات</w:t>
      </w:r>
      <w:r w:rsidR="00506A12" w:rsidRPr="00EE5F37">
        <w:rPr>
          <w:rFonts w:hint="cs"/>
          <w:rtl/>
        </w:rPr>
        <w:t>؛</w:t>
      </w:r>
    </w:p>
    <w:p w14:paraId="28AE378F" w14:textId="459178B4" w:rsidR="00B20C25" w:rsidRPr="00EE5F37" w:rsidRDefault="00B20C25" w:rsidP="00EE5F37">
      <w:pPr>
        <w:rPr>
          <w:rtl/>
        </w:rPr>
      </w:pPr>
      <w:r w:rsidRPr="00EE5F37">
        <w:rPr>
          <w:rtl/>
        </w:rPr>
        <w:t>4</w:t>
      </w:r>
      <w:r w:rsidRPr="00EE5F37">
        <w:rPr>
          <w:rtl/>
        </w:rPr>
        <w:tab/>
      </w:r>
      <w:r w:rsidR="00BB43B5" w:rsidRPr="00EE5F37">
        <w:rPr>
          <w:rtl/>
        </w:rPr>
        <w:t>بتقديم تقرير إلى الفريق الاستشاري لتقييس الاتصالات والجمعية العالمية لتقييس الاتصالات بشأن مبادرات مشاركة خبراء الجيل القادم في قطاع تقييس الاتصالات</w:t>
      </w:r>
      <w:r w:rsidR="00BB43B5" w:rsidRPr="00EE5F37">
        <w:rPr>
          <w:rFonts w:hint="cs"/>
          <w:rtl/>
        </w:rPr>
        <w:t>،</w:t>
      </w:r>
    </w:p>
    <w:p w14:paraId="58AF89CB" w14:textId="614622C9" w:rsidR="00741B61" w:rsidRPr="00EE5F37" w:rsidRDefault="00741B61" w:rsidP="00843CBE">
      <w:pPr>
        <w:pStyle w:val="Call"/>
        <w:rPr>
          <w:rtl/>
        </w:rPr>
      </w:pPr>
      <w:r w:rsidRPr="00EE5F37">
        <w:rPr>
          <w:rtl/>
        </w:rPr>
        <w:t>تدعو الدول الأعضاء وأعضاء القطاع والمنتسبين</w:t>
      </w:r>
    </w:p>
    <w:p w14:paraId="49F8CFDC" w14:textId="316C0CF6" w:rsidR="00741B61" w:rsidRPr="00EE5F37" w:rsidRDefault="00741B61" w:rsidP="00EE5F37">
      <w:pPr>
        <w:rPr>
          <w:rtl/>
        </w:rPr>
      </w:pPr>
      <w:r w:rsidRPr="00EE5F37">
        <w:rPr>
          <w:rFonts w:hint="cs"/>
          <w:rtl/>
        </w:rPr>
        <w:t>1</w:t>
      </w:r>
      <w:r w:rsidRPr="00EE5F37">
        <w:rPr>
          <w:rtl/>
        </w:rPr>
        <w:tab/>
      </w:r>
      <w:r w:rsidR="004C71B6" w:rsidRPr="00EE5F37">
        <w:rPr>
          <w:rFonts w:hint="cs"/>
          <w:rtl/>
        </w:rPr>
        <w:t xml:space="preserve">إلى </w:t>
      </w:r>
      <w:r w:rsidR="004C71B6" w:rsidRPr="00EE5F37">
        <w:rPr>
          <w:rtl/>
        </w:rPr>
        <w:t>دعم أنشطة قطاع تقييس الاتصالات التي تعزز المشاركة والفوائد المترتبة على مشاركة خبراء الجيل القادم في</w:t>
      </w:r>
      <w:r w:rsidR="001F280A" w:rsidRPr="00EE5F37">
        <w:rPr>
          <w:rFonts w:hint="cs"/>
          <w:rtl/>
        </w:rPr>
        <w:t> </w:t>
      </w:r>
      <w:r w:rsidR="004C71B6" w:rsidRPr="00EE5F37">
        <w:rPr>
          <w:rFonts w:hint="cs"/>
          <w:rtl/>
        </w:rPr>
        <w:t xml:space="preserve">مجال </w:t>
      </w:r>
      <w:r w:rsidR="004C71B6" w:rsidRPr="00EE5F37">
        <w:rPr>
          <w:rtl/>
        </w:rPr>
        <w:t>التقييس من خلال المساهمات الطوعية والرعاية</w:t>
      </w:r>
      <w:r w:rsidR="004C71B6" w:rsidRPr="00EE5F37">
        <w:rPr>
          <w:rFonts w:hint="cs"/>
          <w:rtl/>
        </w:rPr>
        <w:t>؛</w:t>
      </w:r>
    </w:p>
    <w:p w14:paraId="7D4A86C9" w14:textId="43B67AE4" w:rsidR="00741B61" w:rsidRPr="00EE5F37" w:rsidRDefault="00741B61" w:rsidP="00EE5F37">
      <w:pPr>
        <w:rPr>
          <w:rtl/>
        </w:rPr>
      </w:pPr>
      <w:r w:rsidRPr="00EE5F37">
        <w:rPr>
          <w:rtl/>
        </w:rPr>
        <w:t>2</w:t>
      </w:r>
      <w:r w:rsidRPr="00EE5F37">
        <w:rPr>
          <w:rtl/>
        </w:rPr>
        <w:tab/>
      </w:r>
      <w:r w:rsidR="004C71B6" w:rsidRPr="00EE5F37">
        <w:rPr>
          <w:rFonts w:hint="cs"/>
          <w:rtl/>
        </w:rPr>
        <w:t xml:space="preserve">إلى </w:t>
      </w:r>
      <w:r w:rsidR="004C71B6" w:rsidRPr="00EE5F37">
        <w:rPr>
          <w:rtl/>
        </w:rPr>
        <w:t xml:space="preserve">إشراك مندوبين شباب في الوفود الرسمية لاجتماعات قطاع تقييس الاتصالات ودعم إدماجهم من خلال برامج </w:t>
      </w:r>
      <w:r w:rsidR="00145032" w:rsidRPr="00EE5F37">
        <w:rPr>
          <w:rFonts w:hint="cs"/>
          <w:rtl/>
        </w:rPr>
        <w:t>الإرشاد</w:t>
      </w:r>
      <w:r w:rsidR="004C71B6" w:rsidRPr="00EE5F37">
        <w:rPr>
          <w:rFonts w:hint="cs"/>
          <w:rtl/>
        </w:rPr>
        <w:t>،</w:t>
      </w:r>
    </w:p>
    <w:p w14:paraId="0F57A295" w14:textId="0EEF6AAB" w:rsidR="004C71B6" w:rsidRPr="00EE5F37" w:rsidRDefault="004C71B6" w:rsidP="00EE5F37">
      <w:pPr>
        <w:pStyle w:val="Call"/>
        <w:rPr>
          <w:rtl/>
        </w:rPr>
      </w:pPr>
      <w:r w:rsidRPr="00EE5F37">
        <w:rPr>
          <w:rtl/>
        </w:rPr>
        <w:t xml:space="preserve">تدعو </w:t>
      </w:r>
      <w:r w:rsidRPr="00EE5F37">
        <w:rPr>
          <w:rFonts w:hint="cs"/>
          <w:rtl/>
        </w:rPr>
        <w:t>الأوساط الأكاديمية</w:t>
      </w:r>
    </w:p>
    <w:p w14:paraId="3004F1CA" w14:textId="6C5E12EE" w:rsidR="004C71B6" w:rsidRPr="00EE5F37" w:rsidRDefault="004C71B6" w:rsidP="00EE5F37">
      <w:pPr>
        <w:rPr>
          <w:rtl/>
        </w:rPr>
      </w:pPr>
      <w:r w:rsidRPr="00EE5F37">
        <w:rPr>
          <w:rFonts w:hint="cs"/>
          <w:rtl/>
        </w:rPr>
        <w:t>1</w:t>
      </w:r>
      <w:r w:rsidRPr="00EE5F37">
        <w:rPr>
          <w:rtl/>
        </w:rPr>
        <w:tab/>
      </w:r>
      <w:r w:rsidRPr="00EE5F37">
        <w:rPr>
          <w:rFonts w:hint="cs"/>
          <w:rtl/>
        </w:rPr>
        <w:t xml:space="preserve">إلى </w:t>
      </w:r>
      <w:r w:rsidRPr="00EE5F37">
        <w:rPr>
          <w:rtl/>
        </w:rPr>
        <w:t>دعم خبراء الجيل القادم وتعزيز مشارك</w:t>
      </w:r>
      <w:r w:rsidRPr="00EE5F37">
        <w:rPr>
          <w:rFonts w:hint="cs"/>
          <w:rtl/>
        </w:rPr>
        <w:t>تهم</w:t>
      </w:r>
      <w:r w:rsidRPr="00EE5F37">
        <w:rPr>
          <w:rtl/>
        </w:rPr>
        <w:t xml:space="preserve"> في مجال التقييس، بما في ذلك النفاذ إلى المعلومات والمنح الدراسية </w:t>
      </w:r>
      <w:r w:rsidR="00EC7722" w:rsidRPr="00EE5F37">
        <w:rPr>
          <w:rFonts w:hint="cs"/>
          <w:rtl/>
        </w:rPr>
        <w:t>والإقرار</w:t>
      </w:r>
      <w:r w:rsidRPr="00EE5F37">
        <w:rPr>
          <w:rtl/>
        </w:rPr>
        <w:t xml:space="preserve"> بالمشاركة في أنشطة قطاع تقييس الاتصالات</w:t>
      </w:r>
      <w:r w:rsidR="00EC7722" w:rsidRPr="00EE5F37">
        <w:rPr>
          <w:rFonts w:hint="cs"/>
          <w:rtl/>
        </w:rPr>
        <w:t>؛</w:t>
      </w:r>
    </w:p>
    <w:p w14:paraId="48BCAD0C" w14:textId="5666DF53" w:rsidR="004C71B6" w:rsidRPr="00EE5F37" w:rsidRDefault="004C71B6" w:rsidP="00EE5F37">
      <w:pPr>
        <w:rPr>
          <w:rtl/>
        </w:rPr>
      </w:pPr>
      <w:r w:rsidRPr="00EE5F37">
        <w:rPr>
          <w:rtl/>
        </w:rPr>
        <w:t>2</w:t>
      </w:r>
      <w:r w:rsidRPr="00EE5F37">
        <w:rPr>
          <w:rtl/>
        </w:rPr>
        <w:tab/>
      </w:r>
      <w:r w:rsidR="00EC7722" w:rsidRPr="00EE5F37">
        <w:rPr>
          <w:rFonts w:hint="cs"/>
          <w:rtl/>
        </w:rPr>
        <w:t xml:space="preserve">إلى </w:t>
      </w:r>
      <w:r w:rsidRPr="00EE5F37">
        <w:rPr>
          <w:rtl/>
        </w:rPr>
        <w:t>إشراك الباحثين والطلاب في بداية حياتهم المهنية في أنشطة قطاع تقييس الاتصالات ذات الصلة وتمكين مشاركتهم الفعالة فيها، بما في ذلك من خلال بناء القدرات وتنمية المهارات</w:t>
      </w:r>
      <w:r w:rsidR="00EC7722" w:rsidRPr="00EE5F37">
        <w:rPr>
          <w:rFonts w:hint="cs"/>
          <w:rtl/>
        </w:rPr>
        <w:t>؛</w:t>
      </w:r>
    </w:p>
    <w:p w14:paraId="094776F6" w14:textId="52DE0333" w:rsidR="004C71B6" w:rsidRPr="00EE5F37" w:rsidRDefault="004C71B6" w:rsidP="00EE5F37">
      <w:pPr>
        <w:rPr>
          <w:rtl/>
        </w:rPr>
      </w:pPr>
      <w:r w:rsidRPr="00EE5F37">
        <w:rPr>
          <w:rtl/>
        </w:rPr>
        <w:t>3</w:t>
      </w:r>
      <w:r w:rsidRPr="00EE5F37">
        <w:rPr>
          <w:rtl/>
        </w:rPr>
        <w:tab/>
        <w:t>إلى التعاون الوثيق مع الحكومات و</w:t>
      </w:r>
      <w:r w:rsidR="008C0420" w:rsidRPr="00EE5F37">
        <w:rPr>
          <w:rFonts w:hint="cs"/>
          <w:rtl/>
        </w:rPr>
        <w:t xml:space="preserve">الجهات الفاعلة في مجال </w:t>
      </w:r>
      <w:r w:rsidRPr="00EE5F37">
        <w:rPr>
          <w:rtl/>
        </w:rPr>
        <w:t>الصناعة والمنظمات الشريكة لتعزيز مفهوم التقييس في</w:t>
      </w:r>
      <w:r w:rsidR="001F280A" w:rsidRPr="00EE5F37">
        <w:rPr>
          <w:rFonts w:hint="cs"/>
          <w:rtl/>
        </w:rPr>
        <w:t> </w:t>
      </w:r>
      <w:r w:rsidRPr="00EE5F37">
        <w:rPr>
          <w:rtl/>
        </w:rPr>
        <w:t>المناهج الأكاديمية</w:t>
      </w:r>
      <w:r w:rsidRPr="00EE5F37">
        <w:rPr>
          <w:rFonts w:hint="cs"/>
          <w:rtl/>
        </w:rPr>
        <w:t>.</w:t>
      </w:r>
    </w:p>
    <w:p w14:paraId="0E8B5F59" w14:textId="594CEA72" w:rsidR="00A11BBA" w:rsidRPr="00EE5F37" w:rsidRDefault="00A11BBA" w:rsidP="00843CBE">
      <w:pPr>
        <w:pStyle w:val="Reasons"/>
        <w:rPr>
          <w:rtl/>
        </w:rPr>
      </w:pPr>
    </w:p>
    <w:sectPr w:rsidR="00A11BBA" w:rsidRPr="00EE5F37" w:rsidSect="00A8044A">
      <w:headerReference w:type="even" r:id="rId15"/>
      <w:headerReference w:type="default" r:id="rId16"/>
      <w:type w:val="continuous"/>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BBB5" w14:textId="77777777" w:rsidR="00DA0C9C" w:rsidRDefault="00DA0C9C" w:rsidP="002919E1">
      <w:r>
        <w:separator/>
      </w:r>
    </w:p>
    <w:p w14:paraId="26D20524" w14:textId="77777777" w:rsidR="00DA0C9C" w:rsidRDefault="00DA0C9C" w:rsidP="002919E1"/>
    <w:p w14:paraId="621C0F9E" w14:textId="77777777" w:rsidR="00DA0C9C" w:rsidRDefault="00DA0C9C" w:rsidP="002919E1"/>
    <w:p w14:paraId="698FFC8F" w14:textId="77777777" w:rsidR="00DA0C9C" w:rsidRDefault="00DA0C9C"/>
  </w:endnote>
  <w:endnote w:type="continuationSeparator" w:id="0">
    <w:p w14:paraId="42A8E261" w14:textId="77777777" w:rsidR="00DA0C9C" w:rsidRDefault="00DA0C9C" w:rsidP="002919E1">
      <w:r>
        <w:continuationSeparator/>
      </w:r>
    </w:p>
    <w:p w14:paraId="64017D13" w14:textId="77777777" w:rsidR="00DA0C9C" w:rsidRDefault="00DA0C9C" w:rsidP="002919E1"/>
    <w:p w14:paraId="282839F0" w14:textId="77777777" w:rsidR="00DA0C9C" w:rsidRDefault="00DA0C9C" w:rsidP="002919E1"/>
    <w:p w14:paraId="2A438594" w14:textId="77777777" w:rsidR="00DA0C9C" w:rsidRDefault="00DA0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19A0" w14:textId="77777777" w:rsidR="00DA0C9C" w:rsidRDefault="00DA0C9C" w:rsidP="002919E1">
      <w:r>
        <w:t>___________________</w:t>
      </w:r>
    </w:p>
  </w:footnote>
  <w:footnote w:type="continuationSeparator" w:id="0">
    <w:p w14:paraId="1B536505" w14:textId="77777777" w:rsidR="00DA0C9C" w:rsidRDefault="00DA0C9C" w:rsidP="002919E1">
      <w:r>
        <w:continuationSeparator/>
      </w:r>
    </w:p>
    <w:p w14:paraId="69572A22" w14:textId="77777777" w:rsidR="00DA0C9C" w:rsidRDefault="00DA0C9C" w:rsidP="002919E1"/>
    <w:p w14:paraId="4FF858D4" w14:textId="77777777" w:rsidR="00DA0C9C" w:rsidRDefault="00DA0C9C" w:rsidP="002919E1"/>
    <w:p w14:paraId="0574AE3C" w14:textId="77777777" w:rsidR="00DA0C9C" w:rsidRDefault="00DA0C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D562" w14:textId="77777777" w:rsidR="00281F5F" w:rsidRPr="00A8044A" w:rsidRDefault="00281F5F" w:rsidP="002919E1"/>
  <w:p w14:paraId="1DD3C91F" w14:textId="77777777" w:rsidR="00281F5F" w:rsidRPr="00A8044A"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1C01" w14:textId="77777777" w:rsidR="00654230" w:rsidRPr="00A8044A" w:rsidRDefault="006175E7" w:rsidP="00EB52D8">
    <w:pPr>
      <w:pStyle w:val="Header"/>
      <w:rPr>
        <w:sz w:val="18"/>
        <w:szCs w:val="18"/>
      </w:rPr>
    </w:pPr>
    <w:r w:rsidRPr="00A8044A">
      <w:rPr>
        <w:sz w:val="18"/>
        <w:szCs w:val="18"/>
      </w:rPr>
      <w:fldChar w:fldCharType="begin"/>
    </w:r>
    <w:r w:rsidRPr="00A8044A">
      <w:rPr>
        <w:sz w:val="18"/>
        <w:szCs w:val="18"/>
      </w:rPr>
      <w:instrText xml:space="preserve"> PAGE  \* MERGEFORMAT </w:instrText>
    </w:r>
    <w:r w:rsidRPr="00A8044A">
      <w:rPr>
        <w:sz w:val="18"/>
        <w:szCs w:val="18"/>
      </w:rPr>
      <w:fldChar w:fldCharType="separate"/>
    </w:r>
    <w:r w:rsidRPr="00A8044A">
      <w:rPr>
        <w:sz w:val="18"/>
        <w:szCs w:val="18"/>
      </w:rPr>
      <w:t>2</w:t>
    </w:r>
    <w:r w:rsidRPr="00A8044A">
      <w:rPr>
        <w:sz w:val="18"/>
        <w:szCs w:val="18"/>
      </w:rPr>
      <w:fldChar w:fldCharType="end"/>
    </w:r>
    <w:r w:rsidR="00EB52D8" w:rsidRPr="00A8044A">
      <w:rPr>
        <w:sz w:val="18"/>
        <w:szCs w:val="18"/>
      </w:rPr>
      <w:br/>
    </w:r>
    <w:r w:rsidR="00966FA2" w:rsidRPr="00A8044A">
      <w:rPr>
        <w:sz w:val="18"/>
        <w:szCs w:val="18"/>
      </w:rPr>
      <w:t>WTSA-24/37(Add.39)-A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F6E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147C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5686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AA64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4EB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803893320">
    <w:abstractNumId w:val="9"/>
  </w:num>
  <w:num w:numId="2" w16cid:durableId="1594051697">
    <w:abstractNumId w:val="13"/>
  </w:num>
  <w:num w:numId="3" w16cid:durableId="1357929559">
    <w:abstractNumId w:val="10"/>
  </w:num>
  <w:num w:numId="4" w16cid:durableId="1703945000">
    <w:abstractNumId w:val="14"/>
  </w:num>
  <w:num w:numId="5" w16cid:durableId="1299993457">
    <w:abstractNumId w:val="7"/>
  </w:num>
  <w:num w:numId="6" w16cid:durableId="335887315">
    <w:abstractNumId w:val="6"/>
  </w:num>
  <w:num w:numId="7" w16cid:durableId="2102751783">
    <w:abstractNumId w:val="5"/>
  </w:num>
  <w:num w:numId="8" w16cid:durableId="104615745">
    <w:abstractNumId w:val="4"/>
  </w:num>
  <w:num w:numId="9" w16cid:durableId="830870732">
    <w:abstractNumId w:val="8"/>
  </w:num>
  <w:num w:numId="10" w16cid:durableId="1115365078">
    <w:abstractNumId w:val="3"/>
  </w:num>
  <w:num w:numId="11" w16cid:durableId="1600092044">
    <w:abstractNumId w:val="2"/>
  </w:num>
  <w:num w:numId="12" w16cid:durableId="625546300">
    <w:abstractNumId w:val="1"/>
  </w:num>
  <w:num w:numId="13" w16cid:durableId="2139761602">
    <w:abstractNumId w:val="0"/>
  </w:num>
  <w:num w:numId="14" w16cid:durableId="465245970">
    <w:abstractNumId w:val="11"/>
  </w:num>
  <w:num w:numId="15" w16cid:durableId="261957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00AF"/>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0971"/>
    <w:rsid w:val="000D1708"/>
    <w:rsid w:val="000E2AFC"/>
    <w:rsid w:val="000E6D30"/>
    <w:rsid w:val="000F05F5"/>
    <w:rsid w:val="000F518F"/>
    <w:rsid w:val="000F5255"/>
    <w:rsid w:val="0010081C"/>
    <w:rsid w:val="001013E3"/>
    <w:rsid w:val="0010363F"/>
    <w:rsid w:val="001236C1"/>
    <w:rsid w:val="00123AA6"/>
    <w:rsid w:val="0012545F"/>
    <w:rsid w:val="00136B82"/>
    <w:rsid w:val="001445AE"/>
    <w:rsid w:val="00145032"/>
    <w:rsid w:val="001464F2"/>
    <w:rsid w:val="00167364"/>
    <w:rsid w:val="00184643"/>
    <w:rsid w:val="001903B2"/>
    <w:rsid w:val="001909F9"/>
    <w:rsid w:val="001B5953"/>
    <w:rsid w:val="001D746E"/>
    <w:rsid w:val="001E190C"/>
    <w:rsid w:val="001E51EE"/>
    <w:rsid w:val="001E54F6"/>
    <w:rsid w:val="001E5A8C"/>
    <w:rsid w:val="001F280A"/>
    <w:rsid w:val="00201A0A"/>
    <w:rsid w:val="002075D4"/>
    <w:rsid w:val="00207E67"/>
    <w:rsid w:val="00210C93"/>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D76AC"/>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A56A8"/>
    <w:rsid w:val="003A7F3F"/>
    <w:rsid w:val="003B27AD"/>
    <w:rsid w:val="003B4F23"/>
    <w:rsid w:val="003C12F6"/>
    <w:rsid w:val="003C2A20"/>
    <w:rsid w:val="003C3A13"/>
    <w:rsid w:val="003E02EF"/>
    <w:rsid w:val="003E0C55"/>
    <w:rsid w:val="003E1D90"/>
    <w:rsid w:val="003E6A28"/>
    <w:rsid w:val="003F5FE1"/>
    <w:rsid w:val="00400CD4"/>
    <w:rsid w:val="00403317"/>
    <w:rsid w:val="00403376"/>
    <w:rsid w:val="004147B9"/>
    <w:rsid w:val="00422C04"/>
    <w:rsid w:val="00423A40"/>
    <w:rsid w:val="00426144"/>
    <w:rsid w:val="004606D0"/>
    <w:rsid w:val="004636E2"/>
    <w:rsid w:val="00470CBD"/>
    <w:rsid w:val="0047407D"/>
    <w:rsid w:val="00485F9E"/>
    <w:rsid w:val="00486B2B"/>
    <w:rsid w:val="004909DD"/>
    <w:rsid w:val="004A05E6"/>
    <w:rsid w:val="004A05FC"/>
    <w:rsid w:val="004A6230"/>
    <w:rsid w:val="004A6C66"/>
    <w:rsid w:val="004A7AA0"/>
    <w:rsid w:val="004C11BC"/>
    <w:rsid w:val="004C5C04"/>
    <w:rsid w:val="004C71B6"/>
    <w:rsid w:val="004D0448"/>
    <w:rsid w:val="004D4AE6"/>
    <w:rsid w:val="004E017D"/>
    <w:rsid w:val="004E2A5D"/>
    <w:rsid w:val="00500DC2"/>
    <w:rsid w:val="00505AA6"/>
    <w:rsid w:val="00505FCA"/>
    <w:rsid w:val="00506A12"/>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54B2"/>
    <w:rsid w:val="00576D0A"/>
    <w:rsid w:val="00576FCC"/>
    <w:rsid w:val="00584333"/>
    <w:rsid w:val="00586B66"/>
    <w:rsid w:val="005953EC"/>
    <w:rsid w:val="005B00A1"/>
    <w:rsid w:val="005C29C8"/>
    <w:rsid w:val="005C3880"/>
    <w:rsid w:val="005C5D25"/>
    <w:rsid w:val="005D2606"/>
    <w:rsid w:val="005D6D48"/>
    <w:rsid w:val="005D72A4"/>
    <w:rsid w:val="005F05CC"/>
    <w:rsid w:val="005F5832"/>
    <w:rsid w:val="005F65DE"/>
    <w:rsid w:val="00613492"/>
    <w:rsid w:val="006175E7"/>
    <w:rsid w:val="00630905"/>
    <w:rsid w:val="006315B5"/>
    <w:rsid w:val="00653585"/>
    <w:rsid w:val="00654230"/>
    <w:rsid w:val="0065562F"/>
    <w:rsid w:val="0066267D"/>
    <w:rsid w:val="00670C11"/>
    <w:rsid w:val="006744D1"/>
    <w:rsid w:val="006779A4"/>
    <w:rsid w:val="00680A38"/>
    <w:rsid w:val="00680A66"/>
    <w:rsid w:val="00681391"/>
    <w:rsid w:val="00683852"/>
    <w:rsid w:val="00694690"/>
    <w:rsid w:val="0069526C"/>
    <w:rsid w:val="006A12AC"/>
    <w:rsid w:val="006A2162"/>
    <w:rsid w:val="006B4B90"/>
    <w:rsid w:val="006B600C"/>
    <w:rsid w:val="006B658C"/>
    <w:rsid w:val="006D2674"/>
    <w:rsid w:val="006E0282"/>
    <w:rsid w:val="006E38D0"/>
    <w:rsid w:val="006E465B"/>
    <w:rsid w:val="006F70BF"/>
    <w:rsid w:val="007028CB"/>
    <w:rsid w:val="00716B1D"/>
    <w:rsid w:val="007246AF"/>
    <w:rsid w:val="007248EC"/>
    <w:rsid w:val="007263B4"/>
    <w:rsid w:val="00726744"/>
    <w:rsid w:val="00731150"/>
    <w:rsid w:val="00734E41"/>
    <w:rsid w:val="00736DCC"/>
    <w:rsid w:val="00741855"/>
    <w:rsid w:val="00741B61"/>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43CBE"/>
    <w:rsid w:val="0085569D"/>
    <w:rsid w:val="00855B59"/>
    <w:rsid w:val="0085774F"/>
    <w:rsid w:val="008614B8"/>
    <w:rsid w:val="00863FEE"/>
    <w:rsid w:val="008657CB"/>
    <w:rsid w:val="00873A6F"/>
    <w:rsid w:val="0088384B"/>
    <w:rsid w:val="00884282"/>
    <w:rsid w:val="008879AE"/>
    <w:rsid w:val="0089074E"/>
    <w:rsid w:val="00893E53"/>
    <w:rsid w:val="008A1137"/>
    <w:rsid w:val="008A1788"/>
    <w:rsid w:val="008A1E64"/>
    <w:rsid w:val="008A3E57"/>
    <w:rsid w:val="008A4185"/>
    <w:rsid w:val="008A4847"/>
    <w:rsid w:val="008A6552"/>
    <w:rsid w:val="008B4E93"/>
    <w:rsid w:val="008B52B7"/>
    <w:rsid w:val="008C0420"/>
    <w:rsid w:val="008C3818"/>
    <w:rsid w:val="008D6ACC"/>
    <w:rsid w:val="008D7AF0"/>
    <w:rsid w:val="008E1A32"/>
    <w:rsid w:val="008E2CBE"/>
    <w:rsid w:val="008E32DD"/>
    <w:rsid w:val="008F4626"/>
    <w:rsid w:val="009004DF"/>
    <w:rsid w:val="00902E2A"/>
    <w:rsid w:val="00903DB9"/>
    <w:rsid w:val="00904AA5"/>
    <w:rsid w:val="009140EA"/>
    <w:rsid w:val="009151F1"/>
    <w:rsid w:val="0091653F"/>
    <w:rsid w:val="009234D3"/>
    <w:rsid w:val="0093046E"/>
    <w:rsid w:val="00941CDF"/>
    <w:rsid w:val="00951718"/>
    <w:rsid w:val="00960962"/>
    <w:rsid w:val="00966FA2"/>
    <w:rsid w:val="00972CE0"/>
    <w:rsid w:val="0097742C"/>
    <w:rsid w:val="009A3D30"/>
    <w:rsid w:val="009C13BE"/>
    <w:rsid w:val="009D0810"/>
    <w:rsid w:val="009D2A99"/>
    <w:rsid w:val="009D6348"/>
    <w:rsid w:val="009D6F51"/>
    <w:rsid w:val="009E5007"/>
    <w:rsid w:val="009E613F"/>
    <w:rsid w:val="009F042B"/>
    <w:rsid w:val="00A03FD6"/>
    <w:rsid w:val="00A04CF4"/>
    <w:rsid w:val="00A116A8"/>
    <w:rsid w:val="00A11BBA"/>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44A"/>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20C25"/>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B1FC8"/>
    <w:rsid w:val="00BB43B5"/>
    <w:rsid w:val="00BD6291"/>
    <w:rsid w:val="00BD6EF3"/>
    <w:rsid w:val="00BE3AAE"/>
    <w:rsid w:val="00BE69C3"/>
    <w:rsid w:val="00BE6FA0"/>
    <w:rsid w:val="00C05E12"/>
    <w:rsid w:val="00C1165E"/>
    <w:rsid w:val="00C17699"/>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0CBE"/>
    <w:rsid w:val="00D1576B"/>
    <w:rsid w:val="00D21D8E"/>
    <w:rsid w:val="00D25120"/>
    <w:rsid w:val="00D419CB"/>
    <w:rsid w:val="00D44350"/>
    <w:rsid w:val="00D44E3F"/>
    <w:rsid w:val="00D51BB8"/>
    <w:rsid w:val="00D525F5"/>
    <w:rsid w:val="00D535D0"/>
    <w:rsid w:val="00D577D8"/>
    <w:rsid w:val="00D62C78"/>
    <w:rsid w:val="00D8121C"/>
    <w:rsid w:val="00D81703"/>
    <w:rsid w:val="00D81B35"/>
    <w:rsid w:val="00D82929"/>
    <w:rsid w:val="00D84214"/>
    <w:rsid w:val="00D90B86"/>
    <w:rsid w:val="00D943E5"/>
    <w:rsid w:val="00D94BB8"/>
    <w:rsid w:val="00DA0C9C"/>
    <w:rsid w:val="00DA1AE0"/>
    <w:rsid w:val="00DA2C2F"/>
    <w:rsid w:val="00DA4259"/>
    <w:rsid w:val="00DC29DD"/>
    <w:rsid w:val="00DC33E2"/>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3D22"/>
    <w:rsid w:val="00EB52D8"/>
    <w:rsid w:val="00EB6A42"/>
    <w:rsid w:val="00EC09B9"/>
    <w:rsid w:val="00EC0AD3"/>
    <w:rsid w:val="00EC7722"/>
    <w:rsid w:val="00ED048C"/>
    <w:rsid w:val="00EE5F37"/>
    <w:rsid w:val="00EE60E9"/>
    <w:rsid w:val="00EF04ED"/>
    <w:rsid w:val="00EF38AF"/>
    <w:rsid w:val="00EF7F56"/>
    <w:rsid w:val="00F00143"/>
    <w:rsid w:val="00F055F8"/>
    <w:rsid w:val="00F10CB4"/>
    <w:rsid w:val="00F11B3D"/>
    <w:rsid w:val="00F12CD0"/>
    <w:rsid w:val="00F146AC"/>
    <w:rsid w:val="00F14763"/>
    <w:rsid w:val="00F15DE1"/>
    <w:rsid w:val="00F16212"/>
    <w:rsid w:val="00F16602"/>
    <w:rsid w:val="00F230AE"/>
    <w:rsid w:val="00F25B80"/>
    <w:rsid w:val="00F2685F"/>
    <w:rsid w:val="00F300E6"/>
    <w:rsid w:val="00F33A34"/>
    <w:rsid w:val="00F350C8"/>
    <w:rsid w:val="00F53B4A"/>
    <w:rsid w:val="00F568F2"/>
    <w:rsid w:val="00F60B7F"/>
    <w:rsid w:val="00F827A1"/>
    <w:rsid w:val="00F84613"/>
    <w:rsid w:val="00F85668"/>
    <w:rsid w:val="00F8654D"/>
    <w:rsid w:val="00F900C9"/>
    <w:rsid w:val="00F92C96"/>
    <w:rsid w:val="00F97D1C"/>
    <w:rsid w:val="00F97E51"/>
    <w:rsid w:val="00FA0D4E"/>
    <w:rsid w:val="00FA2B24"/>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18E71"/>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81d39d95-f030-456b-a17d-cf6fcb917bf2">DPM</DPM_x0020_Author>
    <DPM_x0020_File_x0020_name xmlns="81d39d95-f030-456b-a17d-cf6fcb917bf2">T22-WTSA.24-C-0037!A39!MSW-A</DPM_x0020_File_x0020_name>
    <DPM_x0020_Version xmlns="81d39d95-f030-456b-a17d-cf6fcb917bf2">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d39d95-f030-456b-a17d-cf6fcb917bf2" targetNamespace="http://schemas.microsoft.com/office/2006/metadata/properties" ma:root="true" ma:fieldsID="d41af5c836d734370eb92e7ee5f83852" ns2:_="" ns3:_="">
    <xsd:import namespace="996b2e75-67fd-4955-a3b0-5ab9934cb50b"/>
    <xsd:import namespace="81d39d95-f030-456b-a17d-cf6fcb917bf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d39d95-f030-456b-a17d-cf6fcb917bf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1d39d95-f030-456b-a17d-cf6fcb917bf2"/>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d39d95-f030-456b-a17d-cf6fcb917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980</Words>
  <Characters>5423</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T22-WTSA.24-C-0037!A39!MSW-A</vt:lpstr>
      <vt:lpstr>T22-WTSA.24-C-0037!A39!MSW-A</vt:lpstr>
    </vt:vector>
  </TitlesOfParts>
  <Manager>General Secretariat - Pool</Manager>
  <Company>International Telecommunication Union (ITU)</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T22-WTSA.24-C-0037!A39!MSW-A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5</cp:revision>
  <cp:lastPrinted>2019-06-26T10:10:00Z</cp:lastPrinted>
  <dcterms:created xsi:type="dcterms:W3CDTF">2024-10-07T07:59:00Z</dcterms:created>
  <dcterms:modified xsi:type="dcterms:W3CDTF">2024-10-07T13:49:00Z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