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E4018E" w14:paraId="4D033FD2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3D016064" w14:textId="77777777" w:rsidR="00D2023F" w:rsidRPr="00E4018E" w:rsidRDefault="0018215C" w:rsidP="00EB5053">
            <w:pPr>
              <w:rPr>
                <w:lang w:val="es-ES"/>
              </w:rPr>
            </w:pPr>
            <w:r w:rsidRPr="00E4018E">
              <w:rPr>
                <w:noProof/>
                <w:lang w:val="es-ES"/>
              </w:rPr>
              <w:drawing>
                <wp:inline distT="0" distB="0" distL="0" distR="0" wp14:anchorId="18146D05" wp14:editId="62A7288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8DBA382" w14:textId="77777777" w:rsidR="00E610A4" w:rsidRPr="00E4018E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E4018E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1D1CA17F" w14:textId="77777777" w:rsidR="00D2023F" w:rsidRPr="00E4018E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E4018E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E6C54EF" w14:textId="77777777" w:rsidR="00D2023F" w:rsidRPr="00E4018E" w:rsidRDefault="00D2023F" w:rsidP="00C30155">
            <w:pPr>
              <w:spacing w:before="0"/>
              <w:rPr>
                <w:lang w:val="es-ES"/>
              </w:rPr>
            </w:pPr>
            <w:r w:rsidRPr="00E4018E">
              <w:rPr>
                <w:noProof/>
                <w:lang w:val="es-ES" w:eastAsia="zh-CN"/>
              </w:rPr>
              <w:drawing>
                <wp:inline distT="0" distB="0" distL="0" distR="0" wp14:anchorId="41CB1A2A" wp14:editId="27B7838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E4018E" w14:paraId="6E9A6B4F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0B443D1" w14:textId="77777777" w:rsidR="00D2023F" w:rsidRPr="00E4018E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E4018E" w14:paraId="249BB9D6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513B35B" w14:textId="77777777" w:rsidR="00931298" w:rsidRPr="00E4018E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FD47510" w14:textId="77777777" w:rsidR="00931298" w:rsidRPr="00E4018E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E4018E" w14:paraId="2D3EF469" w14:textId="77777777" w:rsidTr="008E0616">
        <w:trPr>
          <w:cantSplit/>
        </w:trPr>
        <w:tc>
          <w:tcPr>
            <w:tcW w:w="6237" w:type="dxa"/>
            <w:gridSpan w:val="2"/>
          </w:tcPr>
          <w:p w14:paraId="0535041D" w14:textId="77777777" w:rsidR="00752D4D" w:rsidRPr="00E4018E" w:rsidRDefault="006C136E" w:rsidP="00C30155">
            <w:pPr>
              <w:pStyle w:val="Committee"/>
              <w:rPr>
                <w:lang w:val="es-ES"/>
              </w:rPr>
            </w:pPr>
            <w:r w:rsidRPr="00E4018E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5DEB76F1" w14:textId="77777777" w:rsidR="00752D4D" w:rsidRPr="00E4018E" w:rsidRDefault="006C136E" w:rsidP="00A52D1A">
            <w:pPr>
              <w:pStyle w:val="Docnumber"/>
              <w:rPr>
                <w:lang w:val="es-ES"/>
              </w:rPr>
            </w:pPr>
            <w:r w:rsidRPr="00E4018E">
              <w:rPr>
                <w:lang w:val="es-ES"/>
              </w:rPr>
              <w:t>Addéndum 26 al</w:t>
            </w:r>
            <w:r w:rsidRPr="00E4018E">
              <w:rPr>
                <w:lang w:val="es-ES"/>
              </w:rPr>
              <w:br/>
              <w:t>Documento 37</w:t>
            </w:r>
            <w:r w:rsidR="00D34410" w:rsidRPr="00E4018E">
              <w:rPr>
                <w:lang w:val="es-ES"/>
              </w:rPr>
              <w:t>-S</w:t>
            </w:r>
          </w:p>
        </w:tc>
      </w:tr>
      <w:tr w:rsidR="00931298" w:rsidRPr="00E4018E" w14:paraId="35F33A80" w14:textId="77777777" w:rsidTr="008E0616">
        <w:trPr>
          <w:cantSplit/>
        </w:trPr>
        <w:tc>
          <w:tcPr>
            <w:tcW w:w="6237" w:type="dxa"/>
            <w:gridSpan w:val="2"/>
          </w:tcPr>
          <w:p w14:paraId="63333975" w14:textId="77777777" w:rsidR="00931298" w:rsidRPr="00E4018E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3F302B20" w14:textId="77777777" w:rsidR="00931298" w:rsidRPr="00E4018E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E4018E">
              <w:rPr>
                <w:sz w:val="20"/>
                <w:szCs w:val="16"/>
                <w:lang w:val="es-ES"/>
              </w:rPr>
              <w:t>22 de septiembre de 2024</w:t>
            </w:r>
          </w:p>
        </w:tc>
      </w:tr>
      <w:tr w:rsidR="00931298" w:rsidRPr="00E4018E" w14:paraId="3CD9DEF5" w14:textId="77777777" w:rsidTr="008E0616">
        <w:trPr>
          <w:cantSplit/>
        </w:trPr>
        <w:tc>
          <w:tcPr>
            <w:tcW w:w="6237" w:type="dxa"/>
            <w:gridSpan w:val="2"/>
          </w:tcPr>
          <w:p w14:paraId="4F180C1A" w14:textId="77777777" w:rsidR="00931298" w:rsidRPr="00E4018E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689525D9" w14:textId="77777777" w:rsidR="00931298" w:rsidRPr="00E4018E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E4018E">
              <w:rPr>
                <w:sz w:val="20"/>
                <w:szCs w:val="16"/>
                <w:lang w:val="es-ES"/>
              </w:rPr>
              <w:t>Original: inglés</w:t>
            </w:r>
          </w:p>
        </w:tc>
      </w:tr>
      <w:tr w:rsidR="00931298" w:rsidRPr="00E4018E" w14:paraId="189AF89E" w14:textId="77777777" w:rsidTr="008E0616">
        <w:trPr>
          <w:cantSplit/>
        </w:trPr>
        <w:tc>
          <w:tcPr>
            <w:tcW w:w="9811" w:type="dxa"/>
            <w:gridSpan w:val="4"/>
          </w:tcPr>
          <w:p w14:paraId="0D4B30C7" w14:textId="77777777" w:rsidR="00931298" w:rsidRPr="00E4018E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E4018E" w14:paraId="2460AD66" w14:textId="77777777" w:rsidTr="008E0616">
        <w:trPr>
          <w:cantSplit/>
        </w:trPr>
        <w:tc>
          <w:tcPr>
            <w:tcW w:w="9811" w:type="dxa"/>
            <w:gridSpan w:val="4"/>
          </w:tcPr>
          <w:p w14:paraId="0C409354" w14:textId="77777777" w:rsidR="00931298" w:rsidRPr="00E4018E" w:rsidRDefault="006C136E" w:rsidP="00C30155">
            <w:pPr>
              <w:pStyle w:val="Source"/>
              <w:rPr>
                <w:lang w:val="es-ES"/>
              </w:rPr>
            </w:pPr>
            <w:r w:rsidRPr="00E4018E">
              <w:rPr>
                <w:lang w:val="es-ES"/>
              </w:rPr>
              <w:t>Administraciones miembro de la Telecomunidad Asia-Pacífico</w:t>
            </w:r>
          </w:p>
        </w:tc>
      </w:tr>
      <w:tr w:rsidR="00931298" w:rsidRPr="00E4018E" w14:paraId="1EB92F8E" w14:textId="77777777" w:rsidTr="008E0616">
        <w:trPr>
          <w:cantSplit/>
        </w:trPr>
        <w:tc>
          <w:tcPr>
            <w:tcW w:w="9811" w:type="dxa"/>
            <w:gridSpan w:val="4"/>
          </w:tcPr>
          <w:p w14:paraId="2BE8D828" w14:textId="5A6B7D02" w:rsidR="00931298" w:rsidRPr="00E4018E" w:rsidRDefault="00690E5A" w:rsidP="00C30155">
            <w:pPr>
              <w:pStyle w:val="Title1"/>
              <w:rPr>
                <w:lang w:val="es-ES"/>
              </w:rPr>
            </w:pPr>
            <w:r w:rsidRPr="00E4018E">
              <w:rPr>
                <w:lang w:val="es-ES"/>
              </w:rPr>
              <w:t>PROPUESTA DE SUPRESIÓN DE LA RESOLUCIÓN</w:t>
            </w:r>
            <w:r w:rsidR="006C136E" w:rsidRPr="00E4018E">
              <w:rPr>
                <w:lang w:val="es-ES"/>
              </w:rPr>
              <w:t xml:space="preserve"> 80</w:t>
            </w:r>
          </w:p>
        </w:tc>
      </w:tr>
      <w:tr w:rsidR="00657CDA" w:rsidRPr="00E4018E" w14:paraId="6B129E5A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416216D4" w14:textId="77777777" w:rsidR="00657CDA" w:rsidRPr="00E4018E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E4018E" w14:paraId="1124A9CA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4451CCA5" w14:textId="77777777" w:rsidR="00657CDA" w:rsidRPr="00E4018E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469267AD" w14:textId="77777777" w:rsidR="00931298" w:rsidRPr="00E4018E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E4018E" w14:paraId="6CBDFB75" w14:textId="77777777" w:rsidTr="00690E5A">
        <w:trPr>
          <w:cantSplit/>
        </w:trPr>
        <w:tc>
          <w:tcPr>
            <w:tcW w:w="1885" w:type="dxa"/>
          </w:tcPr>
          <w:p w14:paraId="79A021A6" w14:textId="77777777" w:rsidR="00931298" w:rsidRPr="00E4018E" w:rsidRDefault="00E610A4" w:rsidP="00C30155">
            <w:pPr>
              <w:rPr>
                <w:lang w:val="es-ES"/>
              </w:rPr>
            </w:pPr>
            <w:r w:rsidRPr="00E4018E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754" w:type="dxa"/>
            <w:gridSpan w:val="2"/>
          </w:tcPr>
          <w:p w14:paraId="0F37DA4A" w14:textId="00D69A38" w:rsidR="00931298" w:rsidRPr="00E4018E" w:rsidRDefault="00690E5A" w:rsidP="00690E5A">
            <w:pPr>
              <w:pStyle w:val="Abstract"/>
              <w:rPr>
                <w:lang w:val="es-ES"/>
              </w:rPr>
            </w:pPr>
            <w:r w:rsidRPr="00E4018E">
              <w:rPr>
                <w:color w:val="000000" w:themeColor="text1"/>
                <w:lang w:val="es-ES"/>
              </w:rPr>
              <w:t xml:space="preserve">Las Administraciones de la APT proponen la supresión de la Resolución 80 de la AMNT, </w:t>
            </w:r>
            <w:r w:rsidR="00CE6462" w:rsidRPr="00E4018E">
              <w:rPr>
                <w:color w:val="000000" w:themeColor="text1"/>
                <w:lang w:val="es-ES"/>
              </w:rPr>
              <w:t>"</w:t>
            </w:r>
            <w:r w:rsidRPr="00E4018E">
              <w:rPr>
                <w:color w:val="000000" w:themeColor="text1"/>
                <w:lang w:val="es-ES"/>
              </w:rPr>
              <w:t>Reconocimiento de la participación activa de los Miembros en los resultados del Sector de Normalización de las Telecomunicaciones de la</w:t>
            </w:r>
            <w:r w:rsidR="00CE6462" w:rsidRPr="00E4018E">
              <w:rPr>
                <w:lang w:val="es-ES"/>
              </w:rPr>
              <w:t> </w:t>
            </w:r>
            <w:r w:rsidRPr="00E4018E">
              <w:rPr>
                <w:color w:val="000000" w:themeColor="text1"/>
                <w:lang w:val="es-ES"/>
              </w:rPr>
              <w:t>UIT</w:t>
            </w:r>
            <w:r w:rsidR="00CE6462" w:rsidRPr="00E4018E">
              <w:rPr>
                <w:color w:val="000000" w:themeColor="text1"/>
                <w:lang w:val="es-ES"/>
              </w:rPr>
              <w:t>"</w:t>
            </w:r>
            <w:r w:rsidRPr="00E4018E">
              <w:rPr>
                <w:color w:val="000000" w:themeColor="text1"/>
                <w:lang w:val="es-ES"/>
              </w:rPr>
              <w:t>, al haberse alcanzado el objetivo de la Resolución.</w:t>
            </w:r>
          </w:p>
        </w:tc>
      </w:tr>
      <w:tr w:rsidR="00690E5A" w:rsidRPr="00E4018E" w14:paraId="3E7B1529" w14:textId="77777777" w:rsidTr="00690E5A">
        <w:trPr>
          <w:cantSplit/>
        </w:trPr>
        <w:tc>
          <w:tcPr>
            <w:tcW w:w="1885" w:type="dxa"/>
          </w:tcPr>
          <w:p w14:paraId="4F64A8A5" w14:textId="77777777" w:rsidR="00690E5A" w:rsidRPr="00E4018E" w:rsidRDefault="00690E5A" w:rsidP="00690E5A">
            <w:pPr>
              <w:rPr>
                <w:b/>
                <w:bCs/>
                <w:szCs w:val="24"/>
                <w:lang w:val="es-ES"/>
              </w:rPr>
            </w:pPr>
            <w:r w:rsidRPr="00E4018E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877" w:type="dxa"/>
          </w:tcPr>
          <w:p w14:paraId="63A6A691" w14:textId="533285C4" w:rsidR="00690E5A" w:rsidRPr="00E4018E" w:rsidRDefault="00690E5A" w:rsidP="00690E5A">
            <w:pPr>
              <w:rPr>
                <w:lang w:val="es-ES"/>
              </w:rPr>
            </w:pPr>
            <w:r w:rsidRPr="00E4018E">
              <w:rPr>
                <w:lang w:val="es-ES"/>
              </w:rPr>
              <w:t xml:space="preserve">Sr. Masanori Kondo </w:t>
            </w:r>
            <w:r w:rsidRPr="00E4018E">
              <w:rPr>
                <w:lang w:val="es-ES"/>
              </w:rPr>
              <w:br/>
              <w:t>Secretario General</w:t>
            </w:r>
            <w:r w:rsidRPr="00E4018E">
              <w:rPr>
                <w:lang w:val="es-ES"/>
              </w:rPr>
              <w:br/>
              <w:t>Telecomunidad Asia-Pacífico</w:t>
            </w:r>
          </w:p>
        </w:tc>
        <w:tc>
          <w:tcPr>
            <w:tcW w:w="3877" w:type="dxa"/>
          </w:tcPr>
          <w:p w14:paraId="0B5106B5" w14:textId="7D605C01" w:rsidR="00690E5A" w:rsidRPr="00E4018E" w:rsidRDefault="00690E5A" w:rsidP="00690E5A">
            <w:pPr>
              <w:rPr>
                <w:lang w:val="es-ES"/>
              </w:rPr>
            </w:pPr>
            <w:r w:rsidRPr="00E4018E">
              <w:rPr>
                <w:lang w:val="es-ES"/>
              </w:rPr>
              <w:t xml:space="preserve">Correo-e: </w:t>
            </w:r>
            <w:hyperlink r:id="rId14" w:history="1">
              <w:r w:rsidRPr="00E4018E">
                <w:rPr>
                  <w:rStyle w:val="Hyperlink"/>
                  <w:lang w:val="es-ES"/>
                </w:rPr>
                <w:t>aptwtsa@apt.int</w:t>
              </w:r>
            </w:hyperlink>
          </w:p>
        </w:tc>
      </w:tr>
    </w:tbl>
    <w:p w14:paraId="66643F3D" w14:textId="1CCF9070" w:rsidR="00690E5A" w:rsidRPr="00E4018E" w:rsidRDefault="00690E5A" w:rsidP="00690E5A">
      <w:pPr>
        <w:pStyle w:val="Headingb"/>
        <w:rPr>
          <w:lang w:val="es-ES"/>
        </w:rPr>
      </w:pPr>
      <w:r w:rsidRPr="00E4018E">
        <w:rPr>
          <w:lang w:val="es-ES"/>
        </w:rPr>
        <w:t>Introducción</w:t>
      </w:r>
    </w:p>
    <w:p w14:paraId="2EDAEBF1" w14:textId="7A2F26E2" w:rsidR="00690E5A" w:rsidRPr="00E4018E" w:rsidRDefault="00690E5A" w:rsidP="00690E5A">
      <w:pPr>
        <w:rPr>
          <w:lang w:val="es-ES"/>
        </w:rPr>
      </w:pPr>
      <w:r w:rsidRPr="00E4018E">
        <w:rPr>
          <w:lang w:val="es-ES"/>
        </w:rPr>
        <w:t xml:space="preserve">La Resolución 80, </w:t>
      </w:r>
      <w:r w:rsidR="00CE6462" w:rsidRPr="00E4018E">
        <w:rPr>
          <w:lang w:val="es-ES"/>
        </w:rPr>
        <w:t>"</w:t>
      </w:r>
      <w:r w:rsidRPr="00E4018E">
        <w:rPr>
          <w:color w:val="000000" w:themeColor="text1"/>
          <w:lang w:val="es-ES"/>
        </w:rPr>
        <w:t>Reconocimiento de la participación activa de los Miembros en los resultados del Sector de Normalización de las Telecomunicaciones de la UIT</w:t>
      </w:r>
      <w:r w:rsidR="00CE6462" w:rsidRPr="00E4018E">
        <w:rPr>
          <w:color w:val="000000" w:themeColor="text1"/>
          <w:lang w:val="es-ES"/>
        </w:rPr>
        <w:t>"</w:t>
      </w:r>
      <w:r w:rsidRPr="00E4018E">
        <w:rPr>
          <w:lang w:val="es-ES"/>
        </w:rPr>
        <w:t xml:space="preserve"> se adoptó en la AMNT-12 para reconocer la contribución destacada de los Miembros a la labor del UIT-T.</w:t>
      </w:r>
    </w:p>
    <w:p w14:paraId="1F9A3BCB" w14:textId="7DF3B0B9" w:rsidR="00690E5A" w:rsidRPr="00E4018E" w:rsidRDefault="00690E5A" w:rsidP="00690E5A">
      <w:pPr>
        <w:rPr>
          <w:lang w:val="es-ES"/>
        </w:rPr>
      </w:pPr>
      <w:r w:rsidRPr="00E4018E">
        <w:rPr>
          <w:lang w:val="es-ES"/>
        </w:rPr>
        <w:t>Desde entonces, se han logrado progresos en la aplicación de la Resolución 80, como la revisión de las plantillas de contribuciones del UIT-T, la base de datos del programa de trabajo del UIT-T con información detallada sobre los editores y el progreso de los trabajos pertinentes, etc.</w:t>
      </w:r>
    </w:p>
    <w:p w14:paraId="7AF499E8" w14:textId="47505FE1" w:rsidR="00690E5A" w:rsidRPr="00E4018E" w:rsidRDefault="00690E5A" w:rsidP="00690E5A">
      <w:pPr>
        <w:rPr>
          <w:lang w:val="es-ES"/>
        </w:rPr>
      </w:pPr>
      <w:r w:rsidRPr="00E4018E">
        <w:rPr>
          <w:lang w:val="es-ES"/>
        </w:rPr>
        <w:t xml:space="preserve">Por otra parte, en la reunión del GANT de enero de 2024, se recibió una declaración de coordinación de la CE 9 del UIT-T (véase el documento </w:t>
      </w:r>
      <w:hyperlink r:id="rId15" w:history="1">
        <w:r w:rsidRPr="00E4018E">
          <w:rPr>
            <w:rStyle w:val="Hyperlink"/>
            <w:lang w:val="es-ES"/>
          </w:rPr>
          <w:t>TSAG-TD425</w:t>
        </w:r>
      </w:hyperlink>
      <w:r w:rsidRPr="00E4018E">
        <w:rPr>
          <w:lang w:val="es-ES"/>
        </w:rPr>
        <w:t xml:space="preserve">) en la que se sugería una posible actualización de la Resolución 80 o la fusión del concepto y propósito de la misma, dado que no quedaban acciones </w:t>
      </w:r>
      <w:r w:rsidR="00CC3E6B" w:rsidRPr="00E4018E">
        <w:rPr>
          <w:lang w:val="es-ES"/>
        </w:rPr>
        <w:t>pendientes</w:t>
      </w:r>
      <w:r w:rsidRPr="00E4018E">
        <w:rPr>
          <w:lang w:val="es-ES"/>
        </w:rPr>
        <w:t xml:space="preserve">. Por añadidura, el GR-MT en el periodo 2016-2020 informó de que la Resolución 80 se había cumplido y no quedaban acciones por tomar (véase los documentos </w:t>
      </w:r>
      <w:hyperlink r:id="rId16" w:history="1">
        <w:r w:rsidRPr="00E4018E">
          <w:rPr>
            <w:rStyle w:val="Hyperlink"/>
            <w:lang w:val="es-ES"/>
          </w:rPr>
          <w:t>TD460R1</w:t>
        </w:r>
      </w:hyperlink>
      <w:r w:rsidRPr="00E4018E">
        <w:rPr>
          <w:u w:val="single"/>
          <w:lang w:val="es-ES"/>
        </w:rPr>
        <w:t xml:space="preserve"> </w:t>
      </w:r>
      <w:r w:rsidRPr="00E4018E">
        <w:rPr>
          <w:lang w:val="es-ES"/>
        </w:rPr>
        <w:t xml:space="preserve">(2016) y </w:t>
      </w:r>
      <w:hyperlink r:id="rId17" w:history="1">
        <w:r w:rsidRPr="00E4018E">
          <w:rPr>
            <w:rStyle w:val="Hyperlink"/>
            <w:lang w:val="es-ES"/>
          </w:rPr>
          <w:t>TSAG-TD452</w:t>
        </w:r>
      </w:hyperlink>
      <w:r w:rsidRPr="00E4018E">
        <w:rPr>
          <w:lang w:val="es-ES"/>
        </w:rPr>
        <w:t>).</w:t>
      </w:r>
    </w:p>
    <w:p w14:paraId="14C15E35" w14:textId="37294BE7" w:rsidR="00690E5A" w:rsidRPr="00E4018E" w:rsidRDefault="00690E5A" w:rsidP="00690E5A">
      <w:pPr>
        <w:pStyle w:val="Headingb"/>
        <w:rPr>
          <w:lang w:val="es-ES"/>
        </w:rPr>
      </w:pPr>
      <w:r w:rsidRPr="00E4018E">
        <w:rPr>
          <w:lang w:val="es-ES"/>
        </w:rPr>
        <w:t>Propuesta</w:t>
      </w:r>
    </w:p>
    <w:p w14:paraId="191F0B75" w14:textId="19B2B4CF" w:rsidR="00CE6462" w:rsidRPr="00E4018E" w:rsidRDefault="00690E5A" w:rsidP="00690E5A">
      <w:pPr>
        <w:rPr>
          <w:lang w:val="es-ES"/>
        </w:rPr>
      </w:pPr>
      <w:r w:rsidRPr="00E4018E">
        <w:rPr>
          <w:lang w:val="es-ES"/>
        </w:rPr>
        <w:t>Basándose en lo anterior, las Administraciones de la APT proponen la supresión de la Resolución</w:t>
      </w:r>
      <w:r w:rsidR="00CE6462" w:rsidRPr="00E4018E">
        <w:rPr>
          <w:lang w:val="es-ES"/>
        </w:rPr>
        <w:t> </w:t>
      </w:r>
      <w:r w:rsidRPr="00E4018E">
        <w:rPr>
          <w:lang w:val="es-ES"/>
        </w:rPr>
        <w:t>80.</w:t>
      </w:r>
    </w:p>
    <w:p w14:paraId="5B801A1D" w14:textId="717B0FEE" w:rsidR="00931298" w:rsidRPr="00E4018E" w:rsidRDefault="009F4801" w:rsidP="00690E5A">
      <w:pPr>
        <w:rPr>
          <w:lang w:val="es-ES"/>
        </w:rPr>
      </w:pPr>
      <w:r w:rsidRPr="00E4018E">
        <w:rPr>
          <w:lang w:val="es-ES"/>
        </w:rPr>
        <w:br w:type="page"/>
      </w:r>
    </w:p>
    <w:p w14:paraId="5C76AFB0" w14:textId="77777777" w:rsidR="006F2B38" w:rsidRPr="00E4018E" w:rsidRDefault="006F276E">
      <w:pPr>
        <w:pStyle w:val="Proposal"/>
        <w:rPr>
          <w:lang w:val="es-ES"/>
        </w:rPr>
      </w:pPr>
      <w:r w:rsidRPr="00E4018E">
        <w:rPr>
          <w:lang w:val="es-ES"/>
        </w:rPr>
        <w:lastRenderedPageBreak/>
        <w:t>SUP</w:t>
      </w:r>
      <w:r w:rsidRPr="00E4018E">
        <w:rPr>
          <w:lang w:val="es-ES"/>
        </w:rPr>
        <w:tab/>
        <w:t>APT/37A26/1</w:t>
      </w:r>
    </w:p>
    <w:p w14:paraId="503ED505" w14:textId="77777777" w:rsidR="00BB3636" w:rsidRPr="00E4018E" w:rsidRDefault="006F276E" w:rsidP="00770E19">
      <w:pPr>
        <w:pStyle w:val="ResNo"/>
        <w:rPr>
          <w:b/>
          <w:caps w:val="0"/>
          <w:lang w:val="es-ES"/>
        </w:rPr>
      </w:pPr>
      <w:bookmarkStart w:id="0" w:name="_Toc111990536"/>
      <w:r w:rsidRPr="00E4018E">
        <w:rPr>
          <w:lang w:val="es-ES"/>
        </w:rPr>
        <w:t xml:space="preserve">RESOLUCIÓN </w:t>
      </w:r>
      <w:r w:rsidRPr="00E4018E">
        <w:rPr>
          <w:rStyle w:val="href"/>
          <w:lang w:val="es-ES"/>
        </w:rPr>
        <w:t>80</w:t>
      </w:r>
      <w:r w:rsidRPr="00E4018E">
        <w:rPr>
          <w:lang w:val="es-ES"/>
        </w:rPr>
        <w:t xml:space="preserve"> </w:t>
      </w:r>
      <w:r w:rsidRPr="00E4018E">
        <w:rPr>
          <w:bCs/>
          <w:lang w:val="es-ES"/>
        </w:rPr>
        <w:t>(R</w:t>
      </w:r>
      <w:r w:rsidRPr="00E4018E">
        <w:rPr>
          <w:bCs/>
          <w:caps w:val="0"/>
          <w:lang w:val="es-ES"/>
        </w:rPr>
        <w:t>ev. Hammamet</w:t>
      </w:r>
      <w:r w:rsidRPr="00E4018E">
        <w:rPr>
          <w:bCs/>
          <w:lang w:val="es-ES"/>
        </w:rPr>
        <w:t>, 2016)</w:t>
      </w:r>
      <w:bookmarkEnd w:id="0"/>
    </w:p>
    <w:p w14:paraId="157EF1BE" w14:textId="77777777" w:rsidR="00BB3636" w:rsidRPr="00E4018E" w:rsidRDefault="006F276E" w:rsidP="00770E19">
      <w:pPr>
        <w:pStyle w:val="Restitle"/>
        <w:rPr>
          <w:lang w:val="es-ES"/>
        </w:rPr>
      </w:pPr>
      <w:bookmarkStart w:id="1" w:name="_Toc111990537"/>
      <w:r w:rsidRPr="00E4018E">
        <w:rPr>
          <w:lang w:val="es-ES"/>
        </w:rPr>
        <w:t xml:space="preserve">Reconocimiento de la participación activa de los Miembros </w:t>
      </w:r>
      <w:r w:rsidRPr="00E4018E">
        <w:rPr>
          <w:lang w:val="es-ES"/>
        </w:rPr>
        <w:br/>
        <w:t xml:space="preserve">en los resultados del Sector de Normalización </w:t>
      </w:r>
      <w:r w:rsidRPr="00E4018E">
        <w:rPr>
          <w:lang w:val="es-ES"/>
        </w:rPr>
        <w:br/>
        <w:t>de las Telecomunicaciones de la UIT</w:t>
      </w:r>
      <w:bookmarkEnd w:id="1"/>
    </w:p>
    <w:p w14:paraId="420CC018" w14:textId="77777777" w:rsidR="00BB3636" w:rsidRPr="00E4018E" w:rsidRDefault="006F276E" w:rsidP="00770E19">
      <w:pPr>
        <w:pStyle w:val="Resref"/>
        <w:rPr>
          <w:lang w:val="es-ES"/>
        </w:rPr>
      </w:pPr>
      <w:r w:rsidRPr="00E4018E">
        <w:rPr>
          <w:lang w:val="es-ES"/>
        </w:rPr>
        <w:t>(Dubái, 2012; Hammamet, 2016)</w:t>
      </w:r>
    </w:p>
    <w:p w14:paraId="7E3229CA" w14:textId="77777777" w:rsidR="00BB3636" w:rsidRPr="00E4018E" w:rsidRDefault="006F276E" w:rsidP="00770E19">
      <w:pPr>
        <w:pStyle w:val="Normalaftertitle0"/>
        <w:rPr>
          <w:lang w:val="es-ES"/>
        </w:rPr>
      </w:pPr>
      <w:r w:rsidRPr="00E4018E">
        <w:rPr>
          <w:lang w:val="es-ES"/>
        </w:rPr>
        <w:t>La Asamblea Mundial de Normalización de las Telecomunicaciones (Hammamet, 2016),</w:t>
      </w:r>
    </w:p>
    <w:p w14:paraId="133673A4" w14:textId="77777777" w:rsidR="00CE6462" w:rsidRPr="00E4018E" w:rsidRDefault="006F276E" w:rsidP="00411C49">
      <w:pPr>
        <w:pStyle w:val="Reasons"/>
        <w:rPr>
          <w:lang w:val="es-ES"/>
        </w:rPr>
      </w:pPr>
      <w:r w:rsidRPr="00E4018E">
        <w:rPr>
          <w:b/>
          <w:lang w:val="es-ES"/>
        </w:rPr>
        <w:t>Motivos:</w:t>
      </w:r>
      <w:r w:rsidRPr="00E4018E">
        <w:rPr>
          <w:lang w:val="es-ES"/>
        </w:rPr>
        <w:tab/>
      </w:r>
      <w:r w:rsidR="00CC3E6B" w:rsidRPr="00E4018E">
        <w:rPr>
          <w:lang w:val="es-ES"/>
        </w:rPr>
        <w:t>La Resolución 80 se adoptó para reconocer la participación activa de los Miembros en los productos del UIT-T. Desde entonces, se han desplegado importantes esfuerzos para lograr el objetivo de esta Resolución. Como dicho objetivo se ha cumplido, se propone suprimir la Resolución 80.</w:t>
      </w:r>
    </w:p>
    <w:p w14:paraId="2AFF0B82" w14:textId="77777777" w:rsidR="00CE6462" w:rsidRPr="00E4018E" w:rsidRDefault="00CE6462">
      <w:pPr>
        <w:jc w:val="center"/>
        <w:rPr>
          <w:lang w:val="es-ES"/>
        </w:rPr>
      </w:pPr>
      <w:r w:rsidRPr="00E4018E">
        <w:rPr>
          <w:lang w:val="es-ES"/>
        </w:rPr>
        <w:t>______________</w:t>
      </w:r>
    </w:p>
    <w:sectPr w:rsidR="00CE6462" w:rsidRPr="00E4018E">
      <w:headerReference w:type="default" r:id="rId18"/>
      <w:footerReference w:type="even" r:id="rId1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FA6D" w14:textId="77777777" w:rsidR="00AD1937" w:rsidRDefault="00AD1937">
      <w:r>
        <w:separator/>
      </w:r>
    </w:p>
  </w:endnote>
  <w:endnote w:type="continuationSeparator" w:id="0">
    <w:p w14:paraId="5C2F835E" w14:textId="77777777" w:rsidR="00AD1937" w:rsidRDefault="00AD1937">
      <w:r>
        <w:continuationSeparator/>
      </w:r>
    </w:p>
  </w:endnote>
  <w:endnote w:type="continuationNotice" w:id="1">
    <w:p w14:paraId="2A1AB44D" w14:textId="77777777" w:rsidR="00AD1937" w:rsidRDefault="00AD193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9E6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95600AD" w14:textId="67CC5AD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7ECE">
      <w:rPr>
        <w:noProof/>
      </w:rPr>
      <w:t>11.10.24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6166" w14:textId="77777777" w:rsidR="00AD1937" w:rsidRDefault="00AD1937">
      <w:r>
        <w:rPr>
          <w:b/>
        </w:rPr>
        <w:t>_______________</w:t>
      </w:r>
    </w:p>
  </w:footnote>
  <w:footnote w:type="continuationSeparator" w:id="0">
    <w:p w14:paraId="214E8DE7" w14:textId="77777777" w:rsidR="00AD1937" w:rsidRDefault="00AD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DD44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WTSA-24/37(Add.26)-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75183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E63AE"/>
    <w:rsid w:val="002F2D0C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B208B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0E5A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6F276E"/>
    <w:rsid w:val="006F2B38"/>
    <w:rsid w:val="006F7943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54FC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4FDC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07ECE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4B60"/>
    <w:rsid w:val="0095691C"/>
    <w:rsid w:val="00961DA9"/>
    <w:rsid w:val="00974965"/>
    <w:rsid w:val="009B2216"/>
    <w:rsid w:val="009B59BB"/>
    <w:rsid w:val="009B7300"/>
    <w:rsid w:val="009C266F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D1937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636"/>
    <w:rsid w:val="00BB3A95"/>
    <w:rsid w:val="00BB3EB6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07BB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3E6B"/>
    <w:rsid w:val="00CD70EF"/>
    <w:rsid w:val="00CD7CC4"/>
    <w:rsid w:val="00CE388F"/>
    <w:rsid w:val="00CE5E47"/>
    <w:rsid w:val="00CE6462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18E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64BA9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T22-TSAG-240122-TD-GEN-0452/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3-TSAG-160201-TD-GEN-0460/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T22-TSAG-240122-TD-GEN-0425/e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2e15eac-de2d-43d1-9479-7c381369aef3">DPM</DPM_x0020_Author>
    <DPM_x0020_File_x0020_name xmlns="a2e15eac-de2d-43d1-9479-7c381369aef3">T22-WTSA.24-C-0037!A26!MSW-S</DPM_x0020_File_x0020_name>
    <DPM_x0020_Version xmlns="a2e15eac-de2d-43d1-9479-7c381369aef3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2e15eac-de2d-43d1-9479-7c381369aef3" targetNamespace="http://schemas.microsoft.com/office/2006/metadata/properties" ma:root="true" ma:fieldsID="d41af5c836d734370eb92e7ee5f83852" ns2:_="" ns3:_="">
    <xsd:import namespace="996b2e75-67fd-4955-a3b0-5ab9934cb50b"/>
    <xsd:import namespace="a2e15eac-de2d-43d1-9479-7c381369aef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15eac-de2d-43d1-9479-7c381369aef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2e15eac-de2d-43d1-9479-7c381369aef3"/>
  </ds:schemaRefs>
</ds:datastoreItem>
</file>

<file path=customXml/itemProps2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2e15eac-de2d-43d1-9479-7c381369a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T22-WTSA.24-C-0037!A26!MSW-S</vt:lpstr>
    </vt:vector>
  </TitlesOfParts>
  <Manager>General Secretariat - Pool</Manager>
  <Company>International Telecommunication Union (ITU)</Company>
  <LinksUpToDate>false</LinksUpToDate>
  <CharactersWithSpaces>2742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T22-WTSA.24-C-0037!A26!MSW-S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2</cp:revision>
  <cp:lastPrinted>2016-06-06T07:49:00Z</cp:lastPrinted>
  <dcterms:created xsi:type="dcterms:W3CDTF">2024-10-11T09:13:00Z</dcterms:created>
  <dcterms:modified xsi:type="dcterms:W3CDTF">2024-10-11T09:13:00Z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