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70"/>
        <w:gridCol w:w="4857"/>
        <w:gridCol w:w="2226"/>
        <w:gridCol w:w="1286"/>
      </w:tblGrid>
      <w:tr w:rsidR="00F477B1" w14:paraId="39D01EC3" w14:textId="77777777">
        <w:trPr>
          <w:cantSplit/>
          <w:trHeight w:val="1132"/>
        </w:trPr>
        <w:tc>
          <w:tcPr>
            <w:tcW w:w="1290" w:type="dxa"/>
            <w:vAlign w:val="center"/>
          </w:tcPr>
          <w:p w14:paraId="6260E968" w14:textId="77777777" w:rsidR="00F477B1" w:rsidRDefault="00FE5491">
            <w:pPr>
              <w:spacing w:before="0"/>
              <w:rPr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drawing>
                <wp:inline distT="0" distB="0" distL="0" distR="0" wp14:anchorId="4DFCDE53" wp14:editId="78EA063E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3AE7161F" w14:textId="77777777" w:rsidR="00F477B1" w:rsidRDefault="00FE5491">
            <w:pPr>
              <w:rPr>
                <w:rFonts w:ascii="SimSun" w:hAnsi="SimSun" w:cs="Times New Roman Bold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SimSun" w:hAnsi="SimSun" w:cs="MS Gothic" w:hint="eastAsia"/>
                <w:b/>
                <w:bCs/>
                <w:sz w:val="28"/>
                <w:szCs w:val="28"/>
                <w:lang w:eastAsia="zh-CN"/>
              </w:rPr>
              <w:t>世界</w:t>
            </w:r>
            <w:r>
              <w:rPr>
                <w:rFonts w:ascii="SimSun" w:hAnsi="SimSun" w:cs="Microsoft JhengHei" w:hint="eastAsia"/>
                <w:b/>
                <w:bCs/>
                <w:sz w:val="28"/>
                <w:szCs w:val="28"/>
                <w:lang w:eastAsia="zh-CN"/>
              </w:rPr>
              <w:t>电信标准化全会</w:t>
            </w:r>
            <w:r>
              <w:rPr>
                <w:rFonts w:ascii="Verdana" w:hAnsi="Verdana" w:cs="MS Gothic" w:hint="eastAsia"/>
                <w:b/>
                <w:bCs/>
                <w:szCs w:val="24"/>
                <w:lang w:eastAsia="zh-CN"/>
              </w:rPr>
              <w:t>（</w:t>
            </w:r>
            <w:r>
              <w:rPr>
                <w:rFonts w:ascii="Verdana" w:hAnsi="Verdana" w:cs="Times New Roman Bold" w:hint="eastAsia"/>
                <w:b/>
                <w:bCs/>
                <w:szCs w:val="24"/>
                <w:lang w:eastAsia="zh-CN"/>
              </w:rPr>
              <w:t>WTSA-24</w:t>
            </w:r>
            <w:r>
              <w:rPr>
                <w:rFonts w:ascii="Verdana" w:hAnsi="Verdana" w:cs="MS Gothic" w:hint="eastAsia"/>
                <w:b/>
                <w:bCs/>
                <w:szCs w:val="24"/>
                <w:lang w:eastAsia="zh-CN"/>
              </w:rPr>
              <w:t>）</w:t>
            </w:r>
          </w:p>
          <w:p w14:paraId="4E4866D9" w14:textId="77777777" w:rsidR="00F477B1" w:rsidRDefault="00FE5491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>
              <w:rPr>
                <w:rFonts w:cstheme="minorHAnsi"/>
                <w:sz w:val="20"/>
                <w:szCs w:val="20"/>
                <w:lang w:eastAsia="zh-CN"/>
              </w:rPr>
              <w:t>2024</w:t>
            </w:r>
            <w:r>
              <w:rPr>
                <w:rFonts w:cstheme="minorHAnsi"/>
                <w:sz w:val="20"/>
                <w:szCs w:val="20"/>
                <w:lang w:eastAsia="zh-CN"/>
              </w:rPr>
              <w:t>年</w:t>
            </w:r>
            <w:r>
              <w:rPr>
                <w:rFonts w:cstheme="minorHAnsi"/>
                <w:sz w:val="20"/>
                <w:szCs w:val="20"/>
                <w:lang w:eastAsia="zh-CN"/>
              </w:rPr>
              <w:t>10</w:t>
            </w:r>
            <w:r>
              <w:rPr>
                <w:rFonts w:cstheme="minorHAnsi"/>
                <w:sz w:val="20"/>
                <w:szCs w:val="20"/>
                <w:lang w:eastAsia="zh-CN"/>
              </w:rPr>
              <w:t>月</w:t>
            </w:r>
            <w:r>
              <w:rPr>
                <w:rFonts w:cstheme="minorHAnsi"/>
                <w:sz w:val="20"/>
                <w:szCs w:val="20"/>
                <w:lang w:eastAsia="zh-CN"/>
              </w:rPr>
              <w:t>15-24</w:t>
            </w:r>
            <w:r>
              <w:rPr>
                <w:rFonts w:cstheme="minorHAnsi"/>
                <w:sz w:val="20"/>
                <w:szCs w:val="20"/>
                <w:lang w:eastAsia="zh-CN"/>
              </w:rPr>
              <w:t>日</w:t>
            </w:r>
            <w:bookmarkStart w:id="0" w:name="_Hlk53061815"/>
            <w:r>
              <w:rPr>
                <w:rFonts w:cstheme="minorHAnsi"/>
                <w:smallCaps/>
                <w:sz w:val="20"/>
                <w:szCs w:val="20"/>
                <w:lang w:eastAsia="zh-CN"/>
              </w:rPr>
              <w:t>，</w:t>
            </w:r>
            <w:bookmarkEnd w:id="0"/>
            <w:r>
              <w:rPr>
                <w:rFonts w:cstheme="minorHAnsi"/>
                <w:smallCaps/>
                <w:sz w:val="20"/>
                <w:szCs w:val="20"/>
                <w:lang w:eastAsia="zh-CN"/>
              </w:rPr>
              <w:t>新德里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4A9E6687" w14:textId="77777777" w:rsidR="00F477B1" w:rsidRDefault="00FE5491">
            <w:pPr>
              <w:spacing w:before="0"/>
              <w:rPr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drawing>
                <wp:inline distT="0" distB="0" distL="0" distR="0" wp14:anchorId="44FE6E89" wp14:editId="6FE35AE7">
                  <wp:extent cx="669290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7B1" w14:paraId="237E0A56" w14:textId="77777777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0038F0E4" w14:textId="77777777" w:rsidR="00F477B1" w:rsidRDefault="00F477B1">
            <w:pPr>
              <w:spacing w:before="0"/>
              <w:rPr>
                <w:lang w:eastAsia="zh-CN"/>
              </w:rPr>
            </w:pPr>
          </w:p>
        </w:tc>
      </w:tr>
      <w:tr w:rsidR="00F477B1" w14:paraId="4875BF8C" w14:textId="77777777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355F3EDD" w14:textId="77777777" w:rsidR="00F477B1" w:rsidRDefault="00F477B1">
            <w:pPr>
              <w:spacing w:before="0"/>
              <w:rPr>
                <w:sz w:val="20"/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21FB804D" w14:textId="77777777" w:rsidR="00F477B1" w:rsidRDefault="00F477B1">
            <w:pPr>
              <w:spacing w:before="0"/>
              <w:rPr>
                <w:sz w:val="20"/>
              </w:rPr>
            </w:pPr>
          </w:p>
        </w:tc>
      </w:tr>
      <w:tr w:rsidR="00F477B1" w14:paraId="229D8C87" w14:textId="77777777">
        <w:trPr>
          <w:cantSplit/>
        </w:trPr>
        <w:tc>
          <w:tcPr>
            <w:tcW w:w="6237" w:type="dxa"/>
            <w:gridSpan w:val="2"/>
          </w:tcPr>
          <w:p w14:paraId="684232D3" w14:textId="77777777" w:rsidR="00F477B1" w:rsidRDefault="00FE5491">
            <w:pPr>
              <w:pStyle w:val="Committee"/>
              <w:rPr>
                <w:lang w:eastAsia="zh-CN"/>
              </w:rPr>
            </w:pPr>
            <w:proofErr w:type="spellStart"/>
            <w:r>
              <w:t>全体会议</w:t>
            </w:r>
            <w:proofErr w:type="spellEnd"/>
          </w:p>
        </w:tc>
        <w:tc>
          <w:tcPr>
            <w:tcW w:w="3574" w:type="dxa"/>
            <w:gridSpan w:val="2"/>
          </w:tcPr>
          <w:p w14:paraId="4EA4C81B" w14:textId="77777777" w:rsidR="00F477B1" w:rsidRDefault="00FE5491">
            <w:pPr>
              <w:pStyle w:val="Docnumber"/>
              <w:rPr>
                <w:lang w:eastAsia="zh-CN"/>
              </w:rPr>
            </w:pPr>
            <w:proofErr w:type="spellStart"/>
            <w:r>
              <w:t>文件</w:t>
            </w:r>
            <w:proofErr w:type="spellEnd"/>
            <w:r>
              <w:t xml:space="preserve"> 36 (Add.5)-C</w:t>
            </w:r>
          </w:p>
        </w:tc>
      </w:tr>
      <w:tr w:rsidR="00F477B1" w14:paraId="7043FCCC" w14:textId="77777777">
        <w:trPr>
          <w:cantSplit/>
        </w:trPr>
        <w:tc>
          <w:tcPr>
            <w:tcW w:w="6237" w:type="dxa"/>
            <w:gridSpan w:val="2"/>
          </w:tcPr>
          <w:p w14:paraId="1124CCEB" w14:textId="77777777" w:rsidR="00F477B1" w:rsidRDefault="00F477B1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4BD61DD9" w14:textId="77777777" w:rsidR="00F477B1" w:rsidRDefault="00FE5491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16"/>
              </w:rPr>
              <w:t>2024</w:t>
            </w:r>
            <w:r>
              <w:rPr>
                <w:sz w:val="20"/>
                <w:szCs w:val="16"/>
              </w:rPr>
              <w:t>年</w:t>
            </w:r>
            <w:r>
              <w:rPr>
                <w:sz w:val="20"/>
                <w:szCs w:val="16"/>
              </w:rPr>
              <w:t>9</w:t>
            </w:r>
            <w:r>
              <w:rPr>
                <w:sz w:val="20"/>
                <w:szCs w:val="16"/>
              </w:rPr>
              <w:t>月</w:t>
            </w:r>
            <w:r>
              <w:rPr>
                <w:sz w:val="20"/>
                <w:szCs w:val="16"/>
              </w:rPr>
              <w:t>23</w:t>
            </w:r>
            <w:r>
              <w:rPr>
                <w:sz w:val="20"/>
                <w:szCs w:val="16"/>
              </w:rPr>
              <w:t>日</w:t>
            </w:r>
          </w:p>
        </w:tc>
      </w:tr>
      <w:tr w:rsidR="00F477B1" w14:paraId="39537B37" w14:textId="77777777">
        <w:trPr>
          <w:cantSplit/>
        </w:trPr>
        <w:tc>
          <w:tcPr>
            <w:tcW w:w="6237" w:type="dxa"/>
            <w:gridSpan w:val="2"/>
          </w:tcPr>
          <w:p w14:paraId="7B461EAF" w14:textId="77777777" w:rsidR="00F477B1" w:rsidRDefault="00F477B1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4C141416" w14:textId="77777777" w:rsidR="00F477B1" w:rsidRDefault="00FE5491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16"/>
              </w:rPr>
              <w:t>原文：英文</w:t>
            </w:r>
            <w:proofErr w:type="spellEnd"/>
          </w:p>
        </w:tc>
      </w:tr>
      <w:tr w:rsidR="00F477B1" w14:paraId="7C2FDCBE" w14:textId="77777777">
        <w:trPr>
          <w:cantSplit/>
        </w:trPr>
        <w:tc>
          <w:tcPr>
            <w:tcW w:w="9811" w:type="dxa"/>
            <w:gridSpan w:val="4"/>
          </w:tcPr>
          <w:p w14:paraId="52AAC40C" w14:textId="77777777" w:rsidR="00F477B1" w:rsidRDefault="00F477B1">
            <w:pPr>
              <w:spacing w:before="0"/>
              <w:rPr>
                <w:sz w:val="20"/>
                <w:szCs w:val="16"/>
                <w:lang w:eastAsia="zh-CN"/>
              </w:rPr>
            </w:pPr>
          </w:p>
        </w:tc>
      </w:tr>
      <w:tr w:rsidR="00F477B1" w14:paraId="1BE59634" w14:textId="77777777">
        <w:trPr>
          <w:cantSplit/>
        </w:trPr>
        <w:tc>
          <w:tcPr>
            <w:tcW w:w="9811" w:type="dxa"/>
            <w:gridSpan w:val="4"/>
          </w:tcPr>
          <w:p w14:paraId="533463CD" w14:textId="77777777" w:rsidR="00F477B1" w:rsidRDefault="00FE5491">
            <w:pPr>
              <w:pStyle w:val="Source"/>
              <w:rPr>
                <w:lang w:eastAsia="zh-CN"/>
              </w:rPr>
            </w:pPr>
            <w:proofErr w:type="spellStart"/>
            <w:r>
              <w:t>阿拉伯国家主管部门</w:t>
            </w:r>
            <w:proofErr w:type="spellEnd"/>
          </w:p>
        </w:tc>
      </w:tr>
      <w:tr w:rsidR="00F477B1" w14:paraId="4D6C91E1" w14:textId="77777777">
        <w:trPr>
          <w:cantSplit/>
        </w:trPr>
        <w:tc>
          <w:tcPr>
            <w:tcW w:w="9811" w:type="dxa"/>
            <w:gridSpan w:val="4"/>
          </w:tcPr>
          <w:p w14:paraId="51BFFD7D" w14:textId="77777777" w:rsidR="00F477B1" w:rsidRDefault="00FE5491">
            <w:pPr>
              <w:pStyle w:val="Title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>
              <w:t>40</w:t>
            </w:r>
            <w:r>
              <w:rPr>
                <w:rFonts w:hint="eastAsia"/>
                <w:lang w:eastAsia="zh-CN"/>
              </w:rPr>
              <w:t>号决议的拟议修改</w:t>
            </w:r>
          </w:p>
        </w:tc>
      </w:tr>
      <w:tr w:rsidR="00F477B1" w14:paraId="07094C7B" w14:textId="77777777">
        <w:trPr>
          <w:cantSplit/>
          <w:trHeight w:hRule="exact" w:val="240"/>
        </w:trPr>
        <w:tc>
          <w:tcPr>
            <w:tcW w:w="9811" w:type="dxa"/>
            <w:gridSpan w:val="4"/>
          </w:tcPr>
          <w:p w14:paraId="59254D0A" w14:textId="77777777" w:rsidR="00F477B1" w:rsidRDefault="00F477B1">
            <w:pPr>
              <w:pStyle w:val="Title2"/>
              <w:spacing w:before="0"/>
              <w:rPr>
                <w:lang w:eastAsia="zh-CN"/>
              </w:rPr>
            </w:pPr>
          </w:p>
        </w:tc>
      </w:tr>
      <w:tr w:rsidR="00F477B1" w14:paraId="2D4F8BA0" w14:textId="77777777">
        <w:trPr>
          <w:cantSplit/>
          <w:trHeight w:hRule="exact" w:val="240"/>
        </w:trPr>
        <w:tc>
          <w:tcPr>
            <w:tcW w:w="9811" w:type="dxa"/>
            <w:gridSpan w:val="4"/>
          </w:tcPr>
          <w:p w14:paraId="0AC7C7FA" w14:textId="77777777" w:rsidR="00F477B1" w:rsidRDefault="00F477B1">
            <w:pPr>
              <w:pStyle w:val="Agendaitem"/>
              <w:spacing w:before="0"/>
              <w:rPr>
                <w:lang w:eastAsia="zh-CN"/>
              </w:rPr>
            </w:pPr>
          </w:p>
        </w:tc>
      </w:tr>
    </w:tbl>
    <w:p w14:paraId="5FAC4FBE" w14:textId="77777777" w:rsidR="00F477B1" w:rsidRDefault="00F477B1">
      <w:pPr>
        <w:rPr>
          <w:lang w:eastAsia="zh-CN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57"/>
        <w:gridCol w:w="3805"/>
        <w:gridCol w:w="3877"/>
      </w:tblGrid>
      <w:tr w:rsidR="00F477B1" w14:paraId="3D1F59DB" w14:textId="77777777">
        <w:trPr>
          <w:cantSplit/>
        </w:trPr>
        <w:tc>
          <w:tcPr>
            <w:tcW w:w="1985" w:type="dxa"/>
          </w:tcPr>
          <w:p w14:paraId="707C04F6" w14:textId="77777777" w:rsidR="00F477B1" w:rsidRDefault="00FE5491">
            <w:pPr>
              <w:rPr>
                <w:rFonts w:ascii="SimSun" w:hAnsi="SimSun"/>
                <w:lang w:eastAsia="zh-CN"/>
              </w:rPr>
            </w:pPr>
            <w:r>
              <w:rPr>
                <w:rFonts w:ascii="SimSun" w:hAnsi="SimSun" w:cs="MS Mincho" w:hint="eastAsia"/>
                <w:b/>
                <w:bCs/>
                <w:lang w:eastAsia="zh-CN"/>
              </w:rPr>
              <w:t>摘要</w:t>
            </w:r>
            <w:r>
              <w:rPr>
                <w:rFonts w:asciiTheme="minorEastAsia" w:hAnsiTheme="minorEastAsia" w:hint="eastAsia"/>
                <w:b/>
                <w:bCs/>
                <w:szCs w:val="22"/>
                <w:lang w:eastAsia="zh-CN"/>
              </w:rPr>
              <w:t>：</w:t>
            </w:r>
          </w:p>
        </w:tc>
        <w:tc>
          <w:tcPr>
            <w:tcW w:w="7797" w:type="dxa"/>
            <w:gridSpan w:val="2"/>
          </w:tcPr>
          <w:p w14:paraId="60D74282" w14:textId="77777777" w:rsidR="00F477B1" w:rsidRDefault="00FE5491">
            <w:pPr>
              <w:pStyle w:val="Abstract"/>
              <w:rPr>
                <w:lang w:val="en-GB" w:eastAsia="zh-CN"/>
              </w:rPr>
            </w:pPr>
            <w:r>
              <w:rPr>
                <w:rFonts w:hint="eastAsia"/>
                <w:lang w:val="zh-CN" w:eastAsia="zh-CN"/>
              </w:rPr>
              <w:t>阿拉伯国家联盟（</w:t>
            </w:r>
            <w:r>
              <w:rPr>
                <w:rFonts w:hint="eastAsia"/>
                <w:lang w:val="zh-CN" w:eastAsia="zh-CN"/>
              </w:rPr>
              <w:t>LAS</w:t>
            </w:r>
            <w:r>
              <w:rPr>
                <w:rFonts w:hint="eastAsia"/>
                <w:lang w:val="zh-CN" w:eastAsia="zh-CN"/>
              </w:rPr>
              <w:t>）</w:t>
            </w:r>
            <w:r>
              <w:rPr>
                <w:rFonts w:hint="eastAsia"/>
                <w:lang w:eastAsia="zh-CN"/>
              </w:rPr>
              <w:t>建议</w:t>
            </w:r>
            <w:r>
              <w:rPr>
                <w:lang w:val="zh-CN" w:eastAsia="zh-CN"/>
              </w:rPr>
              <w:t>修改</w:t>
            </w:r>
            <w:r>
              <w:rPr>
                <w:lang w:val="zh-CN" w:eastAsia="zh-CN"/>
              </w:rPr>
              <w:t>WTSA</w:t>
            </w:r>
            <w:r>
              <w:rPr>
                <w:lang w:val="zh-CN" w:eastAsia="zh-CN"/>
              </w:rPr>
              <w:t>第</w:t>
            </w:r>
            <w:r>
              <w:rPr>
                <w:lang w:val="zh-CN" w:eastAsia="zh-CN"/>
              </w:rPr>
              <w:t>40</w:t>
            </w:r>
            <w:r>
              <w:rPr>
                <w:lang w:val="zh-CN" w:eastAsia="zh-CN"/>
              </w:rPr>
              <w:t>号决议，</w:t>
            </w:r>
            <w:r>
              <w:rPr>
                <w:rFonts w:hint="eastAsia"/>
                <w:lang w:val="en-GB" w:eastAsia="zh-CN"/>
              </w:rPr>
              <w:t>将重点扩大到包括新兴技术的政策和监管影响，强调成员国、部门成员和</w:t>
            </w:r>
            <w:r>
              <w:rPr>
                <w:lang w:val="zh-CN" w:eastAsia="zh-CN"/>
              </w:rPr>
              <w:t>ITU-T</w:t>
            </w:r>
            <w:r>
              <w:rPr>
                <w:rFonts w:hint="eastAsia"/>
                <w:lang w:eastAsia="zh-CN"/>
              </w:rPr>
              <w:t>各</w:t>
            </w:r>
            <w:r>
              <w:rPr>
                <w:rFonts w:hint="eastAsia"/>
                <w:lang w:val="en-GB" w:eastAsia="zh-CN"/>
              </w:rPr>
              <w:t>研究组之间加强</w:t>
            </w:r>
            <w:r>
              <w:rPr>
                <w:rFonts w:hint="eastAsia"/>
                <w:lang w:eastAsia="zh-CN"/>
              </w:rPr>
              <w:t>协作</w:t>
            </w:r>
            <w:r>
              <w:rPr>
                <w:rFonts w:hint="eastAsia"/>
                <w:lang w:val="en-GB" w:eastAsia="zh-CN"/>
              </w:rPr>
              <w:t>的重要性，并建立一个更具适应性的框架，</w:t>
            </w:r>
            <w:r>
              <w:rPr>
                <w:rFonts w:hint="eastAsia"/>
                <w:lang w:eastAsia="zh-CN"/>
              </w:rPr>
              <w:t>以</w:t>
            </w:r>
            <w:r>
              <w:rPr>
                <w:lang w:val="zh-CN" w:eastAsia="zh-CN"/>
              </w:rPr>
              <w:t>在确保与全球监管标准保持一致的同时支持创新</w:t>
            </w:r>
            <w:r>
              <w:rPr>
                <w:rFonts w:hint="eastAsia"/>
                <w:lang w:val="en-GB" w:eastAsia="zh-CN"/>
              </w:rPr>
              <w:t>。</w:t>
            </w:r>
          </w:p>
        </w:tc>
      </w:tr>
      <w:tr w:rsidR="00F477B1" w14:paraId="5CCFB795" w14:textId="77777777">
        <w:trPr>
          <w:cantSplit/>
        </w:trPr>
        <w:tc>
          <w:tcPr>
            <w:tcW w:w="1985" w:type="dxa"/>
          </w:tcPr>
          <w:p w14:paraId="76C6FE39" w14:textId="77777777" w:rsidR="00F477B1" w:rsidRDefault="00FE5491">
            <w:pPr>
              <w:rPr>
                <w:rFonts w:ascii="SimSun" w:hAnsi="SimSun"/>
                <w:b/>
                <w:bCs/>
                <w:szCs w:val="24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lang w:eastAsia="zh-CN"/>
              </w:rPr>
              <w:t>联系人</w:t>
            </w:r>
            <w:r>
              <w:rPr>
                <w:rFonts w:asciiTheme="minorEastAsia" w:hAnsiTheme="minorEastAsia" w:hint="eastAsia"/>
                <w:b/>
                <w:bCs/>
                <w:lang w:eastAsia="zh-CN"/>
              </w:rPr>
              <w:t>：</w:t>
            </w:r>
          </w:p>
        </w:tc>
        <w:tc>
          <w:tcPr>
            <w:tcW w:w="3862" w:type="dxa"/>
          </w:tcPr>
          <w:p w14:paraId="4B13BE7A" w14:textId="57C1C780" w:rsidR="00F477B1" w:rsidRDefault="00FE5491">
            <w:pPr>
              <w:rPr>
                <w:lang w:eastAsia="zh-CN"/>
              </w:rPr>
            </w:pPr>
            <w:proofErr w:type="spellStart"/>
            <w:r>
              <w:rPr>
                <w:lang w:val="zh-CN"/>
              </w:rPr>
              <w:t>沙特阿拉伯通信、空间和技术委员会</w:t>
            </w:r>
            <w:proofErr w:type="spellEnd"/>
            <w:r>
              <w:rPr>
                <w:lang w:val="zh-CN"/>
              </w:rPr>
              <w:t>（</w:t>
            </w:r>
            <w:r>
              <w:rPr>
                <w:lang w:val="zh-CN"/>
              </w:rPr>
              <w:t>CST</w:t>
            </w:r>
            <w:r>
              <w:rPr>
                <w:lang w:val="zh-CN"/>
              </w:rPr>
              <w:t>）</w:t>
            </w:r>
            <w:r>
              <w:rPr>
                <w:lang w:val="zh-CN"/>
              </w:rPr>
              <w:br/>
            </w:r>
            <w:r>
              <w:t>Rakan A. AlAnazi</w:t>
            </w:r>
          </w:p>
        </w:tc>
        <w:tc>
          <w:tcPr>
            <w:tcW w:w="3935" w:type="dxa"/>
          </w:tcPr>
          <w:p w14:paraId="4F7F2C34" w14:textId="77777777" w:rsidR="00F477B1" w:rsidRDefault="00FE5491">
            <w:pPr>
              <w:rPr>
                <w:lang w:eastAsia="zh-CN"/>
              </w:rPr>
            </w:pPr>
            <w:r>
              <w:rPr>
                <w:rFonts w:ascii="SimSun" w:hAnsi="SimSun" w:cs="SimSun" w:hint="eastAsia"/>
                <w:lang w:eastAsia="zh-CN"/>
              </w:rPr>
              <w:t>电子邮件：</w:t>
            </w:r>
            <w:r>
              <w:fldChar w:fldCharType="begin"/>
            </w:r>
            <w:r>
              <w:instrText xml:space="preserve"> HYPERLINK "mailto:Raanazi@cst.gov.sa" </w:instrText>
            </w:r>
            <w:r>
              <w:fldChar w:fldCharType="separate"/>
            </w:r>
            <w:r>
              <w:rPr>
                <w:rStyle w:val="Hyperlink"/>
              </w:rPr>
              <w:t>Raanazi@cst.gov.sa</w:t>
            </w:r>
            <w:r>
              <w:rPr>
                <w:rStyle w:val="Hyperlink"/>
              </w:rPr>
              <w:fldChar w:fldCharType="end"/>
            </w:r>
          </w:p>
        </w:tc>
      </w:tr>
    </w:tbl>
    <w:p w14:paraId="27C2B02A" w14:textId="77777777" w:rsidR="00F477B1" w:rsidRDefault="00F477B1">
      <w:pPr>
        <w:rPr>
          <w:lang w:eastAsia="zh-CN"/>
        </w:rPr>
      </w:pPr>
    </w:p>
    <w:p w14:paraId="72ECF759" w14:textId="77777777" w:rsidR="00F477B1" w:rsidRDefault="00FE5491">
      <w:pPr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rFonts w:hint="eastAsia"/>
          <w:lang w:eastAsia="zh-CN"/>
        </w:rPr>
        <w:br w:type="page"/>
      </w:r>
    </w:p>
    <w:p w14:paraId="07DA051A" w14:textId="77777777" w:rsidR="00F477B1" w:rsidRDefault="00FE5491">
      <w:pPr>
        <w:pStyle w:val="Proposal"/>
        <w:rPr>
          <w:lang w:eastAsia="zh-CN"/>
        </w:rPr>
      </w:pPr>
      <w:r>
        <w:rPr>
          <w:lang w:eastAsia="zh-CN"/>
        </w:rPr>
        <w:lastRenderedPageBreak/>
        <w:t>MOD</w:t>
      </w:r>
      <w:r>
        <w:rPr>
          <w:lang w:eastAsia="zh-CN"/>
        </w:rPr>
        <w:tab/>
        <w:t>ARB/36A5/1</w:t>
      </w:r>
    </w:p>
    <w:p w14:paraId="52025BFC" w14:textId="77777777" w:rsidR="00F477B1" w:rsidRDefault="00FE5491">
      <w:pPr>
        <w:pStyle w:val="ResNo"/>
        <w:rPr>
          <w:lang w:eastAsia="zh-CN"/>
        </w:rPr>
      </w:pPr>
      <w:bookmarkStart w:id="1" w:name="_Toc114651311"/>
      <w:r>
        <w:rPr>
          <w:rStyle w:val="href"/>
          <w:rFonts w:hint="eastAsia"/>
          <w:lang w:eastAsia="zh-CN"/>
        </w:rPr>
        <w:t>第</w:t>
      </w:r>
      <w:r>
        <w:rPr>
          <w:rStyle w:val="href"/>
          <w:rFonts w:hint="eastAsia"/>
          <w:lang w:eastAsia="zh-CN"/>
        </w:rPr>
        <w:t>40</w:t>
      </w:r>
      <w:r>
        <w:rPr>
          <w:rStyle w:val="href"/>
          <w:rFonts w:hint="eastAsia"/>
          <w:lang w:eastAsia="zh-CN"/>
        </w:rPr>
        <w:t>号决议</w:t>
      </w:r>
      <w:r>
        <w:rPr>
          <w:rFonts w:hint="eastAsia"/>
          <w:lang w:eastAsia="zh-CN"/>
        </w:rPr>
        <w:t>（</w:t>
      </w:r>
      <w:del w:id="2" w:author="Li, Kehan" w:date="2024-09-27T09:56:00Z">
        <w:r>
          <w:rPr>
            <w:rFonts w:hint="eastAsia"/>
            <w:lang w:val="da-DK" w:eastAsia="zh-CN"/>
          </w:rPr>
          <w:delText>2</w:delText>
        </w:r>
        <w:r>
          <w:rPr>
            <w:lang w:val="da-DK" w:eastAsia="zh-CN"/>
          </w:rPr>
          <w:delText>022</w:delText>
        </w:r>
        <w:r>
          <w:rPr>
            <w:rFonts w:hint="eastAsia"/>
            <w:lang w:val="da-DK" w:eastAsia="zh-CN"/>
          </w:rPr>
          <w:delText>年，日内瓦</w:delText>
        </w:r>
      </w:del>
      <w:ins w:id="3" w:author="Li, Kehan" w:date="2024-09-27T09:56:00Z">
        <w:r>
          <w:rPr>
            <w:rFonts w:hint="eastAsia"/>
            <w:lang w:val="da-DK" w:eastAsia="zh-CN"/>
          </w:rPr>
          <w:t>2024</w:t>
        </w:r>
        <w:r>
          <w:rPr>
            <w:rFonts w:hint="eastAsia"/>
            <w:lang w:val="da-DK" w:eastAsia="zh-CN"/>
          </w:rPr>
          <w:t>年，新德里</w:t>
        </w:r>
      </w:ins>
      <w:r>
        <w:rPr>
          <w:rFonts w:hint="eastAsia"/>
          <w:lang w:eastAsia="zh-CN"/>
        </w:rPr>
        <w:t>，修订版）</w:t>
      </w:r>
      <w:bookmarkEnd w:id="1"/>
    </w:p>
    <w:p w14:paraId="3F8FAC76" w14:textId="77777777" w:rsidR="00F477B1" w:rsidRDefault="00FE5491">
      <w:pPr>
        <w:pStyle w:val="Restitle"/>
        <w:rPr>
          <w:lang w:eastAsia="zh-CN"/>
        </w:rPr>
      </w:pPr>
      <w:bookmarkStart w:id="4" w:name="_Toc114651312"/>
      <w:r>
        <w:rPr>
          <w:rFonts w:hint="eastAsia"/>
          <w:lang w:eastAsia="zh-CN"/>
        </w:rPr>
        <w:t>国际电联电信标准化部门</w:t>
      </w:r>
      <w:r>
        <w:rPr>
          <w:lang w:eastAsia="zh-CN"/>
        </w:rPr>
        <w:t>工作中的监管</w:t>
      </w:r>
      <w:r>
        <w:rPr>
          <w:rFonts w:hint="eastAsia"/>
          <w:lang w:eastAsia="zh-CN"/>
        </w:rPr>
        <w:t>和政策</w:t>
      </w:r>
      <w:r>
        <w:rPr>
          <w:lang w:eastAsia="zh-CN"/>
        </w:rPr>
        <w:t>内容</w:t>
      </w:r>
      <w:bookmarkEnd w:id="4"/>
    </w:p>
    <w:p w14:paraId="05D80383" w14:textId="77777777" w:rsidR="00F477B1" w:rsidRDefault="00FE5491">
      <w:pPr>
        <w:pStyle w:val="Resref"/>
        <w:rPr>
          <w:i w:val="0"/>
          <w:iCs/>
          <w:szCs w:val="24"/>
          <w:lang w:eastAsia="zh-CN"/>
        </w:rPr>
      </w:pPr>
      <w:r>
        <w:rPr>
          <w:rFonts w:hint="eastAsia"/>
          <w:i w:val="0"/>
          <w:iCs/>
          <w:szCs w:val="24"/>
          <w:lang w:eastAsia="zh-CN"/>
        </w:rPr>
        <w:t>（</w:t>
      </w:r>
      <w:r>
        <w:rPr>
          <w:rStyle w:val="Italic"/>
          <w:i w:val="0"/>
          <w:iCs/>
          <w:lang w:eastAsia="zh-CN"/>
        </w:rPr>
        <w:t>2000</w:t>
      </w:r>
      <w:r>
        <w:rPr>
          <w:rStyle w:val="Italic"/>
          <w:rFonts w:hint="eastAsia"/>
          <w:i w:val="0"/>
          <w:iCs/>
          <w:lang w:eastAsia="zh-CN"/>
        </w:rPr>
        <w:t>年，蒙特利尔；</w:t>
      </w:r>
      <w:r>
        <w:rPr>
          <w:rStyle w:val="Italic"/>
          <w:i w:val="0"/>
          <w:iCs/>
          <w:lang w:eastAsia="zh-CN"/>
        </w:rPr>
        <w:t>2004</w:t>
      </w:r>
      <w:r>
        <w:rPr>
          <w:rStyle w:val="Italic"/>
          <w:rFonts w:hint="eastAsia"/>
          <w:i w:val="0"/>
          <w:iCs/>
          <w:lang w:eastAsia="zh-CN"/>
        </w:rPr>
        <w:t>年，弗洛里亚诺波利斯；</w:t>
      </w:r>
      <w:r>
        <w:rPr>
          <w:rStyle w:val="Italic"/>
          <w:i w:val="0"/>
          <w:iCs/>
          <w:lang w:eastAsia="zh-CN"/>
        </w:rPr>
        <w:t>2008</w:t>
      </w:r>
      <w:r>
        <w:rPr>
          <w:rStyle w:val="Italic"/>
          <w:rFonts w:hint="eastAsia"/>
          <w:i w:val="0"/>
          <w:iCs/>
          <w:lang w:eastAsia="zh-CN"/>
        </w:rPr>
        <w:t>年，约翰内斯堡；</w:t>
      </w:r>
      <w:r>
        <w:rPr>
          <w:rStyle w:val="Italic"/>
          <w:i w:val="0"/>
          <w:iCs/>
          <w:lang w:eastAsia="zh-CN"/>
        </w:rPr>
        <w:br/>
      </w:r>
      <w:r>
        <w:rPr>
          <w:rStyle w:val="Italic"/>
          <w:rFonts w:hint="eastAsia"/>
          <w:i w:val="0"/>
          <w:iCs/>
          <w:lang w:eastAsia="zh-CN"/>
        </w:rPr>
        <w:t>2012</w:t>
      </w:r>
      <w:r>
        <w:rPr>
          <w:rStyle w:val="Italic"/>
          <w:rFonts w:hint="eastAsia"/>
          <w:i w:val="0"/>
          <w:iCs/>
          <w:lang w:eastAsia="zh-CN"/>
        </w:rPr>
        <w:t>年，迪拜；</w:t>
      </w:r>
      <w:r>
        <w:rPr>
          <w:rStyle w:val="Italic"/>
          <w:rFonts w:hint="eastAsia"/>
          <w:i w:val="0"/>
          <w:iCs/>
          <w:lang w:eastAsia="zh-CN"/>
        </w:rPr>
        <w:t>2016</w:t>
      </w:r>
      <w:r>
        <w:rPr>
          <w:rStyle w:val="Italic"/>
          <w:rFonts w:hint="eastAsia"/>
          <w:i w:val="0"/>
          <w:iCs/>
          <w:lang w:eastAsia="zh-CN"/>
        </w:rPr>
        <w:t>年，哈马马特；</w:t>
      </w:r>
      <w:r>
        <w:rPr>
          <w:rStyle w:val="Italic"/>
          <w:rFonts w:hint="eastAsia"/>
          <w:i w:val="0"/>
          <w:iCs/>
          <w:lang w:eastAsia="zh-CN"/>
        </w:rPr>
        <w:t>2022</w:t>
      </w:r>
      <w:r>
        <w:rPr>
          <w:rStyle w:val="Italic"/>
          <w:rFonts w:hint="eastAsia"/>
          <w:i w:val="0"/>
          <w:iCs/>
          <w:lang w:eastAsia="zh-CN"/>
        </w:rPr>
        <w:t>年，日内瓦</w:t>
      </w:r>
      <w:ins w:id="5" w:author="Li, Kehan" w:date="2024-09-27T09:57:00Z">
        <w:r>
          <w:rPr>
            <w:rStyle w:val="Italic"/>
            <w:rFonts w:hint="eastAsia"/>
            <w:i w:val="0"/>
            <w:iCs/>
            <w:lang w:eastAsia="zh-CN"/>
          </w:rPr>
          <w:t>；</w:t>
        </w:r>
        <w:r>
          <w:rPr>
            <w:rStyle w:val="Italic"/>
            <w:rFonts w:hint="eastAsia"/>
            <w:i w:val="0"/>
            <w:iCs/>
            <w:lang w:eastAsia="zh-CN"/>
          </w:rPr>
          <w:t>2024</w:t>
        </w:r>
        <w:r>
          <w:rPr>
            <w:rStyle w:val="Italic"/>
            <w:rFonts w:hint="eastAsia"/>
            <w:i w:val="0"/>
            <w:iCs/>
            <w:lang w:eastAsia="zh-CN"/>
          </w:rPr>
          <w:t>年，新德里</w:t>
        </w:r>
      </w:ins>
      <w:r>
        <w:rPr>
          <w:rFonts w:hint="eastAsia"/>
          <w:i w:val="0"/>
          <w:iCs/>
          <w:szCs w:val="24"/>
          <w:lang w:eastAsia="zh-CN"/>
        </w:rPr>
        <w:t>）</w:t>
      </w:r>
    </w:p>
    <w:p w14:paraId="4B0B677F" w14:textId="77777777" w:rsidR="00F477B1" w:rsidRDefault="00FE5491">
      <w:pPr>
        <w:pStyle w:val="Normalnoindent"/>
        <w:rPr>
          <w:lang w:eastAsia="zh-CN"/>
        </w:rPr>
      </w:pPr>
      <w:r>
        <w:rPr>
          <w:lang w:eastAsia="zh-CN"/>
        </w:rPr>
        <w:t>世界电信标准化全会（</w:t>
      </w:r>
      <w:del w:id="6" w:author="Li, Kehan" w:date="2024-09-27T09:57:00Z">
        <w:r>
          <w:rPr>
            <w:rFonts w:hint="eastAsia"/>
            <w:lang w:eastAsia="zh-CN"/>
          </w:rPr>
          <w:delText>2022</w:delText>
        </w:r>
        <w:r>
          <w:rPr>
            <w:rFonts w:hint="eastAsia"/>
            <w:lang w:eastAsia="zh-CN"/>
          </w:rPr>
          <w:delText>年，日内瓦</w:delText>
        </w:r>
      </w:del>
      <w:ins w:id="7" w:author="Li, Kehan" w:date="2024-09-27T09:57:00Z">
        <w:r>
          <w:rPr>
            <w:rFonts w:hint="eastAsia"/>
            <w:lang w:eastAsia="zh-CN"/>
          </w:rPr>
          <w:t>2024</w:t>
        </w:r>
        <w:r>
          <w:rPr>
            <w:rFonts w:hint="eastAsia"/>
            <w:lang w:eastAsia="zh-CN"/>
          </w:rPr>
          <w:t>年，新德里</w:t>
        </w:r>
      </w:ins>
      <w:r>
        <w:rPr>
          <w:lang w:eastAsia="zh-CN"/>
        </w:rPr>
        <w:t>），</w:t>
      </w:r>
    </w:p>
    <w:p w14:paraId="0F8E41BD" w14:textId="77777777" w:rsidR="00F477B1" w:rsidRDefault="00FE5491">
      <w:pPr>
        <w:pStyle w:val="Call"/>
        <w:rPr>
          <w:rStyle w:val="Italic"/>
          <w:lang w:eastAsia="zh-CN"/>
        </w:rPr>
      </w:pPr>
      <w:r>
        <w:rPr>
          <w:rFonts w:hint="eastAsia"/>
          <w:lang w:eastAsia="zh-CN"/>
        </w:rPr>
        <w:t>认识到</w:t>
      </w:r>
    </w:p>
    <w:p w14:paraId="5F7CB7E4" w14:textId="77777777" w:rsidR="00F477B1" w:rsidRDefault="00FE5491">
      <w:pPr>
        <w:pStyle w:val="Normalnoindent"/>
        <w:rPr>
          <w:lang w:eastAsia="zh-CN"/>
        </w:rPr>
      </w:pPr>
      <w:r>
        <w:rPr>
          <w:i/>
          <w:iCs/>
          <w:lang w:eastAsia="zh-CN"/>
        </w:rPr>
        <w:t>a)</w:t>
      </w:r>
      <w:r>
        <w:rPr>
          <w:lang w:eastAsia="zh-CN"/>
        </w:rPr>
        <w:tab/>
      </w:r>
      <w:r>
        <w:rPr>
          <w:rFonts w:hint="eastAsia"/>
          <w:lang w:eastAsia="zh-CN"/>
        </w:rPr>
        <w:t>国际电联《公约》第</w:t>
      </w:r>
      <w:r>
        <w:rPr>
          <w:lang w:eastAsia="zh-CN"/>
        </w:rPr>
        <w:t>246D</w:t>
      </w:r>
      <w:r>
        <w:rPr>
          <w:rFonts w:hint="eastAsia"/>
          <w:lang w:eastAsia="zh-CN"/>
        </w:rPr>
        <w:t>至</w:t>
      </w:r>
      <w:r>
        <w:rPr>
          <w:lang w:eastAsia="zh-CN"/>
        </w:rPr>
        <w:t>246H</w:t>
      </w:r>
      <w:r>
        <w:rPr>
          <w:rFonts w:hint="eastAsia"/>
          <w:lang w:eastAsia="zh-CN"/>
        </w:rPr>
        <w:t>款的规定；</w:t>
      </w:r>
    </w:p>
    <w:p w14:paraId="4EA78390" w14:textId="77777777" w:rsidR="00F477B1" w:rsidRDefault="00FE5491">
      <w:pPr>
        <w:pStyle w:val="Normalnoindent"/>
        <w:rPr>
          <w:lang w:eastAsia="zh-CN"/>
        </w:rPr>
      </w:pPr>
      <w:r>
        <w:rPr>
          <w:i/>
          <w:iCs/>
          <w:lang w:eastAsia="zh-CN"/>
        </w:rPr>
        <w:t>b)</w:t>
      </w:r>
      <w:r>
        <w:rPr>
          <w:lang w:eastAsia="zh-CN"/>
        </w:rPr>
        <w:tab/>
      </w:r>
      <w:r>
        <w:rPr>
          <w:lang w:eastAsia="zh-CN"/>
        </w:rPr>
        <w:t>有关</w:t>
      </w:r>
      <w:r>
        <w:rPr>
          <w:rFonts w:hint="eastAsia"/>
          <w:lang w:eastAsia="zh-CN"/>
        </w:rPr>
        <w:t>分配和管理国际电信编号、命名、寻址和标识资源程序的本</w:t>
      </w:r>
      <w:r>
        <w:rPr>
          <w:lang w:eastAsia="zh-CN"/>
        </w:rPr>
        <w:t>届全会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20</w:t>
      </w:r>
      <w:r>
        <w:rPr>
          <w:rFonts w:hint="eastAsia"/>
          <w:lang w:eastAsia="zh-CN"/>
        </w:rPr>
        <w:t>号决议（</w:t>
      </w:r>
      <w:r>
        <w:rPr>
          <w:rFonts w:hint="eastAsia"/>
          <w:lang w:eastAsia="zh-CN"/>
        </w:rPr>
        <w:t>2022</w:t>
      </w:r>
      <w:r>
        <w:rPr>
          <w:rFonts w:hint="eastAsia"/>
          <w:lang w:eastAsia="zh-CN"/>
        </w:rPr>
        <w:t>年，日内瓦，修订版）</w:t>
      </w:r>
      <w:del w:id="8" w:author="Li, Kehan" w:date="2024-09-27T09:57:00Z">
        <w:r>
          <w:rPr>
            <w:rFonts w:hint="eastAsia"/>
            <w:lang w:eastAsia="zh-CN"/>
          </w:rPr>
          <w:delText>，</w:delText>
        </w:r>
      </w:del>
      <w:ins w:id="9" w:author="Li, Kehan" w:date="2024-09-27T09:57:00Z">
        <w:r>
          <w:rPr>
            <w:rFonts w:hint="eastAsia"/>
            <w:lang w:eastAsia="zh-CN"/>
          </w:rPr>
          <w:t>；</w:t>
        </w:r>
      </w:ins>
    </w:p>
    <w:p w14:paraId="0B6F0E12" w14:textId="7DEFD60E" w:rsidR="00F477B1" w:rsidRPr="00F477B1" w:rsidRDefault="00FE5491">
      <w:pPr>
        <w:rPr>
          <w:ins w:id="10" w:author="Li, Kehan" w:date="2024-09-27T09:57:00Z"/>
          <w:i/>
          <w:iCs/>
          <w:lang w:eastAsia="zh-CN"/>
          <w:rPrChange w:id="11" w:author="Rakan A. AlAnazi" w:date="2024-09-22T14:27:00Z">
            <w:rPr>
              <w:ins w:id="12" w:author="Li, Kehan" w:date="2024-09-27T09:57:00Z"/>
            </w:rPr>
          </w:rPrChange>
        </w:rPr>
      </w:pPr>
      <w:ins w:id="13" w:author="Li, Kehan" w:date="2024-09-27T09:57:00Z">
        <w:r>
          <w:rPr>
            <w:i/>
            <w:iCs/>
            <w:lang w:eastAsia="zh-CN"/>
            <w:rPrChange w:id="14" w:author="Rakan A. AlAnazi" w:date="2024-09-22T14:27:00Z">
              <w:rPr/>
            </w:rPrChange>
          </w:rPr>
          <w:t>c)</w:t>
        </w:r>
        <w:r>
          <w:rPr>
            <w:i/>
            <w:iCs/>
            <w:lang w:eastAsia="zh-CN"/>
            <w:rPrChange w:id="15" w:author="Rakan A. AlAnazi" w:date="2024-09-22T14:27:00Z">
              <w:rPr/>
            </w:rPrChange>
          </w:rPr>
          <w:tab/>
        </w:r>
      </w:ins>
      <w:ins w:id="16" w:author="TSB(RC)" w:date="2024-09-28T10:45:00Z">
        <w:r>
          <w:rPr>
            <w:lang w:val="zh-CN" w:eastAsia="zh-CN"/>
          </w:rPr>
          <w:t>促进创新和为新兴技术营造有利环境的重要性，同时遵循相关的国际标准和最佳做法以及监管框架，以保护利益攸关方的利益，</w:t>
        </w:r>
      </w:ins>
      <w:ins w:id="17" w:author="TSB(RC)" w:date="2024-09-28T10:54:00Z">
        <w:r>
          <w:rPr>
            <w:rFonts w:hint="eastAsia"/>
            <w:lang w:val="en-US" w:eastAsia="zh-CN"/>
          </w:rPr>
          <w:t>其中涉及</w:t>
        </w:r>
      </w:ins>
      <w:ins w:id="18" w:author="TSB(RC)" w:date="2024-09-28T10:45:00Z">
        <w:r>
          <w:rPr>
            <w:lang w:val="zh-CN" w:eastAsia="zh-CN"/>
          </w:rPr>
          <w:t>竞争和隐私</w:t>
        </w:r>
      </w:ins>
      <w:ins w:id="19" w:author="LING-C(KL)" w:date="2024-09-30T14:42:00Z" w16du:dateUtc="2024-09-30T12:42:00Z">
        <w:r w:rsidR="00E8190C">
          <w:rPr>
            <w:rFonts w:hint="eastAsia"/>
            <w:lang w:eastAsia="zh-CN"/>
          </w:rPr>
          <w:t>，</w:t>
        </w:r>
      </w:ins>
    </w:p>
    <w:p w14:paraId="3E7B8B73" w14:textId="77777777" w:rsidR="00F477B1" w:rsidRDefault="00FE5491">
      <w:pPr>
        <w:pStyle w:val="Call"/>
        <w:rPr>
          <w:rStyle w:val="Italic"/>
          <w:lang w:val="en-GB" w:eastAsia="zh-CN"/>
        </w:rPr>
      </w:pPr>
      <w:r>
        <w:rPr>
          <w:rFonts w:hint="eastAsia"/>
          <w:lang w:eastAsia="zh-CN"/>
        </w:rPr>
        <w:t>考虑到</w:t>
      </w:r>
    </w:p>
    <w:p w14:paraId="24A19C7C" w14:textId="77777777" w:rsidR="00F477B1" w:rsidRDefault="00FE5491">
      <w:pPr>
        <w:pStyle w:val="Normalnoindent"/>
        <w:rPr>
          <w:lang w:eastAsia="zh-CN"/>
        </w:rPr>
      </w:pPr>
      <w:r>
        <w:rPr>
          <w:i/>
          <w:iCs/>
          <w:lang w:eastAsia="zh-CN"/>
        </w:rPr>
        <w:t>a)</w:t>
      </w:r>
      <w:r>
        <w:rPr>
          <w:rFonts w:hint="eastAsia"/>
          <w:lang w:eastAsia="zh-CN"/>
        </w:rPr>
        <w:tab/>
      </w:r>
      <w:r>
        <w:rPr>
          <w:lang w:eastAsia="zh-CN"/>
        </w:rPr>
        <w:t>国际电联电信标准化部门（</w:t>
      </w:r>
      <w:r>
        <w:rPr>
          <w:lang w:eastAsia="zh-CN"/>
        </w:rPr>
        <w:t>ITU-T</w:t>
      </w:r>
      <w:r>
        <w:rPr>
          <w:lang w:eastAsia="zh-CN"/>
        </w:rPr>
        <w:t>）从事的工作包括技术</w:t>
      </w:r>
      <w:del w:id="20" w:author="TSB(RC)" w:date="2024-09-28T10:45:00Z">
        <w:r>
          <w:rPr>
            <w:lang w:eastAsia="zh-CN"/>
          </w:rPr>
          <w:delText>问题和具有</w:delText>
        </w:r>
      </w:del>
      <w:ins w:id="21" w:author="TSB(RC)" w:date="2024-09-28T10:45:00Z">
        <w:r>
          <w:rPr>
            <w:rFonts w:hint="eastAsia"/>
            <w:lang w:eastAsia="zh-CN"/>
          </w:rPr>
          <w:t>、</w:t>
        </w:r>
      </w:ins>
      <w:r>
        <w:rPr>
          <w:lang w:eastAsia="zh-CN"/>
        </w:rPr>
        <w:t>政策</w:t>
      </w:r>
      <w:del w:id="22" w:author="TSB(RC)" w:date="2024-09-28T10:45:00Z">
        <w:r>
          <w:rPr>
            <w:lang w:val="en-US" w:eastAsia="zh-CN"/>
          </w:rPr>
          <w:delText>或</w:delText>
        </w:r>
      </w:del>
      <w:ins w:id="23" w:author="TSB(RC)" w:date="2024-09-28T10:45:00Z">
        <w:r>
          <w:rPr>
            <w:rFonts w:hint="eastAsia"/>
            <w:lang w:val="en-US" w:eastAsia="zh-CN"/>
          </w:rPr>
          <w:t>和</w:t>
        </w:r>
      </w:ins>
      <w:r>
        <w:rPr>
          <w:lang w:eastAsia="zh-CN"/>
        </w:rPr>
        <w:t>监管</w:t>
      </w:r>
      <w:ins w:id="24" w:author="TSB(RC)" w:date="2024-09-28T11:12:00Z">
        <w:r>
          <w:rPr>
            <w:rFonts w:hint="eastAsia"/>
            <w:lang w:val="en-US" w:eastAsia="zh-CN"/>
          </w:rPr>
          <w:t>内容</w:t>
        </w:r>
      </w:ins>
      <w:ins w:id="25" w:author="TSB(RC)" w:date="2024-09-28T10:46:00Z">
        <w:r>
          <w:rPr>
            <w:lang w:val="zh-CN" w:eastAsia="zh-CN"/>
          </w:rPr>
          <w:t>及</w:t>
        </w:r>
      </w:ins>
      <w:r>
        <w:rPr>
          <w:lang w:eastAsia="zh-CN"/>
        </w:rPr>
        <w:t>影响</w:t>
      </w:r>
      <w:del w:id="26" w:author="TSB(RC)" w:date="2024-09-28T10:46:00Z">
        <w:r>
          <w:rPr>
            <w:lang w:eastAsia="zh-CN"/>
          </w:rPr>
          <w:delText>的问题</w:delText>
        </w:r>
      </w:del>
      <w:r>
        <w:rPr>
          <w:lang w:eastAsia="zh-CN"/>
        </w:rPr>
        <w:t>；</w:t>
      </w:r>
    </w:p>
    <w:p w14:paraId="66FD157D" w14:textId="77777777" w:rsidR="00F477B1" w:rsidRDefault="00FE5491">
      <w:pPr>
        <w:pStyle w:val="Normalnoindent"/>
        <w:rPr>
          <w:lang w:eastAsia="zh-CN"/>
        </w:rPr>
      </w:pPr>
      <w:r>
        <w:rPr>
          <w:i/>
          <w:iCs/>
          <w:lang w:eastAsia="zh-CN"/>
        </w:rPr>
        <w:t>b)</w:t>
      </w:r>
      <w:r>
        <w:rPr>
          <w:rFonts w:hint="eastAsia"/>
          <w:lang w:eastAsia="zh-CN"/>
        </w:rPr>
        <w:tab/>
      </w:r>
      <w:del w:id="27" w:author="TSB(RC)" w:date="2024-09-28T10:47:00Z">
        <w:r>
          <w:rPr>
            <w:rFonts w:hint="eastAsia"/>
            <w:lang w:eastAsia="zh-CN"/>
          </w:rPr>
          <w:delText>为</w:delText>
        </w:r>
      </w:del>
      <w:ins w:id="28" w:author="TSB(RC)" w:date="2024-09-28T10:47:00Z">
        <w:r>
          <w:rPr>
            <w:rFonts w:hint="eastAsia"/>
            <w:lang w:val="en-US" w:eastAsia="zh-CN"/>
          </w:rPr>
          <w:t>在</w:t>
        </w:r>
      </w:ins>
      <w:r>
        <w:rPr>
          <w:rFonts w:hint="eastAsia"/>
          <w:lang w:eastAsia="zh-CN"/>
        </w:rPr>
        <w:t>制定</w:t>
      </w:r>
      <w:ins w:id="29" w:author="TSB(RC)" w:date="2024-09-28T10:47:00Z">
        <w:r>
          <w:rPr>
            <w:lang w:val="zh-CN" w:eastAsia="zh-CN"/>
          </w:rPr>
          <w:t>与</w:t>
        </w:r>
        <w:r>
          <w:rPr>
            <w:lang w:val="zh-CN" w:eastAsia="zh-CN"/>
          </w:rPr>
          <w:t>ITU-T</w:t>
        </w:r>
      </w:ins>
      <w:del w:id="30" w:author="TSB(RC)" w:date="2024-09-28T10:47:00Z">
        <w:r>
          <w:rPr>
            <w:lang w:eastAsia="zh-CN"/>
          </w:rPr>
          <w:delText>关于本部门某些方面</w:delText>
        </w:r>
      </w:del>
      <w:r>
        <w:rPr>
          <w:lang w:eastAsia="zh-CN"/>
        </w:rPr>
        <w:t>工作</w:t>
      </w:r>
      <w:ins w:id="31" w:author="TSB(RC)" w:date="2024-09-28T10:47:00Z">
        <w:r>
          <w:rPr>
            <w:lang w:val="zh-CN" w:eastAsia="zh-CN"/>
          </w:rPr>
          <w:t>有关</w:t>
        </w:r>
      </w:ins>
      <w:r>
        <w:rPr>
          <w:lang w:eastAsia="zh-CN"/>
        </w:rPr>
        <w:t>的规则</w:t>
      </w:r>
      <w:ins w:id="32" w:author="TSB(RC)" w:date="2024-09-28T10:47:00Z">
        <w:r>
          <w:rPr>
            <w:lang w:val="zh-CN" w:eastAsia="zh-CN"/>
          </w:rPr>
          <w:t>时</w:t>
        </w:r>
      </w:ins>
      <w:del w:id="33" w:author="TSB(RC)" w:date="2024-09-28T10:47:00Z">
        <w:r>
          <w:rPr>
            <w:rFonts w:hint="eastAsia"/>
            <w:lang w:eastAsia="zh-CN"/>
          </w:rPr>
          <w:delText>起见</w:delText>
        </w:r>
      </w:del>
      <w:r>
        <w:rPr>
          <w:rFonts w:hint="eastAsia"/>
          <w:lang w:eastAsia="zh-CN"/>
        </w:rPr>
        <w:t>，需在</w:t>
      </w:r>
      <w:r>
        <w:rPr>
          <w:lang w:eastAsia="zh-CN"/>
        </w:rPr>
        <w:t>技术</w:t>
      </w:r>
      <w:del w:id="34" w:author="TSB(RC)" w:date="2024-09-28T10:49:00Z">
        <w:r>
          <w:rPr>
            <w:lang w:eastAsia="zh-CN"/>
          </w:rPr>
          <w:delText>问题和具有</w:delText>
        </w:r>
      </w:del>
      <w:ins w:id="35" w:author="TSB(RC)" w:date="2024-09-28T10:49:00Z">
        <w:r>
          <w:rPr>
            <w:rFonts w:hint="eastAsia"/>
            <w:lang w:eastAsia="zh-CN"/>
          </w:rPr>
          <w:t>、</w:t>
        </w:r>
      </w:ins>
      <w:r>
        <w:rPr>
          <w:lang w:eastAsia="zh-CN"/>
        </w:rPr>
        <w:t>政策</w:t>
      </w:r>
      <w:del w:id="36" w:author="TSB(RC)" w:date="2024-09-28T10:49:00Z">
        <w:r>
          <w:rPr>
            <w:lang w:val="en-US" w:eastAsia="zh-CN"/>
          </w:rPr>
          <w:delText>或</w:delText>
        </w:r>
      </w:del>
      <w:ins w:id="37" w:author="TSB(RC)" w:date="2024-09-28T10:49:00Z">
        <w:r>
          <w:rPr>
            <w:rFonts w:hint="eastAsia"/>
            <w:lang w:val="en-US" w:eastAsia="zh-CN"/>
          </w:rPr>
          <w:t>和</w:t>
        </w:r>
      </w:ins>
      <w:r>
        <w:rPr>
          <w:lang w:eastAsia="zh-CN"/>
        </w:rPr>
        <w:t>监管</w:t>
      </w:r>
      <w:del w:id="38" w:author="TSB(RC)" w:date="2024-09-28T10:49:00Z">
        <w:r>
          <w:rPr>
            <w:lang w:eastAsia="zh-CN"/>
          </w:rPr>
          <w:delText>影响</w:delText>
        </w:r>
        <w:r>
          <w:rPr>
            <w:rFonts w:hint="eastAsia"/>
            <w:lang w:eastAsia="zh-CN"/>
          </w:rPr>
          <w:delText>的</w:delText>
        </w:r>
      </w:del>
      <w:del w:id="39" w:author="TSB(RC)" w:date="2024-09-28T10:56:00Z">
        <w:r>
          <w:rPr>
            <w:lang w:eastAsia="zh-CN"/>
          </w:rPr>
          <w:delText>问题</w:delText>
        </w:r>
      </w:del>
      <w:ins w:id="40" w:author="TSB(RC)" w:date="2024-09-28T11:12:00Z">
        <w:r>
          <w:rPr>
            <w:rFonts w:hint="eastAsia"/>
            <w:lang w:val="en-US" w:eastAsia="zh-CN"/>
          </w:rPr>
          <w:t>内容</w:t>
        </w:r>
      </w:ins>
      <w:ins w:id="41" w:author="TSB(RC)" w:date="2024-09-28T10:50:00Z">
        <w:r>
          <w:rPr>
            <w:lang w:val="zh-CN" w:eastAsia="zh-CN"/>
          </w:rPr>
          <w:t>及影响</w:t>
        </w:r>
      </w:ins>
      <w:r>
        <w:rPr>
          <w:lang w:eastAsia="zh-CN"/>
        </w:rPr>
        <w:t>之间</w:t>
      </w:r>
      <w:r>
        <w:rPr>
          <w:rFonts w:hint="eastAsia"/>
          <w:lang w:eastAsia="zh-CN"/>
        </w:rPr>
        <w:t>划清</w:t>
      </w:r>
      <w:r>
        <w:rPr>
          <w:lang w:eastAsia="zh-CN"/>
        </w:rPr>
        <w:t>明确无误的界线；</w:t>
      </w:r>
    </w:p>
    <w:p w14:paraId="162E5173" w14:textId="77777777" w:rsidR="00F477B1" w:rsidRDefault="00FE5491">
      <w:pPr>
        <w:pStyle w:val="Normalnoindent"/>
        <w:rPr>
          <w:lang w:eastAsia="zh-CN"/>
        </w:rPr>
      </w:pPr>
      <w:r>
        <w:rPr>
          <w:i/>
          <w:iCs/>
          <w:lang w:eastAsia="zh-CN"/>
        </w:rPr>
        <w:t>c)</w:t>
      </w:r>
      <w:r>
        <w:rPr>
          <w:rFonts w:hint="eastAsia"/>
          <w:lang w:eastAsia="zh-CN"/>
        </w:rPr>
        <w:tab/>
      </w:r>
      <w:r>
        <w:rPr>
          <w:lang w:eastAsia="zh-CN"/>
        </w:rPr>
        <w:t>各主管部门</w:t>
      </w:r>
      <w:r>
        <w:rPr>
          <w:rFonts w:hint="eastAsia"/>
          <w:lang w:eastAsia="zh-CN"/>
        </w:rPr>
        <w:t>正在</w:t>
      </w:r>
      <w:r>
        <w:rPr>
          <w:lang w:eastAsia="zh-CN"/>
        </w:rPr>
        <w:t>鼓励部门成员在</w:t>
      </w:r>
      <w:r>
        <w:rPr>
          <w:lang w:eastAsia="zh-CN"/>
        </w:rPr>
        <w:t>ITU-T</w:t>
      </w:r>
      <w:r>
        <w:rPr>
          <w:lang w:eastAsia="zh-CN"/>
        </w:rPr>
        <w:t>的工作中</w:t>
      </w:r>
      <w:r>
        <w:rPr>
          <w:rFonts w:hint="eastAsia"/>
          <w:lang w:eastAsia="zh-CN"/>
        </w:rPr>
        <w:t>（</w:t>
      </w:r>
      <w:r>
        <w:rPr>
          <w:lang w:eastAsia="zh-CN"/>
        </w:rPr>
        <w:t>尤其是在技术问题方面</w:t>
      </w:r>
      <w:r>
        <w:rPr>
          <w:rFonts w:hint="eastAsia"/>
          <w:lang w:eastAsia="zh-CN"/>
        </w:rPr>
        <w:t>）</w:t>
      </w:r>
      <w:r>
        <w:rPr>
          <w:lang w:eastAsia="zh-CN"/>
        </w:rPr>
        <w:t>发挥更大作用；</w:t>
      </w:r>
    </w:p>
    <w:p w14:paraId="09F777FB" w14:textId="77777777" w:rsidR="00F477B1" w:rsidRDefault="00FE5491">
      <w:pPr>
        <w:pStyle w:val="Normalnoindent"/>
        <w:rPr>
          <w:lang w:eastAsia="zh-CN"/>
        </w:rPr>
      </w:pPr>
      <w:r>
        <w:rPr>
          <w:i/>
          <w:iCs/>
          <w:lang w:eastAsia="zh-CN"/>
        </w:rPr>
        <w:t>d)</w:t>
      </w:r>
      <w:r>
        <w:rPr>
          <w:rFonts w:hint="eastAsia"/>
          <w:lang w:eastAsia="zh-CN"/>
        </w:rPr>
        <w:tab/>
      </w:r>
      <w:r>
        <w:rPr>
          <w:lang w:eastAsia="zh-CN"/>
        </w:rPr>
        <w:t>具有政策或监管</w:t>
      </w:r>
      <w:ins w:id="42" w:author="TSB(RC)" w:date="2024-09-28T11:13:00Z">
        <w:r>
          <w:rPr>
            <w:rFonts w:hint="eastAsia"/>
            <w:lang w:val="en-US" w:eastAsia="zh-CN"/>
          </w:rPr>
          <w:t>内容及</w:t>
        </w:r>
      </w:ins>
      <w:r>
        <w:rPr>
          <w:lang w:eastAsia="zh-CN"/>
        </w:rPr>
        <w:t>影响的许多问题可能涉及技术实施，因此，需要由</w:t>
      </w:r>
      <w:r>
        <w:rPr>
          <w:rFonts w:hint="eastAsia"/>
          <w:lang w:eastAsia="zh-CN"/>
        </w:rPr>
        <w:t>适当</w:t>
      </w:r>
      <w:r>
        <w:rPr>
          <w:lang w:eastAsia="zh-CN"/>
        </w:rPr>
        <w:t>的</w:t>
      </w:r>
      <w:del w:id="43" w:author="TSB(RC)" w:date="2024-09-28T10:53:00Z">
        <w:r>
          <w:rPr>
            <w:lang w:eastAsia="zh-CN"/>
          </w:rPr>
          <w:delText>技术</w:delText>
        </w:r>
      </w:del>
      <w:r>
        <w:rPr>
          <w:lang w:eastAsia="zh-CN"/>
        </w:rPr>
        <w:t>研究组</w:t>
      </w:r>
      <w:ins w:id="44" w:author="TSB(RC)" w:date="2024-09-28T10:53:00Z">
        <w:r>
          <w:rPr>
            <w:lang w:val="zh-CN" w:eastAsia="zh-CN"/>
          </w:rPr>
          <w:t>和焦点组</w:t>
        </w:r>
      </w:ins>
      <w:r>
        <w:rPr>
          <w:rFonts w:hint="eastAsia"/>
          <w:lang w:eastAsia="zh-CN"/>
        </w:rPr>
        <w:t>审议，</w:t>
      </w:r>
    </w:p>
    <w:p w14:paraId="75C28B6E" w14:textId="77777777" w:rsidR="00F477B1" w:rsidRDefault="00FE5491">
      <w:pPr>
        <w:pStyle w:val="Call"/>
        <w:rPr>
          <w:rStyle w:val="Italic"/>
          <w:lang w:eastAsia="zh-CN"/>
        </w:rPr>
      </w:pPr>
      <w:r>
        <w:rPr>
          <w:rFonts w:hint="eastAsia"/>
          <w:lang w:eastAsia="zh-CN"/>
        </w:rPr>
        <w:t>注意到</w:t>
      </w:r>
    </w:p>
    <w:p w14:paraId="436C0474" w14:textId="77777777" w:rsidR="00F477B1" w:rsidRDefault="00FE5491">
      <w:pPr>
        <w:pStyle w:val="Normalnoindent"/>
        <w:rPr>
          <w:lang w:eastAsia="zh-CN"/>
        </w:rPr>
      </w:pPr>
      <w:r>
        <w:rPr>
          <w:i/>
          <w:iCs/>
          <w:lang w:eastAsia="zh-CN"/>
        </w:rPr>
        <w:t>a)</w:t>
      </w:r>
      <w:r>
        <w:rPr>
          <w:rFonts w:hint="eastAsia"/>
          <w:lang w:eastAsia="zh-CN"/>
        </w:rPr>
        <w:tab/>
      </w:r>
      <w:r>
        <w:rPr>
          <w:lang w:eastAsia="zh-CN"/>
        </w:rPr>
        <w:t>国际电联成员国在国际电联《组织法》第六章（第</w:t>
      </w:r>
      <w:r>
        <w:rPr>
          <w:lang w:eastAsia="zh-CN"/>
        </w:rPr>
        <w:t>33-43</w:t>
      </w:r>
      <w:r>
        <w:rPr>
          <w:lang w:eastAsia="zh-CN"/>
        </w:rPr>
        <w:t>条）和《公约》第五章（第</w:t>
      </w:r>
      <w:r>
        <w:rPr>
          <w:lang w:eastAsia="zh-CN"/>
        </w:rPr>
        <w:t>36-40</w:t>
      </w:r>
      <w:r>
        <w:rPr>
          <w:lang w:eastAsia="zh-CN"/>
        </w:rPr>
        <w:t>条）以及全权代表大会的相关决议中确定了重要的政策责任；</w:t>
      </w:r>
    </w:p>
    <w:p w14:paraId="21F3BBF8" w14:textId="77777777" w:rsidR="00F477B1" w:rsidRDefault="00FE5491">
      <w:pPr>
        <w:pStyle w:val="Normalnoindent"/>
        <w:rPr>
          <w:lang w:eastAsia="zh-CN"/>
        </w:rPr>
      </w:pPr>
      <w:r>
        <w:rPr>
          <w:i/>
          <w:iCs/>
          <w:lang w:eastAsia="zh-CN"/>
        </w:rPr>
        <w:t>b)</w:t>
      </w:r>
      <w:r>
        <w:rPr>
          <w:rFonts w:hint="eastAsia"/>
          <w:lang w:eastAsia="zh-CN"/>
        </w:rPr>
        <w:tab/>
      </w:r>
      <w:r>
        <w:rPr>
          <w:lang w:eastAsia="zh-CN"/>
        </w:rPr>
        <w:t>《国际电信规则》进一步阐明了成员国</w:t>
      </w:r>
      <w:r>
        <w:rPr>
          <w:rFonts w:hint="eastAsia"/>
          <w:lang w:eastAsia="zh-CN"/>
        </w:rPr>
        <w:t>所</w:t>
      </w:r>
      <w:r>
        <w:rPr>
          <w:lang w:eastAsia="zh-CN"/>
        </w:rPr>
        <w:t>承担的政策及监管义务；</w:t>
      </w:r>
    </w:p>
    <w:p w14:paraId="1E7EED2A" w14:textId="77777777" w:rsidR="00F477B1" w:rsidRDefault="00FE5491">
      <w:pPr>
        <w:pStyle w:val="Normalnoindent"/>
        <w:rPr>
          <w:lang w:eastAsia="zh-CN"/>
        </w:rPr>
      </w:pPr>
      <w:r>
        <w:rPr>
          <w:i/>
          <w:iCs/>
          <w:lang w:eastAsia="zh-CN"/>
        </w:rPr>
        <w:t>c)</w:t>
      </w:r>
      <w:r>
        <w:rPr>
          <w:rFonts w:hint="eastAsia"/>
          <w:lang w:eastAsia="zh-CN"/>
        </w:rPr>
        <w:tab/>
      </w:r>
      <w:r>
        <w:rPr>
          <w:lang w:eastAsia="zh-CN"/>
        </w:rPr>
        <w:t>《公约》第</w:t>
      </w:r>
      <w:r>
        <w:rPr>
          <w:lang w:eastAsia="zh-CN"/>
        </w:rPr>
        <w:t>191C</w:t>
      </w:r>
      <w:r>
        <w:rPr>
          <w:lang w:eastAsia="zh-CN"/>
        </w:rPr>
        <w:t>款授权世界电信标准化全会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WTSA</w:t>
      </w:r>
      <w:r>
        <w:rPr>
          <w:rFonts w:hint="eastAsia"/>
          <w:lang w:eastAsia="zh-CN"/>
        </w:rPr>
        <w:t>）将</w:t>
      </w:r>
      <w:r>
        <w:rPr>
          <w:lang w:eastAsia="zh-CN"/>
        </w:rPr>
        <w:t>其权限内</w:t>
      </w:r>
      <w:r>
        <w:rPr>
          <w:rFonts w:hint="eastAsia"/>
          <w:lang w:eastAsia="zh-CN"/>
        </w:rPr>
        <w:t>的事务交予</w:t>
      </w:r>
      <w:r>
        <w:rPr>
          <w:lang w:eastAsia="zh-CN"/>
        </w:rPr>
        <w:t>电信标准化顾问组（</w:t>
      </w:r>
      <w:r>
        <w:rPr>
          <w:lang w:eastAsia="zh-CN"/>
        </w:rPr>
        <w:t>TSAG</w:t>
      </w:r>
      <w:r>
        <w:rPr>
          <w:lang w:eastAsia="zh-CN"/>
        </w:rPr>
        <w:t>）承办，并指出需</w:t>
      </w:r>
      <w:r>
        <w:rPr>
          <w:rFonts w:hint="eastAsia"/>
          <w:lang w:eastAsia="zh-CN"/>
        </w:rPr>
        <w:t>就这些事务</w:t>
      </w:r>
      <w:r>
        <w:rPr>
          <w:lang w:eastAsia="zh-CN"/>
        </w:rPr>
        <w:t>采取的行动</w:t>
      </w:r>
      <w:del w:id="45" w:author="Li, Kehan" w:date="2024-09-27T09:58:00Z">
        <w:r>
          <w:rPr>
            <w:lang w:eastAsia="zh-CN"/>
          </w:rPr>
          <w:delText>，</w:delText>
        </w:r>
      </w:del>
      <w:ins w:id="46" w:author="Li, Kehan" w:date="2024-09-27T09:58:00Z">
        <w:r>
          <w:rPr>
            <w:rFonts w:hint="eastAsia"/>
            <w:lang w:eastAsia="zh-CN"/>
          </w:rPr>
          <w:t>；</w:t>
        </w:r>
      </w:ins>
    </w:p>
    <w:p w14:paraId="065D3675" w14:textId="77777777" w:rsidR="00F477B1" w:rsidRDefault="00FE5491">
      <w:pPr>
        <w:rPr>
          <w:ins w:id="47" w:author="Li, Kehan" w:date="2024-09-27T09:58:00Z"/>
          <w:lang w:eastAsia="zh-CN"/>
        </w:rPr>
      </w:pPr>
      <w:ins w:id="48" w:author="Li, Kehan" w:date="2024-09-27T09:58:00Z">
        <w:r>
          <w:rPr>
            <w:i/>
            <w:iCs/>
            <w:lang w:eastAsia="zh-CN"/>
            <w:rPrChange w:id="49" w:author="Rakan A. AlAnazi" w:date="2024-09-22T14:36:00Z">
              <w:rPr/>
            </w:rPrChange>
          </w:rPr>
          <w:t>d)</w:t>
        </w:r>
        <w:r>
          <w:rPr>
            <w:i/>
            <w:iCs/>
            <w:lang w:eastAsia="zh-CN"/>
            <w:rPrChange w:id="50" w:author="Rakan A. AlAnazi" w:date="2024-09-22T14:36:00Z">
              <w:rPr/>
            </w:rPrChange>
          </w:rPr>
          <w:tab/>
        </w:r>
      </w:ins>
      <w:ins w:id="51" w:author="TSB(RC)" w:date="2024-09-28T10:56:00Z">
        <w:r>
          <w:rPr>
            <w:lang w:val="zh-CN" w:eastAsia="zh-CN"/>
          </w:rPr>
          <w:t>有必要在各自职责范围内加强利益攸关</w:t>
        </w:r>
      </w:ins>
      <w:ins w:id="52" w:author="TSB(RC)" w:date="2024-09-28T10:57:00Z">
        <w:r>
          <w:rPr>
            <w:rFonts w:hint="eastAsia"/>
            <w:lang w:val="en-US" w:eastAsia="zh-CN"/>
          </w:rPr>
          <w:t>各</w:t>
        </w:r>
      </w:ins>
      <w:ins w:id="53" w:author="TSB(RC)" w:date="2024-09-28T10:56:00Z">
        <w:r>
          <w:rPr>
            <w:lang w:val="zh-CN" w:eastAsia="zh-CN"/>
          </w:rPr>
          <w:t>方之间的协作，以应对新</w:t>
        </w:r>
      </w:ins>
      <w:ins w:id="54" w:author="TSB(RC)" w:date="2024-09-28T10:57:00Z">
        <w:r>
          <w:rPr>
            <w:rFonts w:hint="eastAsia"/>
            <w:lang w:val="en-US" w:eastAsia="zh-CN"/>
          </w:rPr>
          <w:t>的</w:t>
        </w:r>
      </w:ins>
      <w:ins w:id="55" w:author="TSB(RC)" w:date="2024-09-28T10:56:00Z">
        <w:r>
          <w:rPr>
            <w:lang w:val="zh-CN" w:eastAsia="zh-CN"/>
          </w:rPr>
          <w:t>和新兴技术的采用将带来的监管和政策影响，同时</w:t>
        </w:r>
      </w:ins>
      <w:ins w:id="56" w:author="TSB(RC)" w:date="2024-09-28T10:58:00Z">
        <w:r>
          <w:rPr>
            <w:rFonts w:hint="eastAsia"/>
            <w:lang w:val="en-US" w:eastAsia="zh-CN"/>
          </w:rPr>
          <w:t>顾及</w:t>
        </w:r>
      </w:ins>
      <w:ins w:id="57" w:author="TSB(RC)" w:date="2024-09-28T10:56:00Z">
        <w:r>
          <w:rPr>
            <w:lang w:val="zh-CN" w:eastAsia="zh-CN"/>
          </w:rPr>
          <w:t>上述</w:t>
        </w:r>
        <w:r>
          <w:rPr>
            <w:i/>
            <w:iCs/>
            <w:lang w:val="zh-CN" w:eastAsia="zh-CN"/>
            <w:rPrChange w:id="58" w:author="TSB(RC)" w:date="2024-09-28T10:57:00Z">
              <w:rPr>
                <w:lang w:val="zh-CN"/>
              </w:rPr>
            </w:rPrChange>
          </w:rPr>
          <w:t>a</w:t>
        </w:r>
      </w:ins>
      <w:ins w:id="59" w:author="TSB(RC)" w:date="2024-09-28T10:57:00Z">
        <w:r>
          <w:rPr>
            <w:i/>
            <w:iCs/>
            <w:lang w:val="en-US" w:eastAsia="zh-CN"/>
            <w:rPrChange w:id="60" w:author="TSB(RC)" w:date="2024-09-28T10:57:00Z">
              <w:rPr>
                <w:lang w:val="en-US" w:eastAsia="zh-CN"/>
              </w:rPr>
            </w:rPrChange>
          </w:rPr>
          <w:t>)</w:t>
        </w:r>
      </w:ins>
      <w:ins w:id="61" w:author="TSB(RC)" w:date="2024-09-28T10:56:00Z">
        <w:r>
          <w:rPr>
            <w:lang w:val="zh-CN" w:eastAsia="zh-CN"/>
          </w:rPr>
          <w:t>、</w:t>
        </w:r>
        <w:r>
          <w:rPr>
            <w:i/>
            <w:iCs/>
            <w:lang w:val="zh-CN" w:eastAsia="zh-CN"/>
            <w:rPrChange w:id="62" w:author="TSB(RC)" w:date="2024-09-28T10:57:00Z">
              <w:rPr>
                <w:lang w:val="zh-CN"/>
              </w:rPr>
            </w:rPrChange>
          </w:rPr>
          <w:t>b</w:t>
        </w:r>
      </w:ins>
      <w:ins w:id="63" w:author="TSB(RC)" w:date="2024-09-28T10:57:00Z">
        <w:r>
          <w:rPr>
            <w:i/>
            <w:iCs/>
            <w:lang w:val="en-US" w:eastAsia="zh-CN"/>
            <w:rPrChange w:id="64" w:author="TSB(RC)" w:date="2024-09-28T10:57:00Z">
              <w:rPr>
                <w:lang w:val="en-US" w:eastAsia="zh-CN"/>
              </w:rPr>
            </w:rPrChange>
          </w:rPr>
          <w:t>)</w:t>
        </w:r>
      </w:ins>
      <w:ins w:id="65" w:author="TSB(RC)" w:date="2024-09-28T10:56:00Z">
        <w:r>
          <w:rPr>
            <w:lang w:val="zh-CN" w:eastAsia="zh-CN"/>
          </w:rPr>
          <w:t>和</w:t>
        </w:r>
        <w:r>
          <w:rPr>
            <w:i/>
            <w:iCs/>
            <w:lang w:val="zh-CN" w:eastAsia="zh-CN"/>
            <w:rPrChange w:id="66" w:author="TSB(RC)" w:date="2024-09-28T10:57:00Z">
              <w:rPr>
                <w:lang w:val="zh-CN"/>
              </w:rPr>
            </w:rPrChange>
          </w:rPr>
          <w:t>c</w:t>
        </w:r>
      </w:ins>
      <w:ins w:id="67" w:author="TSB(RC)" w:date="2024-09-28T10:57:00Z">
        <w:r>
          <w:rPr>
            <w:i/>
            <w:iCs/>
            <w:lang w:val="en-US" w:eastAsia="zh-CN"/>
            <w:rPrChange w:id="68" w:author="TSB(RC)" w:date="2024-09-28T10:57:00Z">
              <w:rPr>
                <w:lang w:val="en-US" w:eastAsia="zh-CN"/>
              </w:rPr>
            </w:rPrChange>
          </w:rPr>
          <w:t>)</w:t>
        </w:r>
      </w:ins>
      <w:ins w:id="69" w:author="TSB(RC)" w:date="2024-09-28T10:56:00Z">
        <w:r>
          <w:rPr>
            <w:lang w:val="zh-CN" w:eastAsia="zh-CN"/>
          </w:rPr>
          <w:t>点</w:t>
        </w:r>
        <w:r>
          <w:rPr>
            <w:rFonts w:hint="eastAsia"/>
            <w:lang w:val="zh-CN" w:eastAsia="zh-CN"/>
          </w:rPr>
          <w:t>；</w:t>
        </w:r>
      </w:ins>
    </w:p>
    <w:p w14:paraId="40FEE3F2" w14:textId="14373900" w:rsidR="00F477B1" w:rsidRDefault="00FE5491">
      <w:pPr>
        <w:rPr>
          <w:ins w:id="70" w:author="Li, Kehan" w:date="2024-09-27T09:58:00Z"/>
          <w:lang w:eastAsia="zh-CN"/>
        </w:rPr>
      </w:pPr>
      <w:ins w:id="71" w:author="Li, Kehan" w:date="2024-09-27T09:58:00Z">
        <w:r>
          <w:rPr>
            <w:i/>
            <w:iCs/>
            <w:lang w:eastAsia="zh-CN"/>
            <w:rPrChange w:id="72" w:author="Rakan A. AlAnazi" w:date="2024-09-22T14:38:00Z">
              <w:rPr/>
            </w:rPrChange>
          </w:rPr>
          <w:t>e)</w:t>
        </w:r>
        <w:r>
          <w:rPr>
            <w:i/>
            <w:iCs/>
            <w:lang w:eastAsia="zh-CN"/>
            <w:rPrChange w:id="73" w:author="Rakan A. AlAnazi" w:date="2024-09-22T14:38:00Z">
              <w:rPr/>
            </w:rPrChange>
          </w:rPr>
          <w:tab/>
        </w:r>
      </w:ins>
      <w:ins w:id="74" w:author="TSB(RC)" w:date="2024-09-28T10:58:00Z">
        <w:r>
          <w:rPr>
            <w:lang w:val="zh-CN" w:eastAsia="zh-CN"/>
          </w:rPr>
          <w:t>ITU-T</w:t>
        </w:r>
        <w:r>
          <w:rPr>
            <w:lang w:val="zh-CN" w:eastAsia="zh-CN"/>
          </w:rPr>
          <w:t>各研究组</w:t>
        </w:r>
        <w:r>
          <w:rPr>
            <w:rFonts w:hint="eastAsia"/>
            <w:lang w:val="zh-CN" w:eastAsia="zh-CN"/>
          </w:rPr>
          <w:t>（</w:t>
        </w:r>
        <w:r>
          <w:rPr>
            <w:lang w:val="zh-CN" w:eastAsia="zh-CN"/>
          </w:rPr>
          <w:t>特别是第</w:t>
        </w:r>
        <w:r>
          <w:rPr>
            <w:lang w:val="zh-CN" w:eastAsia="zh-CN"/>
          </w:rPr>
          <w:t>3</w:t>
        </w:r>
        <w:r>
          <w:rPr>
            <w:lang w:val="zh-CN" w:eastAsia="zh-CN"/>
          </w:rPr>
          <w:t>研究组</w:t>
        </w:r>
        <w:r>
          <w:rPr>
            <w:rFonts w:hint="eastAsia"/>
            <w:lang w:val="zh-CN" w:eastAsia="zh-CN"/>
          </w:rPr>
          <w:t>）</w:t>
        </w:r>
        <w:r>
          <w:rPr>
            <w:lang w:val="zh-CN" w:eastAsia="zh-CN"/>
          </w:rPr>
          <w:t>开展有关监管</w:t>
        </w:r>
      </w:ins>
      <w:ins w:id="75" w:author="TSB(RC)" w:date="2024-09-28T11:13:00Z">
        <w:r>
          <w:rPr>
            <w:rFonts w:hint="eastAsia"/>
            <w:lang w:val="en-US" w:eastAsia="zh-CN"/>
          </w:rPr>
          <w:t>内容</w:t>
        </w:r>
      </w:ins>
      <w:ins w:id="76" w:author="TSB(RC)" w:date="2024-09-28T10:58:00Z">
        <w:r>
          <w:rPr>
            <w:lang w:val="zh-CN" w:eastAsia="zh-CN"/>
          </w:rPr>
          <w:t>的研究</w:t>
        </w:r>
      </w:ins>
      <w:ins w:id="77" w:author="LING-C(KL)" w:date="2024-09-30T14:41:00Z" w16du:dateUtc="2024-09-30T12:41:00Z">
        <w:r w:rsidR="00E8190C">
          <w:rPr>
            <w:rFonts w:hint="eastAsia"/>
            <w:lang w:val="zh-CN" w:eastAsia="zh-CN"/>
          </w:rPr>
          <w:t>，</w:t>
        </w:r>
      </w:ins>
    </w:p>
    <w:p w14:paraId="0D7B92A9" w14:textId="77777777" w:rsidR="00F477B1" w:rsidRDefault="00FE5491">
      <w:pPr>
        <w:pStyle w:val="Call"/>
        <w:rPr>
          <w:rStyle w:val="Italic"/>
          <w:lang w:val="en-GB" w:eastAsia="zh-CN"/>
        </w:rPr>
      </w:pPr>
      <w:r>
        <w:rPr>
          <w:rFonts w:hint="eastAsia"/>
          <w:lang w:eastAsia="zh-CN"/>
        </w:rPr>
        <w:t>做出决议</w:t>
      </w:r>
    </w:p>
    <w:p w14:paraId="58B60568" w14:textId="77777777" w:rsidR="00F477B1" w:rsidRDefault="00FE5491">
      <w:pPr>
        <w:pStyle w:val="Normalnoindent"/>
        <w:rPr>
          <w:lang w:eastAsia="zh-CN"/>
        </w:rPr>
      </w:pPr>
      <w:del w:id="78" w:author="Li, Kehan" w:date="2024-09-27T09:58:00Z">
        <w:r>
          <w:rPr>
            <w:lang w:eastAsia="zh-CN"/>
          </w:rPr>
          <w:delText>1</w:delText>
        </w:r>
        <w:r>
          <w:rPr>
            <w:rFonts w:hint="eastAsia"/>
            <w:lang w:eastAsia="zh-CN"/>
          </w:rPr>
          <w:tab/>
        </w:r>
      </w:del>
      <w:r>
        <w:rPr>
          <w:lang w:eastAsia="zh-CN"/>
        </w:rPr>
        <w:t>在确定</w:t>
      </w:r>
      <w:del w:id="79" w:author="TSB(RC)" w:date="2024-09-28T10:59:00Z">
        <w:r>
          <w:rPr>
            <w:rFonts w:hint="eastAsia"/>
            <w:lang w:eastAsia="zh-CN"/>
          </w:rPr>
          <w:delText>所有</w:delText>
        </w:r>
      </w:del>
      <w:r>
        <w:rPr>
          <w:rFonts w:hint="eastAsia"/>
          <w:lang w:eastAsia="zh-CN"/>
        </w:rPr>
        <w:t>新工作项目、课题或</w:t>
      </w:r>
      <w:r>
        <w:rPr>
          <w:lang w:eastAsia="zh-CN"/>
        </w:rPr>
        <w:t>建议书是否具有政策或监管</w:t>
      </w:r>
      <w:ins w:id="80" w:author="TSB(RC)" w:date="2024-09-28T10:59:00Z">
        <w:r>
          <w:rPr>
            <w:rFonts w:hint="eastAsia"/>
            <w:lang w:val="en-US" w:eastAsia="zh-CN"/>
          </w:rPr>
          <w:t>方面及</w:t>
        </w:r>
      </w:ins>
      <w:r>
        <w:rPr>
          <w:lang w:eastAsia="zh-CN"/>
        </w:rPr>
        <w:t>影响时，</w:t>
      </w:r>
      <w:r>
        <w:rPr>
          <w:rFonts w:hint="eastAsia"/>
          <w:lang w:eastAsia="zh-CN"/>
        </w:rPr>
        <w:t>各研究组须</w:t>
      </w:r>
      <w:del w:id="81" w:author="TSB(RC)" w:date="2024-09-28T11:00:00Z">
        <w:r>
          <w:rPr>
            <w:lang w:eastAsia="zh-CN"/>
          </w:rPr>
          <w:delText>更加</w:delText>
        </w:r>
        <w:r>
          <w:rPr>
            <w:rFonts w:hint="eastAsia"/>
            <w:lang w:eastAsia="zh-CN"/>
          </w:rPr>
          <w:delText>概括性</w:delText>
        </w:r>
        <w:r>
          <w:rPr>
            <w:lang w:eastAsia="zh-CN"/>
          </w:rPr>
          <w:delText>地</w:delText>
        </w:r>
      </w:del>
      <w:r>
        <w:rPr>
          <w:lang w:eastAsia="zh-CN"/>
        </w:rPr>
        <w:t>审议</w:t>
      </w:r>
      <w:ins w:id="82" w:author="TSB(RC)" w:date="2024-09-28T11:00:00Z">
        <w:r>
          <w:rPr>
            <w:rFonts w:ascii="STKaiti" w:eastAsia="STKaiti" w:hAnsi="STKaiti" w:cs="STKaiti" w:hint="eastAsia"/>
            <w:lang w:val="zh-CN" w:eastAsia="zh-CN"/>
            <w:rPrChange w:id="83" w:author="TSB(RC)" w:date="2024-09-28T11:00:00Z">
              <w:rPr>
                <w:rFonts w:hint="eastAsia"/>
                <w:lang w:val="zh-CN"/>
              </w:rPr>
            </w:rPrChange>
          </w:rPr>
          <w:t>注意到</w:t>
        </w:r>
        <w:r>
          <w:rPr>
            <w:lang w:val="zh-CN" w:eastAsia="zh-CN"/>
          </w:rPr>
          <w:t>中提及的可能</w:t>
        </w:r>
      </w:ins>
      <w:del w:id="84" w:author="TSB(RC)" w:date="2024-09-28T11:00:00Z">
        <w:r>
          <w:rPr>
            <w:rFonts w:hint="eastAsia"/>
            <w:lang w:eastAsia="zh-CN"/>
          </w:rPr>
          <w:delText>以</w:delText>
        </w:r>
        <w:r>
          <w:rPr>
            <w:lang w:eastAsia="zh-CN"/>
          </w:rPr>
          <w:delText>下</w:delText>
        </w:r>
        <w:r>
          <w:rPr>
            <w:rFonts w:hint="eastAsia"/>
            <w:lang w:eastAsia="zh-CN"/>
          </w:rPr>
          <w:delText>类别的</w:delText>
        </w:r>
      </w:del>
      <w:r>
        <w:rPr>
          <w:rFonts w:hint="eastAsia"/>
          <w:lang w:eastAsia="zh-CN"/>
        </w:rPr>
        <w:t>议题</w:t>
      </w:r>
      <w:del w:id="85" w:author="Li, Kehan" w:date="2024-09-27T09:58:00Z">
        <w:r>
          <w:rPr>
            <w:lang w:eastAsia="zh-CN"/>
          </w:rPr>
          <w:delText>：</w:delText>
        </w:r>
      </w:del>
      <w:ins w:id="86" w:author="TSB(RC)" w:date="2024-09-28T11:01:00Z">
        <w:r>
          <w:rPr>
            <w:lang w:val="zh-CN" w:eastAsia="zh-CN"/>
          </w:rPr>
          <w:t>，或由成员国</w:t>
        </w:r>
        <w:r>
          <w:rPr>
            <w:rFonts w:hint="eastAsia"/>
            <w:lang w:val="en-US" w:eastAsia="zh-CN"/>
          </w:rPr>
          <w:t>通过一项</w:t>
        </w:r>
        <w:r>
          <w:rPr>
            <w:lang w:val="zh-CN" w:eastAsia="zh-CN"/>
          </w:rPr>
          <w:t>决定确定的</w:t>
        </w:r>
        <w:r>
          <w:rPr>
            <w:rFonts w:hint="eastAsia"/>
            <w:lang w:val="en-US" w:eastAsia="zh-CN"/>
          </w:rPr>
          <w:t>议题</w:t>
        </w:r>
        <w:r>
          <w:rPr>
            <w:lang w:val="zh-CN" w:eastAsia="zh-CN"/>
          </w:rPr>
          <w:t>或由</w:t>
        </w:r>
        <w:r>
          <w:rPr>
            <w:lang w:val="zh-CN" w:eastAsia="zh-CN"/>
          </w:rPr>
          <w:t>TSAG</w:t>
        </w:r>
      </w:ins>
      <w:ins w:id="87" w:author="TSB(RC)" w:date="2024-09-28T11:02:00Z">
        <w:r>
          <w:rPr>
            <w:rFonts w:hint="eastAsia"/>
            <w:lang w:val="en-US" w:eastAsia="zh-CN"/>
          </w:rPr>
          <w:t>建议</w:t>
        </w:r>
      </w:ins>
      <w:ins w:id="88" w:author="TSB(RC)" w:date="2024-09-28T11:01:00Z">
        <w:r>
          <w:rPr>
            <w:lang w:val="zh-CN" w:eastAsia="zh-CN"/>
          </w:rPr>
          <w:t>的议题</w:t>
        </w:r>
      </w:ins>
      <w:ins w:id="89" w:author="Li, Kehan" w:date="2024-09-27T09:59:00Z">
        <w:r>
          <w:rPr>
            <w:rFonts w:hint="eastAsia"/>
            <w:lang w:eastAsia="zh-CN"/>
          </w:rPr>
          <w:t>，</w:t>
        </w:r>
      </w:ins>
    </w:p>
    <w:p w14:paraId="59FA4078" w14:textId="77777777" w:rsidR="00F477B1" w:rsidRDefault="00FE5491">
      <w:pPr>
        <w:pStyle w:val="enumlev1"/>
        <w:rPr>
          <w:del w:id="90" w:author="Li, Kehan" w:date="2024-09-27T09:59:00Z"/>
          <w:lang w:eastAsia="zh-CN"/>
        </w:rPr>
      </w:pPr>
      <w:del w:id="91" w:author="Li, Kehan" w:date="2024-09-27T09:59:00Z">
        <w:r>
          <w:sym w:font="Symbol" w:char="F02D"/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delText>公众的通信权；</w:delText>
        </w:r>
      </w:del>
    </w:p>
    <w:p w14:paraId="708825B1" w14:textId="77777777" w:rsidR="00F477B1" w:rsidRDefault="00FE5491">
      <w:pPr>
        <w:pStyle w:val="enumlev1"/>
        <w:rPr>
          <w:del w:id="92" w:author="Li, Kehan" w:date="2024-09-27T09:59:00Z"/>
          <w:lang w:eastAsia="zh-CN"/>
        </w:rPr>
      </w:pPr>
      <w:del w:id="93" w:author="Li, Kehan" w:date="2024-09-27T09:59:00Z">
        <w:r>
          <w:lastRenderedPageBreak/>
          <w:sym w:font="Symbol" w:char="F02D"/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delText>电信信道和设施的保护；</w:delText>
        </w:r>
      </w:del>
    </w:p>
    <w:p w14:paraId="321AD8EF" w14:textId="77777777" w:rsidR="00F477B1" w:rsidRDefault="00FE5491">
      <w:pPr>
        <w:pStyle w:val="enumlev1"/>
        <w:rPr>
          <w:del w:id="94" w:author="Li, Kehan" w:date="2024-09-27T09:59:00Z"/>
          <w:lang w:eastAsia="zh-CN"/>
        </w:rPr>
      </w:pPr>
      <w:del w:id="95" w:author="Li, Kehan" w:date="2024-09-27T09:59:00Z">
        <w:r>
          <w:sym w:font="Symbol" w:char="F02D"/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delText>有限</w:delText>
        </w:r>
        <w:r>
          <w:rPr>
            <w:rFonts w:hint="eastAsia"/>
            <w:lang w:eastAsia="zh-CN"/>
          </w:rPr>
          <w:delText>编号和寻址</w:delText>
        </w:r>
        <w:r>
          <w:rPr>
            <w:lang w:eastAsia="zh-CN"/>
          </w:rPr>
          <w:delText>资源的使用；</w:delText>
        </w:r>
      </w:del>
    </w:p>
    <w:p w14:paraId="4B011660" w14:textId="77777777" w:rsidR="00F477B1" w:rsidRDefault="00FE5491">
      <w:pPr>
        <w:pStyle w:val="enumlev1"/>
        <w:rPr>
          <w:del w:id="96" w:author="Li, Kehan" w:date="2024-09-27T09:59:00Z"/>
          <w:lang w:eastAsia="zh-CN"/>
        </w:rPr>
      </w:pPr>
      <w:del w:id="97" w:author="Li, Kehan" w:date="2024-09-27T09:59:00Z">
        <w:r>
          <w:sym w:font="Symbol" w:char="F02D"/>
        </w:r>
        <w:r>
          <w:rPr>
            <w:rFonts w:hint="eastAsia"/>
            <w:lang w:eastAsia="zh-CN"/>
          </w:rPr>
          <w:tab/>
        </w:r>
        <w:r>
          <w:rPr>
            <w:rFonts w:hint="eastAsia"/>
            <w:lang w:eastAsia="zh-CN"/>
          </w:rPr>
          <w:delText>命名以及识别；</w:delText>
        </w:r>
      </w:del>
    </w:p>
    <w:p w14:paraId="03C43AA5" w14:textId="77777777" w:rsidR="00F477B1" w:rsidRDefault="00FE5491">
      <w:pPr>
        <w:pStyle w:val="enumlev1"/>
        <w:rPr>
          <w:del w:id="98" w:author="Li, Kehan" w:date="2024-09-27T09:59:00Z"/>
          <w:lang w:eastAsia="zh-CN"/>
        </w:rPr>
      </w:pPr>
      <w:del w:id="99" w:author="Li, Kehan" w:date="2024-09-27T09:59:00Z">
        <w:r>
          <w:sym w:font="Symbol" w:char="F02D"/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delText>电信的保密</w:delText>
        </w:r>
        <w:r>
          <w:rPr>
            <w:rFonts w:hint="eastAsia"/>
            <w:lang w:eastAsia="zh-CN"/>
          </w:rPr>
          <w:delText>性</w:delText>
        </w:r>
        <w:r>
          <w:rPr>
            <w:lang w:eastAsia="zh-CN"/>
          </w:rPr>
          <w:delText>和真实性；</w:delText>
        </w:r>
      </w:del>
    </w:p>
    <w:p w14:paraId="1A0A7049" w14:textId="77777777" w:rsidR="00F477B1" w:rsidRDefault="00FE5491">
      <w:pPr>
        <w:pStyle w:val="enumlev1"/>
        <w:rPr>
          <w:del w:id="100" w:author="Li, Kehan" w:date="2024-09-27T09:59:00Z"/>
          <w:lang w:eastAsia="zh-CN"/>
        </w:rPr>
      </w:pPr>
      <w:del w:id="101" w:author="Li, Kehan" w:date="2024-09-27T09:59:00Z">
        <w:r>
          <w:sym w:font="Symbol" w:char="F02D"/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delText>生命安全；</w:delText>
        </w:r>
      </w:del>
    </w:p>
    <w:p w14:paraId="1D8257AB" w14:textId="77777777" w:rsidR="00F477B1" w:rsidRDefault="00FE5491">
      <w:pPr>
        <w:pStyle w:val="enumlev1"/>
        <w:rPr>
          <w:del w:id="102" w:author="Li, Kehan" w:date="2024-09-27T09:59:00Z"/>
          <w:lang w:eastAsia="zh-CN"/>
        </w:rPr>
      </w:pPr>
      <w:del w:id="103" w:author="Li, Kehan" w:date="2024-09-27T09:59:00Z">
        <w:r>
          <w:sym w:font="Symbol" w:char="F02D"/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delText>适</w:delText>
        </w:r>
        <w:r>
          <w:rPr>
            <w:rFonts w:hint="eastAsia"/>
            <w:lang w:eastAsia="zh-CN"/>
          </w:rPr>
          <w:delText>用于</w:delText>
        </w:r>
        <w:r>
          <w:rPr>
            <w:lang w:eastAsia="zh-CN"/>
          </w:rPr>
          <w:delText>竞争市场的做法；</w:delText>
        </w:r>
      </w:del>
    </w:p>
    <w:p w14:paraId="2C6A08F9" w14:textId="77777777" w:rsidR="00F477B1" w:rsidRDefault="00FE5491">
      <w:pPr>
        <w:pStyle w:val="enumlev1"/>
        <w:rPr>
          <w:del w:id="104" w:author="Li, Kehan" w:date="2024-09-27T09:59:00Z"/>
          <w:lang w:eastAsia="zh-CN"/>
        </w:rPr>
      </w:pPr>
      <w:del w:id="105" w:author="Li, Kehan" w:date="2024-09-27T09:59:00Z">
        <w:r>
          <w:rPr>
            <w:lang w:eastAsia="zh-CN"/>
          </w:rPr>
          <w:delText>–</w:delTex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delText>号码资源的滥用；和</w:delText>
        </w:r>
      </w:del>
    </w:p>
    <w:p w14:paraId="7AE707BA" w14:textId="77777777" w:rsidR="00F477B1" w:rsidRDefault="00FE5491">
      <w:pPr>
        <w:pStyle w:val="enumlev1"/>
        <w:rPr>
          <w:del w:id="106" w:author="Li, Kehan" w:date="2024-09-27T09:59:00Z"/>
          <w:lang w:eastAsia="zh-CN"/>
        </w:rPr>
      </w:pPr>
      <w:del w:id="107" w:author="Li, Kehan" w:date="2024-09-27T09:59:00Z">
        <w:r>
          <w:sym w:font="Symbol" w:char="F02D"/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delText>任何其它相关问题，包括由成员国的某项决定所确定的或由</w:delText>
        </w:r>
        <w:r>
          <w:rPr>
            <w:lang w:eastAsia="zh-CN"/>
          </w:rPr>
          <w:delText>TSAG</w:delText>
        </w:r>
        <w:r>
          <w:rPr>
            <w:lang w:eastAsia="zh-CN"/>
          </w:rPr>
          <w:delText>建议的</w:delText>
        </w:r>
        <w:r>
          <w:rPr>
            <w:rFonts w:hint="eastAsia"/>
            <w:lang w:eastAsia="zh-CN"/>
          </w:rPr>
          <w:delText>相关</w:delText>
        </w:r>
        <w:r>
          <w:rPr>
            <w:lang w:eastAsia="zh-CN"/>
          </w:rPr>
          <w:delText>问题</w:delText>
        </w:r>
        <w:r>
          <w:rPr>
            <w:rFonts w:hint="eastAsia"/>
            <w:lang w:eastAsia="zh-CN"/>
          </w:rPr>
          <w:delText>，或对其范围存有疑虑的课题或建议书</w:delText>
        </w:r>
        <w:r>
          <w:rPr>
            <w:lang w:eastAsia="zh-CN"/>
          </w:rPr>
          <w:delText>；</w:delText>
        </w:r>
      </w:del>
    </w:p>
    <w:p w14:paraId="0C207185" w14:textId="77777777" w:rsidR="00F477B1" w:rsidRDefault="00FE5491">
      <w:pPr>
        <w:pStyle w:val="Call"/>
        <w:rPr>
          <w:ins w:id="108" w:author="Li, Kehan" w:date="2024-09-27T09:59:00Z"/>
          <w:lang w:eastAsia="zh-CN"/>
        </w:rPr>
        <w:pPrChange w:id="109" w:author="Li, Kehan" w:date="2024-09-27T09:59:00Z">
          <w:pPr>
            <w:pStyle w:val="Normalnoindent"/>
          </w:pPr>
        </w:pPrChange>
      </w:pPr>
      <w:del w:id="110" w:author="Li, Kehan" w:date="2024-09-27T09:59:00Z">
        <w:r>
          <w:rPr>
            <w:lang w:eastAsia="zh-CN"/>
          </w:rPr>
          <w:delText>2</w:delText>
        </w:r>
        <w:r>
          <w:rPr>
            <w:lang w:eastAsia="zh-CN"/>
          </w:rPr>
          <w:tab/>
        </w:r>
      </w:del>
      <w:r>
        <w:rPr>
          <w:rFonts w:hint="eastAsia"/>
          <w:lang w:eastAsia="zh-CN"/>
        </w:rPr>
        <w:t>责成</w:t>
      </w:r>
      <w:r>
        <w:rPr>
          <w:rFonts w:hint="eastAsia"/>
          <w:lang w:eastAsia="zh-CN"/>
        </w:rPr>
        <w:t>TSAG</w:t>
      </w:r>
    </w:p>
    <w:p w14:paraId="53AFB409" w14:textId="77777777" w:rsidR="00F477B1" w:rsidRDefault="00FE5491">
      <w:pPr>
        <w:pStyle w:val="Normalnoindent"/>
        <w:rPr>
          <w:lang w:eastAsia="zh-CN"/>
        </w:rPr>
      </w:pPr>
      <w:ins w:id="111" w:author="Li, Kehan" w:date="2024-09-27T09:59:00Z">
        <w:r>
          <w:rPr>
            <w:rFonts w:hint="eastAsia"/>
            <w:spacing w:val="2"/>
            <w:lang w:eastAsia="zh-CN"/>
          </w:rPr>
          <w:t>1</w:t>
        </w:r>
        <w:r>
          <w:rPr>
            <w:spacing w:val="2"/>
            <w:lang w:eastAsia="zh-CN"/>
          </w:rPr>
          <w:tab/>
        </w:r>
      </w:ins>
      <w:r>
        <w:rPr>
          <w:rFonts w:hint="eastAsia"/>
          <w:spacing w:val="2"/>
          <w:lang w:eastAsia="zh-CN"/>
        </w:rPr>
        <w:t>研究并确定可能具有政策和监管性质的、与电信</w:t>
      </w:r>
      <w:r>
        <w:rPr>
          <w:rFonts w:hint="eastAsia"/>
          <w:spacing w:val="2"/>
          <w:lang w:eastAsia="zh-CN"/>
        </w:rPr>
        <w:t>/</w:t>
      </w:r>
      <w:r>
        <w:rPr>
          <w:rFonts w:hint="eastAsia"/>
          <w:spacing w:val="2"/>
          <w:lang w:eastAsia="zh-CN"/>
        </w:rPr>
        <w:t>信息</w:t>
      </w:r>
      <w:r>
        <w:rPr>
          <w:spacing w:val="2"/>
          <w:lang w:eastAsia="zh-CN"/>
        </w:rPr>
        <w:t>通信技术</w:t>
      </w:r>
      <w:r>
        <w:rPr>
          <w:rFonts w:hint="eastAsia"/>
          <w:spacing w:val="2"/>
          <w:lang w:eastAsia="zh-CN"/>
        </w:rPr>
        <w:t>服务质量</w:t>
      </w:r>
      <w:r>
        <w:rPr>
          <w:lang w:eastAsia="zh-CN"/>
        </w:rPr>
        <w:t>/</w:t>
      </w:r>
      <w:r>
        <w:rPr>
          <w:rFonts w:hint="eastAsia"/>
          <w:lang w:eastAsia="zh-CN"/>
        </w:rPr>
        <w:t>体验质量（</w:t>
      </w:r>
      <w:r>
        <w:rPr>
          <w:spacing w:val="2"/>
          <w:lang w:eastAsia="zh-CN"/>
        </w:rPr>
        <w:t>QoS</w:t>
      </w:r>
      <w:r>
        <w:rPr>
          <w:lang w:eastAsia="zh-CN"/>
        </w:rPr>
        <w:t>/</w:t>
      </w:r>
      <w:proofErr w:type="spellStart"/>
      <w:r>
        <w:rPr>
          <w:lang w:eastAsia="zh-CN"/>
        </w:rPr>
        <w:t>QoE</w:t>
      </w:r>
      <w:proofErr w:type="spellEnd"/>
      <w:r>
        <w:rPr>
          <w:rFonts w:hint="eastAsia"/>
          <w:lang w:eastAsia="zh-CN"/>
        </w:rPr>
        <w:t>）相关的运营和技术领域，同时考虑到相关研究组正在开展的研究，并向下届</w:t>
      </w:r>
      <w:r>
        <w:rPr>
          <w:rFonts w:hint="eastAsia"/>
          <w:lang w:eastAsia="zh-CN"/>
        </w:rPr>
        <w:t>W</w:t>
      </w:r>
      <w:r>
        <w:rPr>
          <w:lang w:eastAsia="zh-CN"/>
        </w:rPr>
        <w:t>TSA</w:t>
      </w:r>
      <w:r>
        <w:rPr>
          <w:rFonts w:hint="eastAsia"/>
          <w:lang w:eastAsia="zh-CN"/>
        </w:rPr>
        <w:t>汇报</w:t>
      </w:r>
      <w:del w:id="112" w:author="Li, Kehan" w:date="2024-09-27T10:00:00Z">
        <w:r>
          <w:rPr>
            <w:rFonts w:hint="eastAsia"/>
            <w:lang w:eastAsia="zh-CN"/>
          </w:rPr>
          <w:delText>，</w:delText>
        </w:r>
      </w:del>
      <w:ins w:id="113" w:author="Li, Kehan" w:date="2024-09-27T10:00:00Z">
        <w:r>
          <w:rPr>
            <w:rFonts w:hint="eastAsia"/>
            <w:lang w:eastAsia="zh-CN"/>
          </w:rPr>
          <w:t>；</w:t>
        </w:r>
      </w:ins>
    </w:p>
    <w:p w14:paraId="169AAA5E" w14:textId="77777777" w:rsidR="00F477B1" w:rsidRDefault="00FE5491">
      <w:pPr>
        <w:rPr>
          <w:ins w:id="114" w:author="Li, Kehan" w:date="2024-09-27T10:00:00Z"/>
          <w:lang w:eastAsia="zh-CN"/>
        </w:rPr>
      </w:pPr>
      <w:ins w:id="115" w:author="Li, Kehan" w:date="2024-09-27T10:00:00Z">
        <w:r>
          <w:rPr>
            <w:lang w:eastAsia="zh-CN"/>
          </w:rPr>
          <w:t>2</w:t>
        </w:r>
        <w:r>
          <w:rPr>
            <w:lang w:eastAsia="zh-CN"/>
          </w:rPr>
          <w:tab/>
        </w:r>
      </w:ins>
      <w:ins w:id="116" w:author="TSB(RC)" w:date="2024-09-28T11:03:00Z">
        <w:r>
          <w:rPr>
            <w:lang w:val="zh-CN" w:eastAsia="zh-CN"/>
          </w:rPr>
          <w:t>就</w:t>
        </w:r>
        <w:r>
          <w:rPr>
            <w:rFonts w:ascii="STKaiti" w:eastAsia="STKaiti" w:hAnsi="STKaiti" w:cs="STKaiti" w:hint="eastAsia"/>
            <w:lang w:val="zh-CN" w:eastAsia="zh-CN"/>
            <w:rPrChange w:id="117" w:author="TSB(RC)" w:date="2024-09-28T11:03:00Z">
              <w:rPr>
                <w:rFonts w:hint="eastAsia"/>
                <w:lang w:val="zh-CN"/>
              </w:rPr>
            </w:rPrChange>
          </w:rPr>
          <w:t>做出决议</w:t>
        </w:r>
        <w:r>
          <w:rPr>
            <w:lang w:val="zh-CN" w:eastAsia="zh-CN"/>
          </w:rPr>
          <w:t>中</w:t>
        </w:r>
      </w:ins>
      <w:ins w:id="118" w:author="TSB(RC)" w:date="2024-09-28T11:04:00Z">
        <w:r>
          <w:rPr>
            <w:rFonts w:hint="eastAsia"/>
            <w:lang w:val="zh-CN" w:eastAsia="zh-CN"/>
          </w:rPr>
          <w:t>未具体说明的</w:t>
        </w:r>
      </w:ins>
      <w:ins w:id="119" w:author="TSB(RC)" w:date="2024-09-28T11:03:00Z">
        <w:r>
          <w:rPr>
            <w:lang w:val="zh-CN" w:eastAsia="zh-CN"/>
          </w:rPr>
          <w:t>具有政策和监管</w:t>
        </w:r>
      </w:ins>
      <w:ins w:id="120" w:author="TSB(RC)" w:date="2024-09-28T11:14:00Z">
        <w:r>
          <w:rPr>
            <w:rFonts w:hint="eastAsia"/>
            <w:lang w:val="en-US" w:eastAsia="zh-CN"/>
          </w:rPr>
          <w:t>内容</w:t>
        </w:r>
      </w:ins>
      <w:ins w:id="121" w:author="TSB(RC)" w:date="2024-09-28T11:03:00Z">
        <w:r>
          <w:rPr>
            <w:lang w:val="zh-CN" w:eastAsia="zh-CN"/>
          </w:rPr>
          <w:t>及影响的</w:t>
        </w:r>
      </w:ins>
      <w:ins w:id="122" w:author="TSB(RC)" w:date="2024-09-28T11:04:00Z">
        <w:r>
          <w:rPr>
            <w:lang w:val="zh-CN" w:eastAsia="zh-CN"/>
          </w:rPr>
          <w:t>任何</w:t>
        </w:r>
      </w:ins>
      <w:ins w:id="123" w:author="TSB(RC)" w:date="2024-09-28T11:03:00Z">
        <w:r>
          <w:rPr>
            <w:lang w:val="zh-CN" w:eastAsia="zh-CN"/>
          </w:rPr>
          <w:t>相关问题（包括采用新</w:t>
        </w:r>
      </w:ins>
      <w:ins w:id="124" w:author="TSB(RC)" w:date="2024-09-28T11:04:00Z">
        <w:r>
          <w:rPr>
            <w:rFonts w:hint="eastAsia"/>
            <w:lang w:val="en-US" w:eastAsia="zh-CN"/>
          </w:rPr>
          <w:t>的和新</w:t>
        </w:r>
      </w:ins>
      <w:ins w:id="125" w:author="TSB(RC)" w:date="2024-09-28T11:03:00Z">
        <w:r>
          <w:rPr>
            <w:lang w:val="zh-CN" w:eastAsia="zh-CN"/>
          </w:rPr>
          <w:t>兴技术产生的问题）与成员国</w:t>
        </w:r>
      </w:ins>
      <w:ins w:id="126" w:author="TSB(RC)" w:date="2024-09-28T11:04:00Z">
        <w:r>
          <w:rPr>
            <w:rFonts w:hint="eastAsia"/>
            <w:lang w:val="en-US" w:eastAsia="zh-CN"/>
          </w:rPr>
          <w:t>进行</w:t>
        </w:r>
      </w:ins>
      <w:ins w:id="127" w:author="TSB(RC)" w:date="2024-09-28T11:03:00Z">
        <w:r>
          <w:rPr>
            <w:lang w:val="zh-CN" w:eastAsia="zh-CN"/>
          </w:rPr>
          <w:t>磋商，</w:t>
        </w:r>
      </w:ins>
    </w:p>
    <w:p w14:paraId="46869D9B" w14:textId="77777777" w:rsidR="00F477B1" w:rsidRDefault="00FE5491">
      <w:pPr>
        <w:pStyle w:val="Call"/>
        <w:rPr>
          <w:ins w:id="128" w:author="Li, Kehan" w:date="2024-09-27T10:00:00Z"/>
          <w:lang w:eastAsia="zh-CN"/>
        </w:rPr>
      </w:pPr>
      <w:ins w:id="129" w:author="TSB(RC)" w:date="2024-09-28T11:05:00Z">
        <w:r>
          <w:rPr>
            <w:rFonts w:hint="eastAsia"/>
            <w:lang w:eastAsia="zh-CN"/>
          </w:rPr>
          <w:t>责成</w:t>
        </w:r>
        <w:r>
          <w:rPr>
            <w:rFonts w:hint="eastAsia"/>
            <w:lang w:eastAsia="zh-CN"/>
          </w:rPr>
          <w:t>ITU-T</w:t>
        </w:r>
        <w:r>
          <w:rPr>
            <w:rFonts w:hint="eastAsia"/>
            <w:lang w:eastAsia="zh-CN"/>
          </w:rPr>
          <w:t>各研究组在其</w:t>
        </w:r>
      </w:ins>
      <w:ins w:id="130" w:author="TSB(RC)" w:date="2024-09-28T11:15:00Z">
        <w:r>
          <w:rPr>
            <w:rFonts w:hint="eastAsia"/>
            <w:lang w:val="en-US" w:eastAsia="zh-CN"/>
          </w:rPr>
          <w:t>职责</w:t>
        </w:r>
      </w:ins>
      <w:ins w:id="131" w:author="TSB(RC)" w:date="2024-09-28T11:05:00Z">
        <w:r>
          <w:rPr>
            <w:rFonts w:hint="eastAsia"/>
            <w:lang w:eastAsia="zh-CN"/>
          </w:rPr>
          <w:t>范围内</w:t>
        </w:r>
      </w:ins>
    </w:p>
    <w:p w14:paraId="35592BC2" w14:textId="372CDC6F" w:rsidR="00F477B1" w:rsidRDefault="00FE5491">
      <w:pPr>
        <w:ind w:firstLineChars="200" w:firstLine="480"/>
        <w:rPr>
          <w:ins w:id="132" w:author="Li, Kehan" w:date="2024-09-27T10:00:00Z"/>
          <w:lang w:eastAsia="zh-CN"/>
        </w:rPr>
      </w:pPr>
      <w:ins w:id="133" w:author="TSB(RC)" w:date="2024-09-28T11:06:00Z">
        <w:r>
          <w:rPr>
            <w:lang w:val="zh-CN" w:eastAsia="zh-CN"/>
          </w:rPr>
          <w:t>研究并确定与电信</w:t>
        </w:r>
        <w:r>
          <w:rPr>
            <w:lang w:val="zh-CN" w:eastAsia="zh-CN"/>
          </w:rPr>
          <w:t>/</w:t>
        </w:r>
        <w:r>
          <w:rPr>
            <w:lang w:val="zh-CN" w:eastAsia="zh-CN"/>
          </w:rPr>
          <w:t>信息通信技术（包括可能具有政策和监管性质的新</w:t>
        </w:r>
        <w:r>
          <w:rPr>
            <w:rFonts w:hint="eastAsia"/>
            <w:lang w:val="en-US" w:eastAsia="zh-CN"/>
          </w:rPr>
          <w:t>的</w:t>
        </w:r>
        <w:r>
          <w:rPr>
            <w:lang w:val="zh-CN" w:eastAsia="zh-CN"/>
          </w:rPr>
          <w:t>和新兴技术）相关的</w:t>
        </w:r>
        <w:r>
          <w:rPr>
            <w:rFonts w:hint="eastAsia"/>
            <w:lang w:val="en-US" w:eastAsia="zh-CN"/>
          </w:rPr>
          <w:t>运营</w:t>
        </w:r>
        <w:r>
          <w:rPr>
            <w:lang w:val="zh-CN" w:eastAsia="zh-CN"/>
          </w:rPr>
          <w:t>和技术领域，并向下届</w:t>
        </w:r>
        <w:r>
          <w:rPr>
            <w:lang w:eastAsia="zh-CN"/>
          </w:rPr>
          <w:t>WTSA</w:t>
        </w:r>
      </w:ins>
      <w:ins w:id="134" w:author="TSB(RC)" w:date="2024-09-28T11:15:00Z">
        <w:r>
          <w:rPr>
            <w:rFonts w:hint="eastAsia"/>
            <w:lang w:val="en-US" w:eastAsia="zh-CN"/>
          </w:rPr>
          <w:t>汇报</w:t>
        </w:r>
      </w:ins>
      <w:ins w:id="135" w:author="TSB(RC)" w:date="2024-09-28T11:06:00Z">
        <w:r>
          <w:rPr>
            <w:lang w:val="zh-CN" w:eastAsia="zh-CN"/>
          </w:rPr>
          <w:t>，</w:t>
        </w:r>
      </w:ins>
    </w:p>
    <w:p w14:paraId="38F09342" w14:textId="77777777" w:rsidR="00F477B1" w:rsidRDefault="00FE5491">
      <w:pPr>
        <w:pStyle w:val="Call"/>
        <w:rPr>
          <w:lang w:eastAsia="zh-CN"/>
        </w:rPr>
      </w:pPr>
      <w:r>
        <w:rPr>
          <w:rFonts w:hint="eastAsia"/>
          <w:lang w:eastAsia="zh-CN"/>
        </w:rPr>
        <w:t>请各成员国</w:t>
      </w:r>
      <w:ins w:id="136" w:author="TSB(RC)" w:date="2024-09-28T11:08:00Z">
        <w:r>
          <w:rPr>
            <w:rFonts w:hint="eastAsia"/>
            <w:lang w:eastAsia="zh-CN"/>
          </w:rPr>
          <w:t>和部门成员</w:t>
        </w:r>
      </w:ins>
    </w:p>
    <w:p w14:paraId="004E2665" w14:textId="175C76D6" w:rsidR="00F477B1" w:rsidRDefault="00E8190C">
      <w:pPr>
        <w:rPr>
          <w:lang w:eastAsia="zh-CN"/>
        </w:rPr>
      </w:pPr>
      <w:ins w:id="137" w:author="LING-C(KL)" w:date="2024-09-30T14:42:00Z" w16du:dateUtc="2024-09-30T12:42:00Z">
        <w:r>
          <w:rPr>
            <w:rFonts w:hint="eastAsia"/>
            <w:lang w:eastAsia="zh-CN"/>
          </w:rPr>
          <w:t>1</w:t>
        </w:r>
        <w:r>
          <w:rPr>
            <w:lang w:eastAsia="zh-CN"/>
          </w:rPr>
          <w:tab/>
        </w:r>
      </w:ins>
      <w:r w:rsidR="00FE5491">
        <w:rPr>
          <w:rFonts w:hint="eastAsia"/>
          <w:lang w:eastAsia="zh-CN"/>
        </w:rPr>
        <w:t>为</w:t>
      </w:r>
      <w:r w:rsidR="00FE5491">
        <w:rPr>
          <w:lang w:eastAsia="zh-CN"/>
        </w:rPr>
        <w:t>将就此项议题开展的工作做出积极贡献</w:t>
      </w:r>
      <w:del w:id="138" w:author="Li, Kehan" w:date="2024-09-27T10:01:00Z">
        <w:r w:rsidR="00FE5491">
          <w:rPr>
            <w:lang w:eastAsia="zh-CN"/>
          </w:rPr>
          <w:delText>。</w:delText>
        </w:r>
      </w:del>
      <w:ins w:id="139" w:author="Li, Kehan" w:date="2024-09-27T10:01:00Z">
        <w:r w:rsidR="00FE5491">
          <w:rPr>
            <w:rFonts w:hint="eastAsia"/>
            <w:lang w:eastAsia="zh-CN"/>
          </w:rPr>
          <w:t>；</w:t>
        </w:r>
      </w:ins>
    </w:p>
    <w:p w14:paraId="512394E2" w14:textId="77777777" w:rsidR="00F477B1" w:rsidRDefault="00FE5491">
      <w:pPr>
        <w:rPr>
          <w:ins w:id="140" w:author="Li, Kehan" w:date="2024-09-27T10:01:00Z"/>
          <w:lang w:eastAsia="zh-CN"/>
        </w:rPr>
      </w:pPr>
      <w:ins w:id="141" w:author="Li, Kehan" w:date="2024-09-27T10:01:00Z">
        <w:r>
          <w:rPr>
            <w:lang w:eastAsia="zh-CN"/>
          </w:rPr>
          <w:t>2</w:t>
        </w:r>
        <w:r>
          <w:rPr>
            <w:lang w:eastAsia="zh-CN"/>
          </w:rPr>
          <w:tab/>
        </w:r>
      </w:ins>
      <w:ins w:id="142" w:author="TSB(RC)" w:date="2024-09-28T11:09:00Z">
        <w:r>
          <w:rPr>
            <w:rFonts w:hint="eastAsia"/>
            <w:lang w:val="zh-CN" w:eastAsia="zh-CN"/>
          </w:rPr>
          <w:t>保持正在进行的</w:t>
        </w:r>
      </w:ins>
      <w:ins w:id="143" w:author="TSB(RC)" w:date="2024-09-28T11:08:00Z">
        <w:r>
          <w:rPr>
            <w:lang w:val="zh-CN" w:eastAsia="zh-CN"/>
          </w:rPr>
          <w:t>协作，以确保在处理政策和监管</w:t>
        </w:r>
      </w:ins>
      <w:ins w:id="144" w:author="TSB(RC)" w:date="2024-09-28T11:16:00Z">
        <w:r>
          <w:rPr>
            <w:rFonts w:hint="eastAsia"/>
            <w:lang w:val="en-US" w:eastAsia="zh-CN"/>
          </w:rPr>
          <w:t>内容</w:t>
        </w:r>
      </w:ins>
      <w:ins w:id="145" w:author="TSB(RC)" w:date="2024-09-28T11:08:00Z">
        <w:r>
          <w:rPr>
            <w:lang w:val="zh-CN" w:eastAsia="zh-CN"/>
          </w:rPr>
          <w:t>及影响时</w:t>
        </w:r>
      </w:ins>
      <w:ins w:id="146" w:author="TSB(RC)" w:date="2024-09-28T11:09:00Z">
        <w:r>
          <w:rPr>
            <w:rFonts w:hint="eastAsia"/>
            <w:lang w:val="en-US" w:eastAsia="zh-CN"/>
          </w:rPr>
          <w:t>拥有</w:t>
        </w:r>
        <w:r>
          <w:rPr>
            <w:rFonts w:hint="eastAsia"/>
            <w:lang w:val="zh-CN" w:eastAsia="zh-CN"/>
          </w:rPr>
          <w:t>广泛的视角</w:t>
        </w:r>
      </w:ins>
      <w:ins w:id="147" w:author="TSB(RC)" w:date="2024-09-28T11:08:00Z">
        <w:r>
          <w:rPr>
            <w:lang w:val="zh-CN" w:eastAsia="zh-CN"/>
          </w:rPr>
          <w:t>和专业知识。</w:t>
        </w:r>
      </w:ins>
    </w:p>
    <w:p w14:paraId="5D1371AD" w14:textId="77777777" w:rsidR="00F477B1" w:rsidRDefault="00F477B1">
      <w:pPr>
        <w:pStyle w:val="Reasons"/>
        <w:rPr>
          <w:lang w:eastAsia="zh-CN"/>
        </w:rPr>
      </w:pPr>
    </w:p>
    <w:sectPr w:rsidR="00F477B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4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FB59A" w14:textId="77777777" w:rsidR="00FE5491" w:rsidRDefault="00FE5491">
      <w:pPr>
        <w:spacing w:before="0"/>
      </w:pPr>
      <w:r>
        <w:separator/>
      </w:r>
    </w:p>
  </w:endnote>
  <w:endnote w:type="continuationSeparator" w:id="0">
    <w:p w14:paraId="5EE3B296" w14:textId="77777777" w:rsidR="00FE5491" w:rsidRDefault="00FE549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A65F8" w14:textId="77777777" w:rsidR="00F477B1" w:rsidRDefault="00FE549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DB6B370" w14:textId="17CB1E09" w:rsidR="00F477B1" w:rsidRDefault="00FE5491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8190C">
      <w:rPr>
        <w:noProof/>
      </w:rPr>
      <w:t>30.09.24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DC9B7" w14:textId="77777777" w:rsidR="00F477B1" w:rsidRDefault="00F477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BC05E" w14:textId="77777777" w:rsidR="00F477B1" w:rsidRDefault="00F47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1E376" w14:textId="77777777" w:rsidR="00F477B1" w:rsidRDefault="00FE5491">
      <w:pPr>
        <w:spacing w:before="0"/>
      </w:pPr>
      <w:r>
        <w:separator/>
      </w:r>
    </w:p>
  </w:footnote>
  <w:footnote w:type="continuationSeparator" w:id="0">
    <w:p w14:paraId="57758802" w14:textId="77777777" w:rsidR="00F477B1" w:rsidRDefault="00FE549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9DAE0" w14:textId="77777777" w:rsidR="00F477B1" w:rsidRDefault="00F477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555B3" w14:textId="77777777" w:rsidR="00F477B1" w:rsidRDefault="00FE5491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>
      <w:br/>
      <w:t>WTSA-24/36(Add.5)-C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95B70" w14:textId="77777777" w:rsidR="00F477B1" w:rsidRDefault="00F477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D27D4"/>
    <w:multiLevelType w:val="multilevel"/>
    <w:tmpl w:val="02CD27D4"/>
    <w:lvl w:ilvl="0">
      <w:start w:val="1"/>
      <w:numFmt w:val="decimal"/>
      <w:pStyle w:val="References"/>
      <w:lvlText w:val="[%1]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3140700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i, Kehan">
    <w15:presenceInfo w15:providerId="AD" w15:userId="S::kehan.li@itu.int::0d21bda4-d879-4d20-9016-e42610876afa"/>
  </w15:person>
  <w15:person w15:author="Rakan A. AlAnazi">
    <w15:presenceInfo w15:providerId="AD" w15:userId="S-1-5-21-1563100656-1994026576-1522850260-32587"/>
  </w15:person>
  <w15:person w15:author="TSB(RC)">
    <w15:presenceInfo w15:providerId="None" w15:userId="TSB(RC)"/>
  </w15:person>
  <w15:person w15:author="LING-C(KL)">
    <w15:presenceInfo w15:providerId="None" w15:userId="LING-C(KL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368C"/>
    <w:rsid w:val="000560D0"/>
    <w:rsid w:val="00062F05"/>
    <w:rsid w:val="00063D0B"/>
    <w:rsid w:val="00063EBE"/>
    <w:rsid w:val="0006471F"/>
    <w:rsid w:val="00077239"/>
    <w:rsid w:val="000807E9"/>
    <w:rsid w:val="000863A0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D55D2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81576"/>
    <w:rsid w:val="00290F83"/>
    <w:rsid w:val="002931F4"/>
    <w:rsid w:val="00293F9A"/>
    <w:rsid w:val="002957A7"/>
    <w:rsid w:val="002A1D23"/>
    <w:rsid w:val="002A5392"/>
    <w:rsid w:val="002A5AFA"/>
    <w:rsid w:val="002B100E"/>
    <w:rsid w:val="002C6531"/>
    <w:rsid w:val="002D151C"/>
    <w:rsid w:val="002D58BE"/>
    <w:rsid w:val="002D7317"/>
    <w:rsid w:val="002E3AEE"/>
    <w:rsid w:val="002E561F"/>
    <w:rsid w:val="002F2D0C"/>
    <w:rsid w:val="00316B80"/>
    <w:rsid w:val="00321412"/>
    <w:rsid w:val="003251EA"/>
    <w:rsid w:val="003316BD"/>
    <w:rsid w:val="00333994"/>
    <w:rsid w:val="00336B4E"/>
    <w:rsid w:val="0034635C"/>
    <w:rsid w:val="0035166C"/>
    <w:rsid w:val="00353B05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C64ED"/>
    <w:rsid w:val="003D0F8B"/>
    <w:rsid w:val="003D61E9"/>
    <w:rsid w:val="003F020A"/>
    <w:rsid w:val="0041348E"/>
    <w:rsid w:val="004142ED"/>
    <w:rsid w:val="00420EDB"/>
    <w:rsid w:val="004324DF"/>
    <w:rsid w:val="004373CA"/>
    <w:rsid w:val="004420C9"/>
    <w:rsid w:val="00443CCE"/>
    <w:rsid w:val="00465799"/>
    <w:rsid w:val="00471EF9"/>
    <w:rsid w:val="0048422D"/>
    <w:rsid w:val="00492075"/>
    <w:rsid w:val="004969AD"/>
    <w:rsid w:val="004969BE"/>
    <w:rsid w:val="004974D9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4F645D"/>
    <w:rsid w:val="0050139F"/>
    <w:rsid w:val="00510C3D"/>
    <w:rsid w:val="005134F7"/>
    <w:rsid w:val="00522010"/>
    <w:rsid w:val="0055140B"/>
    <w:rsid w:val="00553247"/>
    <w:rsid w:val="0056747D"/>
    <w:rsid w:val="00581B01"/>
    <w:rsid w:val="00587F8C"/>
    <w:rsid w:val="00590744"/>
    <w:rsid w:val="00595780"/>
    <w:rsid w:val="005964AB"/>
    <w:rsid w:val="005A1A6A"/>
    <w:rsid w:val="005A38F1"/>
    <w:rsid w:val="005B0C39"/>
    <w:rsid w:val="005B7B2D"/>
    <w:rsid w:val="005C099A"/>
    <w:rsid w:val="005C31A5"/>
    <w:rsid w:val="005D431B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2252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149"/>
    <w:rsid w:val="007742CA"/>
    <w:rsid w:val="00776230"/>
    <w:rsid w:val="00777235"/>
    <w:rsid w:val="00785E1D"/>
    <w:rsid w:val="00790D70"/>
    <w:rsid w:val="0079139A"/>
    <w:rsid w:val="00797C4B"/>
    <w:rsid w:val="007B1C73"/>
    <w:rsid w:val="007B28CB"/>
    <w:rsid w:val="007C0180"/>
    <w:rsid w:val="007C60C2"/>
    <w:rsid w:val="007D1EC0"/>
    <w:rsid w:val="007D5320"/>
    <w:rsid w:val="007E51BA"/>
    <w:rsid w:val="007E66EA"/>
    <w:rsid w:val="007F3C67"/>
    <w:rsid w:val="007F6D49"/>
    <w:rsid w:val="00800972"/>
    <w:rsid w:val="00802D7B"/>
    <w:rsid w:val="00804475"/>
    <w:rsid w:val="00811633"/>
    <w:rsid w:val="00822B56"/>
    <w:rsid w:val="00840F52"/>
    <w:rsid w:val="008508D8"/>
    <w:rsid w:val="00850EEE"/>
    <w:rsid w:val="0086377E"/>
    <w:rsid w:val="00864CD2"/>
    <w:rsid w:val="00872FC8"/>
    <w:rsid w:val="00874789"/>
    <w:rsid w:val="008777B8"/>
    <w:rsid w:val="008845D0"/>
    <w:rsid w:val="008A186A"/>
    <w:rsid w:val="008B1AEA"/>
    <w:rsid w:val="008B43F2"/>
    <w:rsid w:val="008B4CE6"/>
    <w:rsid w:val="008B6CFF"/>
    <w:rsid w:val="008E2A7A"/>
    <w:rsid w:val="008E4BBE"/>
    <w:rsid w:val="008E67E5"/>
    <w:rsid w:val="008F08A1"/>
    <w:rsid w:val="008F7D1E"/>
    <w:rsid w:val="00905803"/>
    <w:rsid w:val="00906526"/>
    <w:rsid w:val="009163CF"/>
    <w:rsid w:val="00921DD4"/>
    <w:rsid w:val="0092425C"/>
    <w:rsid w:val="009274B4"/>
    <w:rsid w:val="00930EBD"/>
    <w:rsid w:val="00930F91"/>
    <w:rsid w:val="00931298"/>
    <w:rsid w:val="00931323"/>
    <w:rsid w:val="00934EA2"/>
    <w:rsid w:val="009357F5"/>
    <w:rsid w:val="00940614"/>
    <w:rsid w:val="00944A5C"/>
    <w:rsid w:val="00952A66"/>
    <w:rsid w:val="0095691C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5A29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AF74C9"/>
    <w:rsid w:val="00B067BF"/>
    <w:rsid w:val="00B20486"/>
    <w:rsid w:val="00B305D7"/>
    <w:rsid w:val="00B357A0"/>
    <w:rsid w:val="00B529AD"/>
    <w:rsid w:val="00B53209"/>
    <w:rsid w:val="00B6324B"/>
    <w:rsid w:val="00B639E9"/>
    <w:rsid w:val="00B660EE"/>
    <w:rsid w:val="00B66385"/>
    <w:rsid w:val="00B66C2B"/>
    <w:rsid w:val="00B817CD"/>
    <w:rsid w:val="00B94AD0"/>
    <w:rsid w:val="00B9514A"/>
    <w:rsid w:val="00BA5265"/>
    <w:rsid w:val="00BB3A95"/>
    <w:rsid w:val="00BB6222"/>
    <w:rsid w:val="00BC2FB6"/>
    <w:rsid w:val="00BC7D84"/>
    <w:rsid w:val="00BF3941"/>
    <w:rsid w:val="00BF490E"/>
    <w:rsid w:val="00BF5986"/>
    <w:rsid w:val="00C0018F"/>
    <w:rsid w:val="00C0539A"/>
    <w:rsid w:val="00C120F4"/>
    <w:rsid w:val="00C12C2B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3DED"/>
    <w:rsid w:val="00D055D3"/>
    <w:rsid w:val="00D14CE0"/>
    <w:rsid w:val="00D16E1C"/>
    <w:rsid w:val="00D2023F"/>
    <w:rsid w:val="00D278AC"/>
    <w:rsid w:val="00D41719"/>
    <w:rsid w:val="00D54009"/>
    <w:rsid w:val="00D5651D"/>
    <w:rsid w:val="00D57A34"/>
    <w:rsid w:val="00D643B3"/>
    <w:rsid w:val="00D73671"/>
    <w:rsid w:val="00D74898"/>
    <w:rsid w:val="00D801ED"/>
    <w:rsid w:val="00D930BB"/>
    <w:rsid w:val="00D936BC"/>
    <w:rsid w:val="00D96530"/>
    <w:rsid w:val="00DA7E2F"/>
    <w:rsid w:val="00DB7977"/>
    <w:rsid w:val="00DD441E"/>
    <w:rsid w:val="00DD44AF"/>
    <w:rsid w:val="00DE2AC3"/>
    <w:rsid w:val="00DE5692"/>
    <w:rsid w:val="00DE6785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368CA"/>
    <w:rsid w:val="00E45D05"/>
    <w:rsid w:val="00E55816"/>
    <w:rsid w:val="00E55AEF"/>
    <w:rsid w:val="00E610A4"/>
    <w:rsid w:val="00E6117A"/>
    <w:rsid w:val="00E710DF"/>
    <w:rsid w:val="00E765C9"/>
    <w:rsid w:val="00E8190C"/>
    <w:rsid w:val="00E82677"/>
    <w:rsid w:val="00E8342F"/>
    <w:rsid w:val="00E870AC"/>
    <w:rsid w:val="00E94DBA"/>
    <w:rsid w:val="00E976C1"/>
    <w:rsid w:val="00EA12E5"/>
    <w:rsid w:val="00EB55C6"/>
    <w:rsid w:val="00EC79DF"/>
    <w:rsid w:val="00EC7F04"/>
    <w:rsid w:val="00ED30BC"/>
    <w:rsid w:val="00EF2A81"/>
    <w:rsid w:val="00F00DDC"/>
    <w:rsid w:val="00F01223"/>
    <w:rsid w:val="00F02766"/>
    <w:rsid w:val="00F05BD4"/>
    <w:rsid w:val="00F2404A"/>
    <w:rsid w:val="00F27D1D"/>
    <w:rsid w:val="00F3630D"/>
    <w:rsid w:val="00F4677D"/>
    <w:rsid w:val="00F477B1"/>
    <w:rsid w:val="00F528B4"/>
    <w:rsid w:val="00F60D05"/>
    <w:rsid w:val="00F6155B"/>
    <w:rsid w:val="00F65C19"/>
    <w:rsid w:val="00F7356B"/>
    <w:rsid w:val="00F762C9"/>
    <w:rsid w:val="00F80977"/>
    <w:rsid w:val="00F83F75"/>
    <w:rsid w:val="00F972D2"/>
    <w:rsid w:val="00FC1DB9"/>
    <w:rsid w:val="00FD2546"/>
    <w:rsid w:val="00FD36AC"/>
    <w:rsid w:val="00FD772E"/>
    <w:rsid w:val="00FE0144"/>
    <w:rsid w:val="00FE5491"/>
    <w:rsid w:val="00FE5494"/>
    <w:rsid w:val="00FE78C7"/>
    <w:rsid w:val="00FF43AC"/>
    <w:rsid w:val="3ED92EC4"/>
    <w:rsid w:val="3F8A4E31"/>
    <w:rsid w:val="4EAE4EAC"/>
    <w:rsid w:val="7669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0CB69"/>
  <w15:docId w15:val="{3B9D329F-40BD-4E8E-A9D1-B6CDE580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Theme="minorEastAsia" w:hAnsi="Times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nhideWhenUsed="1"/>
    <w:lsdException w:name="index 2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 w:qFormat="1"/>
    <w:lsdException w:name="index 8" w:unhideWhenUsed="1"/>
    <w:lsdException w:name="index 9" w:unhideWhenUsed="1" w:qFormat="1"/>
    <w:lsdException w:name="toc 1" w:uiPriority="39"/>
    <w:lsdException w:name="toc 2" w:uiPriority="39"/>
    <w:lsdException w:name="toc 3" w:uiPriority="39"/>
    <w:lsdException w:name="toc 4" w:uiPriority="39" w:qFormat="1"/>
    <w:lsdException w:name="toc 5" w:qFormat="1"/>
    <w:lsdException w:name="toc 6" w:qFormat="1"/>
    <w:lsdException w:name="toc 7" w:qFormat="1"/>
    <w:lsdException w:name="toc 8" w:qFormat="1"/>
    <w:lsdException w:name="annotation text" w:uiPriority="99" w:unhideWhenUsed="1" w:qFormat="1"/>
    <w:lsdException w:name="index heading" w:unhideWhenUsed="1"/>
    <w:lsdException w:name="caption" w:unhideWhenUsed="1" w:qFormat="1"/>
    <w:lsdException w:name="table of figures" w:uiPriority="99"/>
    <w:lsdException w:name="envelope address" w:unhideWhenUsed="1"/>
    <w:lsdException w:name="envelope return" w:unhideWhenUsed="1"/>
    <w:lsdException w:name="annotation reference" w:uiPriority="99" w:unhideWhenUsed="1" w:qFormat="1"/>
    <w:lsdException w:name="line number" w:unhideWhenUsed="1" w:qFormat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 w:qFormat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unhideWhenUsed="1"/>
    <w:lsdException w:name="Signature" w:unhideWhenUsed="1"/>
    <w:lsdException w:name="Default Paragraph Font" w:semiHidden="1" w:uiPriority="1" w:unhideWhenUsed="1" w:qFormat="1"/>
    <w:lsdException w:name="Body Text" w:unhideWhenUsed="1"/>
    <w:lsdException w:name="Body Text Indent" w:unhideWhenUsed="1"/>
    <w:lsdException w:name="List Continue" w:unhideWhenUsed="1"/>
    <w:lsdException w:name="List Continue 2" w:unhideWhenUsed="1" w:qFormat="1"/>
    <w:lsdException w:name="List Continue 3" w:unhideWhenUsed="1" w:qFormat="1"/>
    <w:lsdException w:name="List Continue 4" w:unhideWhenUsed="1"/>
    <w:lsdException w:name="List Continue 5" w:unhideWhenUsed="1"/>
    <w:lsdException w:name="Message Header" w:unhideWhenUsed="1" w:qFormat="1"/>
    <w:lsdException w:name="Salutation" w:unhideWhenUsed="1"/>
    <w:lsdException w:name="Date" w:unhideWhenUsed="1"/>
    <w:lsdException w:name="Body Text First Indent" w:unhideWhenUsed="1" w:qFormat="1"/>
    <w:lsdException w:name="Body Text First Indent 2" w:unhideWhenUsed="1" w:qFormat="1"/>
    <w:lsdException w:name="Note Heading" w:unhideWhenUsed="1"/>
    <w:lsdException w:name="Body Text 2" w:unhideWhenUsed="1" w:qFormat="1"/>
    <w:lsdException w:name="Body Text 3" w:unhideWhenUsed="1"/>
    <w:lsdException w:name="Body Text Indent 2" w:unhideWhenUsed="1"/>
    <w:lsdException w:name="Body Text Indent 3" w:unhideWhenUsed="1" w:qFormat="1"/>
    <w:lsdException w:name="Block Text" w:unhideWhenUsed="1"/>
    <w:lsdException w:name="Hyperlink" w:uiPriority="99" w:unhideWhenUsed="1"/>
    <w:lsdException w:name="FollowedHyperlink" w:unhideWhenUsed="1"/>
    <w:lsdException w:name="Document Map" w:unhideWhenUsed="1"/>
    <w:lsdException w:name="Plain Text" w:unhideWhenUsed="1"/>
    <w:lsdException w:name="E-mail Signature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HTML Acronym" w:unhideWhenUsed="1" w:qFormat="1"/>
    <w:lsdException w:name="HTML Address" w:unhideWhenUsed="1"/>
    <w:lsdException w:name="HTML Cite" w:unhideWhenUsed="1" w:qFormat="1"/>
    <w:lsdException w:name="HTML Code" w:unhideWhenUsed="1" w:qFormat="1"/>
    <w:lsdException w:name="HTML Definition" w:unhideWhenUsed="1" w:qFormat="1"/>
    <w:lsdException w:name="HTML Keyboard" w:unhideWhenUsed="1" w:qFormat="1"/>
    <w:lsdException w:name="HTML Preformatted" w:semiHidden="1" w:unhideWhenUsed="1" w:qFormat="1"/>
    <w:lsdException w:name="HTML Sample" w:unhideWhenUsed="1" w:qFormat="1"/>
    <w:lsdException w:name="HTML Typewriter" w:semiHidden="1" w:unhideWhenUsed="1" w:qFormat="1"/>
    <w:lsdException w:name="HTML Variable" w:unhideWhenUsed="1" w:qFormat="1"/>
    <w:lsdException w:name="Normal Table" w:semiHidden="1" w:uiPriority="99" w:unhideWhenUsed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1134"/>
        <w:tab w:val="left" w:pos="1701"/>
        <w:tab w:val="left" w:pos="249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qFormat/>
    <w:pPr>
      <w:outlineLvl w:val="5"/>
    </w:pPr>
  </w:style>
  <w:style w:type="paragraph" w:styleId="Heading7">
    <w:name w:val="heading 7"/>
    <w:basedOn w:val="Heading6"/>
    <w:next w:val="Normal"/>
    <w:link w:val="Heading7Char"/>
    <w:qFormat/>
    <w:pPr>
      <w:outlineLvl w:val="6"/>
    </w:pPr>
  </w:style>
  <w:style w:type="paragraph" w:styleId="Heading8">
    <w:name w:val="heading 8"/>
    <w:basedOn w:val="Heading6"/>
    <w:next w:val="Normal"/>
    <w:link w:val="Heading8Char"/>
    <w:qFormat/>
    <w:pPr>
      <w:outlineLvl w:val="7"/>
    </w:pPr>
  </w:style>
  <w:style w:type="paragraph" w:styleId="Heading9">
    <w:name w:val="heading 9"/>
    <w:basedOn w:val="Heading6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eastAsia="ja-JP"/>
    </w:rPr>
  </w:style>
  <w:style w:type="paragraph" w:styleId="List3">
    <w:name w:val="List 3"/>
    <w:basedOn w:val="Normal"/>
    <w:unhideWhenUsed/>
    <w:pPr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TOC7">
    <w:name w:val="toc 7"/>
    <w:basedOn w:val="TOC4"/>
    <w:qFormat/>
  </w:style>
  <w:style w:type="paragraph" w:styleId="TOC4">
    <w:name w:val="toc 4"/>
    <w:basedOn w:val="TOC3"/>
    <w:uiPriority w:val="39"/>
    <w:qFormat/>
  </w:style>
  <w:style w:type="paragraph" w:styleId="TOC3">
    <w:name w:val="toc 3"/>
    <w:basedOn w:val="TOC2"/>
    <w:uiPriority w:val="39"/>
    <w:pPr>
      <w:ind w:left="2269"/>
    </w:pPr>
  </w:style>
  <w:style w:type="paragraph" w:styleId="TOC2">
    <w:name w:val="toc 2"/>
    <w:basedOn w:val="TOC1"/>
    <w:uiPriority w:val="39"/>
    <w:pPr>
      <w:spacing w:before="80"/>
      <w:ind w:left="1531" w:hanging="851"/>
    </w:pPr>
  </w:style>
  <w:style w:type="paragraph" w:styleId="TOC1">
    <w:name w:val="toc 1"/>
    <w:basedOn w:val="Normal"/>
    <w:uiPriority w:val="39"/>
    <w:pPr>
      <w:keepLines/>
      <w:tabs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</w:rPr>
  </w:style>
  <w:style w:type="paragraph" w:styleId="ListNumber2">
    <w:name w:val="List Number 2"/>
    <w:basedOn w:val="Normal"/>
    <w:unhideWhenUsed/>
    <w:pPr>
      <w:tabs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pPr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pPr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paragraph" w:styleId="ListBullet4">
    <w:name w:val="List Bullet 4"/>
    <w:basedOn w:val="Normal"/>
    <w:unhideWhenUsed/>
    <w:pPr>
      <w:tabs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pPr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pPr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paragraph" w:styleId="ListNumber">
    <w:name w:val="List Number"/>
    <w:basedOn w:val="Normal"/>
    <w:unhideWhenUsed/>
    <w:pPr>
      <w:tabs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NormalIndent">
    <w:name w:val="Normal Indent"/>
    <w:basedOn w:val="Normal"/>
    <w:pPr>
      <w:ind w:left="1134"/>
    </w:pPr>
  </w:style>
  <w:style w:type="paragraph" w:styleId="Caption">
    <w:name w:val="caption"/>
    <w:basedOn w:val="Normal"/>
    <w:next w:val="Normal"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unhideWhenUsed/>
    <w:pPr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pPr>
      <w:tabs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pPr>
      <w:framePr w:w="7920" w:h="1980" w:hRule="exact" w:hSpace="180" w:wrap="around" w:hAnchor="page" w:xAlign="center" w:yAlign="bottom"/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pPr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paragraph" w:styleId="TOAHeading">
    <w:name w:val="toa heading"/>
    <w:basedOn w:val="Normal"/>
    <w:next w:val="Normal"/>
    <w:unhideWhenUsed/>
    <w:pPr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</w:rPr>
  </w:style>
  <w:style w:type="paragraph" w:styleId="Index6">
    <w:name w:val="index 6"/>
    <w:basedOn w:val="Normal"/>
    <w:next w:val="Normal"/>
    <w:unhideWhenUsed/>
    <w:pPr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paragraph" w:styleId="BodyText3">
    <w:name w:val="Body Text 3"/>
    <w:basedOn w:val="Normal"/>
    <w:link w:val="BodyText3Char"/>
    <w:unhideWhenUsed/>
    <w:pPr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paragraph" w:styleId="Closing">
    <w:name w:val="Closing"/>
    <w:basedOn w:val="Normal"/>
    <w:link w:val="ClosingChar"/>
    <w:unhideWhenUsed/>
    <w:pPr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paragraph" w:styleId="ListBullet3">
    <w:name w:val="List Bullet 3"/>
    <w:basedOn w:val="Normal"/>
    <w:unhideWhenUsed/>
    <w:pPr>
      <w:tabs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pPr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paragraph" w:styleId="BodyTextIndent">
    <w:name w:val="Body Text Indent"/>
    <w:basedOn w:val="Normal"/>
    <w:link w:val="BodyTextIndentChar"/>
    <w:unhideWhenUsed/>
    <w:pPr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paragraph" w:styleId="ListNumber3">
    <w:name w:val="List Number 3"/>
    <w:basedOn w:val="Normal"/>
    <w:unhideWhenUsed/>
    <w:pPr>
      <w:tabs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pPr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pPr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pPr>
      <w:tabs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pPr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paragraph" w:styleId="Index4">
    <w:name w:val="index 4"/>
    <w:basedOn w:val="Normal"/>
    <w:next w:val="Normal"/>
    <w:unhideWhenUsed/>
    <w:pPr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TOC5">
    <w:name w:val="toc 5"/>
    <w:basedOn w:val="TOC4"/>
    <w:qFormat/>
  </w:style>
  <w:style w:type="paragraph" w:styleId="PlainText">
    <w:name w:val="Plain Text"/>
    <w:basedOn w:val="Normal"/>
    <w:link w:val="PlainTextChar"/>
    <w:unhideWhenUsed/>
    <w:pPr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paragraph" w:styleId="ListBullet5">
    <w:name w:val="List Bullet 5"/>
    <w:basedOn w:val="Normal"/>
    <w:unhideWhenUsed/>
    <w:pPr>
      <w:tabs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pPr>
      <w:tabs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OC8">
    <w:name w:val="toc 8"/>
    <w:basedOn w:val="TOC4"/>
    <w:qFormat/>
  </w:style>
  <w:style w:type="paragraph" w:styleId="Index3">
    <w:name w:val="index 3"/>
    <w:basedOn w:val="Normal"/>
    <w:next w:val="Normal"/>
    <w:unhideWhenUsed/>
    <w:pPr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paragraph" w:styleId="BodyTextIndent2">
    <w:name w:val="Body Text Indent 2"/>
    <w:basedOn w:val="Normal"/>
    <w:link w:val="BodyTextIndent2Char"/>
    <w:unhideWhenUsed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paragraph" w:styleId="EndnoteText">
    <w:name w:val="endnote text"/>
    <w:basedOn w:val="Normal"/>
    <w:link w:val="EndnoteTextChar"/>
    <w:unhideWhenUsed/>
    <w:pPr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paragraph" w:styleId="ListContinue5">
    <w:name w:val="List Continue 5"/>
    <w:basedOn w:val="Normal"/>
    <w:unhideWhenUsed/>
    <w:pPr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BalloonText">
    <w:name w:val="Balloon Text"/>
    <w:basedOn w:val="Normal"/>
    <w:link w:val="BalloonTextChar"/>
    <w:unhideWhenUsed/>
    <w:pPr>
      <w:spacing w:before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pPr>
      <w:tabs>
        <w:tab w:val="left" w:pos="5954"/>
        <w:tab w:val="right" w:pos="9639"/>
      </w:tabs>
      <w:spacing w:before="0"/>
    </w:pPr>
    <w:rPr>
      <w:caps/>
      <w:sz w:val="16"/>
    </w:rPr>
  </w:style>
  <w:style w:type="paragraph" w:styleId="EnvelopeReturn">
    <w:name w:val="envelope return"/>
    <w:basedOn w:val="Normal"/>
    <w:unhideWhenUsed/>
    <w:pPr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styleId="Signature">
    <w:name w:val="Signature"/>
    <w:basedOn w:val="Normal"/>
    <w:link w:val="SignatureChar"/>
    <w:unhideWhenUsed/>
    <w:pPr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paragraph" w:styleId="ListContinue4">
    <w:name w:val="List Continue 4"/>
    <w:basedOn w:val="Normal"/>
    <w:unhideWhenUsed/>
    <w:pPr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Heading">
    <w:name w:val="index heading"/>
    <w:basedOn w:val="Normal"/>
    <w:next w:val="Index1"/>
    <w:unhideWhenUsed/>
    <w:pPr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pPr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Subtitle">
    <w:name w:val="Subtitle"/>
    <w:basedOn w:val="Normal"/>
    <w:next w:val="Normal"/>
    <w:link w:val="SubtitleChar"/>
    <w:pPr>
      <w:spacing w:after="160"/>
    </w:pPr>
    <w:rPr>
      <w:rFonts w:asciiTheme="minorHAnsi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unhideWhenUsed/>
    <w:pPr>
      <w:tabs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">
    <w:name w:val="List"/>
    <w:basedOn w:val="Normal"/>
    <w:pPr>
      <w:tabs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styleId="FootnoteText">
    <w:name w:val="footnote text"/>
    <w:basedOn w:val="Normal"/>
    <w:link w:val="FootnoteTextChar"/>
    <w:pPr>
      <w:keepLines/>
      <w:tabs>
        <w:tab w:val="left" w:pos="255"/>
      </w:tabs>
    </w:pPr>
    <w:rPr>
      <w:sz w:val="20"/>
    </w:rPr>
  </w:style>
  <w:style w:type="paragraph" w:styleId="TOC6">
    <w:name w:val="toc 6"/>
    <w:basedOn w:val="TOC4"/>
    <w:qFormat/>
  </w:style>
  <w:style w:type="paragraph" w:styleId="List5">
    <w:name w:val="List 5"/>
    <w:basedOn w:val="Normal"/>
    <w:unhideWhenUsed/>
    <w:pPr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qFormat/>
    <w:pPr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paragraph" w:styleId="Index7">
    <w:name w:val="index 7"/>
    <w:basedOn w:val="Normal"/>
    <w:next w:val="Normal"/>
    <w:unhideWhenUsed/>
    <w:qFormat/>
    <w:pPr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qFormat/>
    <w:pPr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TableofFigures">
    <w:name w:val="table of figures"/>
    <w:basedOn w:val="Normal"/>
    <w:next w:val="Normal"/>
    <w:uiPriority w:val="99"/>
    <w:pPr>
      <w:tabs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paragraph" w:styleId="TOC9">
    <w:name w:val="toc 9"/>
    <w:basedOn w:val="Normal"/>
    <w:next w:val="Normal"/>
    <w:autoRedefine/>
    <w:pPr>
      <w:overflowPunct/>
      <w:autoSpaceDE/>
      <w:autoSpaceDN/>
      <w:adjustRightInd/>
      <w:spacing w:before="0"/>
      <w:ind w:left="1920"/>
      <w:textAlignment w:val="auto"/>
    </w:pPr>
    <w:rPr>
      <w:szCs w:val="21"/>
      <w:lang w:eastAsia="ja-JP"/>
    </w:rPr>
  </w:style>
  <w:style w:type="paragraph" w:styleId="BodyText2">
    <w:name w:val="Body Text 2"/>
    <w:basedOn w:val="Normal"/>
    <w:link w:val="BodyText2Char"/>
    <w:unhideWhenUsed/>
    <w:qFormat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paragraph" w:styleId="List4">
    <w:name w:val="List 4"/>
    <w:basedOn w:val="Normal"/>
    <w:unhideWhenUsed/>
    <w:qFormat/>
    <w:pPr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qFormat/>
    <w:pPr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HTMLPreformatted">
    <w:name w:val="HTML Preformatted"/>
    <w:basedOn w:val="Normal"/>
    <w:link w:val="HTMLPreformattedChar"/>
    <w:semiHidden/>
    <w:unhideWhenUsed/>
    <w:qFormat/>
    <w:pPr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paragraph" w:styleId="NormalWeb">
    <w:name w:val="Normal (Web)"/>
    <w:basedOn w:val="Normal"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paragraph" w:styleId="ListContinue3">
    <w:name w:val="List Continue 3"/>
    <w:basedOn w:val="Normal"/>
    <w:unhideWhenUsed/>
    <w:qFormat/>
    <w:pPr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qFormat/>
    <w:pPr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qFormat/>
    <w:pPr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pPr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paragraph" w:styleId="BodyTextFirstIndent">
    <w:name w:val="Body Text First Indent"/>
    <w:basedOn w:val="BodyText"/>
    <w:link w:val="BodyTextFirstIndentChar"/>
    <w:unhideWhenUsed/>
    <w:qFormat/>
    <w:pPr>
      <w:spacing w:after="0"/>
      <w:ind w:firstLine="360"/>
    </w:pPr>
  </w:style>
  <w:style w:type="paragraph" w:styleId="BodyTextFirstIndent2">
    <w:name w:val="Body Text First Indent 2"/>
    <w:basedOn w:val="BodyTextIndent"/>
    <w:link w:val="BodyTextFirstIndent2Char"/>
    <w:unhideWhenUsed/>
    <w:qFormat/>
    <w:pPr>
      <w:spacing w:after="0"/>
      <w:ind w:left="360" w:firstLine="360"/>
    </w:pPr>
  </w:style>
  <w:style w:type="table" w:styleId="TableGrid">
    <w:name w:val="Table Grid"/>
    <w:basedOn w:val="TableNormal"/>
    <w:uiPriority w:val="59"/>
    <w:qFormat/>
    <w:pPr>
      <w:spacing w:before="12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rPr>
      <w:b/>
      <w:bCs/>
    </w:rPr>
  </w:style>
  <w:style w:type="character" w:styleId="EndnoteReference">
    <w:name w:val="endnote reference"/>
    <w:basedOn w:val="DefaultParagraphFont"/>
    <w:rPr>
      <w:vertAlign w:val="superscript"/>
    </w:rPr>
  </w:style>
  <w:style w:type="character" w:styleId="PageNumber">
    <w:name w:val="page number"/>
    <w:rPr>
      <w:rFonts w:cs="Times New Roman"/>
    </w:rPr>
  </w:style>
  <w:style w:type="character" w:styleId="FollowedHyperlink">
    <w:name w:val="FollowedHyperlink"/>
    <w:basedOn w:val="DefaultParagraphFont"/>
    <w:unhideWhenUsed/>
    <w:rPr>
      <w:color w:val="800080" w:themeColor="followedHyperlink"/>
      <w:u w:val="single"/>
    </w:rPr>
  </w:style>
  <w:style w:type="character" w:styleId="Emphasis">
    <w:name w:val="Emphasis"/>
    <w:basedOn w:val="DefaultParagraphFont"/>
    <w:rPr>
      <w:i/>
      <w:iCs/>
    </w:rPr>
  </w:style>
  <w:style w:type="character" w:styleId="LineNumber">
    <w:name w:val="line number"/>
    <w:basedOn w:val="DefaultParagraphFont"/>
    <w:unhideWhenUsed/>
    <w:qFormat/>
  </w:style>
  <w:style w:type="character" w:styleId="HTMLDefinition">
    <w:name w:val="HTML Definition"/>
    <w:unhideWhenUsed/>
    <w:qFormat/>
    <w:rPr>
      <w:i/>
      <w:iCs/>
    </w:rPr>
  </w:style>
  <w:style w:type="character" w:styleId="HTMLTypewriter">
    <w:name w:val="HTML Typewriter"/>
    <w:semiHidden/>
    <w:unhideWhenUsed/>
    <w:qFormat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qFormat/>
  </w:style>
  <w:style w:type="character" w:styleId="HTMLVariable">
    <w:name w:val="HTML Variable"/>
    <w:unhideWhenUsed/>
    <w:qFormat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HTMLCode">
    <w:name w:val="HTML Code"/>
    <w:unhideWhenUsed/>
    <w:qFormat/>
    <w:rPr>
      <w:rFonts w:ascii="Consolas" w:hAnsi="Consolas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character" w:styleId="HTMLCite">
    <w:name w:val="HTML Cite"/>
    <w:unhideWhenUsed/>
    <w:qFormat/>
    <w:rPr>
      <w:i/>
      <w:iCs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character" w:styleId="HTMLKeyboard">
    <w:name w:val="HTML Keyboard"/>
    <w:unhideWhenUsed/>
    <w:qFormat/>
    <w:rPr>
      <w:rFonts w:ascii="Consolas" w:hAnsi="Consolas"/>
      <w:sz w:val="20"/>
      <w:szCs w:val="20"/>
    </w:rPr>
  </w:style>
  <w:style w:type="character" w:styleId="HTMLSample">
    <w:name w:val="HTML Sample"/>
    <w:unhideWhenUsed/>
    <w:qFormat/>
    <w:rPr>
      <w:rFonts w:ascii="Consolas" w:hAnsi="Consolas"/>
      <w:sz w:val="24"/>
      <w:szCs w:val="24"/>
    </w:rPr>
  </w:style>
  <w:style w:type="paragraph" w:customStyle="1" w:styleId="Abstract">
    <w:name w:val="Abstract"/>
    <w:basedOn w:val="Normal"/>
    <w:uiPriority w:val="99"/>
    <w:rPr>
      <w:lang w:val="en-US"/>
    </w:rPr>
  </w:style>
  <w:style w:type="paragraph" w:customStyle="1" w:styleId="AnnexNo">
    <w:name w:val="Annex_No"/>
    <w:basedOn w:val="Normal"/>
    <w:next w:val="Normal"/>
    <w:uiPriority w:val="9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</w:style>
  <w:style w:type="paragraph" w:customStyle="1" w:styleId="Agendaitem">
    <w:name w:val="Agenda_item"/>
    <w:basedOn w:val="Normal"/>
    <w:next w:val="Normal"/>
    <w:qFormat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Appendixref">
    <w:name w:val="Appendix_ref"/>
    <w:basedOn w:val="Annexref"/>
    <w:next w:val="Annextitle"/>
    <w:uiPriority w:val="99"/>
  </w:style>
  <w:style w:type="paragraph" w:customStyle="1" w:styleId="Appendixtitle">
    <w:name w:val="Appendix_title"/>
    <w:basedOn w:val="Annextitle"/>
    <w:next w:val="Normal"/>
    <w:uiPriority w:val="99"/>
  </w:style>
  <w:style w:type="paragraph" w:customStyle="1" w:styleId="Border">
    <w:name w:val="Border"/>
    <w:basedOn w:val="Normal"/>
    <w:uiPriority w:val="99"/>
    <w:pPr>
      <w:pBdr>
        <w:bottom w:val="single" w:sz="6" w:space="0" w:color="auto"/>
      </w:pBdr>
      <w:tabs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Normal"/>
    <w:next w:val="Normal"/>
    <w:uiPriority w:val="99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pPr>
      <w:keepNext/>
      <w:keepLines/>
      <w:spacing w:before="240"/>
      <w:jc w:val="center"/>
    </w:pPr>
    <w:rPr>
      <w:b/>
      <w:sz w:val="28"/>
    </w:rPr>
  </w:style>
  <w:style w:type="paragraph" w:customStyle="1" w:styleId="enumlev1">
    <w:name w:val="enumlev1"/>
    <w:basedOn w:val="Normal"/>
    <w:link w:val="enumlev1Char"/>
    <w:qFormat/>
    <w:pPr>
      <w:tabs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uiPriority w:val="9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Times New Roman" w:hAnsi="Times New Roman"/>
      <w:caps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Pr>
      <w:b w:val="0"/>
      <w:i/>
    </w:rPr>
  </w:style>
  <w:style w:type="paragraph" w:customStyle="1" w:styleId="Section3">
    <w:name w:val="Section_3"/>
    <w:basedOn w:val="Section1"/>
    <w:uiPriority w:val="99"/>
    <w:rPr>
      <w:b w:val="0"/>
    </w:rPr>
  </w:style>
  <w:style w:type="paragraph" w:customStyle="1" w:styleId="SectionNo">
    <w:name w:val="Section_No"/>
    <w:basedOn w:val="AnnexNo"/>
    <w:next w:val="Normal"/>
    <w:uiPriority w:val="99"/>
  </w:style>
  <w:style w:type="paragraph" w:customStyle="1" w:styleId="Sectiontitle">
    <w:name w:val="Section_title"/>
    <w:basedOn w:val="Annextitle"/>
    <w:next w:val="Normal"/>
    <w:uiPriority w:val="99"/>
  </w:style>
  <w:style w:type="paragraph" w:customStyle="1" w:styleId="Source">
    <w:name w:val="Source"/>
    <w:basedOn w:val="Normal"/>
    <w:next w:val="Normal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pPr>
      <w:tabs>
        <w:tab w:val="left" w:pos="567"/>
        <w:tab w:val="left" w:pos="2268"/>
        <w:tab w:val="left" w:pos="2835"/>
      </w:tabs>
      <w:jc w:val="both"/>
    </w:pPr>
    <w:rPr>
      <w:caps w:val="0"/>
    </w:rPr>
  </w:style>
  <w:style w:type="character" w:customStyle="1" w:styleId="Tablefreq">
    <w:name w:val="Table_freq"/>
    <w:basedOn w:val="DefaultParagraphFont"/>
    <w:rPr>
      <w:b/>
      <w:color w:val="auto"/>
      <w:sz w:val="20"/>
    </w:rPr>
  </w:style>
  <w:style w:type="paragraph" w:customStyle="1" w:styleId="Tablehead">
    <w:name w:val="Table_head"/>
    <w:basedOn w:val="Normal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Pr>
      <w:sz w:val="20"/>
    </w:rPr>
  </w:style>
  <w:style w:type="paragraph" w:customStyle="1" w:styleId="TableNo">
    <w:name w:val="Table_No"/>
    <w:basedOn w:val="Normal"/>
    <w:next w:val="Normal"/>
    <w:uiPriority w:val="99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Pr>
      <w:lang w:val="en-US"/>
    </w:rPr>
  </w:style>
  <w:style w:type="paragraph" w:customStyle="1" w:styleId="Proposal">
    <w:name w:val="Proposal"/>
    <w:basedOn w:val="Normal"/>
    <w:next w:val="Normal"/>
    <w:uiPriority w:val="99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</w:style>
  <w:style w:type="paragraph" w:customStyle="1" w:styleId="Questiondate">
    <w:name w:val="Question_date"/>
    <w:basedOn w:val="Normal"/>
    <w:next w:val="Normal"/>
    <w:uiPriority w:val="99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Title1">
    <w:name w:val="Title 1"/>
    <w:basedOn w:val="Source"/>
    <w:next w:val="Normal"/>
    <w:uiPriority w:val="99"/>
    <w:qFormat/>
    <w:pPr>
      <w:tabs>
        <w:tab w:val="left" w:pos="567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qFormat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qFormat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qFormat/>
    <w:rPr>
      <w:b/>
    </w:rPr>
  </w:style>
  <w:style w:type="paragraph" w:customStyle="1" w:styleId="Tabletext">
    <w:name w:val="Table_text"/>
    <w:basedOn w:val="Normal"/>
    <w:link w:val="TabletextChar"/>
    <w:qFormat/>
    <w:pPr>
      <w:tabs>
        <w:tab w:val="left" w:pos="284"/>
        <w:tab w:val="left" w:pos="567"/>
        <w:tab w:val="left" w:pos="85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qFormat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qFormat/>
    <w:pPr>
      <w:spacing w:before="160"/>
    </w:pPr>
    <w:rPr>
      <w:rFonts w:ascii="STKaiti" w:hAnsi="STKaiti"/>
    </w:rPr>
  </w:style>
  <w:style w:type="paragraph" w:customStyle="1" w:styleId="Headingb">
    <w:name w:val="Heading_b"/>
    <w:basedOn w:val="Normal"/>
    <w:next w:val="Normal"/>
    <w:link w:val="HeadingbChar"/>
    <w:qFormat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qFormat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qFormat/>
  </w:style>
  <w:style w:type="paragraph" w:customStyle="1" w:styleId="PartNo">
    <w:name w:val="Part_No"/>
    <w:basedOn w:val="AnnexNo"/>
    <w:next w:val="Normal"/>
    <w:uiPriority w:val="99"/>
    <w:qFormat/>
  </w:style>
  <w:style w:type="paragraph" w:customStyle="1" w:styleId="Partref">
    <w:name w:val="Part_ref"/>
    <w:basedOn w:val="Annexref"/>
    <w:next w:val="Normal"/>
    <w:uiPriority w:val="99"/>
    <w:qFormat/>
    <w:rPr>
      <w:i/>
    </w:rPr>
  </w:style>
  <w:style w:type="paragraph" w:customStyle="1" w:styleId="Parttitle">
    <w:name w:val="Part_title"/>
    <w:basedOn w:val="Annextitle"/>
    <w:next w:val="Normal"/>
    <w:uiPriority w:val="99"/>
    <w:qFormat/>
  </w:style>
  <w:style w:type="paragraph" w:customStyle="1" w:styleId="Recdate">
    <w:name w:val="Rec_date"/>
    <w:basedOn w:val="Normal"/>
    <w:next w:val="Normal"/>
    <w:uiPriority w:val="99"/>
    <w:qFormat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qFormat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qFormat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qFormat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qFormat/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TopHeader">
    <w:name w:val="TopHeader"/>
    <w:basedOn w:val="Normal"/>
    <w:qFormat/>
    <w:rPr>
      <w:rFonts w:ascii="Verdana" w:hAnsi="Verdana" w:cs="Times New Roman Bold"/>
      <w:b/>
      <w:bCs/>
      <w:szCs w:val="24"/>
    </w:rPr>
  </w:style>
  <w:style w:type="paragraph" w:customStyle="1" w:styleId="Docnumber">
    <w:name w:val="Docnumber"/>
    <w:basedOn w:val="TopHeader"/>
    <w:link w:val="DocnumberChar"/>
    <w:qFormat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Pr>
      <w:rFonts w:ascii="Verdana" w:hAnsi="Verdana" w:cs="Times New Roman Bold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</w:style>
  <w:style w:type="paragraph" w:customStyle="1" w:styleId="Opinionref">
    <w:name w:val="Opinion_ref"/>
    <w:basedOn w:val="Normal"/>
    <w:next w:val="Normal"/>
    <w:uiPriority w:val="99"/>
    <w:qFormat/>
    <w:pPr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HeadingSummary">
    <w:name w:val="HeadingSummary"/>
    <w:basedOn w:val="Headingb"/>
    <w:qFormat/>
  </w:style>
  <w:style w:type="paragraph" w:customStyle="1" w:styleId="Questionhistory">
    <w:name w:val="Question_history"/>
    <w:basedOn w:val="Normal"/>
    <w:pPr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</w:style>
  <w:style w:type="paragraph" w:customStyle="1" w:styleId="Arttitle">
    <w:name w:val="Art_title"/>
    <w:basedOn w:val="Normal"/>
    <w:next w:val="Normal"/>
    <w:uiPriority w:val="99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toAnnex">
    <w:name w:val="App_to_Annex"/>
    <w:basedOn w:val="AppendixNo"/>
    <w:next w:val="Normal"/>
    <w:uiPriority w:val="99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Subsection1">
    <w:name w:val="Subsection_1"/>
    <w:basedOn w:val="Section1"/>
    <w:next w:val="Normalaftertitle"/>
    <w:uiPriority w:val="99"/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</w:style>
  <w:style w:type="paragraph" w:customStyle="1" w:styleId="LSForComment">
    <w:name w:val="LSForComment"/>
    <w:basedOn w:val="LSForAction"/>
    <w:uiPriority w:val="99"/>
  </w:style>
  <w:style w:type="paragraph" w:customStyle="1" w:styleId="LSnumber">
    <w:name w:val="LSnumber"/>
    <w:basedOn w:val="Normal"/>
    <w:uiPriority w:val="99"/>
    <w:pPr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pPr>
      <w:keepNext/>
    </w:pPr>
    <w:rPr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</w:style>
  <w:style w:type="paragraph" w:customStyle="1" w:styleId="CorrectionSeparatorBegin">
    <w:name w:val="Correction Separator Begin"/>
    <w:basedOn w:val="Normal"/>
    <w:pPr>
      <w:keepNext/>
      <w:pBdr>
        <w:bottom w:val="single" w:sz="12" w:space="1" w:color="auto"/>
      </w:pBdr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pPr>
      <w:pBdr>
        <w:top w:val="single" w:sz="12" w:space="1" w:color="auto"/>
      </w:pBdr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pPr>
      <w:tabs>
        <w:tab w:val="left" w:pos="567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hAnsi="Courier New"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pPr>
      <w:keepLines/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Normal"/>
    <w:pPr>
      <w:keepNext/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pPr>
      <w:ind w:left="2268" w:hanging="2268"/>
    </w:pPr>
  </w:style>
  <w:style w:type="character" w:customStyle="1" w:styleId="ReftextArial9pt">
    <w:name w:val="Ref_text Arial 9 pt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pPr>
      <w:keepNext/>
      <w:keepLines/>
      <w:spacing w:before="360" w:after="120"/>
      <w:jc w:val="center"/>
    </w:pPr>
    <w:rPr>
      <w:b/>
      <w:lang w:eastAsia="ja-JP"/>
    </w:rPr>
  </w:style>
  <w:style w:type="character" w:customStyle="1" w:styleId="enumlev1Char">
    <w:name w:val="enumlev1 Char"/>
    <w:link w:val="enumlev1"/>
    <w:qFormat/>
    <w:rPr>
      <w:rFonts w:ascii="Times New Roman" w:eastAsia="SimSun" w:hAnsi="Times New Roman"/>
      <w:sz w:val="24"/>
      <w:lang w:val="en-GB" w:eastAsia="en-US"/>
    </w:rPr>
  </w:style>
  <w:style w:type="paragraph" w:customStyle="1" w:styleId="ASN1">
    <w:name w:val="ASN.1"/>
    <w:basedOn w:val="Normal"/>
    <w:pPr>
      <w:tabs>
        <w:tab w:val="left" w:pos="567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hAnsi="Times New Roman Bold"/>
      <w:b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pPr>
      <w:keepNext/>
      <w:keepLines/>
      <w:overflowPunct/>
      <w:autoSpaceDE/>
      <w:autoSpaceDN/>
      <w:adjustRightInd/>
      <w:jc w:val="center"/>
      <w:textAlignment w:val="auto"/>
    </w:pPr>
    <w:rPr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pPr>
      <w:keepNext/>
      <w:keepLines/>
      <w:overflowPunct/>
      <w:autoSpaceDE/>
      <w:autoSpaceDN/>
      <w:adjustRightInd/>
      <w:jc w:val="right"/>
      <w:textAlignment w:val="auto"/>
    </w:pPr>
    <w:rPr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rFonts w:ascii="Times New Roman Bold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pPr>
      <w:keepNext/>
      <w:keepLines/>
      <w:overflowPunct/>
      <w:autoSpaceDE/>
      <w:autoSpaceDN/>
      <w:adjustRightInd/>
      <w:jc w:val="center"/>
      <w:textAlignment w:val="auto"/>
    </w:pPr>
    <w:rPr>
      <w:i/>
      <w:szCs w:val="24"/>
      <w:lang w:eastAsia="ja-JP"/>
    </w:rPr>
  </w:style>
  <w:style w:type="paragraph" w:customStyle="1" w:styleId="Head">
    <w:name w:val="Head"/>
    <w:basedOn w:val="Normal"/>
    <w:uiPriority w:val="99"/>
    <w:pPr>
      <w:tabs>
        <w:tab w:val="left" w:pos="6663"/>
      </w:tabs>
      <w:overflowPunct/>
      <w:autoSpaceDE/>
      <w:autoSpaceDN/>
      <w:adjustRightInd/>
      <w:spacing w:before="0"/>
      <w:textAlignment w:val="auto"/>
    </w:pPr>
    <w:rPr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pPr>
      <w:tabs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b/>
      <w:sz w:val="22"/>
      <w:szCs w:val="24"/>
      <w:lang w:eastAsia="ja-JP"/>
    </w:rPr>
  </w:style>
  <w:style w:type="paragraph" w:customStyle="1" w:styleId="Address">
    <w:name w:val="Address"/>
    <w:basedOn w:val="Normal"/>
    <w:uiPriority w:val="99"/>
    <w:pPr>
      <w:tabs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pPr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pPr>
      <w:tabs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pPr>
      <w:keepNext/>
      <w:overflowPunct/>
      <w:autoSpaceDE/>
      <w:autoSpaceDN/>
      <w:adjustRightInd/>
      <w:textAlignment w:val="auto"/>
    </w:pPr>
    <w:rPr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paragraph" w:customStyle="1" w:styleId="Heading1Centered">
    <w:name w:val="Heading 1 Centered"/>
    <w:basedOn w:val="Heading1"/>
    <w:pPr>
      <w:spacing w:before="360"/>
      <w:ind w:left="0" w:firstLine="0"/>
      <w:jc w:val="center"/>
    </w:pPr>
    <w:rPr>
      <w:bCs/>
      <w:sz w:val="24"/>
    </w:rPr>
  </w:style>
  <w:style w:type="character" w:customStyle="1" w:styleId="TabletextChar">
    <w:name w:val="Table_text Char"/>
    <w:link w:val="Tabletext"/>
    <w:qFormat/>
    <w:locked/>
    <w:rPr>
      <w:rFonts w:ascii="Times New Roman" w:hAnsi="Times New Roman"/>
      <w:sz w:val="22"/>
      <w:lang w:val="en-GB" w:eastAsia="en-US"/>
    </w:rPr>
  </w:style>
  <w:style w:type="paragraph" w:customStyle="1" w:styleId="Revision1">
    <w:name w:val="Revision1"/>
    <w:hidden/>
    <w:uiPriority w:val="99"/>
    <w:semiHidden/>
    <w:rPr>
      <w:rFonts w:ascii="Times New Roman" w:eastAsia="SimSun" w:hAnsi="Times New Roman"/>
      <w:sz w:val="24"/>
      <w:szCs w:val="24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LSTo">
    <w:name w:val="LSTo"/>
    <w:basedOn w:val="Normal"/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pPr>
      <w:widowControl w:val="0"/>
      <w:numPr>
        <w:numId w:val="1"/>
      </w:numPr>
    </w:pPr>
    <w:rPr>
      <w:lang w:eastAsia="zh-CN"/>
    </w:rPr>
  </w:style>
  <w:style w:type="paragraph" w:customStyle="1" w:styleId="NormalITU">
    <w:name w:val="Normal_ITU"/>
    <w:basedOn w:val="Normal"/>
    <w:uiPriority w:val="99"/>
    <w:pPr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</w:style>
  <w:style w:type="character" w:customStyle="1" w:styleId="MacroTextChar">
    <w:name w:val="Macro Text Char"/>
    <w:basedOn w:val="DefaultParagraphFont"/>
    <w:link w:val="MacroText"/>
    <w:qFormat/>
    <w:rPr>
      <w:rFonts w:ascii="Consolas" w:eastAsia="Calibri" w:hAnsi="Consolas"/>
      <w:lang w:val="en-GB" w:eastAsia="ja-JP"/>
    </w:rPr>
  </w:style>
  <w:style w:type="character" w:customStyle="1" w:styleId="NoteHeadingChar">
    <w:name w:val="Note Heading Char"/>
    <w:basedOn w:val="DefaultParagraphFont"/>
    <w:link w:val="NoteHeading"/>
    <w:qFormat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Segoe UI" w:eastAsia="Calibri" w:hAnsi="Segoe UI" w:cs="Segoe UI"/>
      <w:sz w:val="16"/>
      <w:szCs w:val="16"/>
      <w:lang w:val="en-GB" w:eastAsia="ja-JP"/>
    </w:rPr>
  </w:style>
  <w:style w:type="character" w:customStyle="1" w:styleId="SalutationChar">
    <w:name w:val="Salutation Char"/>
    <w:basedOn w:val="DefaultParagraphFont"/>
    <w:link w:val="Salutation"/>
    <w:qFormat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BodyText3Char">
    <w:name w:val="Body Text 3 Char"/>
    <w:basedOn w:val="DefaultParagraphFont"/>
    <w:link w:val="BodyText3"/>
    <w:qFormat/>
    <w:rPr>
      <w:rFonts w:ascii="Times New Roman" w:eastAsia="Calibri" w:hAnsi="Times New Roman"/>
      <w:sz w:val="16"/>
      <w:szCs w:val="16"/>
      <w:lang w:val="en-GB" w:eastAsia="ja-JP"/>
    </w:rPr>
  </w:style>
  <w:style w:type="character" w:customStyle="1" w:styleId="ClosingChar">
    <w:name w:val="Closing Char"/>
    <w:basedOn w:val="DefaultParagraphFont"/>
    <w:link w:val="Closing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HTMLAddressChar">
    <w:name w:val="HTML Address Char"/>
    <w:basedOn w:val="DefaultParagraphFont"/>
    <w:link w:val="HTMLAddress"/>
    <w:qFormat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character" w:customStyle="1" w:styleId="PlainTextChar">
    <w:name w:val="Plain Text Char"/>
    <w:basedOn w:val="DefaultParagraphFont"/>
    <w:link w:val="PlainText"/>
    <w:rPr>
      <w:rFonts w:ascii="Consolas" w:eastAsia="Calibri" w:hAnsi="Consolas"/>
      <w:sz w:val="21"/>
      <w:szCs w:val="21"/>
      <w:lang w:val="en-GB" w:eastAsia="ja-JP"/>
    </w:rPr>
  </w:style>
  <w:style w:type="character" w:customStyle="1" w:styleId="DateChar">
    <w:name w:val="Date Char"/>
    <w:basedOn w:val="DefaultParagraphFont"/>
    <w:link w:val="Date"/>
    <w:qFormat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EndnoteTextChar">
    <w:name w:val="Endnote Text Char"/>
    <w:basedOn w:val="DefaultParagraphFont"/>
    <w:link w:val="EndnoteText"/>
    <w:qFormat/>
    <w:rPr>
      <w:rFonts w:ascii="Times New Roman" w:eastAsia="Calibri" w:hAnsi="Times New Roman"/>
      <w:szCs w:val="24"/>
      <w:lang w:val="en-GB" w:eastAsia="ja-JP"/>
    </w:rPr>
  </w:style>
  <w:style w:type="character" w:customStyle="1" w:styleId="SignatureChar">
    <w:name w:val="Signature Char"/>
    <w:basedOn w:val="DefaultParagraphFont"/>
    <w:link w:val="Signature"/>
    <w:qFormat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eastAsia="Calibri" w:hAnsi="Times New Roman"/>
      <w:sz w:val="16"/>
      <w:szCs w:val="16"/>
      <w:lang w:val="en-GB" w:eastAsia="ja-JP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MessageHeaderChar">
    <w:name w:val="Message Header Char"/>
    <w:basedOn w:val="DefaultParagraphFont"/>
    <w:link w:val="MessageHeader"/>
    <w:qFormat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Pr>
      <w:rFonts w:ascii="Consolas" w:eastAsia="Calibri" w:hAnsi="Consolas"/>
      <w:szCs w:val="24"/>
      <w:lang w:val="en-GB" w:eastAsia="ja-JP"/>
    </w:rPr>
  </w:style>
  <w:style w:type="character" w:customStyle="1" w:styleId="TitleChar">
    <w:name w:val="Title Char"/>
    <w:basedOn w:val="DefaultParagraphFont"/>
    <w:link w:val="Title"/>
    <w:qFormat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eastAsia="Calibri" w:hAnsi="Times New Roman"/>
      <w:b/>
      <w:bCs/>
      <w:szCs w:val="24"/>
      <w:lang w:val="en-GB" w:eastAsia="ja-JP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10">
    <w:name w:val="Revision1"/>
    <w:uiPriority w:val="99"/>
    <w:semiHidden/>
    <w:qFormat/>
    <w:rPr>
      <w:rFonts w:ascii="Times New Roman" w:eastAsia="SimSun" w:hAnsi="Times New Roman"/>
      <w:sz w:val="24"/>
      <w:szCs w:val="24"/>
      <w:lang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qFormat/>
    <w:pPr>
      <w:keepNext w:val="0"/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qFormat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Hashtag1">
    <w:name w:val="Hashtag1"/>
    <w:basedOn w:val="DefaultParagraphFont"/>
    <w:uiPriority w:val="99"/>
    <w:semiHidden/>
    <w:unhideWhenUsed/>
    <w:qFormat/>
    <w:rPr>
      <w:color w:val="2B579A"/>
      <w:shd w:val="clear" w:color="auto" w:fill="E1DFDD"/>
    </w:rPr>
  </w:style>
  <w:style w:type="character" w:customStyle="1" w:styleId="Hashtag10">
    <w:name w:val="Hashtag1"/>
    <w:uiPriority w:val="99"/>
    <w:semiHidden/>
    <w:unhideWhenUsed/>
    <w:qFormat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qFormat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/>
        <w:bottom w:val="single" w:sz="4" w:space="10" w:color="5B9BD5"/>
      </w:pBdr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1DFDD"/>
    </w:rPr>
  </w:style>
  <w:style w:type="paragraph" w:styleId="NoSpacing">
    <w:name w:val="No Spacing"/>
    <w:uiPriority w:val="1"/>
    <w:qFormat/>
    <w:rPr>
      <w:rFonts w:ascii="Times New Roman" w:eastAsia="Calibri" w:hAnsi="Times New Roman"/>
      <w:sz w:val="24"/>
      <w:szCs w:val="24"/>
      <w:lang w:eastAsia="ja-JP"/>
    </w:rPr>
  </w:style>
  <w:style w:type="character" w:customStyle="1" w:styleId="SmartHyperlink1">
    <w:name w:val="Smart Hyperlink1"/>
    <w:uiPriority w:val="99"/>
    <w:semiHidden/>
    <w:unhideWhenUsed/>
    <w:qFormat/>
    <w:rPr>
      <w:u w:val="dotted"/>
    </w:rPr>
  </w:style>
  <w:style w:type="character" w:customStyle="1" w:styleId="SmartLink1">
    <w:name w:val="SmartLink1"/>
    <w:uiPriority w:val="99"/>
    <w:semiHidden/>
    <w:unhideWhenUsed/>
    <w:qFormat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qFormat/>
    <w:rPr>
      <w:color w:val="FF0000"/>
    </w:rPr>
  </w:style>
  <w:style w:type="character" w:customStyle="1" w:styleId="SubtleEmphasis1">
    <w:name w:val="Subtle Emphasis1"/>
    <w:uiPriority w:val="19"/>
    <w:qFormat/>
    <w:rPr>
      <w:i/>
      <w:iCs/>
      <w:color w:val="404040"/>
    </w:rPr>
  </w:style>
  <w:style w:type="character" w:customStyle="1" w:styleId="SubtleReference1">
    <w:name w:val="Subtle Reference1"/>
    <w:uiPriority w:val="31"/>
    <w:qFormat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tabs>
        <w:tab w:val="left" w:pos="432"/>
      </w:tabs>
      <w:spacing w:before="360"/>
      <w:ind w:left="0" w:firstLine="0"/>
      <w:outlineLvl w:val="9"/>
    </w:pPr>
    <w:rPr>
      <w:rFonts w:ascii="Calibri Light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qFormat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qFormat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qFormat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qFormat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qFormat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ibliography2">
    <w:name w:val="Bibliography2"/>
    <w:basedOn w:val="Normal"/>
    <w:next w:val="Normal"/>
    <w:uiPriority w:val="37"/>
    <w:semiHidden/>
    <w:unhideWhenUsed/>
    <w:qFormat/>
    <w:pPr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BookTitle1">
    <w:name w:val="Book Title1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Pr>
      <w:color w:val="2B579A"/>
      <w:shd w:val="clear" w:color="auto" w:fill="E1DFDD"/>
    </w:rPr>
  </w:style>
  <w:style w:type="character" w:customStyle="1" w:styleId="IntenseEmphasis2">
    <w:name w:val="Intense Emphasis2"/>
    <w:basedOn w:val="DefaultParagraphFont"/>
    <w:uiPriority w:val="21"/>
    <w:rPr>
      <w:i/>
      <w:iCs/>
      <w:color w:val="4F81BD" w:themeColor="accent1"/>
    </w:rPr>
  </w:style>
  <w:style w:type="character" w:customStyle="1" w:styleId="IntenseReference2">
    <w:name w:val="Intense Reference2"/>
    <w:basedOn w:val="DefaultParagraphFont"/>
    <w:uiPriority w:val="32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Pr>
      <w:color w:val="0000FF"/>
      <w:u w:val="single"/>
      <w:shd w:val="clear" w:color="auto" w:fill="F3F2F1"/>
    </w:rPr>
  </w:style>
  <w:style w:type="character" w:customStyle="1" w:styleId="SubtleEmphasis2">
    <w:name w:val="Subtle Emphasis2"/>
    <w:basedOn w:val="DefaultParagraphFont"/>
    <w:uiPriority w:val="19"/>
    <w:rPr>
      <w:i/>
      <w:iCs/>
      <w:color w:val="404040" w:themeColor="text1" w:themeTint="BF"/>
    </w:rPr>
  </w:style>
  <w:style w:type="character" w:customStyle="1" w:styleId="SubtleReference2">
    <w:name w:val="Subtle Reference2"/>
    <w:basedOn w:val="DefaultParagraphFont"/>
    <w:uiPriority w:val="31"/>
    <w:rPr>
      <w:smallCaps/>
      <w:color w:val="595959" w:themeColor="text1" w:themeTint="A6"/>
    </w:rPr>
  </w:style>
  <w:style w:type="paragraph" w:customStyle="1" w:styleId="TOCHeading2">
    <w:name w:val="TOC Heading2"/>
    <w:basedOn w:val="Heading1"/>
    <w:next w:val="Normal"/>
    <w:uiPriority w:val="39"/>
    <w:semiHidden/>
    <w:unhideWhenUsed/>
    <w:pPr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customStyle="1" w:styleId="Mention4">
    <w:name w:val="Mention4"/>
    <w:basedOn w:val="DefaultParagraphFont"/>
    <w:uiPriority w:val="99"/>
    <w:semiHidden/>
    <w:unhideWhenUsed/>
    <w:rPr>
      <w:color w:val="2B579A"/>
      <w:shd w:val="clear" w:color="auto" w:fill="E1DFDD"/>
    </w:rPr>
  </w:style>
  <w:style w:type="character" w:customStyle="1" w:styleId="SmartHyperlink4">
    <w:name w:val="Smart Hyperlink4"/>
    <w:basedOn w:val="DefaultParagraphFont"/>
    <w:uiPriority w:val="99"/>
    <w:semiHidden/>
    <w:unhideWhenUsed/>
    <w:rPr>
      <w:u w:val="dotted"/>
    </w:rPr>
  </w:style>
  <w:style w:type="character" w:customStyle="1" w:styleId="SmartLink4">
    <w:name w:val="SmartLink4"/>
    <w:basedOn w:val="DefaultParagraphFont"/>
    <w:uiPriority w:val="99"/>
    <w:semiHidden/>
    <w:unhideWhenUsed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Pr>
      <w:rFonts w:ascii="Times New Roman" w:hAnsi="Times New Roman Bold"/>
      <w:sz w:val="28"/>
      <w:lang w:val="en-GB" w:eastAsia="en-US"/>
    </w:rPr>
  </w:style>
  <w:style w:type="character" w:customStyle="1" w:styleId="ui-provider">
    <w:name w:val="ui-provider"/>
    <w:basedOn w:val="DefaultParagraphFont"/>
  </w:style>
  <w:style w:type="character" w:customStyle="1" w:styleId="href">
    <w:name w:val="href"/>
    <w:basedOn w:val="DefaultParagraphFont"/>
    <w:qFormat/>
  </w:style>
  <w:style w:type="character" w:customStyle="1" w:styleId="Italic">
    <w:name w:val="Italic"/>
    <w:rPr>
      <w:rFonts w:eastAsia="STKaiti"/>
      <w:lang w:val="fr-FR"/>
    </w:rPr>
  </w:style>
  <w:style w:type="paragraph" w:customStyle="1" w:styleId="Normalnoindent">
    <w:name w:val="Normal no indent"/>
    <w:basedOn w:val="Normal"/>
  </w:style>
  <w:style w:type="paragraph" w:styleId="Revision">
    <w:name w:val="Revision"/>
    <w:hidden/>
    <w:uiPriority w:val="99"/>
    <w:unhideWhenUsed/>
    <w:rsid w:val="00321412"/>
    <w:rPr>
      <w:rFonts w:ascii="Times New Roman" w:eastAsia="SimSu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1482f756-77dc-4f41-8fb1-e25581125a47">DPM</DPM_x0020_Author>
    <DPM_x0020_File_x0020_name xmlns="1482f756-77dc-4f41-8fb1-e25581125a47">T22-WTSA.24-C-0036!A5!MSW-C</DPM_x0020_File_x0020_name>
    <DPM_x0020_Version xmlns="1482f756-77dc-4f41-8fb1-e25581125a47">DPM_2022.05.12.01</DPM_x0020_Vers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1482f756-77dc-4f41-8fb1-e25581125a47" targetNamespace="http://schemas.microsoft.com/office/2006/metadata/properties" ma:root="true" ma:fieldsID="d41af5c836d734370eb92e7ee5f83852" ns2:_="" ns3:_="">
    <xsd:import namespace="996b2e75-67fd-4955-a3b0-5ab9934cb50b"/>
    <xsd:import namespace="1482f756-77dc-4f41-8fb1-e25581125a47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2f756-77dc-4f41-8fb1-e25581125a47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/>
</ds:datastoreItem>
</file>

<file path=customXml/itemProps2.xml><?xml version="1.0" encoding="utf-8"?>
<ds:datastoreItem xmlns:ds="http://schemas.openxmlformats.org/officeDocument/2006/customXml" ds:itemID="{C93E26ED-57A6-443A-A4F1-CD976F7233B3}">
  <ds:schemaRefs/>
</ds:datastoreItem>
</file>

<file path=customXml/itemProps3.xml><?xml version="1.0" encoding="utf-8"?>
<ds:datastoreItem xmlns:ds="http://schemas.openxmlformats.org/officeDocument/2006/customXml" ds:itemID="{0AF829E2-78C4-4AE9-B0CB-2D4C96A037AB}">
  <ds:schemaRefs/>
</ds:datastoreItem>
</file>

<file path=customXml/itemProps4.xml><?xml version="1.0" encoding="utf-8"?>
<ds:datastoreItem xmlns:ds="http://schemas.openxmlformats.org/officeDocument/2006/customXml" ds:itemID="{B21B1F41-FCAB-4F2A-81E2-D384F50A6647}">
  <ds:schemaRefs/>
</ds:datastoreItem>
</file>

<file path=customXml/itemProps5.xml><?xml version="1.0" encoding="utf-8"?>
<ds:datastoreItem xmlns:ds="http://schemas.openxmlformats.org/officeDocument/2006/customXml" ds:itemID="{5CA035DF-A293-4EC3-AD58-DEFBB131D2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1234</Words>
  <Characters>555</Characters>
  <Application>Microsoft Office Word</Application>
  <DocSecurity>0</DocSecurity>
  <Lines>4</Lines>
  <Paragraphs>3</Paragraphs>
  <ScaleCrop>false</ScaleCrop>
  <Manager>General Secretariat - Pool</Manager>
  <Company>International Telecommunication Union (ITU)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T22-WTSA.24-C-0036!A5!MSW-C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LING-C(KL)</cp:lastModifiedBy>
  <cp:revision>5</cp:revision>
  <cp:lastPrinted>2016-06-06T07:49:00Z</cp:lastPrinted>
  <dcterms:created xsi:type="dcterms:W3CDTF">2024-09-30T12:38:00Z</dcterms:created>
  <dcterms:modified xsi:type="dcterms:W3CDTF">2024-09-30T12:42:00Z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  <property fmtid="{D5CDD505-2E9C-101B-9397-08002B2CF9AE}" pid="11" name="KSOProductBuildVer">
    <vt:lpwstr>2052-12.1.0.17857</vt:lpwstr>
  </property>
  <property fmtid="{D5CDD505-2E9C-101B-9397-08002B2CF9AE}" pid="12" name="ICV">
    <vt:lpwstr>AC78FEF06CEE411EAECA651B69E55ABC_12</vt:lpwstr>
  </property>
</Properties>
</file>