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AD5E1E" w14:paraId="22D914D9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512CD872" w14:textId="77777777" w:rsidR="00D2023F" w:rsidRPr="00AD5E1E" w:rsidRDefault="0018215C" w:rsidP="00EB5053">
            <w:pPr>
              <w:rPr>
                <w:lang w:val="es-ES_tradnl"/>
              </w:rPr>
            </w:pPr>
            <w:r w:rsidRPr="00AD5E1E">
              <w:rPr>
                <w:noProof/>
                <w:lang w:val="es-ES_tradnl"/>
              </w:rPr>
              <w:drawing>
                <wp:inline distT="0" distB="0" distL="0" distR="0" wp14:anchorId="0C802C89" wp14:editId="2C392E5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0786C0C" w14:textId="77777777" w:rsidR="00E610A4" w:rsidRPr="00AD5E1E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AD5E1E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66D5F202" w14:textId="77777777" w:rsidR="00D2023F" w:rsidRPr="00AD5E1E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AD5E1E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8B214EA" w14:textId="77777777" w:rsidR="00D2023F" w:rsidRPr="00AD5E1E" w:rsidRDefault="00D2023F" w:rsidP="00C30155">
            <w:pPr>
              <w:spacing w:before="0"/>
              <w:rPr>
                <w:lang w:val="es-ES_tradnl"/>
              </w:rPr>
            </w:pPr>
            <w:r w:rsidRPr="00AD5E1E">
              <w:rPr>
                <w:noProof/>
                <w:lang w:val="es-ES_tradnl" w:eastAsia="zh-CN"/>
              </w:rPr>
              <w:drawing>
                <wp:inline distT="0" distB="0" distL="0" distR="0" wp14:anchorId="28B32CF3" wp14:editId="7CD0375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AD5E1E" w14:paraId="41660231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D019960" w14:textId="77777777" w:rsidR="00D2023F" w:rsidRPr="00AD5E1E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AD5E1E" w14:paraId="4941D326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16EF7A2" w14:textId="77777777" w:rsidR="00931298" w:rsidRPr="00AD5E1E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191EAF8F" w14:textId="77777777" w:rsidR="00931298" w:rsidRPr="00AD5E1E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AD5E1E" w14:paraId="52B16B4B" w14:textId="77777777" w:rsidTr="008E0616">
        <w:trPr>
          <w:cantSplit/>
        </w:trPr>
        <w:tc>
          <w:tcPr>
            <w:tcW w:w="6237" w:type="dxa"/>
            <w:gridSpan w:val="2"/>
          </w:tcPr>
          <w:p w14:paraId="7D4E21BE" w14:textId="77777777" w:rsidR="00752D4D" w:rsidRPr="00AD5E1E" w:rsidRDefault="006C136E" w:rsidP="00C30155">
            <w:pPr>
              <w:pStyle w:val="Committee"/>
              <w:rPr>
                <w:lang w:val="es-ES_tradnl"/>
              </w:rPr>
            </w:pPr>
            <w:r w:rsidRPr="00AD5E1E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397182BD" w14:textId="77777777" w:rsidR="00752D4D" w:rsidRPr="00AD5E1E" w:rsidRDefault="006C136E" w:rsidP="00A52D1A">
            <w:pPr>
              <w:pStyle w:val="Docnumber"/>
              <w:rPr>
                <w:lang w:val="es-ES_tradnl"/>
              </w:rPr>
            </w:pPr>
            <w:r w:rsidRPr="00AD5E1E">
              <w:rPr>
                <w:lang w:val="es-ES_tradnl"/>
              </w:rPr>
              <w:t>Addéndum 31 al</w:t>
            </w:r>
            <w:r w:rsidRPr="00AD5E1E">
              <w:rPr>
                <w:lang w:val="es-ES_tradnl"/>
              </w:rPr>
              <w:br/>
              <w:t>Documento 36</w:t>
            </w:r>
            <w:r w:rsidR="00D34410" w:rsidRPr="00AD5E1E">
              <w:rPr>
                <w:lang w:val="es-ES_tradnl"/>
              </w:rPr>
              <w:t>-S</w:t>
            </w:r>
          </w:p>
        </w:tc>
      </w:tr>
      <w:tr w:rsidR="00931298" w:rsidRPr="00AD5E1E" w14:paraId="5A4C4927" w14:textId="77777777" w:rsidTr="008E0616">
        <w:trPr>
          <w:cantSplit/>
        </w:trPr>
        <w:tc>
          <w:tcPr>
            <w:tcW w:w="6237" w:type="dxa"/>
            <w:gridSpan w:val="2"/>
          </w:tcPr>
          <w:p w14:paraId="7B6E05E4" w14:textId="77777777" w:rsidR="00931298" w:rsidRPr="00AD5E1E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46E50060" w14:textId="77777777" w:rsidR="00931298" w:rsidRPr="00AD5E1E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AD5E1E">
              <w:rPr>
                <w:sz w:val="20"/>
                <w:szCs w:val="16"/>
                <w:lang w:val="es-ES_tradnl"/>
              </w:rPr>
              <w:t>23 de septiembre de 2024</w:t>
            </w:r>
          </w:p>
        </w:tc>
      </w:tr>
      <w:tr w:rsidR="00931298" w:rsidRPr="00AD5E1E" w14:paraId="6B6A64D5" w14:textId="77777777" w:rsidTr="008E0616">
        <w:trPr>
          <w:cantSplit/>
        </w:trPr>
        <w:tc>
          <w:tcPr>
            <w:tcW w:w="6237" w:type="dxa"/>
            <w:gridSpan w:val="2"/>
          </w:tcPr>
          <w:p w14:paraId="3B9F34AF" w14:textId="77777777" w:rsidR="00931298" w:rsidRPr="00AD5E1E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65B4FD68" w14:textId="77777777" w:rsidR="00931298" w:rsidRPr="00AD5E1E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AD5E1E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AD5E1E" w14:paraId="2037F0F8" w14:textId="77777777" w:rsidTr="008E0616">
        <w:trPr>
          <w:cantSplit/>
        </w:trPr>
        <w:tc>
          <w:tcPr>
            <w:tcW w:w="9811" w:type="dxa"/>
            <w:gridSpan w:val="4"/>
          </w:tcPr>
          <w:p w14:paraId="6BAB285A" w14:textId="77777777" w:rsidR="00931298" w:rsidRPr="00AD5E1E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2B6203" w14:paraId="0DE10C6B" w14:textId="77777777" w:rsidTr="008E0616">
        <w:trPr>
          <w:cantSplit/>
        </w:trPr>
        <w:tc>
          <w:tcPr>
            <w:tcW w:w="9811" w:type="dxa"/>
            <w:gridSpan w:val="4"/>
          </w:tcPr>
          <w:p w14:paraId="1D241FB4" w14:textId="77777777" w:rsidR="00931298" w:rsidRPr="00AD5E1E" w:rsidRDefault="006C136E" w:rsidP="00C30155">
            <w:pPr>
              <w:pStyle w:val="Source"/>
              <w:rPr>
                <w:lang w:val="es-ES_tradnl"/>
              </w:rPr>
            </w:pPr>
            <w:r w:rsidRPr="00AD5E1E">
              <w:rPr>
                <w:lang w:val="es-ES_tradnl"/>
              </w:rPr>
              <w:t>Administraciones de los Estados Árabes</w:t>
            </w:r>
          </w:p>
        </w:tc>
      </w:tr>
      <w:tr w:rsidR="00931298" w:rsidRPr="002B6203" w14:paraId="37F56086" w14:textId="77777777" w:rsidTr="008E0616">
        <w:trPr>
          <w:cantSplit/>
        </w:trPr>
        <w:tc>
          <w:tcPr>
            <w:tcW w:w="9811" w:type="dxa"/>
            <w:gridSpan w:val="4"/>
          </w:tcPr>
          <w:p w14:paraId="0DA6180D" w14:textId="18EB9628" w:rsidR="00931298" w:rsidRPr="00AD5E1E" w:rsidRDefault="004D3AA8" w:rsidP="00C30155">
            <w:pPr>
              <w:pStyle w:val="Title1"/>
              <w:rPr>
                <w:lang w:val="es-ES_tradnl"/>
              </w:rPr>
            </w:pPr>
            <w:r w:rsidRPr="00AD5E1E">
              <w:rPr>
                <w:lang w:val="es-ES_tradnl"/>
              </w:rPr>
              <w:t>PROYECTO DE NUEVA RESOLUCIÓN</w:t>
            </w:r>
            <w:r w:rsidR="006C136E" w:rsidRPr="00AD5E1E">
              <w:rPr>
                <w:lang w:val="es-ES_tradnl"/>
              </w:rPr>
              <w:t xml:space="preserve"> [ARB-OTTS] </w:t>
            </w:r>
            <w:r w:rsidR="002C55F3" w:rsidRPr="002C55F3">
              <w:rPr>
                <w:lang w:val="es-ES_tradnl"/>
              </w:rPr>
              <w:t>–</w:t>
            </w:r>
            <w:r w:rsidR="006C136E" w:rsidRPr="00AD5E1E">
              <w:rPr>
                <w:lang w:val="es-ES_tradnl"/>
              </w:rPr>
              <w:t xml:space="preserve"> OTT</w:t>
            </w:r>
          </w:p>
        </w:tc>
      </w:tr>
      <w:tr w:rsidR="00657CDA" w:rsidRPr="002B6203" w14:paraId="0D9AFC88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5B84B830" w14:textId="77777777" w:rsidR="00657CDA" w:rsidRPr="00AD5E1E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2B6203" w14:paraId="7DE6CFC5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DD6A0E3" w14:textId="77777777" w:rsidR="00657CDA" w:rsidRPr="00AD5E1E" w:rsidRDefault="00657CDA" w:rsidP="00293F9A">
            <w:pPr>
              <w:pStyle w:val="Agendaitem"/>
              <w:spacing w:before="0"/>
            </w:pPr>
          </w:p>
        </w:tc>
      </w:tr>
    </w:tbl>
    <w:p w14:paraId="1ABDB852" w14:textId="77777777" w:rsidR="00931298" w:rsidRPr="00AD5E1E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2B6203" w14:paraId="7517481E" w14:textId="77777777" w:rsidTr="008E0616">
        <w:trPr>
          <w:cantSplit/>
        </w:trPr>
        <w:tc>
          <w:tcPr>
            <w:tcW w:w="1912" w:type="dxa"/>
          </w:tcPr>
          <w:p w14:paraId="7B54F016" w14:textId="77777777" w:rsidR="00931298" w:rsidRPr="00AD5E1E" w:rsidRDefault="00E610A4" w:rsidP="00C30155">
            <w:pPr>
              <w:rPr>
                <w:lang w:val="es-ES_tradnl"/>
              </w:rPr>
            </w:pPr>
            <w:r w:rsidRPr="00AD5E1E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048B7515" w14:textId="417E55AF" w:rsidR="00931298" w:rsidRPr="00AD5E1E" w:rsidRDefault="00AD5E1E" w:rsidP="002C55F3">
            <w:pPr>
              <w:pStyle w:val="Abstract"/>
              <w:rPr>
                <w:lang w:val="es-ES_tradnl"/>
              </w:rPr>
            </w:pPr>
            <w:r w:rsidRPr="00AD5E1E">
              <w:rPr>
                <w:lang w:val="es-ES_tradnl"/>
              </w:rPr>
              <w:t xml:space="preserve">El objetivo de esta nueva propuesta de Resolución de la AMNT es asignar ciertas </w:t>
            </w:r>
            <w:r w:rsidRPr="008052A3">
              <w:rPr>
                <w:lang w:val="es-ES"/>
              </w:rPr>
              <w:t>tareas</w:t>
            </w:r>
            <w:r w:rsidRPr="00AD5E1E">
              <w:rPr>
                <w:lang w:val="es-ES_tradnl"/>
              </w:rPr>
              <w:t xml:space="preserve"> a las Comisiones de Estudio pertinentes, además de al Director de la TSB, con el fin de hallar un enfoque multidimensional que implique a todas las partes interesadas, especialmente de</w:t>
            </w:r>
            <w:r w:rsidR="008A5B98">
              <w:rPr>
                <w:lang w:val="es-ES_tradnl"/>
              </w:rPr>
              <w:t xml:space="preserve"> la industria</w:t>
            </w:r>
            <w:r w:rsidRPr="00AD5E1E">
              <w:rPr>
                <w:lang w:val="es-ES_tradnl"/>
              </w:rPr>
              <w:t>, para encontrar soluciones a las cuestiones pendientes relativas a los servicios superpuestos.</w:t>
            </w:r>
          </w:p>
        </w:tc>
      </w:tr>
      <w:tr w:rsidR="00931298" w:rsidRPr="002B6203" w14:paraId="1C48A6F7" w14:textId="77777777" w:rsidTr="008E0616">
        <w:trPr>
          <w:cantSplit/>
        </w:trPr>
        <w:tc>
          <w:tcPr>
            <w:tcW w:w="1912" w:type="dxa"/>
          </w:tcPr>
          <w:p w14:paraId="1936AE85" w14:textId="77777777" w:rsidR="00931298" w:rsidRPr="00AD5E1E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AD5E1E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61D1F576" w14:textId="5B378585" w:rsidR="00FE5494" w:rsidRPr="00AD5E1E" w:rsidRDefault="00AD5E1E" w:rsidP="00E6117A">
            <w:pPr>
              <w:rPr>
                <w:lang w:val="es-ES_tradnl"/>
              </w:rPr>
            </w:pPr>
            <w:r w:rsidRPr="00AD5E1E">
              <w:rPr>
                <w:lang w:val="es-ES_tradnl"/>
              </w:rPr>
              <w:t>Ahmed Tajelsir Atya Mohammed</w:t>
            </w:r>
            <w:r w:rsidRPr="00AD5E1E">
              <w:rPr>
                <w:lang w:val="es-ES_tradnl"/>
              </w:rPr>
              <w:br/>
              <w:t>Organismo Regulador de Telecomunicaciones y Correos</w:t>
            </w:r>
            <w:r w:rsidRPr="00AD5E1E">
              <w:rPr>
                <w:lang w:val="es-ES_tradnl"/>
              </w:rPr>
              <w:br/>
              <w:t>Sudán</w:t>
            </w:r>
          </w:p>
        </w:tc>
        <w:tc>
          <w:tcPr>
            <w:tcW w:w="3935" w:type="dxa"/>
          </w:tcPr>
          <w:p w14:paraId="4EC2A534" w14:textId="15DF7864" w:rsidR="00931298" w:rsidRPr="003D3872" w:rsidRDefault="00E610A4" w:rsidP="00E6117A">
            <w:pPr>
              <w:rPr>
                <w:lang w:val="it-IT"/>
              </w:rPr>
            </w:pPr>
            <w:r w:rsidRPr="003D3872">
              <w:rPr>
                <w:lang w:val="it-IT"/>
              </w:rPr>
              <w:t>Correo-e:</w:t>
            </w:r>
            <w:r w:rsidR="00AD5E1E" w:rsidRPr="003D3872">
              <w:rPr>
                <w:lang w:val="it-IT"/>
              </w:rPr>
              <w:t xml:space="preserve"> </w:t>
            </w:r>
            <w:hyperlink r:id="rId14" w:history="1">
              <w:r w:rsidR="00AD5E1E" w:rsidRPr="003D3872">
                <w:rPr>
                  <w:rStyle w:val="Hyperlink"/>
                  <w:lang w:val="it-IT"/>
                </w:rPr>
                <w:t>ahmed.atyya@tpra.gov.sd</w:t>
              </w:r>
            </w:hyperlink>
          </w:p>
        </w:tc>
      </w:tr>
    </w:tbl>
    <w:p w14:paraId="12254E8E" w14:textId="77777777" w:rsidR="00931298" w:rsidRPr="003D3872" w:rsidRDefault="009F4801" w:rsidP="002C55F3">
      <w:pPr>
        <w:rPr>
          <w:lang w:val="it-IT"/>
        </w:rPr>
      </w:pPr>
      <w:r w:rsidRPr="003D3872">
        <w:rPr>
          <w:lang w:val="it-IT"/>
        </w:rPr>
        <w:br w:type="page"/>
      </w:r>
    </w:p>
    <w:p w14:paraId="3C434EE4" w14:textId="77777777" w:rsidR="000F1441" w:rsidRPr="00AD5E1E" w:rsidRDefault="00DF78DB">
      <w:pPr>
        <w:pStyle w:val="Proposal"/>
        <w:rPr>
          <w:lang w:val="es-ES_tradnl"/>
        </w:rPr>
      </w:pPr>
      <w:r w:rsidRPr="00AD5E1E">
        <w:rPr>
          <w:lang w:val="es-ES_tradnl"/>
        </w:rPr>
        <w:lastRenderedPageBreak/>
        <w:t>ADD</w:t>
      </w:r>
      <w:r w:rsidRPr="00AD5E1E">
        <w:rPr>
          <w:lang w:val="es-ES_tradnl"/>
        </w:rPr>
        <w:tab/>
        <w:t>ARB/36A31/1</w:t>
      </w:r>
    </w:p>
    <w:p w14:paraId="7D36483B" w14:textId="2E710277" w:rsidR="000F1441" w:rsidRPr="00AD5E1E" w:rsidRDefault="00DF78DB">
      <w:pPr>
        <w:pStyle w:val="ResNo"/>
        <w:rPr>
          <w:lang w:val="es-ES_tradnl"/>
        </w:rPr>
      </w:pPr>
      <w:r w:rsidRPr="00AD5E1E">
        <w:rPr>
          <w:lang w:val="es-ES_tradnl"/>
        </w:rPr>
        <w:t>PROYECTO DE NUEVA RESOLUCIÓN [ARB-OTTS]</w:t>
      </w:r>
      <w:r w:rsidR="00F10385">
        <w:rPr>
          <w:lang w:val="es-ES_tradnl"/>
        </w:rPr>
        <w:t xml:space="preserve"> </w:t>
      </w:r>
      <w:r w:rsidR="00F10385" w:rsidRPr="00F10385">
        <w:rPr>
          <w:lang w:val="es-ES_tradnl"/>
        </w:rPr>
        <w:t>(</w:t>
      </w:r>
      <w:r w:rsidR="00F10385" w:rsidRPr="00F10385">
        <w:rPr>
          <w:caps w:val="0"/>
          <w:lang w:val="es-ES_tradnl"/>
        </w:rPr>
        <w:t>Nueva Delhi</w:t>
      </w:r>
      <w:r w:rsidR="00F10385" w:rsidRPr="00F10385">
        <w:rPr>
          <w:lang w:val="es-ES_tradnl"/>
        </w:rPr>
        <w:t>, 2024)</w:t>
      </w:r>
    </w:p>
    <w:p w14:paraId="267E039C" w14:textId="779E5F8F" w:rsidR="000F1441" w:rsidRPr="008052A3" w:rsidRDefault="00AD5E1E" w:rsidP="008052A3">
      <w:pPr>
        <w:pStyle w:val="Restitle"/>
        <w:rPr>
          <w:lang w:val="es-ES"/>
        </w:rPr>
      </w:pPr>
      <w:r w:rsidRPr="008052A3">
        <w:rPr>
          <w:lang w:val="es-ES"/>
        </w:rPr>
        <w:t>Servicios superpuestos (OTT)</w:t>
      </w:r>
    </w:p>
    <w:p w14:paraId="55C60B30" w14:textId="3FE81250" w:rsidR="00AD5E1E" w:rsidRPr="00AD5E1E" w:rsidRDefault="00AD5E1E" w:rsidP="00AD5E1E">
      <w:pPr>
        <w:pStyle w:val="Resref"/>
        <w:rPr>
          <w:lang w:val="es-ES_tradnl"/>
        </w:rPr>
      </w:pPr>
      <w:r w:rsidRPr="00AD5E1E">
        <w:rPr>
          <w:lang w:val="es-ES_tradnl"/>
        </w:rPr>
        <w:t>(Nueva Delhi, 2024)</w:t>
      </w:r>
    </w:p>
    <w:p w14:paraId="7BB09DFA" w14:textId="4D038FAE" w:rsidR="00AD5E1E" w:rsidRPr="008052A3" w:rsidRDefault="00AD5E1E" w:rsidP="008052A3">
      <w:pPr>
        <w:pStyle w:val="Normalaftertitle"/>
        <w:rPr>
          <w:lang w:val="es-ES"/>
        </w:rPr>
      </w:pPr>
      <w:r w:rsidRPr="008052A3">
        <w:rPr>
          <w:lang w:val="es-ES"/>
        </w:rPr>
        <w:t>La Asamblea Mundial de Normalización de las Telecomunicaciones (Nueva Delhi, 2024),</w:t>
      </w:r>
    </w:p>
    <w:p w14:paraId="41A9789B" w14:textId="3DDB5F43" w:rsidR="00AD5E1E" w:rsidRPr="008052A3" w:rsidRDefault="00AD5E1E" w:rsidP="00AD5E1E">
      <w:pPr>
        <w:pStyle w:val="Call"/>
        <w:rPr>
          <w:lang w:val="es-ES"/>
        </w:rPr>
      </w:pPr>
      <w:r w:rsidRPr="008052A3">
        <w:rPr>
          <w:lang w:val="es-ES"/>
        </w:rPr>
        <w:t>recordando</w:t>
      </w:r>
    </w:p>
    <w:p w14:paraId="1D84A4A8" w14:textId="40F0140D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a)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Resolución</w:t>
      </w:r>
      <w:r w:rsidR="000A5905">
        <w:rPr>
          <w:lang w:val="es-ES"/>
        </w:rPr>
        <w:t> </w:t>
      </w:r>
      <w:r w:rsidRPr="008052A3">
        <w:rPr>
          <w:lang w:val="es-ES"/>
        </w:rPr>
        <w:t>206 (Dub</w:t>
      </w:r>
      <w:r w:rsidR="008A5B98" w:rsidRPr="008052A3">
        <w:rPr>
          <w:lang w:val="es-ES"/>
        </w:rPr>
        <w:t>á</w:t>
      </w:r>
      <w:r w:rsidRPr="008052A3">
        <w:rPr>
          <w:lang w:val="es-ES"/>
        </w:rPr>
        <w:t xml:space="preserve">i, 2018) </w:t>
      </w:r>
      <w:r w:rsidR="008A5B98" w:rsidRPr="008052A3">
        <w:rPr>
          <w:lang w:val="es-ES"/>
        </w:rPr>
        <w:t xml:space="preserve">de la Conferencia de Plenipotenciarios, </w:t>
      </w:r>
      <w:r w:rsidR="002F0A4D" w:rsidRPr="008052A3">
        <w:rPr>
          <w:lang w:val="es-ES"/>
        </w:rPr>
        <w:t>relativa a</w:t>
      </w:r>
      <w:r w:rsidR="008A5B98" w:rsidRPr="008052A3">
        <w:rPr>
          <w:lang w:val="es-ES"/>
        </w:rPr>
        <w:t xml:space="preserve"> los servicios superpuestos (</w:t>
      </w:r>
      <w:r w:rsidRPr="008052A3">
        <w:rPr>
          <w:lang w:val="es-ES"/>
        </w:rPr>
        <w:t>OTT</w:t>
      </w:r>
      <w:r w:rsidR="008A5B98" w:rsidRPr="008052A3">
        <w:rPr>
          <w:lang w:val="es-ES"/>
        </w:rPr>
        <w:t>)</w:t>
      </w:r>
      <w:r w:rsidRPr="008052A3">
        <w:rPr>
          <w:lang w:val="es-ES"/>
        </w:rPr>
        <w:t>;</w:t>
      </w:r>
    </w:p>
    <w:p w14:paraId="04AD8C6A" w14:textId="764357BF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b)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Resolución</w:t>
      </w:r>
      <w:r w:rsidR="000A5905">
        <w:rPr>
          <w:lang w:val="es-ES"/>
        </w:rPr>
        <w:t> </w:t>
      </w:r>
      <w:r w:rsidRPr="008052A3">
        <w:rPr>
          <w:lang w:val="es-ES"/>
        </w:rPr>
        <w:t xml:space="preserve">2 (Rev. </w:t>
      </w:r>
      <w:r w:rsidR="008A5B98" w:rsidRPr="008052A3">
        <w:rPr>
          <w:lang w:val="es-ES"/>
        </w:rPr>
        <w:t>Ginebra</w:t>
      </w:r>
      <w:r w:rsidRPr="008052A3">
        <w:rPr>
          <w:lang w:val="es-ES"/>
        </w:rPr>
        <w:t>, 2022)</w:t>
      </w:r>
      <w:r w:rsidR="002F0A4D" w:rsidRPr="008052A3">
        <w:rPr>
          <w:lang w:val="es-ES"/>
        </w:rPr>
        <w:t>, Responsabilidad y mandato de las Comisiones de Estudio del Sector,</w:t>
      </w:r>
      <w:r w:rsidRPr="008052A3">
        <w:rPr>
          <w:lang w:val="es-ES"/>
        </w:rPr>
        <w:t xml:space="preserve"> </w:t>
      </w:r>
      <w:r w:rsidR="008A5B98" w:rsidRPr="008052A3">
        <w:rPr>
          <w:lang w:val="es-ES"/>
        </w:rPr>
        <w:t>de esta Asamblea</w:t>
      </w:r>
      <w:r w:rsidRPr="008052A3">
        <w:rPr>
          <w:lang w:val="es-ES"/>
        </w:rPr>
        <w:t>;</w:t>
      </w:r>
    </w:p>
    <w:p w14:paraId="10F067A6" w14:textId="4A6166B9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c)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Resolución</w:t>
      </w:r>
      <w:r w:rsidR="000A5905">
        <w:rPr>
          <w:lang w:val="es-ES"/>
        </w:rPr>
        <w:t> </w:t>
      </w:r>
      <w:r w:rsidRPr="008052A3">
        <w:rPr>
          <w:lang w:val="es-ES"/>
        </w:rPr>
        <w:t xml:space="preserve">44 (Rev. </w:t>
      </w:r>
      <w:r w:rsidR="008A5B98" w:rsidRPr="008052A3">
        <w:rPr>
          <w:lang w:val="es-ES"/>
        </w:rPr>
        <w:t>Ginebra</w:t>
      </w:r>
      <w:r w:rsidRPr="008052A3">
        <w:rPr>
          <w:lang w:val="es-ES"/>
        </w:rPr>
        <w:t>,</w:t>
      </w:r>
      <w:r w:rsidR="000A5905">
        <w:rPr>
          <w:lang w:val="es-ES"/>
        </w:rPr>
        <w:t xml:space="preserve"> </w:t>
      </w:r>
      <w:r w:rsidRPr="008052A3">
        <w:rPr>
          <w:lang w:val="es-ES"/>
        </w:rPr>
        <w:t>2022)</w:t>
      </w:r>
      <w:r w:rsidR="002F0A4D" w:rsidRPr="008052A3">
        <w:rPr>
          <w:lang w:val="es-ES"/>
        </w:rPr>
        <w:t xml:space="preserve">, Reducción de la brecha de normalización entre los países en desarrollo y los desarrollados, </w:t>
      </w:r>
      <w:r w:rsidR="008A5B98" w:rsidRPr="008052A3">
        <w:rPr>
          <w:lang w:val="es-ES"/>
        </w:rPr>
        <w:t>de esta Asamblea</w:t>
      </w:r>
      <w:r w:rsidRPr="008052A3">
        <w:rPr>
          <w:lang w:val="es-ES"/>
        </w:rPr>
        <w:t>;</w:t>
      </w:r>
    </w:p>
    <w:p w14:paraId="71C4F410" w14:textId="317230C2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d)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Resolución</w:t>
      </w:r>
      <w:r w:rsidR="000A5905">
        <w:rPr>
          <w:lang w:val="es-ES"/>
        </w:rPr>
        <w:t> </w:t>
      </w:r>
      <w:r w:rsidRPr="008052A3">
        <w:rPr>
          <w:lang w:val="es-ES"/>
        </w:rPr>
        <w:t>68 (Rev. Hammamet, 2016)</w:t>
      </w:r>
      <w:r w:rsidR="002F0A4D" w:rsidRPr="008052A3">
        <w:rPr>
          <w:lang w:val="es-ES"/>
        </w:rPr>
        <w:t>,</w:t>
      </w:r>
      <w:r w:rsidRPr="008052A3">
        <w:rPr>
          <w:lang w:val="es-ES"/>
        </w:rPr>
        <w:t xml:space="preserve"> </w:t>
      </w:r>
      <w:r w:rsidR="002F0A4D" w:rsidRPr="008052A3">
        <w:rPr>
          <w:lang w:val="es-ES"/>
        </w:rPr>
        <w:t xml:space="preserve">Evolución del papel de la industria en el Sector de Normalización de las Telecomunicaciones de la UIT, </w:t>
      </w:r>
      <w:r w:rsidR="008A5B98" w:rsidRPr="008052A3">
        <w:rPr>
          <w:lang w:val="es-ES"/>
        </w:rPr>
        <w:t>de esta Asamblea</w:t>
      </w:r>
      <w:r w:rsidRPr="008052A3">
        <w:rPr>
          <w:lang w:val="es-ES"/>
        </w:rPr>
        <w:t>,</w:t>
      </w:r>
    </w:p>
    <w:p w14:paraId="2BD402D3" w14:textId="091E8DB1" w:rsidR="00AD5E1E" w:rsidRPr="008052A3" w:rsidRDefault="008A5B98" w:rsidP="00AD5E1E">
      <w:pPr>
        <w:pStyle w:val="Call"/>
        <w:rPr>
          <w:lang w:val="es-ES"/>
        </w:rPr>
      </w:pPr>
      <w:r w:rsidRPr="008052A3">
        <w:rPr>
          <w:lang w:val="es-ES"/>
        </w:rPr>
        <w:t>considerando</w:t>
      </w:r>
    </w:p>
    <w:p w14:paraId="7F7D199D" w14:textId="01F9D7D8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a)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necesidad de abordar los aspectos técnicos y operativos, de política, competencia</w:t>
      </w:r>
      <w:r w:rsidR="002F0A4D" w:rsidRPr="008052A3">
        <w:rPr>
          <w:lang w:val="es-ES"/>
        </w:rPr>
        <w:t xml:space="preserve"> e </w:t>
      </w:r>
      <w:r w:rsidR="008A5B98" w:rsidRPr="008052A3">
        <w:rPr>
          <w:lang w:val="es-ES"/>
        </w:rPr>
        <w:t xml:space="preserve">innovación y </w:t>
      </w:r>
      <w:r w:rsidR="002F0A4D" w:rsidRPr="008052A3">
        <w:rPr>
          <w:lang w:val="es-ES"/>
        </w:rPr>
        <w:t xml:space="preserve">las </w:t>
      </w:r>
      <w:r w:rsidR="008A5B98" w:rsidRPr="008052A3">
        <w:rPr>
          <w:lang w:val="es-ES"/>
        </w:rPr>
        <w:t>repercusiones económicas de los servicios OTT</w:t>
      </w:r>
      <w:r w:rsidRPr="008052A3">
        <w:rPr>
          <w:lang w:val="es-ES"/>
        </w:rPr>
        <w:t>;</w:t>
      </w:r>
    </w:p>
    <w:p w14:paraId="7D4C8861" w14:textId="32D3E257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b)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protección del consumidor y la privacidad de los datos en el sector de las telecomunicaciones/tecnologías de la información y la comunicación (TIC)</w:t>
      </w:r>
      <w:r w:rsidRPr="008052A3">
        <w:rPr>
          <w:lang w:val="es-ES"/>
        </w:rPr>
        <w:t>;</w:t>
      </w:r>
    </w:p>
    <w:p w14:paraId="7C18E440" w14:textId="4096820C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c)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incidencia de los servicios OTT en los mercados de las telecomunicaciones/TIC</w:t>
      </w:r>
      <w:r w:rsidRPr="008052A3">
        <w:rPr>
          <w:lang w:val="es-ES"/>
        </w:rPr>
        <w:t>;</w:t>
      </w:r>
    </w:p>
    <w:p w14:paraId="61F9648F" w14:textId="50BE0C67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d)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necesidad de promover un ecosistema digital seguro sin menoscabar la innovación</w:t>
      </w:r>
      <w:r w:rsidRPr="008052A3">
        <w:rPr>
          <w:lang w:val="es-ES"/>
        </w:rPr>
        <w:t>;</w:t>
      </w:r>
    </w:p>
    <w:p w14:paraId="37939EC9" w14:textId="2FDED68F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e)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la necesidad de contar con una definición y una taxonomía normalizadas de las OTT que se utilicen en toda la Unión</w:t>
      </w:r>
      <w:r w:rsidRPr="008052A3">
        <w:rPr>
          <w:lang w:val="es-ES"/>
        </w:rPr>
        <w:t>;</w:t>
      </w:r>
    </w:p>
    <w:p w14:paraId="353F60E2" w14:textId="56D3F6A3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f)</w:t>
      </w:r>
      <w:r w:rsidRPr="008052A3">
        <w:rPr>
          <w:lang w:val="es-ES"/>
        </w:rPr>
        <w:tab/>
      </w:r>
      <w:r w:rsidR="008A5B98" w:rsidRPr="008052A3">
        <w:rPr>
          <w:lang w:val="es-ES"/>
        </w:rPr>
        <w:t>el aumento del tráfico de datos derivado de la proliferación de los servicios OTT y la necesidad de desplegar infraestructura adicional</w:t>
      </w:r>
      <w:r w:rsidRPr="008052A3">
        <w:rPr>
          <w:lang w:val="es-ES"/>
        </w:rPr>
        <w:t>;</w:t>
      </w:r>
    </w:p>
    <w:p w14:paraId="5B748C1A" w14:textId="3E772FF9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g)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las ventajas de los servicios OTT para los consumidores, incluidas las personas con discapacidad y necesidades especiales</w:t>
      </w:r>
      <w:r w:rsidRPr="008052A3">
        <w:rPr>
          <w:lang w:val="es-ES"/>
        </w:rPr>
        <w:t>,</w:t>
      </w:r>
    </w:p>
    <w:p w14:paraId="212F9EA9" w14:textId="04E54D31" w:rsidR="00AD5E1E" w:rsidRPr="008052A3" w:rsidRDefault="00F06A56" w:rsidP="00AD5E1E">
      <w:pPr>
        <w:pStyle w:val="Call"/>
        <w:rPr>
          <w:lang w:val="es-ES"/>
        </w:rPr>
      </w:pPr>
      <w:r w:rsidRPr="008052A3">
        <w:rPr>
          <w:lang w:val="es-ES"/>
        </w:rPr>
        <w:t>reconociendo</w:t>
      </w:r>
    </w:p>
    <w:p w14:paraId="3AE66B5F" w14:textId="69310656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a)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los estudios del Sector de Desarrollo de las Telecomunicaciones de la UIT (UIT-D) y del Sector de Normalización de las Telecomunicaciones de la UIT (UIT-T) sobre las OTT, en particular las Comisiones de Estudio</w:t>
      </w:r>
      <w:r w:rsidR="000A5905">
        <w:rPr>
          <w:lang w:val="es-ES"/>
        </w:rPr>
        <w:t> </w:t>
      </w:r>
      <w:r w:rsidR="00F06A56" w:rsidRPr="008052A3">
        <w:rPr>
          <w:lang w:val="es-ES"/>
        </w:rPr>
        <w:t>3 y 17 del UIT-T y la Comisión de Estudio</w:t>
      </w:r>
      <w:r w:rsidR="000A5905">
        <w:rPr>
          <w:lang w:val="es-ES"/>
        </w:rPr>
        <w:t> </w:t>
      </w:r>
      <w:r w:rsidR="00F06A56" w:rsidRPr="008052A3">
        <w:rPr>
          <w:lang w:val="es-ES"/>
        </w:rPr>
        <w:t>1 del UIT-D</w:t>
      </w:r>
      <w:r w:rsidRPr="008052A3">
        <w:rPr>
          <w:lang w:val="es-ES"/>
        </w:rPr>
        <w:t>;</w:t>
      </w:r>
    </w:p>
    <w:p w14:paraId="34B1FB45" w14:textId="30468D06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b)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la amplia gama de servicios OTT y su creciente demanda, que repercuten considerablemente en la capacidad de las redes de telecomunicaciones</w:t>
      </w:r>
      <w:r w:rsidRPr="008052A3">
        <w:rPr>
          <w:lang w:val="es-ES"/>
        </w:rPr>
        <w:t>;</w:t>
      </w:r>
    </w:p>
    <w:p w14:paraId="2B016527" w14:textId="03F2B988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c)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el carácter internacional de los servicios OTT y el derecho de cada Estado a reglamentar su industria de telecomunicaciones/TIC</w:t>
      </w:r>
      <w:r w:rsidRPr="008052A3">
        <w:rPr>
          <w:lang w:val="es-ES"/>
        </w:rPr>
        <w:t>;</w:t>
      </w:r>
    </w:p>
    <w:p w14:paraId="6F924FE6" w14:textId="48A847B3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d)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los distintos criterios que aplican los Estados Miembros para abordar las cuestiones relacionadas con las OTT</w:t>
      </w:r>
      <w:r w:rsidRPr="008052A3">
        <w:rPr>
          <w:lang w:val="es-ES"/>
        </w:rPr>
        <w:t>;</w:t>
      </w:r>
    </w:p>
    <w:p w14:paraId="5B101660" w14:textId="6557A269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e)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la creciente importancia de los servicios OTT en el ecosistema digital y las numerosas ventajas que aportan, así como los retos que plantean</w:t>
      </w:r>
      <w:r w:rsidRPr="008052A3">
        <w:rPr>
          <w:lang w:val="es-ES"/>
        </w:rPr>
        <w:t>;</w:t>
      </w:r>
    </w:p>
    <w:p w14:paraId="13374967" w14:textId="663C98C1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lastRenderedPageBreak/>
        <w:t>f)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la importancia de la interoperabilidad entre los servicios OTT y los servicios de telecomunicaciones tradicionales para garantizar a los usuarios una plena conectividad</w:t>
      </w:r>
      <w:r w:rsidRPr="008052A3">
        <w:rPr>
          <w:lang w:val="es-ES"/>
        </w:rPr>
        <w:t>;</w:t>
      </w:r>
    </w:p>
    <w:p w14:paraId="4B07B6CE" w14:textId="6558553C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g)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la dependencia de los servicios OTT de una sólida infraestructura tradicional y los retos a los que se enfrentan los países en desarrollo debido al retraso en el desarrollo de infraestructuras</w:t>
      </w:r>
      <w:r w:rsidR="00F10385">
        <w:rPr>
          <w:lang w:val="es-ES"/>
        </w:rPr>
        <w:t> </w:t>
      </w:r>
      <w:r w:rsidR="00F06A56" w:rsidRPr="008052A3">
        <w:rPr>
          <w:lang w:val="es-ES"/>
        </w:rPr>
        <w:t>TIC</w:t>
      </w:r>
      <w:r w:rsidRPr="008052A3">
        <w:rPr>
          <w:lang w:val="es-ES"/>
        </w:rPr>
        <w:t>;</w:t>
      </w:r>
    </w:p>
    <w:p w14:paraId="01FCD422" w14:textId="3DB43AFF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h)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el elevado coste de la construcción de infraestructuras esenciales y la necesidad de modelos de financiación innovadores y sostenibles para garantizar el progreso, la accesibilidad y la inclusión</w:t>
      </w:r>
      <w:r w:rsidRPr="008052A3">
        <w:rPr>
          <w:lang w:val="es-ES"/>
        </w:rPr>
        <w:t>;</w:t>
      </w:r>
    </w:p>
    <w:p w14:paraId="5B62C0EA" w14:textId="6C38C5CE" w:rsidR="00AD5E1E" w:rsidRPr="008052A3" w:rsidRDefault="00AD5E1E" w:rsidP="00AD5E1E">
      <w:pPr>
        <w:rPr>
          <w:lang w:val="es-ES"/>
        </w:rPr>
      </w:pPr>
      <w:r w:rsidRPr="008052A3">
        <w:rPr>
          <w:i/>
          <w:iCs/>
          <w:lang w:val="es-ES"/>
        </w:rPr>
        <w:t>i)</w:t>
      </w:r>
      <w:r w:rsidRPr="008052A3">
        <w:rPr>
          <w:lang w:val="es-ES"/>
        </w:rPr>
        <w:tab/>
      </w:r>
      <w:r w:rsidR="00F06A56" w:rsidRPr="008052A3">
        <w:rPr>
          <w:lang w:val="es-ES"/>
        </w:rPr>
        <w:t>la contribución de los servicios OTT a la adopción generalizada de las TIC gracias a la creación de contenidos de interés local y la mayor utilización de la capacidad de la red</w:t>
      </w:r>
      <w:r w:rsidRPr="008052A3">
        <w:rPr>
          <w:lang w:val="es-ES"/>
        </w:rPr>
        <w:t>,</w:t>
      </w:r>
    </w:p>
    <w:p w14:paraId="220F2325" w14:textId="4B9CE968" w:rsidR="00F06A56" w:rsidRPr="008052A3" w:rsidRDefault="00F06A56" w:rsidP="00F06A56">
      <w:pPr>
        <w:pStyle w:val="Call"/>
        <w:rPr>
          <w:lang w:val="es-ES"/>
        </w:rPr>
      </w:pPr>
      <w:r w:rsidRPr="008052A3">
        <w:rPr>
          <w:lang w:val="es-ES"/>
        </w:rPr>
        <w:t xml:space="preserve">resuelven encargar a las Comisiones de Estudio 2, 3, 11, 12, 17 y </w:t>
      </w:r>
      <w:r w:rsidR="0056127B" w:rsidRPr="008052A3">
        <w:rPr>
          <w:lang w:val="es-ES"/>
        </w:rPr>
        <w:t xml:space="preserve">al Comité de Normalización del Vocabulario </w:t>
      </w:r>
      <w:r w:rsidRPr="008052A3">
        <w:rPr>
          <w:lang w:val="es-ES"/>
        </w:rPr>
        <w:t>del UIT-T, en el marco de su mandato</w:t>
      </w:r>
    </w:p>
    <w:p w14:paraId="04490518" w14:textId="28571D5E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1</w:t>
      </w:r>
      <w:r w:rsidRPr="008052A3">
        <w:rPr>
          <w:lang w:val="es-ES"/>
        </w:rPr>
        <w:tab/>
      </w:r>
      <w:r w:rsidR="0056127B" w:rsidRPr="008052A3">
        <w:rPr>
          <w:lang w:val="es-ES"/>
        </w:rPr>
        <w:t>que promuevan estudios sobre las actividades de normalización relacionadas con los servicios OTT, en particular sobre los aspectos operativos y técnicos, políticos, económicos, de competencia, de calidad de servicio (QoS) y de innovación de los servicios OTT</w:t>
      </w:r>
      <w:r w:rsidRPr="008052A3">
        <w:rPr>
          <w:lang w:val="es-ES"/>
        </w:rPr>
        <w:t>;</w:t>
      </w:r>
    </w:p>
    <w:p w14:paraId="00550AC4" w14:textId="2775FE1B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2</w:t>
      </w:r>
      <w:r w:rsidRPr="008052A3">
        <w:rPr>
          <w:lang w:val="es-ES"/>
        </w:rPr>
        <w:tab/>
      </w:r>
      <w:r w:rsidR="0056127B" w:rsidRPr="008052A3">
        <w:rPr>
          <w:lang w:val="es-ES"/>
        </w:rPr>
        <w:t>que preparen Recomendaciones, informes técnicos y directrices pertinentes del UIT-T sobre aspectos de l</w:t>
      </w:r>
      <w:r w:rsidR="001F6A83" w:rsidRPr="008052A3">
        <w:rPr>
          <w:lang w:val="es-ES"/>
        </w:rPr>
        <w:t>o</w:t>
      </w:r>
      <w:r w:rsidR="0056127B" w:rsidRPr="008052A3">
        <w:rPr>
          <w:lang w:val="es-ES"/>
        </w:rPr>
        <w:t>s OTT relacionados con la protección del consumidor, la privacidad de los datos, la innovación y la competencia</w:t>
      </w:r>
      <w:r w:rsidRPr="008052A3">
        <w:rPr>
          <w:lang w:val="es-ES"/>
        </w:rPr>
        <w:t>;</w:t>
      </w:r>
    </w:p>
    <w:p w14:paraId="598AB8A6" w14:textId="08CADE2E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3</w:t>
      </w:r>
      <w:r w:rsidRPr="008052A3">
        <w:rPr>
          <w:lang w:val="es-ES"/>
        </w:rPr>
        <w:tab/>
      </w:r>
      <w:r w:rsidR="0056127B" w:rsidRPr="008052A3">
        <w:rPr>
          <w:lang w:val="es-ES"/>
        </w:rPr>
        <w:t>que sigan estudiando las repercusiones de los servicios OTT en las redes y servicios de comunicación tradicionales, y que elabore</w:t>
      </w:r>
      <w:r w:rsidR="00F10385">
        <w:rPr>
          <w:lang w:val="es-ES"/>
        </w:rPr>
        <w:t>n</w:t>
      </w:r>
      <w:r w:rsidR="0056127B" w:rsidRPr="008052A3">
        <w:rPr>
          <w:lang w:val="es-ES"/>
        </w:rPr>
        <w:t xml:space="preserve"> políticas que propicien la coexistencia y la interoperabilidad de los servicios OTT y los servicios de comunicación tradicionales</w:t>
      </w:r>
      <w:r w:rsidRPr="008052A3">
        <w:rPr>
          <w:lang w:val="es-ES"/>
        </w:rPr>
        <w:t>;</w:t>
      </w:r>
    </w:p>
    <w:p w14:paraId="39DAA208" w14:textId="2874A3C1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4</w:t>
      </w:r>
      <w:r w:rsidRPr="008052A3">
        <w:rPr>
          <w:lang w:val="es-ES"/>
        </w:rPr>
        <w:tab/>
      </w:r>
      <w:r w:rsidR="0056127B" w:rsidRPr="008052A3">
        <w:rPr>
          <w:lang w:val="es-ES"/>
        </w:rPr>
        <w:t>que sigan estudiando la colaboración entre los proveedores de servicios de telecomunicaciones y los proveedores de OTT</w:t>
      </w:r>
      <w:r w:rsidRPr="008052A3">
        <w:rPr>
          <w:lang w:val="es-ES"/>
        </w:rPr>
        <w:t>;</w:t>
      </w:r>
    </w:p>
    <w:p w14:paraId="1386DA16" w14:textId="5DB30542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5</w:t>
      </w:r>
      <w:r w:rsidRPr="008052A3">
        <w:rPr>
          <w:lang w:val="es-ES"/>
        </w:rPr>
        <w:tab/>
      </w:r>
      <w:r w:rsidR="007A0220" w:rsidRPr="008052A3">
        <w:rPr>
          <w:lang w:val="es-ES"/>
        </w:rPr>
        <w:t>que elaboren marcos de privacidad y seguridad de los datos que estén en consonancia con las prácticas idóneas internacionales, garanticen la protección de la información del usuario y la confianza en los servicios OTT, y a su vez reconozcan y respeten la soberanía y los marcos reglamentarios de cada Estado</w:t>
      </w:r>
      <w:r w:rsidRPr="008052A3">
        <w:rPr>
          <w:lang w:val="es-ES"/>
        </w:rPr>
        <w:t>;</w:t>
      </w:r>
    </w:p>
    <w:p w14:paraId="376934EA" w14:textId="09A8710E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6</w:t>
      </w:r>
      <w:r w:rsidRPr="008052A3">
        <w:rPr>
          <w:lang w:val="es-ES"/>
        </w:rPr>
        <w:tab/>
      </w:r>
      <w:r w:rsidR="007A0220" w:rsidRPr="008052A3">
        <w:rPr>
          <w:lang w:val="es-ES"/>
        </w:rPr>
        <w:t>que elaboren una definición y una taxonomía consensuadas de l</w:t>
      </w:r>
      <w:r w:rsidR="001F6A83" w:rsidRPr="008052A3">
        <w:rPr>
          <w:lang w:val="es-ES"/>
        </w:rPr>
        <w:t>o</w:t>
      </w:r>
      <w:r w:rsidR="007A0220" w:rsidRPr="008052A3">
        <w:rPr>
          <w:lang w:val="es-ES"/>
        </w:rPr>
        <w:t>s OTT para utilizarlas en toda la Unión</w:t>
      </w:r>
      <w:r w:rsidRPr="008052A3">
        <w:rPr>
          <w:lang w:val="es-ES"/>
        </w:rPr>
        <w:t>,</w:t>
      </w:r>
    </w:p>
    <w:p w14:paraId="5A1FD451" w14:textId="0ABC0C9E" w:rsidR="00AD5E1E" w:rsidRPr="008052A3" w:rsidRDefault="007A0220" w:rsidP="00AD5E1E">
      <w:pPr>
        <w:pStyle w:val="Call"/>
        <w:rPr>
          <w:lang w:val="es-ES"/>
        </w:rPr>
      </w:pPr>
      <w:r w:rsidRPr="008052A3">
        <w:rPr>
          <w:lang w:val="es-ES"/>
        </w:rPr>
        <w:t>encarga al Director de la Oficina de Normalización de las Telecomunicaciones</w:t>
      </w:r>
    </w:p>
    <w:p w14:paraId="12210311" w14:textId="33849A59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1</w:t>
      </w:r>
      <w:r w:rsidRPr="008052A3">
        <w:rPr>
          <w:lang w:val="es-ES"/>
        </w:rPr>
        <w:tab/>
      </w:r>
      <w:r w:rsidR="007A0220" w:rsidRPr="008052A3">
        <w:rPr>
          <w:lang w:val="es-ES"/>
        </w:rPr>
        <w:t>que siga adelante con los programas de capacitación sobre OTT, especialmente para los países en desarrollo</w:t>
      </w:r>
      <w:r w:rsidRPr="008052A3">
        <w:rPr>
          <w:lang w:val="es-ES"/>
        </w:rPr>
        <w:t>;</w:t>
      </w:r>
    </w:p>
    <w:p w14:paraId="177F5C46" w14:textId="3F03CCC5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2</w:t>
      </w:r>
      <w:r w:rsidRPr="008052A3">
        <w:rPr>
          <w:lang w:val="es-ES"/>
        </w:rPr>
        <w:tab/>
      </w:r>
      <w:r w:rsidR="00EC04C6" w:rsidRPr="008052A3">
        <w:rPr>
          <w:lang w:val="es-ES"/>
        </w:rPr>
        <w:t>que fomente la adopción de normas y protocolos técnicos comunes que mejoren la interoperabilidad entre los OTT y las redes de telecomunicaciones tradicionales</w:t>
      </w:r>
      <w:r w:rsidRPr="008052A3">
        <w:rPr>
          <w:lang w:val="es-ES"/>
        </w:rPr>
        <w:t>;</w:t>
      </w:r>
    </w:p>
    <w:p w14:paraId="0C03ACA5" w14:textId="70DE8459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3</w:t>
      </w:r>
      <w:r w:rsidRPr="008052A3">
        <w:rPr>
          <w:lang w:val="es-ES"/>
        </w:rPr>
        <w:tab/>
      </w:r>
      <w:r w:rsidR="00EC04C6" w:rsidRPr="008052A3">
        <w:rPr>
          <w:lang w:val="es-ES"/>
        </w:rPr>
        <w:t>que aliente la participación de los proveedores de servicios de telecomunicaciones tradicionales y los proveedores de servicios OTT en los trabajos del UIT-T para desarrollar soluciones interoperables que mejoren la experiencia del usuario y promuevan una plena conectividad</w:t>
      </w:r>
      <w:r w:rsidRPr="008052A3">
        <w:rPr>
          <w:lang w:val="es-ES"/>
        </w:rPr>
        <w:t>;</w:t>
      </w:r>
    </w:p>
    <w:p w14:paraId="0402E6CC" w14:textId="47BB2AD0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4</w:t>
      </w:r>
      <w:r w:rsidRPr="008052A3">
        <w:rPr>
          <w:lang w:val="es-ES"/>
        </w:rPr>
        <w:tab/>
      </w:r>
      <w:r w:rsidR="00EC04C6" w:rsidRPr="008052A3">
        <w:rPr>
          <w:lang w:val="es-ES"/>
        </w:rPr>
        <w:t>que promueva actividades de investigación y desarrollo que impulsen la innovación en los servicios OTT y exploren nuevas oportunidades de colaboración y asociación entre diversos proveedores de servicios</w:t>
      </w:r>
      <w:r w:rsidRPr="008052A3">
        <w:rPr>
          <w:lang w:val="es-ES"/>
        </w:rPr>
        <w:t>;</w:t>
      </w:r>
    </w:p>
    <w:p w14:paraId="7E5CE411" w14:textId="4FECF8CC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5</w:t>
      </w:r>
      <w:r w:rsidRPr="008052A3">
        <w:rPr>
          <w:lang w:val="es-ES"/>
        </w:rPr>
        <w:tab/>
      </w:r>
      <w:r w:rsidR="006335E5" w:rsidRPr="008052A3">
        <w:rPr>
          <w:lang w:val="es-ES"/>
        </w:rPr>
        <w:t>que vele por la colaboración entre los responsables políticos, las partes interesadas de la industria y los defensores del consumidor para abordar cuestiones relacionadas con la calidad del servicio (QoS), la seguridad, la protección del consumidor, la privacidad de los datos y los aspectos reglamentarios de los servicios OTT</w:t>
      </w:r>
      <w:r w:rsidRPr="008052A3">
        <w:rPr>
          <w:lang w:val="es-ES"/>
        </w:rPr>
        <w:t>;</w:t>
      </w:r>
    </w:p>
    <w:p w14:paraId="4CA656B6" w14:textId="029F08A7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lastRenderedPageBreak/>
        <w:t>6</w:t>
      </w:r>
      <w:r w:rsidRPr="008052A3">
        <w:rPr>
          <w:lang w:val="es-ES"/>
        </w:rPr>
        <w:tab/>
      </w:r>
      <w:r w:rsidR="00107594" w:rsidRPr="008052A3">
        <w:rPr>
          <w:lang w:val="es-ES"/>
        </w:rPr>
        <w:t>que preste el apoyo necesario a las Comisiones de Estudio pertinentes para la aplicación de la presente Resolución</w:t>
      </w:r>
      <w:r w:rsidRPr="008052A3">
        <w:rPr>
          <w:lang w:val="es-ES"/>
        </w:rPr>
        <w:t>;</w:t>
      </w:r>
    </w:p>
    <w:p w14:paraId="24596BBF" w14:textId="2795AEE3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7</w:t>
      </w:r>
      <w:r w:rsidRPr="008052A3">
        <w:rPr>
          <w:lang w:val="es-ES"/>
        </w:rPr>
        <w:tab/>
      </w:r>
      <w:r w:rsidR="00107594" w:rsidRPr="008052A3">
        <w:rPr>
          <w:lang w:val="es-ES"/>
        </w:rPr>
        <w:t>que supervise y haga un seguimiento continuo de la evolución del ecosistema OTT y dé orientaciones sobre prácticas idóneas, normas técnicas y valores de referencia de la industria para propiciar el crecimiento sostenible, la innovación y la plena interoperabilidad de los servicios OTT, garantizando una experiencia de usuario de alta calidad</w:t>
      </w:r>
      <w:r w:rsidRPr="008052A3">
        <w:rPr>
          <w:lang w:val="es-ES"/>
        </w:rPr>
        <w:t>;</w:t>
      </w:r>
    </w:p>
    <w:p w14:paraId="158739E2" w14:textId="404D5172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8</w:t>
      </w:r>
      <w:r w:rsidRPr="008052A3">
        <w:rPr>
          <w:lang w:val="es-ES"/>
        </w:rPr>
        <w:tab/>
      </w:r>
      <w:r w:rsidR="00107594" w:rsidRPr="008052A3">
        <w:rPr>
          <w:lang w:val="es-ES"/>
        </w:rPr>
        <w:t>que fomente y supervise el desarrollo de normas mundiales para los servicios OTT, centrándose en la interoperabilidad, la seguridad robusta, la calidad del servicio (QoS) y en facilitar una experiencia de usuario impecable en diferentes plataformas, dispositivos y redes</w:t>
      </w:r>
      <w:r w:rsidRPr="008052A3">
        <w:rPr>
          <w:lang w:val="es-ES"/>
        </w:rPr>
        <w:t>;</w:t>
      </w:r>
    </w:p>
    <w:p w14:paraId="7FC44F1E" w14:textId="28C30F4D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9</w:t>
      </w:r>
      <w:r w:rsidRPr="008052A3">
        <w:rPr>
          <w:lang w:val="es-ES"/>
        </w:rPr>
        <w:tab/>
      </w:r>
      <w:r w:rsidR="00107594" w:rsidRPr="008052A3">
        <w:rPr>
          <w:lang w:val="es-ES"/>
        </w:rPr>
        <w:t>que organice talleres que reúnan a todas las partes interesadas del ecosistema OTT con el fin de facilitar la colaboración, el intercambio de conocimientos y la consideración de los intereses de las partes interesadas, así como identificar y proponer soluciones innovadoras que respondan, en la medida de lo posible, a sus necesidades e intereses</w:t>
      </w:r>
      <w:r w:rsidRPr="008052A3">
        <w:rPr>
          <w:lang w:val="es-ES"/>
        </w:rPr>
        <w:t>;</w:t>
      </w:r>
    </w:p>
    <w:p w14:paraId="291C1EB2" w14:textId="7E3721D6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10</w:t>
      </w:r>
      <w:r w:rsidRPr="008052A3">
        <w:rPr>
          <w:lang w:val="es-ES"/>
        </w:rPr>
        <w:tab/>
      </w:r>
      <w:r w:rsidR="00107594" w:rsidRPr="008052A3">
        <w:rPr>
          <w:lang w:val="es-ES"/>
        </w:rPr>
        <w:t>que supervis</w:t>
      </w:r>
      <w:r w:rsidR="002F0A4D" w:rsidRPr="008052A3">
        <w:rPr>
          <w:lang w:val="es-ES"/>
        </w:rPr>
        <w:t>e</w:t>
      </w:r>
      <w:r w:rsidR="00107594" w:rsidRPr="008052A3">
        <w:rPr>
          <w:lang w:val="es-ES"/>
        </w:rPr>
        <w:t xml:space="preserve"> la aplicación de los resultados o recomendaciones de los talleres e informar al GANT sobre los progresos realizados en la aplicación de dichas recomendaciones</w:t>
      </w:r>
      <w:r w:rsidRPr="008052A3">
        <w:rPr>
          <w:lang w:val="es-ES"/>
        </w:rPr>
        <w:t>,</w:t>
      </w:r>
    </w:p>
    <w:p w14:paraId="36D2629D" w14:textId="5F9F9575" w:rsidR="00AD5E1E" w:rsidRPr="008052A3" w:rsidRDefault="002F0A4D" w:rsidP="008052A3">
      <w:pPr>
        <w:pStyle w:val="Call"/>
        <w:rPr>
          <w:lang w:val="es-ES"/>
        </w:rPr>
      </w:pPr>
      <w:r w:rsidRPr="008052A3">
        <w:rPr>
          <w:lang w:val="es-ES"/>
        </w:rPr>
        <w:t>invita a los Estados Miembros y a los Miembros de Sector de la UIT</w:t>
      </w:r>
    </w:p>
    <w:p w14:paraId="401DF39B" w14:textId="37DDA3F2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1</w:t>
      </w:r>
      <w:r w:rsidRPr="008052A3">
        <w:rPr>
          <w:lang w:val="es-ES"/>
        </w:rPr>
        <w:tab/>
      </w:r>
      <w:r w:rsidR="002F0A4D" w:rsidRPr="008052A3">
        <w:rPr>
          <w:lang w:val="es-ES"/>
        </w:rPr>
        <w:t>a participar y contribuir a la aplicación de esta Resolución</w:t>
      </w:r>
      <w:r w:rsidRPr="008052A3">
        <w:rPr>
          <w:lang w:val="es-ES"/>
        </w:rPr>
        <w:t>;</w:t>
      </w:r>
    </w:p>
    <w:p w14:paraId="58176197" w14:textId="449E313D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2</w:t>
      </w:r>
      <w:r w:rsidRPr="008052A3">
        <w:rPr>
          <w:lang w:val="es-ES"/>
        </w:rPr>
        <w:tab/>
      </w:r>
      <w:r w:rsidR="002F0A4D" w:rsidRPr="008052A3">
        <w:rPr>
          <w:lang w:val="es-ES"/>
        </w:rPr>
        <w:t>a compartir su experiencia con los servicios OTT en sus países durante las reuniones de las Comisiones de Estudio y los talleres del UIT-T</w:t>
      </w:r>
      <w:r w:rsidRPr="008052A3">
        <w:rPr>
          <w:lang w:val="es-ES"/>
        </w:rPr>
        <w:t>;</w:t>
      </w:r>
    </w:p>
    <w:p w14:paraId="1407C75C" w14:textId="08793C63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3</w:t>
      </w:r>
      <w:r w:rsidRPr="008052A3">
        <w:rPr>
          <w:lang w:val="es-ES"/>
        </w:rPr>
        <w:tab/>
      </w:r>
      <w:r w:rsidR="002F0A4D" w:rsidRPr="008052A3">
        <w:rPr>
          <w:lang w:val="es-ES"/>
        </w:rPr>
        <w:t>a adoptar políticas que fomenten la competencia entre los proveedores de servicios</w:t>
      </w:r>
      <w:r w:rsidR="000A5905">
        <w:rPr>
          <w:lang w:val="es-ES"/>
        </w:rPr>
        <w:t> </w:t>
      </w:r>
      <w:r w:rsidR="002F0A4D" w:rsidRPr="008052A3">
        <w:rPr>
          <w:lang w:val="es-ES"/>
        </w:rPr>
        <w:t>OTT</w:t>
      </w:r>
      <w:r w:rsidRPr="008052A3">
        <w:rPr>
          <w:lang w:val="es-ES"/>
        </w:rPr>
        <w:t>;</w:t>
      </w:r>
    </w:p>
    <w:p w14:paraId="0977BE4F" w14:textId="190617A8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4</w:t>
      </w:r>
      <w:r w:rsidRPr="008052A3">
        <w:rPr>
          <w:lang w:val="es-ES"/>
        </w:rPr>
        <w:tab/>
      </w:r>
      <w:r w:rsidR="002F0A4D" w:rsidRPr="008052A3">
        <w:rPr>
          <w:lang w:val="es-ES"/>
        </w:rPr>
        <w:t>a apoyar iniciativas que garanticen la inclusión, la transparencia y las prácticas no discriminatorias en la prestación de servicios OTT, promoviendo así la igualdad de condiciones para todas las partes interesadas</w:t>
      </w:r>
      <w:r w:rsidRPr="008052A3">
        <w:rPr>
          <w:lang w:val="es-ES"/>
        </w:rPr>
        <w:t>;</w:t>
      </w:r>
    </w:p>
    <w:p w14:paraId="51CCA4C8" w14:textId="61B9A123" w:rsidR="00AD5E1E" w:rsidRPr="008052A3" w:rsidRDefault="00AD5E1E" w:rsidP="00AD5E1E">
      <w:pPr>
        <w:rPr>
          <w:lang w:val="es-ES"/>
        </w:rPr>
      </w:pPr>
      <w:r w:rsidRPr="008052A3">
        <w:rPr>
          <w:lang w:val="es-ES"/>
        </w:rPr>
        <w:t>5</w:t>
      </w:r>
      <w:r w:rsidRPr="008052A3">
        <w:rPr>
          <w:lang w:val="es-ES"/>
        </w:rPr>
        <w:tab/>
      </w:r>
      <w:r w:rsidR="002F0A4D" w:rsidRPr="008052A3">
        <w:rPr>
          <w:lang w:val="es-ES"/>
        </w:rPr>
        <w:t>a reducir las diferencias entre los proveedores de OTT y los operadores de telecomunicaciones para así garantizar una experiencia más homogénea y fácil de utilizar para los consumidores</w:t>
      </w:r>
      <w:r w:rsidR="000A5905">
        <w:rPr>
          <w:lang w:val="es-ES"/>
        </w:rPr>
        <w:t>.</w:t>
      </w:r>
    </w:p>
    <w:p w14:paraId="73EBF9E4" w14:textId="77777777" w:rsidR="002C55F3" w:rsidRPr="008052A3" w:rsidRDefault="002C55F3" w:rsidP="00411C49">
      <w:pPr>
        <w:pStyle w:val="Reasons"/>
        <w:rPr>
          <w:lang w:val="es-ES"/>
        </w:rPr>
      </w:pPr>
    </w:p>
    <w:p w14:paraId="3EDE9A90" w14:textId="77777777" w:rsidR="002C55F3" w:rsidRDefault="002C55F3">
      <w:pPr>
        <w:jc w:val="center"/>
      </w:pPr>
      <w:r>
        <w:t>______________</w:t>
      </w:r>
    </w:p>
    <w:sectPr w:rsidR="002C55F3" w:rsidSect="00291A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F23" w14:textId="77777777" w:rsidR="00DE3273" w:rsidRDefault="00DE3273">
      <w:r>
        <w:separator/>
      </w:r>
    </w:p>
  </w:endnote>
  <w:endnote w:type="continuationSeparator" w:id="0">
    <w:p w14:paraId="2EF818DF" w14:textId="77777777" w:rsidR="00DE3273" w:rsidRDefault="00DE3273">
      <w:r>
        <w:continuationSeparator/>
      </w:r>
    </w:p>
  </w:endnote>
  <w:endnote w:type="continuationNotice" w:id="1">
    <w:p w14:paraId="47051D81" w14:textId="77777777" w:rsidR="00DE3273" w:rsidRDefault="00DE327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111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CDE9D75" w14:textId="2A6C507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6203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D25E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02C4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0CC3" w14:textId="77777777" w:rsidR="00DE3273" w:rsidRDefault="00DE3273">
      <w:r>
        <w:rPr>
          <w:b/>
        </w:rPr>
        <w:t>_______________</w:t>
      </w:r>
    </w:p>
  </w:footnote>
  <w:footnote w:type="continuationSeparator" w:id="0">
    <w:p w14:paraId="703B3D48" w14:textId="77777777" w:rsidR="00DE3273" w:rsidRDefault="00DE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AB69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3133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WTSA-24/36(Add.31)-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7E3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12472441">
    <w:abstractNumId w:val="8"/>
  </w:num>
  <w:num w:numId="2" w16cid:durableId="12224465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02196953">
    <w:abstractNumId w:val="9"/>
  </w:num>
  <w:num w:numId="4" w16cid:durableId="579171348">
    <w:abstractNumId w:val="7"/>
  </w:num>
  <w:num w:numId="5" w16cid:durableId="1816487316">
    <w:abstractNumId w:val="6"/>
  </w:num>
  <w:num w:numId="6" w16cid:durableId="683897337">
    <w:abstractNumId w:val="5"/>
  </w:num>
  <w:num w:numId="7" w16cid:durableId="1582985228">
    <w:abstractNumId w:val="4"/>
  </w:num>
  <w:num w:numId="8" w16cid:durableId="2093817008">
    <w:abstractNumId w:val="3"/>
  </w:num>
  <w:num w:numId="9" w16cid:durableId="2054425849">
    <w:abstractNumId w:val="2"/>
  </w:num>
  <w:num w:numId="10" w16cid:durableId="974867997">
    <w:abstractNumId w:val="1"/>
  </w:num>
  <w:num w:numId="11" w16cid:durableId="922446590">
    <w:abstractNumId w:val="0"/>
  </w:num>
  <w:num w:numId="12" w16cid:durableId="1031229844">
    <w:abstractNumId w:val="12"/>
  </w:num>
  <w:num w:numId="13" w16cid:durableId="14086454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16D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A5905"/>
    <w:rsid w:val="000D0578"/>
    <w:rsid w:val="000D708A"/>
    <w:rsid w:val="000F1441"/>
    <w:rsid w:val="000F57C3"/>
    <w:rsid w:val="000F73FF"/>
    <w:rsid w:val="001043FF"/>
    <w:rsid w:val="001059D5"/>
    <w:rsid w:val="00107594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1F6A8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6203"/>
    <w:rsid w:val="002B7C64"/>
    <w:rsid w:val="002C55F3"/>
    <w:rsid w:val="002C6531"/>
    <w:rsid w:val="002D151C"/>
    <w:rsid w:val="002D58BE"/>
    <w:rsid w:val="002E3AEE"/>
    <w:rsid w:val="002E561F"/>
    <w:rsid w:val="002F0A4D"/>
    <w:rsid w:val="002F2D0C"/>
    <w:rsid w:val="002F554E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D3872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3AA8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127B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335E5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A0220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052A3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A5B98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5E1E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3273"/>
    <w:rsid w:val="00DE5692"/>
    <w:rsid w:val="00DE70B3"/>
    <w:rsid w:val="00DF3E19"/>
    <w:rsid w:val="00DF6908"/>
    <w:rsid w:val="00DF700D"/>
    <w:rsid w:val="00DF78DB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04C6"/>
    <w:rsid w:val="00EC34AB"/>
    <w:rsid w:val="00EC7F04"/>
    <w:rsid w:val="00ED30BC"/>
    <w:rsid w:val="00F00DDC"/>
    <w:rsid w:val="00F01223"/>
    <w:rsid w:val="00F02766"/>
    <w:rsid w:val="00F05BD4"/>
    <w:rsid w:val="00F06A56"/>
    <w:rsid w:val="00F10385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7BCF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e6b9f1f-0078-46ea-bdf2-bb9867a79d23" targetNamespace="http://schemas.microsoft.com/office/2006/metadata/properties" ma:root="true" ma:fieldsID="d41af5c836d734370eb92e7ee5f83852" ns2:_="" ns3:_="">
    <xsd:import namespace="996b2e75-67fd-4955-a3b0-5ab9934cb50b"/>
    <xsd:import namespace="6e6b9f1f-0078-46ea-bdf2-bb9867a79d2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b9f1f-0078-46ea-bdf2-bb9867a79d2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e6b9f1f-0078-46ea-bdf2-bb9867a79d23">DPM</DPM_x0020_Author>
    <DPM_x0020_File_x0020_name xmlns="6e6b9f1f-0078-46ea-bdf2-bb9867a79d23">T22-WTSA.24-C-0036!A31!MSW-S</DPM_x0020_File_x0020_name>
    <DPM_x0020_Version xmlns="6e6b9f1f-0078-46ea-bdf2-bb9867a79d23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e6b9f1f-0078-46ea-bdf2-bb9867a7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e6b9f1f-0078-46ea-bdf2-bb9867a79d23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1329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T22-WTSA.24-C-0036!A31!MSW-S</vt:lpstr>
    </vt:vector>
  </TitlesOfParts>
  <Manager>General Secretariat - Pool</Manager>
  <Company>International Telecommunication Union (ITU)</Company>
  <LinksUpToDate>false</LinksUpToDate>
  <CharactersWithSpaces>8737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T22-WTSA.24-C-0036!A31!MSW-S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Spanish83</cp:lastModifiedBy>
  <cp:revision>7</cp:revision>
  <cp:lastPrinted>2016-06-06T07:49:00Z</cp:lastPrinted>
  <dcterms:created xsi:type="dcterms:W3CDTF">2024-10-07T06:22:00Z</dcterms:created>
  <dcterms:modified xsi:type="dcterms:W3CDTF">2024-10-07T07:42:00Z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