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6557BB" w14:paraId="2CEFC912" w14:textId="77777777" w:rsidTr="008E0616">
        <w:trPr>
          <w:cantSplit/>
          <w:trHeight w:val="1132"/>
        </w:trPr>
        <w:tc>
          <w:tcPr>
            <w:tcW w:w="1290" w:type="dxa"/>
            <w:vAlign w:val="center"/>
          </w:tcPr>
          <w:p w14:paraId="1893CC43" w14:textId="77777777" w:rsidR="00D2023F" w:rsidRPr="006557BB" w:rsidRDefault="0018215C" w:rsidP="00EB5053">
            <w:pPr>
              <w:rPr>
                <w:lang w:val="es-ES"/>
              </w:rPr>
            </w:pPr>
            <w:r w:rsidRPr="006557BB">
              <w:rPr>
                <w:noProof/>
                <w:lang w:val="es-ES" w:eastAsia="es-ES"/>
              </w:rPr>
              <w:drawing>
                <wp:inline distT="0" distB="0" distL="0" distR="0" wp14:anchorId="41CF861C" wp14:editId="5158B05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90FD58B" w14:textId="77777777" w:rsidR="00E610A4" w:rsidRPr="006557BB" w:rsidRDefault="00E610A4" w:rsidP="00E610A4">
            <w:pPr>
              <w:rPr>
                <w:rFonts w:ascii="Verdana" w:hAnsi="Verdana" w:cs="Times New Roman Bold"/>
                <w:b/>
                <w:bCs/>
                <w:szCs w:val="24"/>
                <w:lang w:val="es-ES"/>
              </w:rPr>
            </w:pPr>
            <w:r w:rsidRPr="006557BB">
              <w:rPr>
                <w:rFonts w:ascii="Verdana" w:hAnsi="Verdana" w:cs="Times New Roman Bold"/>
                <w:b/>
                <w:bCs/>
                <w:szCs w:val="24"/>
                <w:lang w:val="es-ES"/>
              </w:rPr>
              <w:t>Asamblea Mundial de Normalización de las Telecomunicaciones (AMNT-24)</w:t>
            </w:r>
          </w:p>
          <w:p w14:paraId="6F801FF7" w14:textId="77777777" w:rsidR="00D2023F" w:rsidRPr="006557BB" w:rsidRDefault="00E610A4" w:rsidP="00E610A4">
            <w:pPr>
              <w:pStyle w:val="TopHeader"/>
              <w:spacing w:before="0"/>
              <w:rPr>
                <w:lang w:val="es-ES"/>
              </w:rPr>
            </w:pPr>
            <w:r w:rsidRPr="006557BB">
              <w:rPr>
                <w:sz w:val="18"/>
                <w:szCs w:val="18"/>
                <w:lang w:val="es-ES"/>
              </w:rPr>
              <w:t>Nueva Delhi, 15-24 de octubre de 2024</w:t>
            </w:r>
          </w:p>
        </w:tc>
        <w:tc>
          <w:tcPr>
            <w:tcW w:w="1306" w:type="dxa"/>
            <w:tcBorders>
              <w:left w:val="nil"/>
            </w:tcBorders>
            <w:vAlign w:val="center"/>
          </w:tcPr>
          <w:p w14:paraId="21574B48" w14:textId="77777777" w:rsidR="00D2023F" w:rsidRPr="006557BB" w:rsidRDefault="00D2023F" w:rsidP="00C30155">
            <w:pPr>
              <w:spacing w:before="0"/>
              <w:rPr>
                <w:lang w:val="es-ES"/>
              </w:rPr>
            </w:pPr>
            <w:r w:rsidRPr="006557BB">
              <w:rPr>
                <w:noProof/>
                <w:lang w:val="es-ES" w:eastAsia="es-ES"/>
              </w:rPr>
              <w:drawing>
                <wp:inline distT="0" distB="0" distL="0" distR="0" wp14:anchorId="52720772" wp14:editId="7B94745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557BB" w14:paraId="04D9EBEC" w14:textId="77777777" w:rsidTr="008E0616">
        <w:trPr>
          <w:cantSplit/>
        </w:trPr>
        <w:tc>
          <w:tcPr>
            <w:tcW w:w="9811" w:type="dxa"/>
            <w:gridSpan w:val="4"/>
            <w:tcBorders>
              <w:bottom w:val="single" w:sz="12" w:space="0" w:color="auto"/>
            </w:tcBorders>
          </w:tcPr>
          <w:p w14:paraId="06018F0F" w14:textId="77777777" w:rsidR="00D2023F" w:rsidRPr="006557BB" w:rsidRDefault="00D2023F" w:rsidP="00C30155">
            <w:pPr>
              <w:spacing w:before="0"/>
              <w:rPr>
                <w:lang w:val="es-ES"/>
              </w:rPr>
            </w:pPr>
          </w:p>
        </w:tc>
      </w:tr>
      <w:tr w:rsidR="00931298" w:rsidRPr="006557BB" w14:paraId="503FF173" w14:textId="77777777" w:rsidTr="008E0616">
        <w:trPr>
          <w:cantSplit/>
        </w:trPr>
        <w:tc>
          <w:tcPr>
            <w:tcW w:w="6237" w:type="dxa"/>
            <w:gridSpan w:val="2"/>
            <w:tcBorders>
              <w:top w:val="single" w:sz="12" w:space="0" w:color="auto"/>
            </w:tcBorders>
          </w:tcPr>
          <w:p w14:paraId="373C7C6D" w14:textId="77777777" w:rsidR="00931298" w:rsidRPr="006557BB" w:rsidRDefault="00931298" w:rsidP="00EB5053">
            <w:pPr>
              <w:spacing w:before="0"/>
              <w:rPr>
                <w:sz w:val="20"/>
                <w:lang w:val="es-ES"/>
              </w:rPr>
            </w:pPr>
          </w:p>
        </w:tc>
        <w:tc>
          <w:tcPr>
            <w:tcW w:w="3574" w:type="dxa"/>
            <w:gridSpan w:val="2"/>
          </w:tcPr>
          <w:p w14:paraId="267E2436" w14:textId="77777777" w:rsidR="00931298" w:rsidRPr="006557BB" w:rsidRDefault="00931298" w:rsidP="00EB5053">
            <w:pPr>
              <w:spacing w:before="0"/>
              <w:rPr>
                <w:sz w:val="20"/>
                <w:lang w:val="es-ES"/>
              </w:rPr>
            </w:pPr>
          </w:p>
        </w:tc>
      </w:tr>
      <w:tr w:rsidR="00752D4D" w:rsidRPr="006557BB" w14:paraId="768818BE" w14:textId="77777777" w:rsidTr="008E0616">
        <w:trPr>
          <w:cantSplit/>
        </w:trPr>
        <w:tc>
          <w:tcPr>
            <w:tcW w:w="6237" w:type="dxa"/>
            <w:gridSpan w:val="2"/>
          </w:tcPr>
          <w:p w14:paraId="401EADB5" w14:textId="77777777" w:rsidR="00752D4D" w:rsidRPr="006557BB" w:rsidRDefault="006C136E" w:rsidP="00C30155">
            <w:pPr>
              <w:pStyle w:val="Committee"/>
              <w:rPr>
                <w:lang w:val="es-ES"/>
              </w:rPr>
            </w:pPr>
            <w:r w:rsidRPr="006557BB">
              <w:rPr>
                <w:lang w:val="es-ES"/>
              </w:rPr>
              <w:t>SESIÓN PLENARIA</w:t>
            </w:r>
          </w:p>
        </w:tc>
        <w:tc>
          <w:tcPr>
            <w:tcW w:w="3574" w:type="dxa"/>
            <w:gridSpan w:val="2"/>
          </w:tcPr>
          <w:p w14:paraId="73FAC5ED" w14:textId="77777777" w:rsidR="00752D4D" w:rsidRPr="006557BB" w:rsidRDefault="006C136E" w:rsidP="00A52D1A">
            <w:pPr>
              <w:pStyle w:val="Docnumber"/>
              <w:rPr>
                <w:lang w:val="es-ES"/>
              </w:rPr>
            </w:pPr>
            <w:proofErr w:type="spellStart"/>
            <w:r w:rsidRPr="006557BB">
              <w:rPr>
                <w:lang w:val="es-ES"/>
              </w:rPr>
              <w:t>Addéndum</w:t>
            </w:r>
            <w:proofErr w:type="spellEnd"/>
            <w:r w:rsidRPr="006557BB">
              <w:rPr>
                <w:lang w:val="es-ES"/>
              </w:rPr>
              <w:t xml:space="preserve"> 29 al</w:t>
            </w:r>
            <w:r w:rsidRPr="006557BB">
              <w:rPr>
                <w:lang w:val="es-ES"/>
              </w:rPr>
              <w:br/>
              <w:t>Documento 36</w:t>
            </w:r>
            <w:r w:rsidR="00D34410" w:rsidRPr="006557BB">
              <w:rPr>
                <w:lang w:val="es-ES"/>
              </w:rPr>
              <w:t>-S</w:t>
            </w:r>
          </w:p>
        </w:tc>
      </w:tr>
      <w:tr w:rsidR="00931298" w:rsidRPr="006557BB" w14:paraId="27F08132" w14:textId="77777777" w:rsidTr="008E0616">
        <w:trPr>
          <w:cantSplit/>
        </w:trPr>
        <w:tc>
          <w:tcPr>
            <w:tcW w:w="6237" w:type="dxa"/>
            <w:gridSpan w:val="2"/>
          </w:tcPr>
          <w:p w14:paraId="5E2A36C5" w14:textId="77777777" w:rsidR="00931298" w:rsidRPr="006557BB" w:rsidRDefault="00931298" w:rsidP="00C30155">
            <w:pPr>
              <w:spacing w:before="0"/>
              <w:rPr>
                <w:sz w:val="20"/>
                <w:lang w:val="es-ES"/>
              </w:rPr>
            </w:pPr>
          </w:p>
        </w:tc>
        <w:tc>
          <w:tcPr>
            <w:tcW w:w="3574" w:type="dxa"/>
            <w:gridSpan w:val="2"/>
          </w:tcPr>
          <w:p w14:paraId="14840640" w14:textId="77777777" w:rsidR="00931298" w:rsidRPr="006557BB" w:rsidRDefault="006C136E" w:rsidP="00C30155">
            <w:pPr>
              <w:pStyle w:val="TopHeader"/>
              <w:spacing w:before="0"/>
              <w:rPr>
                <w:sz w:val="20"/>
                <w:szCs w:val="20"/>
                <w:lang w:val="es-ES"/>
              </w:rPr>
            </w:pPr>
            <w:r w:rsidRPr="006557BB">
              <w:rPr>
                <w:sz w:val="20"/>
                <w:szCs w:val="16"/>
                <w:lang w:val="es-ES"/>
              </w:rPr>
              <w:t>23 de septiembre de 2024</w:t>
            </w:r>
          </w:p>
        </w:tc>
      </w:tr>
      <w:tr w:rsidR="00931298" w:rsidRPr="006557BB" w14:paraId="2A2E4E26" w14:textId="77777777" w:rsidTr="008E0616">
        <w:trPr>
          <w:cantSplit/>
        </w:trPr>
        <w:tc>
          <w:tcPr>
            <w:tcW w:w="6237" w:type="dxa"/>
            <w:gridSpan w:val="2"/>
          </w:tcPr>
          <w:p w14:paraId="50991AA1" w14:textId="77777777" w:rsidR="00931298" w:rsidRPr="006557BB" w:rsidRDefault="00931298" w:rsidP="00C30155">
            <w:pPr>
              <w:spacing w:before="0"/>
              <w:rPr>
                <w:sz w:val="20"/>
                <w:lang w:val="es-ES"/>
              </w:rPr>
            </w:pPr>
          </w:p>
        </w:tc>
        <w:tc>
          <w:tcPr>
            <w:tcW w:w="3574" w:type="dxa"/>
            <w:gridSpan w:val="2"/>
          </w:tcPr>
          <w:p w14:paraId="1C9F668F" w14:textId="77777777" w:rsidR="00931298" w:rsidRPr="006557BB" w:rsidRDefault="006C136E" w:rsidP="00C30155">
            <w:pPr>
              <w:pStyle w:val="TopHeader"/>
              <w:spacing w:before="0"/>
              <w:rPr>
                <w:sz w:val="20"/>
                <w:szCs w:val="20"/>
                <w:lang w:val="es-ES"/>
              </w:rPr>
            </w:pPr>
            <w:r w:rsidRPr="006557BB">
              <w:rPr>
                <w:sz w:val="20"/>
                <w:szCs w:val="16"/>
                <w:lang w:val="es-ES"/>
              </w:rPr>
              <w:t>Original: inglés</w:t>
            </w:r>
          </w:p>
        </w:tc>
      </w:tr>
      <w:tr w:rsidR="00931298" w:rsidRPr="006557BB" w14:paraId="2D33D9A1" w14:textId="77777777" w:rsidTr="008E0616">
        <w:trPr>
          <w:cantSplit/>
        </w:trPr>
        <w:tc>
          <w:tcPr>
            <w:tcW w:w="9811" w:type="dxa"/>
            <w:gridSpan w:val="4"/>
          </w:tcPr>
          <w:p w14:paraId="4D78C53F" w14:textId="77777777" w:rsidR="00931298" w:rsidRPr="006557BB" w:rsidRDefault="00931298" w:rsidP="00EB5053">
            <w:pPr>
              <w:spacing w:before="0"/>
              <w:rPr>
                <w:sz w:val="20"/>
                <w:lang w:val="es-ES"/>
              </w:rPr>
            </w:pPr>
          </w:p>
        </w:tc>
      </w:tr>
      <w:tr w:rsidR="00931298" w:rsidRPr="006F0407" w14:paraId="1ED6CEFA" w14:textId="77777777" w:rsidTr="008E0616">
        <w:trPr>
          <w:cantSplit/>
        </w:trPr>
        <w:tc>
          <w:tcPr>
            <w:tcW w:w="9811" w:type="dxa"/>
            <w:gridSpan w:val="4"/>
          </w:tcPr>
          <w:p w14:paraId="3930C3DD" w14:textId="77777777" w:rsidR="00931298" w:rsidRPr="006557BB" w:rsidRDefault="006C136E" w:rsidP="00C30155">
            <w:pPr>
              <w:pStyle w:val="Source"/>
              <w:rPr>
                <w:lang w:val="es-ES"/>
              </w:rPr>
            </w:pPr>
            <w:r w:rsidRPr="006557BB">
              <w:rPr>
                <w:lang w:val="es-ES"/>
              </w:rPr>
              <w:t>Administraciones de los Estados Árabes</w:t>
            </w:r>
          </w:p>
        </w:tc>
      </w:tr>
      <w:tr w:rsidR="00931298" w:rsidRPr="006F0407" w14:paraId="6FBAF937" w14:textId="77777777" w:rsidTr="008E0616">
        <w:trPr>
          <w:cantSplit/>
        </w:trPr>
        <w:tc>
          <w:tcPr>
            <w:tcW w:w="9811" w:type="dxa"/>
            <w:gridSpan w:val="4"/>
          </w:tcPr>
          <w:p w14:paraId="31CF108F" w14:textId="70FBFFBC" w:rsidR="00931298" w:rsidRPr="006557BB" w:rsidRDefault="006557BB" w:rsidP="006557BB">
            <w:pPr>
              <w:pStyle w:val="Title1"/>
              <w:rPr>
                <w:lang w:val="es-ES"/>
              </w:rPr>
            </w:pPr>
            <w:r w:rsidRPr="006557BB">
              <w:rPr>
                <w:lang w:val="es-ES"/>
              </w:rPr>
              <w:t>PROYECTO DE NUEVA RESOLUCIÓN</w:t>
            </w:r>
            <w:r w:rsidR="006C136E" w:rsidRPr="006557BB">
              <w:rPr>
                <w:lang w:val="es-ES"/>
              </w:rPr>
              <w:t xml:space="preserve"> [ARB-SDT] </w:t>
            </w:r>
            <w:r w:rsidR="006F0407" w:rsidRPr="006F0407">
              <w:rPr>
                <w:lang w:val="es-ES"/>
              </w:rPr>
              <w:t>–</w:t>
            </w:r>
            <w:r w:rsidR="006C136E" w:rsidRPr="006557BB">
              <w:rPr>
                <w:lang w:val="es-ES"/>
              </w:rPr>
              <w:t xml:space="preserve"> </w:t>
            </w:r>
            <w:r w:rsidRPr="006557BB">
              <w:rPr>
                <w:lang w:val="es-ES"/>
              </w:rPr>
              <w:t>Fortalecimiento de las actividades de normalización sobre transformación digital sostenible</w:t>
            </w:r>
          </w:p>
        </w:tc>
      </w:tr>
      <w:tr w:rsidR="00657CDA" w:rsidRPr="006F0407" w14:paraId="21C7993D" w14:textId="77777777" w:rsidTr="008E0616">
        <w:trPr>
          <w:cantSplit/>
          <w:trHeight w:hRule="exact" w:val="240"/>
        </w:trPr>
        <w:tc>
          <w:tcPr>
            <w:tcW w:w="9811" w:type="dxa"/>
            <w:gridSpan w:val="4"/>
          </w:tcPr>
          <w:p w14:paraId="72F7A6D1" w14:textId="77777777" w:rsidR="00657CDA" w:rsidRPr="006557BB" w:rsidRDefault="00657CDA" w:rsidP="006C136E">
            <w:pPr>
              <w:pStyle w:val="Title2"/>
              <w:spacing w:before="0"/>
              <w:rPr>
                <w:lang w:val="es-ES"/>
              </w:rPr>
            </w:pPr>
          </w:p>
        </w:tc>
      </w:tr>
      <w:tr w:rsidR="00657CDA" w:rsidRPr="006F0407" w14:paraId="391D75B7" w14:textId="77777777" w:rsidTr="008E0616">
        <w:trPr>
          <w:cantSplit/>
          <w:trHeight w:hRule="exact" w:val="240"/>
        </w:trPr>
        <w:tc>
          <w:tcPr>
            <w:tcW w:w="9811" w:type="dxa"/>
            <w:gridSpan w:val="4"/>
          </w:tcPr>
          <w:p w14:paraId="014E6FA3" w14:textId="77777777" w:rsidR="00657CDA" w:rsidRPr="006557BB" w:rsidRDefault="00657CDA" w:rsidP="00293F9A">
            <w:pPr>
              <w:pStyle w:val="Agendaitem"/>
              <w:spacing w:before="0"/>
              <w:rPr>
                <w:lang w:val="es-ES"/>
              </w:rPr>
            </w:pPr>
          </w:p>
        </w:tc>
      </w:tr>
    </w:tbl>
    <w:p w14:paraId="3A39BB7C" w14:textId="77777777" w:rsidR="00931298" w:rsidRPr="006557BB" w:rsidRDefault="00931298" w:rsidP="00931298">
      <w:pPr>
        <w:rPr>
          <w:lang w:val="es-ES"/>
        </w:rPr>
      </w:pPr>
    </w:p>
    <w:tbl>
      <w:tblPr>
        <w:tblW w:w="5000" w:type="pct"/>
        <w:tblLayout w:type="fixed"/>
        <w:tblLook w:val="0000" w:firstRow="0" w:lastRow="0" w:firstColumn="0" w:lastColumn="0" w:noHBand="0" w:noVBand="0"/>
      </w:tblPr>
      <w:tblGrid>
        <w:gridCol w:w="1887"/>
        <w:gridCol w:w="4043"/>
        <w:gridCol w:w="3709"/>
      </w:tblGrid>
      <w:tr w:rsidR="00931298" w:rsidRPr="006F0407" w14:paraId="1C97F970" w14:textId="77777777" w:rsidTr="006F0407">
        <w:trPr>
          <w:cantSplit/>
        </w:trPr>
        <w:tc>
          <w:tcPr>
            <w:tcW w:w="1927" w:type="dxa"/>
          </w:tcPr>
          <w:p w14:paraId="53DA465C" w14:textId="77777777" w:rsidR="00931298" w:rsidRPr="006557BB" w:rsidRDefault="00E610A4" w:rsidP="00C30155">
            <w:pPr>
              <w:rPr>
                <w:lang w:val="es-ES"/>
              </w:rPr>
            </w:pPr>
            <w:r w:rsidRPr="006557BB">
              <w:rPr>
                <w:b/>
                <w:bCs/>
                <w:lang w:val="es-ES"/>
              </w:rPr>
              <w:t>Resumen:</w:t>
            </w:r>
          </w:p>
        </w:tc>
        <w:tc>
          <w:tcPr>
            <w:tcW w:w="7928" w:type="dxa"/>
            <w:gridSpan w:val="2"/>
          </w:tcPr>
          <w:p w14:paraId="77CA07BE" w14:textId="2A059D67" w:rsidR="00931298" w:rsidRPr="006557BB" w:rsidRDefault="006557BB" w:rsidP="006F0407">
            <w:pPr>
              <w:pStyle w:val="Abstract"/>
            </w:pPr>
            <w:r w:rsidRPr="006557BB">
              <w:t>Esta contribución propone una nueva Resolución de la AMNT relativa al fortalecimiento de las actividades de normalización sobre transformación digital sostenible.</w:t>
            </w:r>
          </w:p>
        </w:tc>
      </w:tr>
      <w:tr w:rsidR="00931298" w:rsidRPr="006F0407" w14:paraId="7F36431D" w14:textId="77777777" w:rsidTr="006F0407">
        <w:trPr>
          <w:cantSplit/>
        </w:trPr>
        <w:tc>
          <w:tcPr>
            <w:tcW w:w="1927" w:type="dxa"/>
          </w:tcPr>
          <w:p w14:paraId="0D490972" w14:textId="77777777" w:rsidR="00931298" w:rsidRPr="006557BB" w:rsidRDefault="00E610A4" w:rsidP="00C30155">
            <w:pPr>
              <w:rPr>
                <w:b/>
                <w:bCs/>
                <w:szCs w:val="24"/>
                <w:lang w:val="es-ES"/>
              </w:rPr>
            </w:pPr>
            <w:r w:rsidRPr="006557BB">
              <w:rPr>
                <w:b/>
                <w:bCs/>
                <w:lang w:val="es-ES"/>
              </w:rPr>
              <w:t>Contacto:</w:t>
            </w:r>
          </w:p>
        </w:tc>
        <w:tc>
          <w:tcPr>
            <w:tcW w:w="4135" w:type="dxa"/>
          </w:tcPr>
          <w:p w14:paraId="45FC0007" w14:textId="71A433A1" w:rsidR="00FE5494" w:rsidRPr="006557BB" w:rsidRDefault="006557BB" w:rsidP="006557BB">
            <w:pPr>
              <w:rPr>
                <w:lang w:val="es-ES"/>
              </w:rPr>
            </w:pPr>
            <w:proofErr w:type="spellStart"/>
            <w:r w:rsidRPr="006557BB">
              <w:rPr>
                <w:lang w:val="es-ES"/>
              </w:rPr>
              <w:t>Basma</w:t>
            </w:r>
            <w:proofErr w:type="spellEnd"/>
            <w:r w:rsidRPr="006557BB">
              <w:rPr>
                <w:lang w:val="es-ES"/>
              </w:rPr>
              <w:t xml:space="preserve"> Tawfik</w:t>
            </w:r>
            <w:r w:rsidRPr="006557BB">
              <w:rPr>
                <w:lang w:val="es-ES"/>
              </w:rPr>
              <w:br/>
              <w:t>Autoridad Nacional de Reglamentación de las Telecomunicaciones</w:t>
            </w:r>
            <w:r w:rsidRPr="006557BB">
              <w:rPr>
                <w:lang w:val="es-ES"/>
              </w:rPr>
              <w:br/>
              <w:t>Egipto</w:t>
            </w:r>
          </w:p>
        </w:tc>
        <w:tc>
          <w:tcPr>
            <w:tcW w:w="3793" w:type="dxa"/>
          </w:tcPr>
          <w:p w14:paraId="6F99ED6C" w14:textId="4577006B" w:rsidR="00931298" w:rsidRPr="006557BB" w:rsidRDefault="006557BB" w:rsidP="00E6117A">
            <w:pPr>
              <w:rPr>
                <w:color w:val="0000FF" w:themeColor="hyperlink"/>
                <w:u w:val="single"/>
                <w:lang w:val="es-ES"/>
              </w:rPr>
            </w:pPr>
            <w:r w:rsidRPr="006557BB">
              <w:rPr>
                <w:lang w:val="es-ES"/>
              </w:rPr>
              <w:t>Correo-e:</w:t>
            </w:r>
            <w:r w:rsidRPr="006557BB">
              <w:rPr>
                <w:lang w:val="es-ES"/>
              </w:rPr>
              <w:tab/>
            </w:r>
            <w:hyperlink r:id="rId14" w:history="1">
              <w:r w:rsidR="006F0407" w:rsidRPr="00FB6113">
                <w:rPr>
                  <w:rStyle w:val="Hyperlink"/>
                  <w:lang w:val="es-ES"/>
                </w:rPr>
                <w:t>basmaa@tra.gov.eg</w:t>
              </w:r>
            </w:hyperlink>
            <w:r w:rsidR="006F0407">
              <w:rPr>
                <w:u w:val="single"/>
                <w:lang w:val="es-ES"/>
              </w:rPr>
              <w:t xml:space="preserve"> </w:t>
            </w:r>
          </w:p>
        </w:tc>
      </w:tr>
    </w:tbl>
    <w:p w14:paraId="70F6BEA6" w14:textId="77777777" w:rsidR="00931298" w:rsidRPr="006557BB" w:rsidRDefault="009F4801" w:rsidP="006F0407">
      <w:pPr>
        <w:rPr>
          <w:lang w:val="es-ES"/>
        </w:rPr>
      </w:pPr>
      <w:r w:rsidRPr="006557BB">
        <w:rPr>
          <w:lang w:val="es-ES"/>
        </w:rPr>
        <w:br w:type="page"/>
      </w:r>
    </w:p>
    <w:p w14:paraId="44FCC743" w14:textId="77777777" w:rsidR="00FD27B7" w:rsidRPr="006557BB" w:rsidRDefault="00075590">
      <w:pPr>
        <w:pStyle w:val="Proposal"/>
        <w:rPr>
          <w:lang w:val="es-ES"/>
        </w:rPr>
      </w:pPr>
      <w:r w:rsidRPr="006557BB">
        <w:rPr>
          <w:lang w:val="es-ES"/>
        </w:rPr>
        <w:lastRenderedPageBreak/>
        <w:t>ADD</w:t>
      </w:r>
      <w:r w:rsidRPr="006557BB">
        <w:rPr>
          <w:lang w:val="es-ES"/>
        </w:rPr>
        <w:tab/>
        <w:t>ARB/36A29/1</w:t>
      </w:r>
    </w:p>
    <w:p w14:paraId="1AE4C648" w14:textId="34F24983" w:rsidR="00FD27B7" w:rsidRPr="006F0407" w:rsidRDefault="00075590" w:rsidP="006F0407">
      <w:pPr>
        <w:pStyle w:val="ResNo"/>
        <w:rPr>
          <w:lang w:val="es-ES"/>
        </w:rPr>
      </w:pPr>
      <w:r w:rsidRPr="006557BB">
        <w:rPr>
          <w:lang w:val="es-ES"/>
        </w:rPr>
        <w:t>PROYECTO DE NUEVA RESOLUCIÓN [ARB-SDT]</w:t>
      </w:r>
      <w:r w:rsidR="006F0407">
        <w:rPr>
          <w:lang w:val="es-ES"/>
        </w:rPr>
        <w:t xml:space="preserve"> </w:t>
      </w:r>
      <w:r w:rsidR="006557BB" w:rsidRPr="006557BB">
        <w:rPr>
          <w:lang w:val="es-ES"/>
        </w:rPr>
        <w:t>(</w:t>
      </w:r>
      <w:r w:rsidR="006F0407" w:rsidRPr="006F0407">
        <w:rPr>
          <w:rFonts w:hAnsi="Times New Roman Bold"/>
          <w:caps w:val="0"/>
          <w:lang w:val="es-ES"/>
        </w:rPr>
        <w:t>Nueva Delhi</w:t>
      </w:r>
      <w:r w:rsidR="006557BB" w:rsidRPr="006557BB">
        <w:rPr>
          <w:lang w:val="es-ES"/>
        </w:rPr>
        <w:t>, 2024)</w:t>
      </w:r>
    </w:p>
    <w:p w14:paraId="674EDBE4" w14:textId="6BF3F091" w:rsidR="006557BB" w:rsidRPr="006557BB" w:rsidRDefault="006557BB" w:rsidP="006557BB">
      <w:pPr>
        <w:pStyle w:val="Reptitle"/>
        <w:rPr>
          <w:lang w:val="es-ES"/>
        </w:rPr>
      </w:pPr>
      <w:r w:rsidRPr="006557BB">
        <w:rPr>
          <w:bCs/>
          <w:lang w:val="es-ES"/>
        </w:rPr>
        <w:t xml:space="preserve">Fortalecimiento de las actividades de normalización sobre </w:t>
      </w:r>
      <w:r w:rsidR="006F0407">
        <w:rPr>
          <w:bCs/>
          <w:lang w:val="es-ES"/>
        </w:rPr>
        <w:br/>
      </w:r>
      <w:r w:rsidRPr="006557BB">
        <w:rPr>
          <w:bCs/>
          <w:lang w:val="es-ES"/>
        </w:rPr>
        <w:t>transformación digital sostenible</w:t>
      </w:r>
    </w:p>
    <w:p w14:paraId="3373CA5E" w14:textId="77777777" w:rsidR="006557BB" w:rsidRPr="006557BB" w:rsidRDefault="006557BB" w:rsidP="006557BB">
      <w:pPr>
        <w:pStyle w:val="Resref"/>
        <w:rPr>
          <w:lang w:val="es-ES"/>
        </w:rPr>
      </w:pPr>
      <w:r w:rsidRPr="006557BB">
        <w:rPr>
          <w:iCs/>
          <w:lang w:val="es-ES"/>
        </w:rPr>
        <w:t>(Nueva Delhi, 2024)</w:t>
      </w:r>
    </w:p>
    <w:p w14:paraId="08312EBD" w14:textId="77777777" w:rsidR="006557BB" w:rsidRPr="006557BB" w:rsidRDefault="006557BB" w:rsidP="006557BB">
      <w:pPr>
        <w:pStyle w:val="Normalaftertitle"/>
        <w:rPr>
          <w:rFonts w:eastAsia="Calibri-Light"/>
          <w:lang w:val="es-ES"/>
        </w:rPr>
      </w:pPr>
      <w:r w:rsidRPr="006557BB">
        <w:rPr>
          <w:lang w:val="es-ES"/>
        </w:rPr>
        <w:t>La Asamblea Mundial de Normalización de las Telecomunicaciones (Nueva Delhi, 2024),</w:t>
      </w:r>
    </w:p>
    <w:p w14:paraId="1D98F199" w14:textId="77777777" w:rsidR="006557BB" w:rsidRPr="006557BB" w:rsidRDefault="006557BB" w:rsidP="006557BB">
      <w:pPr>
        <w:pStyle w:val="Call"/>
        <w:rPr>
          <w:lang w:val="es-ES"/>
        </w:rPr>
      </w:pPr>
      <w:r w:rsidRPr="006557BB">
        <w:rPr>
          <w:iCs/>
          <w:lang w:val="es-ES"/>
        </w:rPr>
        <w:t>recordando</w:t>
      </w:r>
    </w:p>
    <w:p w14:paraId="3A63DF08" w14:textId="77777777" w:rsidR="006557BB" w:rsidRPr="006557BB" w:rsidRDefault="006557BB" w:rsidP="006557BB">
      <w:pPr>
        <w:rPr>
          <w:rFonts w:eastAsia="Calibri-Light"/>
          <w:lang w:val="es-ES"/>
        </w:rPr>
      </w:pPr>
      <w:r w:rsidRPr="006557BB">
        <w:rPr>
          <w:lang w:val="es-ES"/>
        </w:rPr>
        <w:t>que en el Plan Estratégico de la UIT para 2024-2027, aprobado en la Resolución 71 (Rev. Bucarest, 2022) de la Conferencia de Plenipotenciarios, se establece que la transformación digital sostenible es una meta estratégica de la Unión para facilitar el progreso hacia la aplicación de las Líneas de Acción de la Cumbre Mundial sobre la Sociedad de la Información (CMSI) y la Agenda 2030 para el Desarrollo Sostenible,</w:t>
      </w:r>
    </w:p>
    <w:p w14:paraId="784CF8BF" w14:textId="77777777" w:rsidR="006557BB" w:rsidRPr="006557BB" w:rsidRDefault="006557BB" w:rsidP="006557BB">
      <w:pPr>
        <w:pStyle w:val="Call"/>
        <w:rPr>
          <w:rFonts w:eastAsia="Calibri-Light"/>
          <w:lang w:val="es-ES"/>
        </w:rPr>
      </w:pPr>
      <w:r w:rsidRPr="006557BB">
        <w:rPr>
          <w:iCs/>
          <w:lang w:val="es-ES"/>
        </w:rPr>
        <w:t>reconociendo</w:t>
      </w:r>
      <w:r w:rsidRPr="006557BB">
        <w:rPr>
          <w:lang w:val="es-ES"/>
        </w:rPr>
        <w:t xml:space="preserve"> </w:t>
      </w:r>
    </w:p>
    <w:p w14:paraId="7765A1F6" w14:textId="77777777" w:rsidR="006557BB" w:rsidRPr="006557BB" w:rsidRDefault="006557BB" w:rsidP="006557BB">
      <w:pPr>
        <w:rPr>
          <w:rFonts w:eastAsia="Calibri-Light"/>
          <w:lang w:val="es-ES"/>
        </w:rPr>
      </w:pPr>
      <w:r w:rsidRPr="006557BB">
        <w:rPr>
          <w:i/>
          <w:iCs/>
          <w:lang w:val="es-ES"/>
        </w:rPr>
        <w:t>a)</w:t>
      </w:r>
      <w:r w:rsidRPr="006557BB">
        <w:rPr>
          <w:lang w:val="es-ES"/>
        </w:rPr>
        <w:tab/>
        <w:t>la Resolución 44 (Rev. Ginebra, 2022) de la presente Asamblea, sobre la reducción de la brecha de normalización entre los países en desarrollo y desarrollados;</w:t>
      </w:r>
    </w:p>
    <w:p w14:paraId="45D965B0" w14:textId="77777777" w:rsidR="006557BB" w:rsidRPr="006557BB" w:rsidRDefault="006557BB" w:rsidP="006557BB">
      <w:pPr>
        <w:rPr>
          <w:rFonts w:eastAsia="Calibri-Light"/>
          <w:lang w:val="es-ES"/>
        </w:rPr>
      </w:pPr>
      <w:r w:rsidRPr="006557BB">
        <w:rPr>
          <w:i/>
          <w:iCs/>
          <w:lang w:val="es-ES"/>
        </w:rPr>
        <w:t>b)</w:t>
      </w:r>
      <w:r w:rsidRPr="006557BB">
        <w:rPr>
          <w:lang w:val="es-ES"/>
        </w:rPr>
        <w:tab/>
        <w:t>la Resolución 89 (Kigali, 2022) de la Conferencia Mundial de Desarrollo de las Telecomunicaciones (CMDT) sobre la transformación digital para el desarrollo sostenible,</w:t>
      </w:r>
    </w:p>
    <w:p w14:paraId="7F522CBE" w14:textId="77777777" w:rsidR="006557BB" w:rsidRPr="006557BB" w:rsidRDefault="006557BB" w:rsidP="006557BB">
      <w:pPr>
        <w:pStyle w:val="Call"/>
        <w:rPr>
          <w:lang w:val="es-ES"/>
        </w:rPr>
      </w:pPr>
      <w:r w:rsidRPr="006557BB">
        <w:rPr>
          <w:iCs/>
          <w:lang w:val="es-ES"/>
        </w:rPr>
        <w:t>considerando</w:t>
      </w:r>
    </w:p>
    <w:p w14:paraId="17596107" w14:textId="77777777" w:rsidR="006557BB" w:rsidRPr="006557BB" w:rsidRDefault="006557BB" w:rsidP="006557BB">
      <w:pPr>
        <w:rPr>
          <w:rFonts w:eastAsia="Calibri-Light"/>
          <w:lang w:val="es-ES"/>
        </w:rPr>
      </w:pPr>
      <w:r w:rsidRPr="006557BB">
        <w:rPr>
          <w:i/>
          <w:iCs/>
          <w:lang w:val="es-ES"/>
        </w:rPr>
        <w:t>a)</w:t>
      </w:r>
      <w:r w:rsidRPr="006557BB">
        <w:rPr>
          <w:lang w:val="es-ES"/>
        </w:rPr>
        <w:tab/>
        <w:t>que la transformación digital basada en el uso de las tecnologías clave incipientes que posibilitan la prestación de nuevos servicios y aplicaciones y promueven la sociedad de la información es el motor principal del progreso hacia el desarrollo sostenible, lo que deberá tenerse en cuenta en la labor del UIT-T;</w:t>
      </w:r>
    </w:p>
    <w:p w14:paraId="2E8C69FE" w14:textId="77777777" w:rsidR="006557BB" w:rsidRPr="006557BB" w:rsidRDefault="006557BB" w:rsidP="006557BB">
      <w:pPr>
        <w:rPr>
          <w:rFonts w:eastAsia="Calibri-Light"/>
          <w:lang w:val="es-ES"/>
        </w:rPr>
      </w:pPr>
      <w:r w:rsidRPr="006557BB">
        <w:rPr>
          <w:i/>
          <w:iCs/>
          <w:lang w:val="es-ES"/>
        </w:rPr>
        <w:t>b)</w:t>
      </w:r>
      <w:r w:rsidRPr="006557BB">
        <w:rPr>
          <w:lang w:val="es-ES"/>
        </w:rPr>
        <w:tab/>
        <w:t>que, durante la etapa inicial de introducción de la transformación digital, resulta importante que los países en desarrollo cuenten con normas y directrices técnicas, lo que permitiría introducir la transformación digital de manera oportuna;</w:t>
      </w:r>
    </w:p>
    <w:p w14:paraId="165D90BD" w14:textId="77777777" w:rsidR="006557BB" w:rsidRPr="006557BB" w:rsidRDefault="006557BB" w:rsidP="006557BB">
      <w:pPr>
        <w:rPr>
          <w:rFonts w:eastAsia="Calibri-Light"/>
          <w:lang w:val="es-ES"/>
        </w:rPr>
      </w:pPr>
      <w:r w:rsidRPr="006557BB">
        <w:rPr>
          <w:i/>
          <w:iCs/>
          <w:lang w:val="es-ES"/>
        </w:rPr>
        <w:t>c)</w:t>
      </w:r>
      <w:r w:rsidRPr="006557BB">
        <w:rPr>
          <w:lang w:val="es-ES"/>
        </w:rPr>
        <w:tab/>
        <w:t>que es necesario elaborar con rapidez normas internacionales de alta calidad que sean compatibles y no discriminatorias y estén basadas en la demanda (Recomendaciones UIT-T), con el fin de apoyar y propiciar la realización de actividades sobre transformación digital sostenible en consonancia con los principios de conectividad mundial, apertura, asequibilidad, fiabilidad, interoperabilidad y seguridad, que son fundamentales para crear confianza a la hora de seguir invirtiendo en la transformación digital sostenible;</w:t>
      </w:r>
    </w:p>
    <w:p w14:paraId="23D6E08D" w14:textId="77777777" w:rsidR="006557BB" w:rsidRPr="006557BB" w:rsidRDefault="006557BB" w:rsidP="006557BB">
      <w:pPr>
        <w:rPr>
          <w:rFonts w:eastAsia="Calibri-Light"/>
          <w:lang w:val="es-ES"/>
        </w:rPr>
      </w:pPr>
      <w:r w:rsidRPr="006557BB">
        <w:rPr>
          <w:i/>
          <w:iCs/>
          <w:lang w:val="es-ES"/>
        </w:rPr>
        <w:t>d)</w:t>
      </w:r>
      <w:r w:rsidRPr="006557BB">
        <w:rPr>
          <w:lang w:val="es-ES"/>
        </w:rPr>
        <w:tab/>
        <w:t>que también es necesario ampliar y facilitar la cooperación internacional en materia de transformación digital sostenible entre los organismos de normalización regionales e internacionales a fin de evitar la duplicación de los trabajos y de utilizar eficazmente los recursos,</w:t>
      </w:r>
    </w:p>
    <w:p w14:paraId="65D6C7FA" w14:textId="77777777" w:rsidR="006557BB" w:rsidRPr="006557BB" w:rsidRDefault="006557BB" w:rsidP="006557BB">
      <w:pPr>
        <w:pStyle w:val="Call"/>
        <w:rPr>
          <w:lang w:val="es-ES"/>
        </w:rPr>
      </w:pPr>
      <w:proofErr w:type="gramStart"/>
      <w:r w:rsidRPr="006557BB">
        <w:rPr>
          <w:iCs/>
          <w:lang w:val="es-ES"/>
        </w:rPr>
        <w:t>considerando</w:t>
      </w:r>
      <w:proofErr w:type="gramEnd"/>
      <w:r w:rsidRPr="006557BB">
        <w:rPr>
          <w:iCs/>
          <w:lang w:val="es-ES"/>
        </w:rPr>
        <w:t xml:space="preserve"> además</w:t>
      </w:r>
    </w:p>
    <w:p w14:paraId="78835E65" w14:textId="77777777" w:rsidR="006557BB" w:rsidRPr="006557BB" w:rsidRDefault="006557BB" w:rsidP="006557BB">
      <w:pPr>
        <w:rPr>
          <w:rFonts w:eastAsia="Calibri-Light"/>
          <w:lang w:val="es-ES"/>
        </w:rPr>
      </w:pPr>
      <w:r w:rsidRPr="006557BB">
        <w:rPr>
          <w:lang w:val="es-ES"/>
        </w:rPr>
        <w:t>que las normas técnicas y recomendaciones del UIT-T que apoyan y facilitan la transformación digital contribuirán al cumplimiento de la Agenda 2030 para el Desarrollo Sostenible y la consecución de los resultados de la CMSI, teniendo en cuenta que los países en desarrollo podrían salir muy beneficiados de la definición y aplicación de normas y directrices técnicas que faciliten las actividades de transformación digital,</w:t>
      </w:r>
    </w:p>
    <w:p w14:paraId="5B9A31FE" w14:textId="77777777" w:rsidR="006557BB" w:rsidRPr="006557BB" w:rsidRDefault="006557BB" w:rsidP="006557BB">
      <w:pPr>
        <w:pStyle w:val="Call"/>
        <w:rPr>
          <w:lang w:val="es-ES"/>
        </w:rPr>
      </w:pPr>
      <w:r w:rsidRPr="006557BB">
        <w:rPr>
          <w:iCs/>
          <w:lang w:val="es-ES"/>
        </w:rPr>
        <w:lastRenderedPageBreak/>
        <w:t>observando</w:t>
      </w:r>
    </w:p>
    <w:p w14:paraId="600D5CBA" w14:textId="77777777" w:rsidR="006557BB" w:rsidRPr="006557BB" w:rsidRDefault="006557BB" w:rsidP="006557BB">
      <w:pPr>
        <w:rPr>
          <w:lang w:val="es-ES"/>
        </w:rPr>
      </w:pPr>
      <w:r w:rsidRPr="006557BB">
        <w:rPr>
          <w:lang w:val="es-ES"/>
        </w:rPr>
        <w:t>que, en junio de 2023, el Grupo Asesor de Normalización de las Telecomunicaciones (GANT) creó un Grupo de Relator sobre Transformación Digital Sostenible (RG-DT),</w:t>
      </w:r>
    </w:p>
    <w:p w14:paraId="71E086A1" w14:textId="77777777" w:rsidR="006557BB" w:rsidRPr="006557BB" w:rsidRDefault="006557BB" w:rsidP="006557BB">
      <w:pPr>
        <w:pStyle w:val="Call"/>
        <w:rPr>
          <w:lang w:val="es-ES"/>
        </w:rPr>
      </w:pPr>
      <w:r w:rsidRPr="006557BB">
        <w:rPr>
          <w:iCs/>
          <w:lang w:val="es-ES"/>
        </w:rPr>
        <w:t>resuelve encargar al GANT</w:t>
      </w:r>
    </w:p>
    <w:p w14:paraId="200B7484" w14:textId="77777777" w:rsidR="006557BB" w:rsidRPr="006557BB" w:rsidRDefault="006557BB" w:rsidP="006557BB">
      <w:pPr>
        <w:rPr>
          <w:rFonts w:eastAsia="Calibri-Light"/>
          <w:lang w:val="es-ES"/>
        </w:rPr>
      </w:pPr>
      <w:r w:rsidRPr="006557BB">
        <w:rPr>
          <w:lang w:val="es-ES"/>
        </w:rPr>
        <w:t>que adopte todas las medidas necesarias para alentar y mejorar las actividades de normalización que propician y respaldan la transformación digital, incluida la continuación del Grupo de Relator sobre Transformación Digital Sostenible,</w:t>
      </w:r>
    </w:p>
    <w:p w14:paraId="74EA4CCE" w14:textId="77777777" w:rsidR="006557BB" w:rsidRPr="006557BB" w:rsidRDefault="006557BB" w:rsidP="006557BB">
      <w:pPr>
        <w:pStyle w:val="Call"/>
        <w:rPr>
          <w:lang w:val="es-ES"/>
        </w:rPr>
      </w:pPr>
      <w:r w:rsidRPr="006557BB">
        <w:rPr>
          <w:iCs/>
          <w:lang w:val="es-ES"/>
        </w:rPr>
        <w:t>encarga a las Comisiones de Estudio del UIT-T, ateniéndose a su mandato</w:t>
      </w:r>
    </w:p>
    <w:p w14:paraId="7882F0DB" w14:textId="77777777" w:rsidR="006557BB" w:rsidRPr="006557BB" w:rsidRDefault="006557BB" w:rsidP="006557BB">
      <w:pPr>
        <w:rPr>
          <w:lang w:val="es-ES"/>
        </w:rPr>
      </w:pPr>
      <w:r w:rsidRPr="006557BB">
        <w:rPr>
          <w:i/>
          <w:iCs/>
          <w:lang w:val="es-ES"/>
        </w:rPr>
        <w:t>a)</w:t>
      </w:r>
      <w:r w:rsidRPr="006557BB">
        <w:rPr>
          <w:lang w:val="es-ES"/>
        </w:rPr>
        <w:tab/>
        <w:t>que preparen normas técnicas, directrices y prácticas idóneas que ayuden a los Miembros, y a los países en desarrollo en particular, a aprovechar las telecomunicaciones/TIC nuevas e incipientes en apoyo de la transformación digital;</w:t>
      </w:r>
    </w:p>
    <w:p w14:paraId="236E752C" w14:textId="77777777" w:rsidR="006557BB" w:rsidRPr="006557BB" w:rsidRDefault="006557BB" w:rsidP="006557BB">
      <w:pPr>
        <w:rPr>
          <w:lang w:val="es-ES"/>
        </w:rPr>
      </w:pPr>
      <w:r w:rsidRPr="006557BB">
        <w:rPr>
          <w:i/>
          <w:iCs/>
          <w:lang w:val="es-ES"/>
        </w:rPr>
        <w:t>b)</w:t>
      </w:r>
      <w:r w:rsidRPr="006557BB">
        <w:rPr>
          <w:lang w:val="es-ES"/>
        </w:rPr>
        <w:tab/>
        <w:t>que se coordinen y colaboren con los demás grupos de la UIT y con otras organizaciones de normalización e instituciones que sean los principales responsables de elaborar normas y crear capacidad en la esfera de la transformación digital,</w:t>
      </w:r>
    </w:p>
    <w:p w14:paraId="774F3D2F" w14:textId="77777777" w:rsidR="006557BB" w:rsidRPr="006557BB" w:rsidRDefault="006557BB" w:rsidP="006557BB">
      <w:pPr>
        <w:pStyle w:val="Call"/>
        <w:rPr>
          <w:lang w:val="es-ES"/>
        </w:rPr>
      </w:pPr>
      <w:r w:rsidRPr="006557BB">
        <w:rPr>
          <w:iCs/>
          <w:lang w:val="es-ES"/>
        </w:rPr>
        <w:t>invita a los Estados Miembros, Miembros de Sector, Asociados e Instituciones Académicas</w:t>
      </w:r>
    </w:p>
    <w:p w14:paraId="1886D8E5" w14:textId="77777777" w:rsidR="006557BB" w:rsidRDefault="006557BB" w:rsidP="006F0407">
      <w:pPr>
        <w:rPr>
          <w:lang w:val="es-ES"/>
        </w:rPr>
      </w:pPr>
      <w:r w:rsidRPr="006557BB">
        <w:rPr>
          <w:lang w:val="es-ES"/>
        </w:rPr>
        <w:t>a contribuir a los estudios y la elaboración de normas y directrices técnicas relacionadas con la transformación digital.</w:t>
      </w:r>
    </w:p>
    <w:p w14:paraId="5B9E45C2" w14:textId="77777777" w:rsidR="006F0407" w:rsidRDefault="006F0407" w:rsidP="00411C49">
      <w:pPr>
        <w:pStyle w:val="Reasons"/>
      </w:pPr>
    </w:p>
    <w:p w14:paraId="61E6FDB0" w14:textId="77777777" w:rsidR="006F0407" w:rsidRDefault="006F0407">
      <w:pPr>
        <w:jc w:val="center"/>
      </w:pPr>
      <w:r>
        <w:t>______________</w:t>
      </w:r>
    </w:p>
    <w:sectPr w:rsidR="006F0407" w:rsidSect="00291A03">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5E481" w14:textId="77777777" w:rsidR="001B1BCD" w:rsidRDefault="001B1BCD">
      <w:r>
        <w:separator/>
      </w:r>
    </w:p>
  </w:endnote>
  <w:endnote w:type="continuationSeparator" w:id="0">
    <w:p w14:paraId="4960B6B9" w14:textId="77777777" w:rsidR="001B1BCD" w:rsidRDefault="001B1BCD">
      <w:r>
        <w:continuationSeparator/>
      </w:r>
    </w:p>
  </w:endnote>
  <w:endnote w:type="continuationNotice" w:id="1">
    <w:p w14:paraId="4D499B41" w14:textId="77777777" w:rsidR="001B1BCD" w:rsidRDefault="001B1B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A71F" w14:textId="77777777" w:rsidR="009D4900" w:rsidRDefault="009D4900">
    <w:pPr>
      <w:framePr w:wrap="around" w:vAnchor="text" w:hAnchor="margin" w:xAlign="right" w:y="1"/>
    </w:pPr>
    <w:r>
      <w:fldChar w:fldCharType="begin"/>
    </w:r>
    <w:r>
      <w:instrText xml:space="preserve">PAGE  </w:instrText>
    </w:r>
    <w:r>
      <w:fldChar w:fldCharType="end"/>
    </w:r>
  </w:p>
  <w:p w14:paraId="3EC02CB9" w14:textId="79D2EE5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F0407">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88EB7" w14:textId="77777777" w:rsidR="001B1BCD" w:rsidRDefault="001B1BCD">
      <w:r>
        <w:rPr>
          <w:b/>
        </w:rPr>
        <w:t>_______________</w:t>
      </w:r>
    </w:p>
  </w:footnote>
  <w:footnote w:type="continuationSeparator" w:id="0">
    <w:p w14:paraId="0C13BEDF" w14:textId="77777777" w:rsidR="001B1BCD" w:rsidRDefault="001B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7987" w14:textId="77777777" w:rsidR="00A52D1A" w:rsidRPr="00A52D1A" w:rsidRDefault="00B36D53" w:rsidP="00EB5053">
    <w:pPr>
      <w:pStyle w:val="Header"/>
    </w:pPr>
    <w:r>
      <w:fldChar w:fldCharType="begin"/>
    </w:r>
    <w:r>
      <w:instrText xml:space="preserve"> PAGE  \* MERGEFORMAT </w:instrText>
    </w:r>
    <w:r>
      <w:fldChar w:fldCharType="separate"/>
    </w:r>
    <w:r w:rsidR="006557BB">
      <w:rPr>
        <w:noProof/>
      </w:rPr>
      <w:t>2</w:t>
    </w:r>
    <w:r>
      <w:fldChar w:fldCharType="end"/>
    </w:r>
    <w:r w:rsidR="00EB5053">
      <w:br/>
    </w:r>
    <w:r w:rsidR="00780F10">
      <w:t>WTSA-24/36(Add.29)-</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00072200">
    <w:abstractNumId w:val="8"/>
  </w:num>
  <w:num w:numId="2" w16cid:durableId="160048035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60584911">
    <w:abstractNumId w:val="9"/>
  </w:num>
  <w:num w:numId="4" w16cid:durableId="822814555">
    <w:abstractNumId w:val="7"/>
  </w:num>
  <w:num w:numId="5" w16cid:durableId="1465276456">
    <w:abstractNumId w:val="6"/>
  </w:num>
  <w:num w:numId="6" w16cid:durableId="578949775">
    <w:abstractNumId w:val="5"/>
  </w:num>
  <w:num w:numId="7" w16cid:durableId="1060591427">
    <w:abstractNumId w:val="4"/>
  </w:num>
  <w:num w:numId="8" w16cid:durableId="1992515136">
    <w:abstractNumId w:val="3"/>
  </w:num>
  <w:num w:numId="9" w16cid:durableId="1634823743">
    <w:abstractNumId w:val="2"/>
  </w:num>
  <w:num w:numId="10" w16cid:durableId="1291860008">
    <w:abstractNumId w:val="1"/>
  </w:num>
  <w:num w:numId="11" w16cid:durableId="616062386">
    <w:abstractNumId w:val="0"/>
  </w:num>
  <w:num w:numId="12" w16cid:durableId="551616992">
    <w:abstractNumId w:val="12"/>
  </w:num>
  <w:num w:numId="13" w16cid:durableId="11097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5590"/>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B1BCD"/>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05343"/>
    <w:rsid w:val="00510C3D"/>
    <w:rsid w:val="00524283"/>
    <w:rsid w:val="0055140B"/>
    <w:rsid w:val="00553247"/>
    <w:rsid w:val="0056378B"/>
    <w:rsid w:val="0056747D"/>
    <w:rsid w:val="00581B01"/>
    <w:rsid w:val="00587F8C"/>
    <w:rsid w:val="00590E6A"/>
    <w:rsid w:val="00595780"/>
    <w:rsid w:val="005964AB"/>
    <w:rsid w:val="005A0AD7"/>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57BB"/>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407"/>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0883"/>
    <w:rsid w:val="00F528B4"/>
    <w:rsid w:val="00F60D05"/>
    <w:rsid w:val="00F6155B"/>
    <w:rsid w:val="00F65C19"/>
    <w:rsid w:val="00F7356B"/>
    <w:rsid w:val="00F80977"/>
    <w:rsid w:val="00F83F75"/>
    <w:rsid w:val="00F972D2"/>
    <w:rsid w:val="00FC1DB9"/>
    <w:rsid w:val="00FD2546"/>
    <w:rsid w:val="00FD27B7"/>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528DE"/>
  <w15:docId w15:val="{3CDD78D9-5A4E-4300-97FB-99CE8CBB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uiPriority w:val="99"/>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styleId="UnresolvedMention">
    <w:name w:val="Unresolved Mention"/>
    <w:basedOn w:val="DefaultParagraphFont"/>
    <w:uiPriority w:val="99"/>
    <w:semiHidden/>
    <w:unhideWhenUsed/>
    <w:rsid w:val="006F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5b5c3f30-a2ee-4d55-9211-525ba5e10bdf">DPM</DPM_x0020_Author>
    <DPM_x0020_File_x0020_name xmlns="5b5c3f30-a2ee-4d55-9211-525ba5e10bdf">T22-WTSA.24-C-0036!A29!MSW-S</DPM_x0020_File_x0020_name>
    <DPM_x0020_Version xmlns="5b5c3f30-a2ee-4d55-9211-525ba5e10bdf">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b5c3f30-a2ee-4d55-9211-525ba5e10bdf" targetNamespace="http://schemas.microsoft.com/office/2006/metadata/properties" ma:root="true" ma:fieldsID="d41af5c836d734370eb92e7ee5f83852" ns2:_="" ns3:_="">
    <xsd:import namespace="996b2e75-67fd-4955-a3b0-5ab9934cb50b"/>
    <xsd:import namespace="5b5c3f30-a2ee-4d55-9211-525ba5e10bd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b5c3f30-a2ee-4d55-9211-525ba5e10bd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5357B-CE64-4197-8819-69BDD8514601}">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b5c3f30-a2ee-4d55-9211-525ba5e10bdf"/>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b5c3f30-a2ee-4d55-9211-525ba5e10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739</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T22-WTSA.24-C-0036!A29!MSW-S</vt:lpstr>
    </vt:vector>
  </TitlesOfParts>
  <Manager>General Secretariat - Pool</Manager>
  <Company>International Telecommunication Union (ITU)</Company>
  <LinksUpToDate>false</LinksUpToDate>
  <CharactersWithSpaces>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T22-WTSA.24-C-0036!A29!MSW-S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2024-10-10T13:52:00Z</dcterms:created>
  <dcterms:modified xsi:type="dcterms:W3CDTF">2024-10-10T13:52:00Z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