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2A68AB3D" w14:textId="77777777" w:rsidTr="00E343F0">
        <w:trPr>
          <w:cantSplit/>
          <w:trHeight w:val="20"/>
        </w:trPr>
        <w:tc>
          <w:tcPr>
            <w:tcW w:w="1318" w:type="dxa"/>
          </w:tcPr>
          <w:p w14:paraId="6DB548E4" w14:textId="77777777" w:rsidR="00314F41" w:rsidRPr="00B344B6" w:rsidRDefault="00863FEE" w:rsidP="009D0810">
            <w:pPr>
              <w:rPr>
                <w:sz w:val="24"/>
                <w:szCs w:val="24"/>
                <w:rtl/>
              </w:rPr>
            </w:pPr>
            <w:r w:rsidRPr="00B344B6">
              <w:rPr>
                <w:noProof/>
              </w:rPr>
              <w:drawing>
                <wp:inline distT="0" distB="0" distL="0" distR="0" wp14:anchorId="1BAC4D84" wp14:editId="3C26730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5EBA4012"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2A38EC73"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64D3BF8F" w14:textId="77777777" w:rsidR="00314F41" w:rsidRPr="00B344B6" w:rsidRDefault="00314F41" w:rsidP="009D0810">
            <w:pPr>
              <w:rPr>
                <w:rtl/>
                <w:lang w:bidi="ar-EG"/>
              </w:rPr>
            </w:pPr>
            <w:r w:rsidRPr="00B344B6">
              <w:rPr>
                <w:noProof/>
                <w:lang w:eastAsia="zh-CN"/>
              </w:rPr>
              <w:drawing>
                <wp:inline distT="0" distB="0" distL="0" distR="0" wp14:anchorId="2A16D417" wp14:editId="48D3515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3FEE42C3" w14:textId="77777777" w:rsidTr="00E343F0">
        <w:trPr>
          <w:cantSplit/>
          <w:trHeight w:val="20"/>
        </w:trPr>
        <w:tc>
          <w:tcPr>
            <w:tcW w:w="6496" w:type="dxa"/>
            <w:gridSpan w:val="2"/>
            <w:tcBorders>
              <w:bottom w:val="single" w:sz="12" w:space="0" w:color="auto"/>
            </w:tcBorders>
          </w:tcPr>
          <w:p w14:paraId="0C7E1848"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5C7642D1" w14:textId="77777777" w:rsidR="00280E04" w:rsidRPr="00B344B6" w:rsidRDefault="00280E04" w:rsidP="003309DA">
            <w:pPr>
              <w:spacing w:before="0" w:line="120" w:lineRule="auto"/>
              <w:rPr>
                <w:lang w:bidi="ar-EG"/>
              </w:rPr>
            </w:pPr>
          </w:p>
        </w:tc>
      </w:tr>
      <w:tr w:rsidR="00280E04" w:rsidRPr="00B344B6" w14:paraId="703E56E5" w14:textId="77777777" w:rsidTr="00E343F0">
        <w:trPr>
          <w:cantSplit/>
          <w:trHeight w:val="240"/>
        </w:trPr>
        <w:tc>
          <w:tcPr>
            <w:tcW w:w="6496" w:type="dxa"/>
            <w:gridSpan w:val="2"/>
            <w:tcBorders>
              <w:top w:val="single" w:sz="12" w:space="0" w:color="auto"/>
            </w:tcBorders>
          </w:tcPr>
          <w:p w14:paraId="32840FD4"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0F5FFB74" w14:textId="77777777" w:rsidR="00280E04" w:rsidRPr="000B0891" w:rsidRDefault="00280E04" w:rsidP="000B0891">
            <w:pPr>
              <w:spacing w:before="0" w:line="240" w:lineRule="exact"/>
              <w:rPr>
                <w:rFonts w:eastAsia="SimSun"/>
                <w:b/>
                <w:bCs/>
              </w:rPr>
            </w:pPr>
          </w:p>
        </w:tc>
      </w:tr>
      <w:tr w:rsidR="00AD538E" w:rsidRPr="00B344B6" w14:paraId="47FC33E7" w14:textId="77777777" w:rsidTr="00E343F0">
        <w:trPr>
          <w:cantSplit/>
        </w:trPr>
        <w:tc>
          <w:tcPr>
            <w:tcW w:w="6496" w:type="dxa"/>
            <w:gridSpan w:val="2"/>
          </w:tcPr>
          <w:p w14:paraId="22989384" w14:textId="77777777" w:rsidR="00AD538E" w:rsidRPr="00E343F0" w:rsidRDefault="00D21D8E" w:rsidP="00D97DEA">
            <w:pPr>
              <w:pStyle w:val="Committee"/>
              <w:framePr w:hSpace="0" w:wrap="auto" w:hAnchor="text" w:yAlign="inline"/>
              <w:bidi/>
              <w:spacing w:before="40" w:after="40"/>
              <w:rPr>
                <w:rtl/>
              </w:rPr>
            </w:pPr>
            <w:r w:rsidRPr="00E343F0">
              <w:rPr>
                <w:rtl/>
              </w:rPr>
              <w:t>الجلسة العامة</w:t>
            </w:r>
          </w:p>
        </w:tc>
        <w:tc>
          <w:tcPr>
            <w:tcW w:w="3143" w:type="dxa"/>
            <w:gridSpan w:val="2"/>
          </w:tcPr>
          <w:p w14:paraId="52600066" w14:textId="4FA5BBFC" w:rsidR="00AD538E" w:rsidRPr="00E343F0" w:rsidRDefault="00D21D8E" w:rsidP="00D97DEA">
            <w:pPr>
              <w:pStyle w:val="Docnumber"/>
              <w:bidi/>
              <w:spacing w:before="40" w:after="40" w:line="300" w:lineRule="exact"/>
              <w:rPr>
                <w:rtl/>
              </w:rPr>
            </w:pPr>
            <w:r w:rsidRPr="00E343F0">
              <w:rPr>
                <w:rtl/>
              </w:rPr>
              <w:t>الإضافة 29</w:t>
            </w:r>
            <w:r w:rsidRPr="00E343F0">
              <w:rPr>
                <w:rtl/>
              </w:rPr>
              <w:br/>
              <w:t xml:space="preserve">للوثيقة </w:t>
            </w:r>
            <w:r w:rsidRPr="00E343F0">
              <w:rPr>
                <w:rFonts w:eastAsia="SimSun"/>
              </w:rPr>
              <w:t>36-A</w:t>
            </w:r>
          </w:p>
        </w:tc>
      </w:tr>
      <w:tr w:rsidR="006175E7" w:rsidRPr="00B344B6" w14:paraId="24C6F01A" w14:textId="77777777" w:rsidTr="00E343F0">
        <w:trPr>
          <w:cantSplit/>
        </w:trPr>
        <w:tc>
          <w:tcPr>
            <w:tcW w:w="6496" w:type="dxa"/>
            <w:gridSpan w:val="2"/>
          </w:tcPr>
          <w:p w14:paraId="315FFF82" w14:textId="77777777" w:rsidR="006175E7" w:rsidRPr="00E343F0" w:rsidRDefault="006175E7" w:rsidP="00D97DEA">
            <w:pPr>
              <w:spacing w:before="40" w:after="40" w:line="300" w:lineRule="exact"/>
              <w:rPr>
                <w:b/>
                <w:bCs/>
                <w:rtl/>
              </w:rPr>
            </w:pPr>
          </w:p>
        </w:tc>
        <w:tc>
          <w:tcPr>
            <w:tcW w:w="3143" w:type="dxa"/>
            <w:gridSpan w:val="2"/>
          </w:tcPr>
          <w:p w14:paraId="4AD9E8DB" w14:textId="77777777" w:rsidR="006175E7" w:rsidRPr="00E343F0" w:rsidRDefault="00EC0AD3" w:rsidP="00D97DEA">
            <w:pPr>
              <w:pStyle w:val="TopHeader"/>
              <w:bidi/>
              <w:spacing w:before="40" w:after="40" w:line="300" w:lineRule="exact"/>
              <w:rPr>
                <w:rFonts w:ascii="Dubai" w:hAnsi="Dubai" w:cs="Dubai"/>
                <w:sz w:val="22"/>
                <w:szCs w:val="22"/>
                <w:rtl/>
              </w:rPr>
            </w:pPr>
            <w:r w:rsidRPr="00E343F0">
              <w:rPr>
                <w:rFonts w:ascii="Dubai" w:eastAsia="SimSun" w:hAnsi="Dubai" w:cs="Dubai"/>
                <w:sz w:val="22"/>
                <w:szCs w:val="22"/>
                <w:rtl/>
              </w:rPr>
              <w:t>23 سبتمبر 2024</w:t>
            </w:r>
          </w:p>
        </w:tc>
      </w:tr>
      <w:tr w:rsidR="006175E7" w:rsidRPr="00B344B6" w14:paraId="502BE3BF" w14:textId="77777777" w:rsidTr="00E343F0">
        <w:trPr>
          <w:cantSplit/>
        </w:trPr>
        <w:tc>
          <w:tcPr>
            <w:tcW w:w="6496" w:type="dxa"/>
            <w:gridSpan w:val="2"/>
          </w:tcPr>
          <w:p w14:paraId="7EF5E76A" w14:textId="77777777" w:rsidR="006175E7" w:rsidRPr="00E343F0" w:rsidRDefault="006175E7" w:rsidP="00D97DEA">
            <w:pPr>
              <w:spacing w:before="40" w:after="40" w:line="300" w:lineRule="exact"/>
              <w:rPr>
                <w:b/>
                <w:bCs/>
                <w:rtl/>
              </w:rPr>
            </w:pPr>
          </w:p>
        </w:tc>
        <w:tc>
          <w:tcPr>
            <w:tcW w:w="3143" w:type="dxa"/>
            <w:gridSpan w:val="2"/>
          </w:tcPr>
          <w:p w14:paraId="3ABBC2C5" w14:textId="77777777" w:rsidR="006175E7" w:rsidRPr="00E343F0" w:rsidRDefault="00EC0AD3" w:rsidP="00D97DEA">
            <w:pPr>
              <w:pStyle w:val="TopHeader"/>
              <w:bidi/>
              <w:spacing w:before="40" w:after="40" w:line="300" w:lineRule="exact"/>
              <w:rPr>
                <w:rFonts w:ascii="Dubai" w:eastAsia="SimSun" w:hAnsi="Dubai" w:cs="Dubai"/>
                <w:sz w:val="22"/>
                <w:szCs w:val="22"/>
                <w:rtl/>
              </w:rPr>
            </w:pPr>
            <w:r w:rsidRPr="00E343F0">
              <w:rPr>
                <w:rFonts w:ascii="Dubai" w:hAnsi="Dubai" w:cs="Dubai"/>
                <w:sz w:val="22"/>
                <w:szCs w:val="22"/>
                <w:rtl/>
              </w:rPr>
              <w:t>الأصل: بالإنكليزية</w:t>
            </w:r>
          </w:p>
        </w:tc>
      </w:tr>
      <w:tr w:rsidR="006175E7" w:rsidRPr="00B344B6" w14:paraId="56511C71" w14:textId="77777777" w:rsidTr="00E343F0">
        <w:trPr>
          <w:cantSplit/>
        </w:trPr>
        <w:tc>
          <w:tcPr>
            <w:tcW w:w="9639" w:type="dxa"/>
            <w:gridSpan w:val="4"/>
          </w:tcPr>
          <w:p w14:paraId="3ECCEA9B" w14:textId="77777777" w:rsidR="006175E7" w:rsidRPr="009D0810" w:rsidRDefault="006175E7" w:rsidP="000B0891">
            <w:pPr>
              <w:spacing w:before="0" w:line="240" w:lineRule="exact"/>
              <w:rPr>
                <w:rFonts w:eastAsia="SimSun"/>
                <w:b/>
                <w:bCs/>
              </w:rPr>
            </w:pPr>
          </w:p>
        </w:tc>
      </w:tr>
      <w:tr w:rsidR="006175E7" w:rsidRPr="00B344B6" w14:paraId="6C4DBD86" w14:textId="77777777" w:rsidTr="00E343F0">
        <w:trPr>
          <w:cantSplit/>
        </w:trPr>
        <w:tc>
          <w:tcPr>
            <w:tcW w:w="9639" w:type="dxa"/>
            <w:gridSpan w:val="4"/>
          </w:tcPr>
          <w:p w14:paraId="00BCF69E" w14:textId="1825FBBB" w:rsidR="006175E7" w:rsidRPr="00B344B6" w:rsidRDefault="00E343F0" w:rsidP="006175E7">
            <w:pPr>
              <w:pStyle w:val="Source"/>
              <w:rPr>
                <w:rtl/>
              </w:rPr>
            </w:pPr>
            <w:r w:rsidRPr="00D21D8E">
              <w:rPr>
                <w:rtl/>
              </w:rPr>
              <w:t>إدارات الدول العربية</w:t>
            </w:r>
          </w:p>
        </w:tc>
      </w:tr>
      <w:tr w:rsidR="006175E7" w:rsidRPr="00B344B6" w14:paraId="4CF76441" w14:textId="77777777" w:rsidTr="00E343F0">
        <w:trPr>
          <w:cantSplit/>
        </w:trPr>
        <w:tc>
          <w:tcPr>
            <w:tcW w:w="9639" w:type="dxa"/>
            <w:gridSpan w:val="4"/>
          </w:tcPr>
          <w:p w14:paraId="7D6CAB5F" w14:textId="6E033CE9" w:rsidR="006175E7" w:rsidRPr="00D21D8E" w:rsidRDefault="00247407" w:rsidP="006175E7">
            <w:pPr>
              <w:pStyle w:val="Title1"/>
              <w:spacing w:before="240"/>
              <w:rPr>
                <w:rtl/>
              </w:rPr>
            </w:pPr>
            <w:r>
              <w:rPr>
                <w:rFonts w:hint="cs"/>
                <w:rtl/>
              </w:rPr>
              <w:t xml:space="preserve">مشروع القرار الجديد </w:t>
            </w:r>
            <w:r>
              <w:t>[ARB-SDT]</w:t>
            </w:r>
            <w:r>
              <w:rPr>
                <w:rFonts w:hint="cs"/>
                <w:rtl/>
              </w:rPr>
              <w:t xml:space="preserve"> - </w:t>
            </w:r>
            <w:r w:rsidR="00A66E8C" w:rsidRPr="00A66E8C">
              <w:rPr>
                <w:rtl/>
              </w:rPr>
              <w:t xml:space="preserve">تعزيز أنشطة التقييس </w:t>
            </w:r>
            <w:r w:rsidR="0029548F">
              <w:rPr>
                <w:rtl/>
              </w:rPr>
              <w:br/>
            </w:r>
            <w:r w:rsidR="00A66E8C" w:rsidRPr="00A66E8C">
              <w:rPr>
                <w:rtl/>
              </w:rPr>
              <w:t>المتعلقة بالتحول الرقمي المستدام</w:t>
            </w:r>
          </w:p>
        </w:tc>
      </w:tr>
      <w:tr w:rsidR="006175E7" w:rsidRPr="00B344B6" w14:paraId="7EA8B1F6" w14:textId="77777777" w:rsidTr="00E343F0">
        <w:trPr>
          <w:cantSplit/>
          <w:trHeight w:hRule="exact" w:val="240"/>
        </w:trPr>
        <w:tc>
          <w:tcPr>
            <w:tcW w:w="9639" w:type="dxa"/>
            <w:gridSpan w:val="4"/>
          </w:tcPr>
          <w:p w14:paraId="49CDFE7C" w14:textId="77777777" w:rsidR="006175E7" w:rsidRPr="00B344B6" w:rsidRDefault="006175E7" w:rsidP="006175E7">
            <w:pPr>
              <w:pStyle w:val="Title2"/>
              <w:spacing w:before="240"/>
            </w:pPr>
          </w:p>
        </w:tc>
      </w:tr>
      <w:tr w:rsidR="00E343F0" w:rsidRPr="00B344B6" w14:paraId="6D790871" w14:textId="77777777" w:rsidTr="001B6237">
        <w:trPr>
          <w:cantSplit/>
        </w:trPr>
        <w:tc>
          <w:tcPr>
            <w:tcW w:w="9639" w:type="dxa"/>
            <w:gridSpan w:val="4"/>
          </w:tcPr>
          <w:p w14:paraId="28C01F2F" w14:textId="2B2EDC9D" w:rsidR="00E343F0" w:rsidRPr="00B344B6" w:rsidRDefault="00E343F0" w:rsidP="00E343F0">
            <w:pPr>
              <w:pStyle w:val="Agendaitem"/>
              <w:spacing w:before="0" w:after="0"/>
              <w:rPr>
                <w:rtl/>
              </w:rPr>
            </w:pPr>
          </w:p>
        </w:tc>
      </w:tr>
    </w:tbl>
    <w:p w14:paraId="5745C3FF"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1E38878B" w14:textId="77777777" w:rsidTr="008077A5">
        <w:tc>
          <w:tcPr>
            <w:tcW w:w="1355" w:type="dxa"/>
            <w:shd w:val="clear" w:color="auto" w:fill="FFFFFF"/>
          </w:tcPr>
          <w:p w14:paraId="2A7CEBAC" w14:textId="77777777" w:rsidR="00314F41" w:rsidRPr="001B6237" w:rsidRDefault="00314F41" w:rsidP="001B6237">
            <w:pPr>
              <w:rPr>
                <w:rFonts w:eastAsia="SimSun"/>
                <w:b/>
                <w:bCs/>
                <w:position w:val="2"/>
                <w:rtl/>
                <w:lang w:val="fr-FR" w:eastAsia="zh-CN" w:bidi="ar-EG"/>
              </w:rPr>
            </w:pPr>
            <w:r w:rsidRPr="001B6237">
              <w:rPr>
                <w:b/>
                <w:bCs/>
                <w:rtl/>
              </w:rPr>
              <w:t>ملخص:</w:t>
            </w:r>
          </w:p>
        </w:tc>
        <w:tc>
          <w:tcPr>
            <w:tcW w:w="8284" w:type="dxa"/>
            <w:gridSpan w:val="2"/>
            <w:shd w:val="clear" w:color="auto" w:fill="FFFFFF"/>
          </w:tcPr>
          <w:p w14:paraId="1569FDC1" w14:textId="22EF5C8A" w:rsidR="00314F41" w:rsidRPr="00567A62" w:rsidRDefault="002359CC" w:rsidP="001B6237">
            <w:pPr>
              <w:rPr>
                <w:rFonts w:eastAsia="SimSun"/>
                <w:spacing w:val="-2"/>
                <w:position w:val="2"/>
                <w:rtl/>
                <w:lang w:val="fr-FR" w:eastAsia="zh-CN" w:bidi="ar-EG"/>
              </w:rPr>
            </w:pPr>
            <w:r w:rsidRPr="00567A62">
              <w:rPr>
                <w:rFonts w:eastAsia="SimSun"/>
                <w:spacing w:val="-2"/>
                <w:position w:val="2"/>
                <w:rtl/>
                <w:lang w:val="fr-FR" w:eastAsia="zh-CN" w:bidi="ar-EG"/>
              </w:rPr>
              <w:t xml:space="preserve">تقترح هذه المساهمة قراراً جديداً للجمعية العالمية لتقييس الاتصالات بشأن </w:t>
            </w:r>
            <w:bookmarkStart w:id="0" w:name="_Hlk178685613"/>
            <w:r w:rsidRPr="00567A62">
              <w:rPr>
                <w:rFonts w:eastAsia="SimSun"/>
                <w:spacing w:val="-2"/>
                <w:position w:val="2"/>
                <w:rtl/>
                <w:lang w:val="fr-FR" w:eastAsia="zh-CN" w:bidi="ar-EG"/>
              </w:rPr>
              <w:t>تعزيز أنشطة التقييس المتعلقة بالتحول الرقمي المستدام</w:t>
            </w:r>
            <w:bookmarkEnd w:id="0"/>
            <w:r w:rsidRPr="00567A62">
              <w:rPr>
                <w:rFonts w:eastAsia="SimSun"/>
                <w:spacing w:val="-2"/>
                <w:position w:val="2"/>
                <w:rtl/>
                <w:lang w:val="fr-FR" w:eastAsia="zh-CN" w:bidi="ar-EG"/>
              </w:rPr>
              <w:t>.</w:t>
            </w:r>
          </w:p>
        </w:tc>
      </w:tr>
      <w:tr w:rsidR="00314F41" w:rsidRPr="00B344B6" w14:paraId="3507ABAE" w14:textId="77777777" w:rsidTr="008077A5">
        <w:tc>
          <w:tcPr>
            <w:tcW w:w="1355" w:type="dxa"/>
            <w:shd w:val="clear" w:color="auto" w:fill="FFFFFF"/>
            <w:hideMark/>
          </w:tcPr>
          <w:p w14:paraId="79B49C56" w14:textId="77777777" w:rsidR="00314F41" w:rsidRPr="001B6237" w:rsidRDefault="00314F41" w:rsidP="001B6237">
            <w:pPr>
              <w:rPr>
                <w:rFonts w:eastAsia="SimSun"/>
                <w:b/>
                <w:bCs/>
                <w:position w:val="2"/>
                <w:lang w:val="en-GB" w:eastAsia="zh-CN"/>
              </w:rPr>
            </w:pPr>
            <w:r w:rsidRPr="001B6237">
              <w:rPr>
                <w:rFonts w:eastAsia="SimSun"/>
                <w:b/>
                <w:bCs/>
                <w:position w:val="2"/>
                <w:rtl/>
                <w:lang w:val="fr-FR" w:eastAsia="zh-CN" w:bidi="ar-EG"/>
              </w:rPr>
              <w:t>للاتصال:</w:t>
            </w:r>
          </w:p>
        </w:tc>
        <w:tc>
          <w:tcPr>
            <w:tcW w:w="4034" w:type="dxa"/>
            <w:shd w:val="clear" w:color="auto" w:fill="FFFFFF"/>
          </w:tcPr>
          <w:p w14:paraId="20DE7BF7" w14:textId="16CA2EBB" w:rsidR="00314F41" w:rsidRPr="00B344B6" w:rsidRDefault="00A66E8C" w:rsidP="001B6237">
            <w:pPr>
              <w:jc w:val="left"/>
              <w:rPr>
                <w:rFonts w:eastAsia="SimSun"/>
                <w:position w:val="2"/>
                <w:lang w:val="en-GB" w:eastAsia="zh-CN"/>
              </w:rPr>
            </w:pPr>
            <w:r>
              <w:rPr>
                <w:rFonts w:hint="cs"/>
                <w:rtl/>
              </w:rPr>
              <w:t>بسمة توفيق</w:t>
            </w:r>
            <w:r w:rsidR="00314F41" w:rsidRPr="00B344B6">
              <w:br/>
            </w:r>
            <w:r w:rsidRPr="00A66E8C">
              <w:rPr>
                <w:rtl/>
              </w:rPr>
              <w:t>الهيئة الوطنية لتنظيم الاتصالات</w:t>
            </w:r>
            <w:r w:rsidR="00314F41" w:rsidRPr="00B344B6">
              <w:br/>
            </w:r>
            <w:r w:rsidR="00E343F0">
              <w:rPr>
                <w:rFonts w:hint="cs"/>
                <w:rtl/>
              </w:rPr>
              <w:t>مصر</w:t>
            </w:r>
          </w:p>
        </w:tc>
        <w:tc>
          <w:tcPr>
            <w:tcW w:w="4250" w:type="dxa"/>
            <w:shd w:val="clear" w:color="auto" w:fill="FFFFFF"/>
          </w:tcPr>
          <w:p w14:paraId="12467BCA" w14:textId="79340C89" w:rsidR="00314F41" w:rsidRPr="00B344B6" w:rsidRDefault="00314F41" w:rsidP="001B6237">
            <w:pPr>
              <w:rPr>
                <w:rFonts w:eastAsia="SimSun"/>
                <w:position w:val="2"/>
                <w:lang w:eastAsia="zh-CN"/>
              </w:rPr>
            </w:pPr>
            <w:r w:rsidRPr="00B344B6">
              <w:rPr>
                <w:rFonts w:eastAsia="SimSun"/>
                <w:position w:val="2"/>
                <w:rtl/>
                <w:lang w:val="fr-FR" w:eastAsia="zh-CN" w:bidi="ar-EG"/>
              </w:rPr>
              <w:t>البريد الإلكتروني:</w:t>
            </w:r>
            <w:r w:rsidR="0029548F">
              <w:rPr>
                <w:rFonts w:eastAsia="SimSun"/>
                <w:position w:val="2"/>
                <w:rtl/>
                <w:lang w:val="fr-FR" w:eastAsia="zh-CN" w:bidi="ar-EG"/>
              </w:rPr>
              <w:tab/>
            </w:r>
            <w:hyperlink r:id="rId14" w:history="1">
              <w:r w:rsidR="000976A3" w:rsidRPr="000976A3">
                <w:rPr>
                  <w:rStyle w:val="Hyperlink"/>
                  <w:rFonts w:eastAsia="SimSun"/>
                  <w:position w:val="2"/>
                  <w:lang w:val="en-GB" w:eastAsia="zh-CN" w:bidi="ar-EG"/>
                </w:rPr>
                <w:t>basmaa@tra.gov.eg</w:t>
              </w:r>
            </w:hyperlink>
          </w:p>
        </w:tc>
      </w:tr>
    </w:tbl>
    <w:p w14:paraId="2CFF5D3E" w14:textId="77777777" w:rsidR="0012545F" w:rsidRPr="00B344B6" w:rsidRDefault="0012545F" w:rsidP="00567A62">
      <w:pPr>
        <w:rPr>
          <w:rtl/>
        </w:rPr>
      </w:pPr>
      <w:r w:rsidRPr="00B344B6">
        <w:rPr>
          <w:rtl/>
        </w:rPr>
        <w:br w:type="page"/>
      </w:r>
    </w:p>
    <w:p w14:paraId="585F67CB" w14:textId="77777777" w:rsidR="006F14DF" w:rsidRDefault="006F14DF" w:rsidP="006F14DF">
      <w:pPr>
        <w:pStyle w:val="Proposal"/>
      </w:pPr>
      <w:r>
        <w:lastRenderedPageBreak/>
        <w:t>ADD</w:t>
      </w:r>
      <w:r>
        <w:tab/>
        <w:t>ARB/36A29/1</w:t>
      </w:r>
    </w:p>
    <w:p w14:paraId="7811B833" w14:textId="2952B73B" w:rsidR="00AA12BE" w:rsidRPr="00B571AC" w:rsidRDefault="00B571AC" w:rsidP="0029548F">
      <w:pPr>
        <w:pStyle w:val="ResNo"/>
        <w:rPr>
          <w:rtl/>
        </w:rPr>
      </w:pPr>
      <w:r>
        <w:rPr>
          <w:rFonts w:hint="cs"/>
          <w:rtl/>
        </w:rPr>
        <w:t>مشروع القرار الجديد</w:t>
      </w:r>
      <w:r w:rsidR="00641B73" w:rsidRPr="00B571AC">
        <w:rPr>
          <w:rtl/>
        </w:rPr>
        <w:t xml:space="preserve"> </w:t>
      </w:r>
      <w:r w:rsidR="00641B73" w:rsidRPr="00B571AC">
        <w:t>[</w:t>
      </w:r>
      <w:r w:rsidRPr="00B571AC">
        <w:rPr>
          <w:lang w:val="en-GB"/>
        </w:rPr>
        <w:t>ARB-SDT</w:t>
      </w:r>
      <w:r w:rsidR="00641B73" w:rsidRPr="00B571AC">
        <w:t>]</w:t>
      </w:r>
      <w:r w:rsidR="00247407">
        <w:rPr>
          <w:rFonts w:hint="cs"/>
          <w:rtl/>
        </w:rPr>
        <w:t xml:space="preserve"> (نيودلهي، 2024)</w:t>
      </w:r>
    </w:p>
    <w:p w14:paraId="27D0B19C" w14:textId="5CD1EB17" w:rsidR="00A66E8C" w:rsidRPr="0029548F" w:rsidRDefault="00A66E8C" w:rsidP="0029548F">
      <w:pPr>
        <w:pStyle w:val="Restitle"/>
        <w:rPr>
          <w:rtl/>
        </w:rPr>
      </w:pPr>
      <w:r w:rsidRPr="00A66E8C">
        <w:rPr>
          <w:rtl/>
        </w:rPr>
        <w:t xml:space="preserve">تعزيز أنشطة التقييس المتعلقة بالتحول الرقمي </w:t>
      </w:r>
      <w:r w:rsidRPr="0029548F">
        <w:rPr>
          <w:rtl/>
        </w:rPr>
        <w:t>المستدام</w:t>
      </w:r>
    </w:p>
    <w:p w14:paraId="230177DB" w14:textId="17DD81FE" w:rsidR="00AA12BE" w:rsidRDefault="00A60C7A" w:rsidP="0029548F">
      <w:pPr>
        <w:pStyle w:val="Resref"/>
        <w:rPr>
          <w:rtl/>
        </w:rPr>
      </w:pPr>
      <w:r>
        <w:rPr>
          <w:rFonts w:hint="cs"/>
          <w:rtl/>
        </w:rPr>
        <w:t>(نيودلهي، 2024)</w:t>
      </w:r>
    </w:p>
    <w:p w14:paraId="367D6A32" w14:textId="7852EBBA" w:rsidR="00A60C7A" w:rsidRPr="0029548F" w:rsidRDefault="00247407" w:rsidP="0029548F">
      <w:pPr>
        <w:pStyle w:val="Normalaftertitle"/>
        <w:rPr>
          <w:rtl/>
        </w:rPr>
      </w:pPr>
      <w:r w:rsidRPr="0029548F">
        <w:rPr>
          <w:rFonts w:hint="cs"/>
          <w:rtl/>
        </w:rPr>
        <w:t xml:space="preserve">إن الجمعية العالمية لتقييس الاتصالات </w:t>
      </w:r>
      <w:r w:rsidR="00A60C7A" w:rsidRPr="0029548F">
        <w:rPr>
          <w:rFonts w:hint="cs"/>
          <w:rtl/>
        </w:rPr>
        <w:t>(نيودلهي، 2024)</w:t>
      </w:r>
      <w:r w:rsidRPr="0029548F">
        <w:rPr>
          <w:rFonts w:hint="cs"/>
          <w:rtl/>
        </w:rPr>
        <w:t>،</w:t>
      </w:r>
    </w:p>
    <w:p w14:paraId="6696C1B6" w14:textId="3CA3D659" w:rsidR="00B96C9E" w:rsidRDefault="00247407" w:rsidP="00B96C9E">
      <w:pPr>
        <w:pStyle w:val="Call"/>
        <w:rPr>
          <w:rtl/>
        </w:rPr>
      </w:pPr>
      <w:r>
        <w:rPr>
          <w:rFonts w:hint="cs"/>
          <w:rtl/>
        </w:rPr>
        <w:t>إذ تذكِّر</w:t>
      </w:r>
    </w:p>
    <w:p w14:paraId="20110D47" w14:textId="77777777" w:rsidR="00A66E8C" w:rsidRPr="0029548F" w:rsidRDefault="00A66E8C" w:rsidP="006F14DF">
      <w:pPr>
        <w:rPr>
          <w:rtl/>
        </w:rPr>
      </w:pPr>
      <w:r w:rsidRPr="004633B3">
        <w:rPr>
          <w:spacing w:val="-2"/>
          <w:rtl/>
        </w:rPr>
        <w:t xml:space="preserve">بأن الخطة الاستراتيجية للاتحاد الدولي للاتصالات للفترة 2024-2027، المعتمَدة بموجب القرار </w:t>
      </w:r>
      <w:r w:rsidRPr="004633B3">
        <w:rPr>
          <w:spacing w:val="-2"/>
          <w:cs/>
        </w:rPr>
        <w:t>‎</w:t>
      </w:r>
      <w:r w:rsidRPr="004633B3">
        <w:rPr>
          <w:spacing w:val="-2"/>
        </w:rPr>
        <w:t>71</w:t>
      </w:r>
      <w:r w:rsidRPr="004633B3">
        <w:rPr>
          <w:spacing w:val="-2"/>
          <w:rtl/>
        </w:rPr>
        <w:t xml:space="preserve"> (‏المراجَع في بوخارست، </w:t>
      </w:r>
      <w:r w:rsidRPr="004633B3">
        <w:rPr>
          <w:spacing w:val="-2"/>
          <w:cs/>
        </w:rPr>
        <w:t>‎</w:t>
      </w:r>
      <w:r w:rsidRPr="004633B3">
        <w:rPr>
          <w:spacing w:val="-2"/>
        </w:rPr>
        <w:t>2022</w:t>
      </w:r>
      <w:r w:rsidRPr="004633B3">
        <w:rPr>
          <w:spacing w:val="-2"/>
          <w:rtl/>
        </w:rPr>
        <w:t>)</w:t>
      </w:r>
      <w:r w:rsidRPr="00A66E8C">
        <w:rPr>
          <w:rtl/>
        </w:rPr>
        <w:t xml:space="preserve"> ‏لمؤتمر المندوبين المفوضين، تنص على أن التحول الرقمي المستدام هو هدف استراتيجي للاتحاد في تيسير التقدم نحو تنفيذ خطوط عمل القمة العالمية لمجتمع المعلومات (</w:t>
      </w:r>
      <w:r w:rsidRPr="00A66E8C">
        <w:rPr>
          <w:cs/>
        </w:rPr>
        <w:t>‎</w:t>
      </w:r>
      <w:r w:rsidRPr="00A66E8C">
        <w:t>WSIS</w:t>
      </w:r>
      <w:r w:rsidRPr="00A66E8C">
        <w:rPr>
          <w:rtl/>
        </w:rPr>
        <w:t xml:space="preserve">) ‏وخطة التنمية المستدامة لعام </w:t>
      </w:r>
      <w:r w:rsidRPr="00A66E8C">
        <w:rPr>
          <w:cs/>
        </w:rPr>
        <w:t>‎</w:t>
      </w:r>
      <w:r w:rsidRPr="00A66E8C">
        <w:t>2030</w:t>
      </w:r>
      <w:r w:rsidRPr="00A66E8C">
        <w:rPr>
          <w:rtl/>
        </w:rPr>
        <w:t>‏،</w:t>
      </w:r>
    </w:p>
    <w:p w14:paraId="37B84837" w14:textId="30E0184D" w:rsidR="00B96C9E" w:rsidRDefault="00247407" w:rsidP="00B96C9E">
      <w:pPr>
        <w:pStyle w:val="Call"/>
        <w:rPr>
          <w:rtl/>
        </w:rPr>
      </w:pPr>
      <w:r>
        <w:rPr>
          <w:rFonts w:hint="cs"/>
          <w:rtl/>
        </w:rPr>
        <w:t>وإذ تدرك</w:t>
      </w:r>
    </w:p>
    <w:p w14:paraId="7FB9E759" w14:textId="46A8D884" w:rsidR="00B96C9E" w:rsidRPr="00326EE1" w:rsidRDefault="0029548F" w:rsidP="00B96C9E">
      <w:pPr>
        <w:rPr>
          <w:spacing w:val="-2"/>
          <w:rtl/>
        </w:rPr>
      </w:pPr>
      <w:r w:rsidRPr="00326EE1">
        <w:rPr>
          <w:rFonts w:hint="eastAsia"/>
          <w:i/>
          <w:iCs/>
          <w:spacing w:val="-2"/>
          <w:rtl/>
        </w:rPr>
        <w:t> </w:t>
      </w:r>
      <w:proofErr w:type="gramStart"/>
      <w:r w:rsidRPr="00326EE1">
        <w:rPr>
          <w:rFonts w:hint="cs"/>
          <w:i/>
          <w:iCs/>
          <w:spacing w:val="-2"/>
          <w:rtl/>
        </w:rPr>
        <w:t>أ )</w:t>
      </w:r>
      <w:proofErr w:type="gramEnd"/>
      <w:r w:rsidR="00B96C9E" w:rsidRPr="00326EE1">
        <w:rPr>
          <w:spacing w:val="-2"/>
          <w:rtl/>
        </w:rPr>
        <w:tab/>
      </w:r>
      <w:r w:rsidR="00A66E8C" w:rsidRPr="00326EE1">
        <w:rPr>
          <w:spacing w:val="-2"/>
          <w:rtl/>
        </w:rPr>
        <w:t xml:space="preserve">القرار </w:t>
      </w:r>
      <w:r w:rsidR="00A66E8C" w:rsidRPr="00326EE1">
        <w:rPr>
          <w:spacing w:val="-2"/>
          <w:cs/>
        </w:rPr>
        <w:t>‎</w:t>
      </w:r>
      <w:r w:rsidR="00A66E8C" w:rsidRPr="00326EE1">
        <w:rPr>
          <w:spacing w:val="-2"/>
        </w:rPr>
        <w:t>44</w:t>
      </w:r>
      <w:r w:rsidR="00A66E8C" w:rsidRPr="00326EE1">
        <w:rPr>
          <w:spacing w:val="-2"/>
          <w:rtl/>
        </w:rPr>
        <w:t xml:space="preserve"> ‏(المراجَع في جنيف، 2022) </w:t>
      </w:r>
      <w:r w:rsidR="001B1B45" w:rsidRPr="00326EE1">
        <w:rPr>
          <w:rFonts w:hint="cs"/>
          <w:spacing w:val="-2"/>
          <w:rtl/>
        </w:rPr>
        <w:t>لهذه الجمعية</w:t>
      </w:r>
      <w:r w:rsidR="00A66E8C" w:rsidRPr="00326EE1">
        <w:rPr>
          <w:spacing w:val="-2"/>
          <w:rtl/>
        </w:rPr>
        <w:t xml:space="preserve">، ‏بشأن سد الفجوة </w:t>
      </w:r>
      <w:proofErr w:type="spellStart"/>
      <w:r w:rsidR="00A66E8C" w:rsidRPr="00326EE1">
        <w:rPr>
          <w:spacing w:val="-2"/>
          <w:rtl/>
        </w:rPr>
        <w:t>التقييسية</w:t>
      </w:r>
      <w:proofErr w:type="spellEnd"/>
      <w:r w:rsidR="00A66E8C" w:rsidRPr="00326EE1">
        <w:rPr>
          <w:spacing w:val="-2"/>
          <w:rtl/>
        </w:rPr>
        <w:t xml:space="preserve"> بين البلدان المتقدمة والبلدان النامية؛</w:t>
      </w:r>
    </w:p>
    <w:p w14:paraId="0B019FFF" w14:textId="1F3429C1" w:rsidR="00B96C9E" w:rsidRDefault="00B96C9E" w:rsidP="00B96C9E">
      <w:pPr>
        <w:rPr>
          <w:rtl/>
        </w:rPr>
      </w:pPr>
      <w:r w:rsidRPr="00B96C9E">
        <w:rPr>
          <w:rFonts w:hint="cs"/>
          <w:i/>
          <w:iCs/>
          <w:rtl/>
        </w:rPr>
        <w:t>ب)</w:t>
      </w:r>
      <w:r>
        <w:rPr>
          <w:rtl/>
        </w:rPr>
        <w:tab/>
      </w:r>
      <w:r w:rsidR="00A66E8C" w:rsidRPr="00A66E8C">
        <w:rPr>
          <w:rtl/>
        </w:rPr>
        <w:t>بالقرار 89 (كيغالي، 2022) للمؤتمر العالمي لتنمية الاتصالات، بشأن التحول الرقمي من أجل التنمية المستدامة،</w:t>
      </w:r>
    </w:p>
    <w:p w14:paraId="66093FCB" w14:textId="373E3563" w:rsidR="00B96C9E" w:rsidRDefault="00247407" w:rsidP="00B96C9E">
      <w:pPr>
        <w:pStyle w:val="Call"/>
        <w:rPr>
          <w:rtl/>
        </w:rPr>
      </w:pPr>
      <w:r>
        <w:rPr>
          <w:rFonts w:hint="cs"/>
          <w:rtl/>
        </w:rPr>
        <w:t>وإذ تضع في اعتبارها</w:t>
      </w:r>
    </w:p>
    <w:p w14:paraId="1DA10492" w14:textId="2557FB6C" w:rsidR="00B96C9E" w:rsidRDefault="0029548F" w:rsidP="00B96C9E">
      <w:pPr>
        <w:rPr>
          <w:rtl/>
        </w:rPr>
      </w:pPr>
      <w:r>
        <w:rPr>
          <w:rFonts w:hint="eastAsia"/>
          <w:i/>
          <w:iCs/>
          <w:rtl/>
        </w:rPr>
        <w:t> </w:t>
      </w:r>
      <w:proofErr w:type="gramStart"/>
      <w:r>
        <w:rPr>
          <w:rFonts w:hint="cs"/>
          <w:i/>
          <w:iCs/>
          <w:rtl/>
        </w:rPr>
        <w:t>أ )</w:t>
      </w:r>
      <w:proofErr w:type="gramEnd"/>
      <w:r w:rsidR="00B96C9E">
        <w:rPr>
          <w:rtl/>
        </w:rPr>
        <w:tab/>
      </w:r>
      <w:r w:rsidR="00A66E8C" w:rsidRPr="00A66E8C">
        <w:rPr>
          <w:rtl/>
        </w:rPr>
        <w:t xml:space="preserve">أن التحول الرقمي من خلال استخدام التكنولوجيات الرئيسية الناشئة وتمكين الخدمات والتطبيقات الجديدة وتعزيز مجتمع المعلومات هو العامل </w:t>
      </w:r>
      <w:proofErr w:type="spellStart"/>
      <w:r w:rsidR="00A66E8C" w:rsidRPr="00A66E8C">
        <w:rPr>
          <w:rtl/>
        </w:rPr>
        <w:t>التمكيني</w:t>
      </w:r>
      <w:proofErr w:type="spellEnd"/>
      <w:r w:rsidR="00A66E8C" w:rsidRPr="00A66E8C">
        <w:rPr>
          <w:rtl/>
        </w:rPr>
        <w:t xml:space="preserve"> الرئيسي لإحراز تقدم نحو التنمية المستدامة، وهو ما تجب مراعاته في أعمال قطاع تقييس</w:t>
      </w:r>
      <w:r w:rsidR="00F20FDC">
        <w:rPr>
          <w:rFonts w:hint="cs"/>
          <w:rtl/>
        </w:rPr>
        <w:t> </w:t>
      </w:r>
      <w:r w:rsidR="00A66E8C" w:rsidRPr="00A66E8C">
        <w:rPr>
          <w:rtl/>
        </w:rPr>
        <w:t>الاتصالات؛</w:t>
      </w:r>
    </w:p>
    <w:p w14:paraId="45391ED8" w14:textId="5F0FBF07" w:rsidR="00B96C9E" w:rsidRDefault="00B96C9E" w:rsidP="00B96C9E">
      <w:pPr>
        <w:rPr>
          <w:rtl/>
        </w:rPr>
      </w:pPr>
      <w:r w:rsidRPr="00B96C9E">
        <w:rPr>
          <w:rFonts w:hint="cs"/>
          <w:i/>
          <w:iCs/>
          <w:rtl/>
        </w:rPr>
        <w:t>ب)</w:t>
      </w:r>
      <w:r>
        <w:rPr>
          <w:rtl/>
        </w:rPr>
        <w:tab/>
      </w:r>
      <w:r w:rsidR="00A66E8C" w:rsidRPr="00A66E8C">
        <w:rPr>
          <w:rtl/>
        </w:rPr>
        <w:t>أنه بالنسبة للبلدان النامية في المرحلة الأولى من إدخال التحول الرقمي، من المهم أن تكون هناك معايير ومبادئ توجيهية تقنية تمكِّن من إدخال التحول الرقمي في الوقت المناسب؛</w:t>
      </w:r>
    </w:p>
    <w:p w14:paraId="468193A9" w14:textId="04378DD0" w:rsidR="00B96C9E" w:rsidRDefault="00B96C9E" w:rsidP="00B96C9E">
      <w:pPr>
        <w:rPr>
          <w:rtl/>
        </w:rPr>
      </w:pPr>
      <w:r w:rsidRPr="00B96C9E">
        <w:rPr>
          <w:rFonts w:hint="cs"/>
          <w:i/>
          <w:iCs/>
          <w:rtl/>
        </w:rPr>
        <w:t>ج)</w:t>
      </w:r>
      <w:r>
        <w:rPr>
          <w:rtl/>
        </w:rPr>
        <w:tab/>
      </w:r>
      <w:r w:rsidR="00A66E8C" w:rsidRPr="00A66E8C">
        <w:rPr>
          <w:rtl/>
        </w:rPr>
        <w:t>أن هناك حاجة إلى الإسراع في وضع معايير دولية عالية الجودة وقائمة على الطلب وقابلة للتشغيل البيني وغير تمييزية (توصيات قطاع تقييس الاتصالات) لدعم وتيسير الأنشطة المتعلقة بالتحول الرقمي المستدام بما يتماشى مع مبادئ التوصيلية العالمية والانفتاح والقدرة على تحمل التكاليف والموثوقية وقابلية التشغيل البيني والأمن، وهي مبادئ بالغة الأهمية لتوليد الثقة من أجل مزيد من الاستثمارات في التحول الرقمي المستدام؛</w:t>
      </w:r>
    </w:p>
    <w:p w14:paraId="471FD366" w14:textId="7AEF16BC" w:rsidR="00B96C9E" w:rsidRDefault="00B96C9E" w:rsidP="00B96C9E">
      <w:pPr>
        <w:rPr>
          <w:rtl/>
        </w:rPr>
      </w:pPr>
      <w:proofErr w:type="gramStart"/>
      <w:r w:rsidRPr="00B96C9E">
        <w:rPr>
          <w:rFonts w:hint="cs"/>
          <w:i/>
          <w:iCs/>
          <w:rtl/>
        </w:rPr>
        <w:t>د</w:t>
      </w:r>
      <w:r w:rsidR="0068393F">
        <w:rPr>
          <w:rFonts w:hint="eastAsia"/>
          <w:i/>
          <w:iCs/>
          <w:rtl/>
        </w:rPr>
        <w:t> </w:t>
      </w:r>
      <w:r w:rsidRPr="00B96C9E">
        <w:rPr>
          <w:rFonts w:hint="cs"/>
          <w:i/>
          <w:iCs/>
          <w:rtl/>
        </w:rPr>
        <w:t>)</w:t>
      </w:r>
      <w:proofErr w:type="gramEnd"/>
      <w:r>
        <w:rPr>
          <w:rtl/>
        </w:rPr>
        <w:tab/>
      </w:r>
      <w:r w:rsidR="00A66E8C" w:rsidRPr="00A66E8C">
        <w:rPr>
          <w:rtl/>
        </w:rPr>
        <w:t>أن هناك حاجة أيضاً إلى توسيع وتيسير التعاون الدولي بشأن التحول الرقمي المستدام في أوساط هيئات التقييس الدولية والإقليمية، سعياً إلى تجنب ازدواجية العمل وتحقيق الاستعمال الفعال للموارد،</w:t>
      </w:r>
    </w:p>
    <w:p w14:paraId="0B99F0FD" w14:textId="094DE7AA" w:rsidR="00085198" w:rsidRDefault="00247407" w:rsidP="00085198">
      <w:pPr>
        <w:pStyle w:val="Call"/>
        <w:rPr>
          <w:rtl/>
        </w:rPr>
      </w:pPr>
      <w:r>
        <w:rPr>
          <w:rFonts w:hint="cs"/>
          <w:rtl/>
        </w:rPr>
        <w:t>وإذ تضع في اعتبارها كذلك</w:t>
      </w:r>
    </w:p>
    <w:p w14:paraId="75C52B28" w14:textId="69860B0B" w:rsidR="00085198" w:rsidRPr="003B623E" w:rsidRDefault="00A66E8C" w:rsidP="00085198">
      <w:pPr>
        <w:rPr>
          <w:spacing w:val="-2"/>
          <w:rtl/>
        </w:rPr>
      </w:pPr>
      <w:r w:rsidRPr="003B623E">
        <w:rPr>
          <w:spacing w:val="-2"/>
          <w:rtl/>
        </w:rPr>
        <w:t>أن المعايير والتوصيات التقنية لقطاع تقييس الاتصالات التي تدعم التحول الرقمي وتيسره ستسهم في تحقيق خطة التنمية المستدامة لعام 2030 ونواتج القمة العالمية لمجتمع المعلومات، مع مراعاة أن البلدان النامية يمكن أن تستفيد كثيراً من تطبيق وتطوير المعايير والمبادئ التوجيهية التقنية التي تيسر أنشطة التحول الرقمي،</w:t>
      </w:r>
    </w:p>
    <w:p w14:paraId="719829C3" w14:textId="696EC631" w:rsidR="00085198" w:rsidRDefault="00247407" w:rsidP="00085198">
      <w:pPr>
        <w:pStyle w:val="Call"/>
        <w:rPr>
          <w:rtl/>
        </w:rPr>
      </w:pPr>
      <w:r>
        <w:rPr>
          <w:rFonts w:hint="cs"/>
          <w:rtl/>
        </w:rPr>
        <w:t>وإذ تلاحظ</w:t>
      </w:r>
    </w:p>
    <w:p w14:paraId="1E4A1DC2" w14:textId="0A8DF91E" w:rsidR="00085198" w:rsidRDefault="00A66E8C" w:rsidP="00085198">
      <w:pPr>
        <w:rPr>
          <w:rtl/>
        </w:rPr>
      </w:pPr>
      <w:r w:rsidRPr="00A66E8C">
        <w:rPr>
          <w:rtl/>
        </w:rPr>
        <w:t>‏أن الفريق الاستشاري لتقييس الاتصالات (</w:t>
      </w:r>
      <w:r w:rsidRPr="00A66E8C">
        <w:rPr>
          <w:cs/>
        </w:rPr>
        <w:t>‎</w:t>
      </w:r>
      <w:r w:rsidRPr="00A66E8C">
        <w:t>TSAG</w:t>
      </w:r>
      <w:r w:rsidRPr="00A66E8C">
        <w:rPr>
          <w:rtl/>
        </w:rPr>
        <w:t>) ‏أنشأ فريق مقرر معني بالتحول الرقمي المستدام (</w:t>
      </w:r>
      <w:r w:rsidRPr="00A66E8C">
        <w:rPr>
          <w:cs/>
        </w:rPr>
        <w:t>‎</w:t>
      </w:r>
      <w:r w:rsidRPr="00A66E8C">
        <w:t>RG-DT</w:t>
      </w:r>
      <w:r w:rsidRPr="00A66E8C">
        <w:rPr>
          <w:rtl/>
        </w:rPr>
        <w:t xml:space="preserve">) ‏في يونيو </w:t>
      </w:r>
      <w:r w:rsidRPr="00A66E8C">
        <w:rPr>
          <w:cs/>
        </w:rPr>
        <w:t>‎</w:t>
      </w:r>
      <w:r w:rsidRPr="00A66E8C">
        <w:t>2023</w:t>
      </w:r>
      <w:r w:rsidRPr="00A66E8C">
        <w:rPr>
          <w:rtl/>
        </w:rPr>
        <w:t>‏،</w:t>
      </w:r>
    </w:p>
    <w:p w14:paraId="275927FA" w14:textId="58645D88" w:rsidR="00085198" w:rsidRDefault="00247407" w:rsidP="00085198">
      <w:pPr>
        <w:pStyle w:val="Call"/>
        <w:rPr>
          <w:rtl/>
        </w:rPr>
      </w:pPr>
      <w:r>
        <w:rPr>
          <w:rFonts w:hint="cs"/>
          <w:rtl/>
        </w:rPr>
        <w:t>تقرر أن تكلف الفريق الاستشاري لتقييس الاتصالات</w:t>
      </w:r>
    </w:p>
    <w:p w14:paraId="267E4A5F" w14:textId="0E8866FF" w:rsidR="00085198" w:rsidRDefault="00A66E8C" w:rsidP="00085198">
      <w:pPr>
        <w:rPr>
          <w:rtl/>
        </w:rPr>
      </w:pPr>
      <w:r w:rsidRPr="00A66E8C">
        <w:rPr>
          <w:rtl/>
        </w:rPr>
        <w:t>‏باتخاذ جميع الخطوات اللازمة لتشجيع وتعزيز أنشطة التقييس التي تدعم وتيسر التحول الرقمي، بما في ذلك استمرار فريق المقرر المعني بالتحول الرقمي المستدام،</w:t>
      </w:r>
    </w:p>
    <w:p w14:paraId="77D5E3E8" w14:textId="6182FF1C" w:rsidR="00085198" w:rsidRDefault="00A66E8C" w:rsidP="00085198">
      <w:pPr>
        <w:pStyle w:val="Call"/>
        <w:rPr>
          <w:rtl/>
        </w:rPr>
      </w:pPr>
      <w:r w:rsidRPr="00A66E8C">
        <w:rPr>
          <w:rtl/>
        </w:rPr>
        <w:t>تكلف لجان دراسات قطاع تقييس الاتصالات كل في إطار ولايتها</w:t>
      </w:r>
    </w:p>
    <w:p w14:paraId="0E5CAA64" w14:textId="07569B4A" w:rsidR="00085198" w:rsidRDefault="0068393F" w:rsidP="00085198">
      <w:pPr>
        <w:rPr>
          <w:rtl/>
        </w:rPr>
      </w:pPr>
      <w:r>
        <w:rPr>
          <w:rFonts w:hint="eastAsia"/>
          <w:i/>
          <w:iCs/>
          <w:rtl/>
        </w:rPr>
        <w:t> </w:t>
      </w:r>
      <w:proofErr w:type="gramStart"/>
      <w:r>
        <w:rPr>
          <w:rFonts w:hint="cs"/>
          <w:i/>
          <w:iCs/>
          <w:rtl/>
        </w:rPr>
        <w:t>أ )</w:t>
      </w:r>
      <w:proofErr w:type="gramEnd"/>
      <w:r w:rsidR="00085198">
        <w:rPr>
          <w:rtl/>
        </w:rPr>
        <w:tab/>
      </w:r>
      <w:r w:rsidR="00A66E8C" w:rsidRPr="00A66E8C">
        <w:rPr>
          <w:rtl/>
        </w:rPr>
        <w:t>بوضع معايير ومبادئ توجيهية وممارسات فضلى تقنية تساعد الأعضاء، ولا</w:t>
      </w:r>
      <w:r>
        <w:rPr>
          <w:rFonts w:hint="cs"/>
          <w:rtl/>
        </w:rPr>
        <w:t> </w:t>
      </w:r>
      <w:r w:rsidR="00A66E8C" w:rsidRPr="00A66E8C">
        <w:rPr>
          <w:rtl/>
        </w:rPr>
        <w:t>سيما البلدان النامية، كي تستفيد من الاتصالات/تكنولوجيا المعلومات والاتصالات الجديدة والناشئة من أجل دعم التحول الرقمي؛</w:t>
      </w:r>
    </w:p>
    <w:p w14:paraId="14017DA5" w14:textId="06669F30" w:rsidR="00085198" w:rsidRPr="002359CC" w:rsidRDefault="00085198" w:rsidP="00085198">
      <w:pPr>
        <w:rPr>
          <w:lang w:val="de-DE"/>
        </w:rPr>
      </w:pPr>
      <w:r w:rsidRPr="00B96C9E">
        <w:rPr>
          <w:rFonts w:hint="cs"/>
          <w:i/>
          <w:iCs/>
          <w:rtl/>
        </w:rPr>
        <w:lastRenderedPageBreak/>
        <w:t>ب)</w:t>
      </w:r>
      <w:r>
        <w:rPr>
          <w:rtl/>
        </w:rPr>
        <w:tab/>
      </w:r>
      <w:r w:rsidR="00A66E8C" w:rsidRPr="00A66E8C">
        <w:rPr>
          <w:rtl/>
        </w:rPr>
        <w:t xml:space="preserve">بالتنسيق والتعاون مع الأفرقة الأخرى داخل الاتحاد والمنظمات والمؤسسات الأخرى المعنية بوضع المعايير </w:t>
      </w:r>
      <w:r w:rsidR="0068393F">
        <w:t>(SDO</w:t>
      </w:r>
      <w:r w:rsidR="0068393F">
        <w:rPr>
          <w:lang w:bidi="ar-EG"/>
        </w:rPr>
        <w:t>)</w:t>
      </w:r>
      <w:r w:rsidR="0068393F">
        <w:rPr>
          <w:rFonts w:hint="cs"/>
          <w:rtl/>
          <w:lang w:bidi="ar-EG"/>
        </w:rPr>
        <w:t xml:space="preserve"> </w:t>
      </w:r>
      <w:r w:rsidR="00A66E8C" w:rsidRPr="00A66E8C">
        <w:rPr>
          <w:rtl/>
        </w:rPr>
        <w:t>التي تتولى المسؤولية الرئيسية عن وضع المعايير وبناء القدرات في مجال التحول الرقمي،</w:t>
      </w:r>
    </w:p>
    <w:p w14:paraId="61C0EC10" w14:textId="42592211" w:rsidR="00085198" w:rsidRDefault="00247407" w:rsidP="00085198">
      <w:pPr>
        <w:pStyle w:val="Call"/>
        <w:rPr>
          <w:rtl/>
        </w:rPr>
      </w:pPr>
      <w:r>
        <w:rPr>
          <w:rFonts w:hint="cs"/>
          <w:rtl/>
        </w:rPr>
        <w:t>تدعو الدول الأعضاء وأعضاء القطاع والمنتسبين والهيئات الأكاديمية</w:t>
      </w:r>
    </w:p>
    <w:p w14:paraId="37E2EE87" w14:textId="20C61C4C" w:rsidR="00085198" w:rsidRDefault="00A66E8C" w:rsidP="00085198">
      <w:pPr>
        <w:rPr>
          <w:rtl/>
        </w:rPr>
      </w:pPr>
      <w:r w:rsidRPr="00A66E8C">
        <w:rPr>
          <w:rtl/>
        </w:rPr>
        <w:t xml:space="preserve">المساهمة في الدراسات </w:t>
      </w:r>
      <w:r>
        <w:rPr>
          <w:rFonts w:hint="cs"/>
          <w:rtl/>
        </w:rPr>
        <w:t>عن</w:t>
      </w:r>
      <w:r w:rsidRPr="00A66E8C">
        <w:rPr>
          <w:rtl/>
        </w:rPr>
        <w:t xml:space="preserve"> التحول الرقمي وتطوير المعايير والمبادئ التوجيهية التقنية المتعلقة بهذا ال</w:t>
      </w:r>
      <w:r>
        <w:rPr>
          <w:rFonts w:hint="cs"/>
          <w:rtl/>
        </w:rPr>
        <w:t>موضوع</w:t>
      </w:r>
      <w:r w:rsidRPr="00A66E8C">
        <w:rPr>
          <w:rtl/>
        </w:rPr>
        <w:t>.</w:t>
      </w:r>
    </w:p>
    <w:p w14:paraId="15575C06" w14:textId="77777777" w:rsidR="006B14FF" w:rsidRDefault="006B14FF" w:rsidP="006B14FF">
      <w:pPr>
        <w:pStyle w:val="Reasons"/>
        <w:rPr>
          <w:rtl/>
        </w:rPr>
      </w:pPr>
    </w:p>
    <w:sectPr w:rsidR="006B14FF" w:rsidSect="00B775AF">
      <w:headerReference w:type="even" r:id="rId15"/>
      <w:headerReference w:type="default" r:id="rId16"/>
      <w:pgSz w:w="11907" w:h="16834" w:code="9"/>
      <w:pgMar w:top="1134" w:right="1134" w:bottom="1134" w:left="1134" w:header="284"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29915" w14:textId="77777777" w:rsidR="006031CC" w:rsidRDefault="006031CC" w:rsidP="002919E1">
      <w:r>
        <w:separator/>
      </w:r>
    </w:p>
    <w:p w14:paraId="11476B56" w14:textId="77777777" w:rsidR="006031CC" w:rsidRDefault="006031CC" w:rsidP="002919E1"/>
    <w:p w14:paraId="7BED7843" w14:textId="77777777" w:rsidR="006031CC" w:rsidRDefault="006031CC" w:rsidP="002919E1"/>
    <w:p w14:paraId="602BA11E" w14:textId="77777777" w:rsidR="006031CC" w:rsidRDefault="006031CC"/>
  </w:endnote>
  <w:endnote w:type="continuationSeparator" w:id="0">
    <w:p w14:paraId="5C92EF16" w14:textId="77777777" w:rsidR="006031CC" w:rsidRDefault="006031CC" w:rsidP="002919E1">
      <w:r>
        <w:continuationSeparator/>
      </w:r>
    </w:p>
    <w:p w14:paraId="0BEB0C77" w14:textId="77777777" w:rsidR="006031CC" w:rsidRDefault="006031CC" w:rsidP="002919E1"/>
    <w:p w14:paraId="5349F32B" w14:textId="77777777" w:rsidR="006031CC" w:rsidRDefault="006031CC" w:rsidP="002919E1"/>
    <w:p w14:paraId="57028C77" w14:textId="77777777" w:rsidR="006031CC" w:rsidRDefault="00603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6000B" w14:textId="77777777" w:rsidR="006031CC" w:rsidRDefault="006031CC" w:rsidP="002919E1">
      <w:r>
        <w:t>___________________</w:t>
      </w:r>
    </w:p>
  </w:footnote>
  <w:footnote w:type="continuationSeparator" w:id="0">
    <w:p w14:paraId="1FBC0545" w14:textId="77777777" w:rsidR="006031CC" w:rsidRDefault="006031CC" w:rsidP="002919E1">
      <w:r>
        <w:continuationSeparator/>
      </w:r>
    </w:p>
    <w:p w14:paraId="0B22E30A" w14:textId="77777777" w:rsidR="006031CC" w:rsidRDefault="006031CC" w:rsidP="002919E1"/>
    <w:p w14:paraId="546CA83C" w14:textId="77777777" w:rsidR="006031CC" w:rsidRDefault="006031CC" w:rsidP="002919E1"/>
    <w:p w14:paraId="677EE913" w14:textId="77777777" w:rsidR="006031CC" w:rsidRDefault="006031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17FA" w14:textId="77777777" w:rsidR="00281F5F" w:rsidRDefault="00281F5F" w:rsidP="002919E1"/>
  <w:p w14:paraId="5578D325" w14:textId="77777777" w:rsidR="00281F5F" w:rsidRDefault="00281F5F" w:rsidP="002919E1"/>
  <w:p w14:paraId="17492010"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8C8A" w14:textId="77777777" w:rsidR="00654230" w:rsidRPr="00591B1A" w:rsidRDefault="006175E7" w:rsidP="00591B1A">
    <w:pPr>
      <w:pStyle w:val="Header"/>
      <w:spacing w:after="120"/>
      <w:rPr>
        <w:sz w:val="18"/>
        <w:szCs w:val="18"/>
      </w:rPr>
    </w:pPr>
    <w:r w:rsidRPr="00591B1A">
      <w:rPr>
        <w:sz w:val="18"/>
        <w:szCs w:val="18"/>
      </w:rPr>
      <w:fldChar w:fldCharType="begin"/>
    </w:r>
    <w:r w:rsidRPr="00591B1A">
      <w:rPr>
        <w:sz w:val="18"/>
        <w:szCs w:val="18"/>
      </w:rPr>
      <w:instrText xml:space="preserve"> PAGE  \* MERGEFORMAT </w:instrText>
    </w:r>
    <w:r w:rsidRPr="00591B1A">
      <w:rPr>
        <w:sz w:val="18"/>
        <w:szCs w:val="18"/>
      </w:rPr>
      <w:fldChar w:fldCharType="separate"/>
    </w:r>
    <w:r w:rsidRPr="00591B1A">
      <w:rPr>
        <w:sz w:val="18"/>
        <w:szCs w:val="18"/>
      </w:rPr>
      <w:t>2</w:t>
    </w:r>
    <w:r w:rsidRPr="00591B1A">
      <w:rPr>
        <w:sz w:val="18"/>
        <w:szCs w:val="18"/>
      </w:rPr>
      <w:fldChar w:fldCharType="end"/>
    </w:r>
    <w:r w:rsidR="00EB52D8" w:rsidRPr="00591B1A">
      <w:rPr>
        <w:sz w:val="18"/>
        <w:szCs w:val="18"/>
      </w:rPr>
      <w:br/>
    </w:r>
    <w:r w:rsidR="00966FA2" w:rsidRPr="00591B1A">
      <w:rPr>
        <w:sz w:val="18"/>
        <w:szCs w:val="18"/>
      </w:rPr>
      <w:t>WTSA-24/36(Add.29)-A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4E24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6E6A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7C7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D436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0CB7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611473645">
    <w:abstractNumId w:val="9"/>
  </w:num>
  <w:num w:numId="2" w16cid:durableId="389111259">
    <w:abstractNumId w:val="13"/>
  </w:num>
  <w:num w:numId="3" w16cid:durableId="1547329726">
    <w:abstractNumId w:val="10"/>
  </w:num>
  <w:num w:numId="4" w16cid:durableId="1161233255">
    <w:abstractNumId w:val="14"/>
  </w:num>
  <w:num w:numId="5" w16cid:durableId="1094473534">
    <w:abstractNumId w:val="7"/>
  </w:num>
  <w:num w:numId="6" w16cid:durableId="1411000335">
    <w:abstractNumId w:val="6"/>
  </w:num>
  <w:num w:numId="7" w16cid:durableId="1406952332">
    <w:abstractNumId w:val="5"/>
  </w:num>
  <w:num w:numId="8" w16cid:durableId="1794977301">
    <w:abstractNumId w:val="4"/>
  </w:num>
  <w:num w:numId="9" w16cid:durableId="1003976467">
    <w:abstractNumId w:val="8"/>
  </w:num>
  <w:num w:numId="10" w16cid:durableId="1515798568">
    <w:abstractNumId w:val="3"/>
  </w:num>
  <w:num w:numId="11" w16cid:durableId="1053499970">
    <w:abstractNumId w:val="2"/>
  </w:num>
  <w:num w:numId="12" w16cid:durableId="49698427">
    <w:abstractNumId w:val="1"/>
  </w:num>
  <w:num w:numId="13" w16cid:durableId="920211945">
    <w:abstractNumId w:val="0"/>
  </w:num>
  <w:num w:numId="14" w16cid:durableId="1718581274">
    <w:abstractNumId w:val="11"/>
  </w:num>
  <w:num w:numId="15" w16cid:durableId="694044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5A3F"/>
    <w:rsid w:val="00085198"/>
    <w:rsid w:val="000976A3"/>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67364"/>
    <w:rsid w:val="00184643"/>
    <w:rsid w:val="001903B2"/>
    <w:rsid w:val="001B1B45"/>
    <w:rsid w:val="001B5953"/>
    <w:rsid w:val="001B6237"/>
    <w:rsid w:val="001D746E"/>
    <w:rsid w:val="001E190C"/>
    <w:rsid w:val="001E51EE"/>
    <w:rsid w:val="001E54F6"/>
    <w:rsid w:val="001E5A8C"/>
    <w:rsid w:val="00201A0A"/>
    <w:rsid w:val="002075D4"/>
    <w:rsid w:val="00211B2A"/>
    <w:rsid w:val="00223C6C"/>
    <w:rsid w:val="0023289F"/>
    <w:rsid w:val="002333A0"/>
    <w:rsid w:val="002359CC"/>
    <w:rsid w:val="00246BAF"/>
    <w:rsid w:val="00247407"/>
    <w:rsid w:val="002543CF"/>
    <w:rsid w:val="00254EA5"/>
    <w:rsid w:val="0026062E"/>
    <w:rsid w:val="00260F50"/>
    <w:rsid w:val="00261EF7"/>
    <w:rsid w:val="00266EA9"/>
    <w:rsid w:val="0027069F"/>
    <w:rsid w:val="0027790E"/>
    <w:rsid w:val="00280E04"/>
    <w:rsid w:val="00281F5F"/>
    <w:rsid w:val="002843E4"/>
    <w:rsid w:val="0028769D"/>
    <w:rsid w:val="002919E1"/>
    <w:rsid w:val="0029548F"/>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26EE1"/>
    <w:rsid w:val="003309DA"/>
    <w:rsid w:val="0033737F"/>
    <w:rsid w:val="003448DA"/>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B623E"/>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3B3"/>
    <w:rsid w:val="004636E2"/>
    <w:rsid w:val="00470CBD"/>
    <w:rsid w:val="0047407D"/>
    <w:rsid w:val="00484AF6"/>
    <w:rsid w:val="00485F9E"/>
    <w:rsid w:val="00486B2B"/>
    <w:rsid w:val="004909DD"/>
    <w:rsid w:val="004A05E6"/>
    <w:rsid w:val="004A6230"/>
    <w:rsid w:val="004A6C66"/>
    <w:rsid w:val="004A7AA0"/>
    <w:rsid w:val="004C11BC"/>
    <w:rsid w:val="004C5C04"/>
    <w:rsid w:val="004D0448"/>
    <w:rsid w:val="004D4AE6"/>
    <w:rsid w:val="004E2A5D"/>
    <w:rsid w:val="004E5A21"/>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67A62"/>
    <w:rsid w:val="005730DF"/>
    <w:rsid w:val="00576D0A"/>
    <w:rsid w:val="00576FCC"/>
    <w:rsid w:val="00584333"/>
    <w:rsid w:val="00586B66"/>
    <w:rsid w:val="00591B1A"/>
    <w:rsid w:val="005953EC"/>
    <w:rsid w:val="005B00A1"/>
    <w:rsid w:val="005C29C8"/>
    <w:rsid w:val="005C3880"/>
    <w:rsid w:val="005C5D25"/>
    <w:rsid w:val="005D2606"/>
    <w:rsid w:val="005D6D48"/>
    <w:rsid w:val="005D72A4"/>
    <w:rsid w:val="005F05CC"/>
    <w:rsid w:val="005F07CC"/>
    <w:rsid w:val="005F65DE"/>
    <w:rsid w:val="006031CC"/>
    <w:rsid w:val="00613492"/>
    <w:rsid w:val="006175E7"/>
    <w:rsid w:val="00630905"/>
    <w:rsid w:val="006315B5"/>
    <w:rsid w:val="00641B73"/>
    <w:rsid w:val="00653585"/>
    <w:rsid w:val="00654230"/>
    <w:rsid w:val="0065562F"/>
    <w:rsid w:val="0066267D"/>
    <w:rsid w:val="00670C11"/>
    <w:rsid w:val="006779A4"/>
    <w:rsid w:val="00680A38"/>
    <w:rsid w:val="00680A66"/>
    <w:rsid w:val="00681391"/>
    <w:rsid w:val="0068393F"/>
    <w:rsid w:val="00694690"/>
    <w:rsid w:val="0069526C"/>
    <w:rsid w:val="00697401"/>
    <w:rsid w:val="006A12AC"/>
    <w:rsid w:val="006A2162"/>
    <w:rsid w:val="006B14FF"/>
    <w:rsid w:val="006B4B90"/>
    <w:rsid w:val="006B600C"/>
    <w:rsid w:val="006B658C"/>
    <w:rsid w:val="006D2674"/>
    <w:rsid w:val="006E38D0"/>
    <w:rsid w:val="006E465B"/>
    <w:rsid w:val="006F14DF"/>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57CB"/>
    <w:rsid w:val="00873A6F"/>
    <w:rsid w:val="00875235"/>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46BFC"/>
    <w:rsid w:val="009512E6"/>
    <w:rsid w:val="00951718"/>
    <w:rsid w:val="00960962"/>
    <w:rsid w:val="00966FA2"/>
    <w:rsid w:val="00972CE0"/>
    <w:rsid w:val="0097742C"/>
    <w:rsid w:val="009A3D30"/>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0C7A"/>
    <w:rsid w:val="00A65EC8"/>
    <w:rsid w:val="00A66D2B"/>
    <w:rsid w:val="00A66E8C"/>
    <w:rsid w:val="00A770F2"/>
    <w:rsid w:val="00A7740B"/>
    <w:rsid w:val="00A809E8"/>
    <w:rsid w:val="00A870AD"/>
    <w:rsid w:val="00A90843"/>
    <w:rsid w:val="00A9645C"/>
    <w:rsid w:val="00AA0C42"/>
    <w:rsid w:val="00AA12BE"/>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08BF"/>
    <w:rsid w:val="00B344B6"/>
    <w:rsid w:val="00B357E9"/>
    <w:rsid w:val="00B4164D"/>
    <w:rsid w:val="00B425C1"/>
    <w:rsid w:val="00B571AC"/>
    <w:rsid w:val="00B606BA"/>
    <w:rsid w:val="00B63EAC"/>
    <w:rsid w:val="00B6441D"/>
    <w:rsid w:val="00B66817"/>
    <w:rsid w:val="00B672BD"/>
    <w:rsid w:val="00B71E3B"/>
    <w:rsid w:val="00B721D5"/>
    <w:rsid w:val="00B775AF"/>
    <w:rsid w:val="00B81CB5"/>
    <w:rsid w:val="00B8351F"/>
    <w:rsid w:val="00B86C44"/>
    <w:rsid w:val="00B933AA"/>
    <w:rsid w:val="00B946B6"/>
    <w:rsid w:val="00B96C9E"/>
    <w:rsid w:val="00B9727C"/>
    <w:rsid w:val="00BA7D44"/>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01A27"/>
    <w:rsid w:val="00D1576B"/>
    <w:rsid w:val="00D1755F"/>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97DEA"/>
    <w:rsid w:val="00DA1AE0"/>
    <w:rsid w:val="00DA4259"/>
    <w:rsid w:val="00DC29DD"/>
    <w:rsid w:val="00DC7C0E"/>
    <w:rsid w:val="00DE1E82"/>
    <w:rsid w:val="00DE7387"/>
    <w:rsid w:val="00DF1928"/>
    <w:rsid w:val="00DF2A6A"/>
    <w:rsid w:val="00DF3B72"/>
    <w:rsid w:val="00E01DFD"/>
    <w:rsid w:val="00E10821"/>
    <w:rsid w:val="00E12CA3"/>
    <w:rsid w:val="00E16E67"/>
    <w:rsid w:val="00E2489D"/>
    <w:rsid w:val="00E26520"/>
    <w:rsid w:val="00E343A3"/>
    <w:rsid w:val="00E343F0"/>
    <w:rsid w:val="00E51BFA"/>
    <w:rsid w:val="00E621A3"/>
    <w:rsid w:val="00E833BC"/>
    <w:rsid w:val="00E8580E"/>
    <w:rsid w:val="00E97E21"/>
    <w:rsid w:val="00EA1B76"/>
    <w:rsid w:val="00EA77D7"/>
    <w:rsid w:val="00EB52D8"/>
    <w:rsid w:val="00EC09B9"/>
    <w:rsid w:val="00EC0AD3"/>
    <w:rsid w:val="00ED048C"/>
    <w:rsid w:val="00ED663B"/>
    <w:rsid w:val="00EE60E9"/>
    <w:rsid w:val="00EF38AF"/>
    <w:rsid w:val="00EF7F56"/>
    <w:rsid w:val="00F00143"/>
    <w:rsid w:val="00F055F8"/>
    <w:rsid w:val="00F10CB4"/>
    <w:rsid w:val="00F11B3D"/>
    <w:rsid w:val="00F146AC"/>
    <w:rsid w:val="00F14763"/>
    <w:rsid w:val="00F15DE1"/>
    <w:rsid w:val="00F16212"/>
    <w:rsid w:val="00F16602"/>
    <w:rsid w:val="00F20FDC"/>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A3441"/>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styleId="UnresolvedMention">
    <w:name w:val="Unresolved Mention"/>
    <w:basedOn w:val="DefaultParagraphFont"/>
    <w:uiPriority w:val="99"/>
    <w:semiHidden/>
    <w:unhideWhenUsed/>
    <w:rsid w:val="00097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72937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smaa@tra.gov.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30d1b3e7-5840-44c8-a5c3-6adb2a7b4148">DPM</DPM_x0020_Author>
    <DPM_x0020_File_x0020_name xmlns="30d1b3e7-5840-44c8-a5c3-6adb2a7b4148">T22-WTSA.24-C-0036!A29!MSW-A</DPM_x0020_File_x0020_name>
    <DPM_x0020_Version xmlns="30d1b3e7-5840-44c8-a5c3-6adb2a7b4148">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0d1b3e7-5840-44c8-a5c3-6adb2a7b4148" targetNamespace="http://schemas.microsoft.com/office/2006/metadata/properties" ma:root="true" ma:fieldsID="d41af5c836d734370eb92e7ee5f83852" ns2:_="" ns3:_="">
    <xsd:import namespace="996b2e75-67fd-4955-a3b0-5ab9934cb50b"/>
    <xsd:import namespace="30d1b3e7-5840-44c8-a5c3-6adb2a7b414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0d1b3e7-5840-44c8-a5c3-6adb2a7b414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30d1b3e7-5840-44c8-a5c3-6adb2a7b4148"/>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0d1b3e7-5840-44c8-a5c3-6adb2a7b4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522</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T22-WTSA.24-C-0036!A29!MSW-A</vt:lpstr>
    </vt:vector>
  </TitlesOfParts>
  <Manager>General Secretariat - Pool</Manager>
  <Company>International Telecommunication Union (ITU)</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T22-WTSA.24-C-0036!A29!MSW-A</dc:title>
  <dc:subject>World Telecommunication Standardization Assembly</dc:subject>
  <dc:creator>Documents Proposals Manager (DPM)</dc:creator>
  <cp:keywords>DPM_v2024.7.23.2_prod</cp:keywords>
  <dc:description>Template used by DPM and CPI for the WTSA-24</dc:description>
  <cp:lastModifiedBy>Arabic_AA</cp:lastModifiedBy>
  <cp:revision>5</cp:revision>
  <cp:lastPrinted>2019-06-26T10:10:00Z</cp:lastPrinted>
  <dcterms:created xsi:type="dcterms:W3CDTF">2024-10-09T11:55:00Z</dcterms:created>
  <dcterms:modified xsi:type="dcterms:W3CDTF">2024-10-10T14:18:00Z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