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CD3CA0" w14:paraId="6AD0CBFF" w14:textId="77777777" w:rsidTr="008E0616">
        <w:trPr>
          <w:cantSplit/>
          <w:trHeight w:val="1132"/>
        </w:trPr>
        <w:tc>
          <w:tcPr>
            <w:tcW w:w="1290" w:type="dxa"/>
            <w:vAlign w:val="center"/>
          </w:tcPr>
          <w:p w14:paraId="69AB2A96" w14:textId="77777777" w:rsidR="00D2023F" w:rsidRPr="00CD3CA0" w:rsidRDefault="0018215C" w:rsidP="00EB5053">
            <w:pPr>
              <w:rPr>
                <w:lang w:val="es-ES_tradnl"/>
              </w:rPr>
            </w:pPr>
            <w:r w:rsidRPr="00CD3CA0">
              <w:rPr>
                <w:noProof/>
                <w:lang w:val="es-ES_tradnl"/>
              </w:rPr>
              <w:drawing>
                <wp:inline distT="0" distB="0" distL="0" distR="0" wp14:anchorId="55EF19AD" wp14:editId="50B8F2B0">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68D9F78" w14:textId="77777777" w:rsidR="00E610A4" w:rsidRPr="00CD3CA0" w:rsidRDefault="00E610A4" w:rsidP="00E610A4">
            <w:pPr>
              <w:rPr>
                <w:rFonts w:ascii="Verdana" w:hAnsi="Verdana" w:cs="Times New Roman Bold"/>
                <w:b/>
                <w:bCs/>
                <w:szCs w:val="24"/>
                <w:lang w:val="es-ES_tradnl"/>
              </w:rPr>
            </w:pPr>
            <w:r w:rsidRPr="00CD3CA0">
              <w:rPr>
                <w:rFonts w:ascii="Verdana" w:hAnsi="Verdana" w:cs="Times New Roman Bold"/>
                <w:b/>
                <w:bCs/>
                <w:szCs w:val="24"/>
                <w:lang w:val="es-ES_tradnl"/>
              </w:rPr>
              <w:t>Asamblea Mundial de Normalización de las Telecomunicaciones (AMNT-24)</w:t>
            </w:r>
          </w:p>
          <w:p w14:paraId="622BBCC5" w14:textId="77777777" w:rsidR="00D2023F" w:rsidRPr="00CD3CA0" w:rsidRDefault="00E610A4" w:rsidP="00E610A4">
            <w:pPr>
              <w:pStyle w:val="TopHeader"/>
              <w:spacing w:before="0"/>
              <w:rPr>
                <w:lang w:val="es-ES_tradnl"/>
              </w:rPr>
            </w:pPr>
            <w:r w:rsidRPr="00CD3CA0">
              <w:rPr>
                <w:sz w:val="18"/>
                <w:szCs w:val="18"/>
                <w:lang w:val="es-ES_tradnl"/>
              </w:rPr>
              <w:t>Nueva Delhi, 15-24 de octubre de 2024</w:t>
            </w:r>
          </w:p>
        </w:tc>
        <w:tc>
          <w:tcPr>
            <w:tcW w:w="1306" w:type="dxa"/>
            <w:tcBorders>
              <w:left w:val="nil"/>
            </w:tcBorders>
            <w:vAlign w:val="center"/>
          </w:tcPr>
          <w:p w14:paraId="42F5CD46" w14:textId="77777777" w:rsidR="00D2023F" w:rsidRPr="00CD3CA0" w:rsidRDefault="00D2023F" w:rsidP="00C30155">
            <w:pPr>
              <w:spacing w:before="0"/>
              <w:rPr>
                <w:lang w:val="es-ES_tradnl"/>
              </w:rPr>
            </w:pPr>
            <w:r w:rsidRPr="00CD3CA0">
              <w:rPr>
                <w:noProof/>
                <w:lang w:val="es-ES_tradnl" w:eastAsia="zh-CN"/>
              </w:rPr>
              <w:drawing>
                <wp:inline distT="0" distB="0" distL="0" distR="0" wp14:anchorId="624338E8" wp14:editId="47EAF67F">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CD3CA0" w14:paraId="0C58705C" w14:textId="77777777" w:rsidTr="008E0616">
        <w:trPr>
          <w:cantSplit/>
        </w:trPr>
        <w:tc>
          <w:tcPr>
            <w:tcW w:w="9811" w:type="dxa"/>
            <w:gridSpan w:val="4"/>
            <w:tcBorders>
              <w:bottom w:val="single" w:sz="12" w:space="0" w:color="auto"/>
            </w:tcBorders>
          </w:tcPr>
          <w:p w14:paraId="672EE01C" w14:textId="77777777" w:rsidR="00D2023F" w:rsidRPr="00CD3CA0" w:rsidRDefault="00D2023F" w:rsidP="00C30155">
            <w:pPr>
              <w:spacing w:before="0"/>
              <w:rPr>
                <w:lang w:val="es-ES_tradnl"/>
              </w:rPr>
            </w:pPr>
          </w:p>
        </w:tc>
      </w:tr>
      <w:tr w:rsidR="00931298" w:rsidRPr="00CD3CA0" w14:paraId="120CDB6C" w14:textId="77777777" w:rsidTr="008E0616">
        <w:trPr>
          <w:cantSplit/>
        </w:trPr>
        <w:tc>
          <w:tcPr>
            <w:tcW w:w="6237" w:type="dxa"/>
            <w:gridSpan w:val="2"/>
            <w:tcBorders>
              <w:top w:val="single" w:sz="12" w:space="0" w:color="auto"/>
            </w:tcBorders>
          </w:tcPr>
          <w:p w14:paraId="37DB3943" w14:textId="77777777" w:rsidR="00931298" w:rsidRPr="00CD3CA0" w:rsidRDefault="00931298" w:rsidP="00EB5053">
            <w:pPr>
              <w:spacing w:before="0"/>
              <w:rPr>
                <w:sz w:val="20"/>
                <w:lang w:val="es-ES_tradnl"/>
              </w:rPr>
            </w:pPr>
          </w:p>
        </w:tc>
        <w:tc>
          <w:tcPr>
            <w:tcW w:w="3574" w:type="dxa"/>
            <w:gridSpan w:val="2"/>
          </w:tcPr>
          <w:p w14:paraId="70308FE3" w14:textId="77777777" w:rsidR="00931298" w:rsidRPr="00CD3CA0" w:rsidRDefault="00931298" w:rsidP="00EB5053">
            <w:pPr>
              <w:spacing w:before="0"/>
              <w:rPr>
                <w:sz w:val="20"/>
                <w:lang w:val="es-ES_tradnl"/>
              </w:rPr>
            </w:pPr>
          </w:p>
        </w:tc>
      </w:tr>
      <w:tr w:rsidR="00752D4D" w:rsidRPr="00CD3CA0" w14:paraId="79076146" w14:textId="77777777" w:rsidTr="008E0616">
        <w:trPr>
          <w:cantSplit/>
        </w:trPr>
        <w:tc>
          <w:tcPr>
            <w:tcW w:w="6237" w:type="dxa"/>
            <w:gridSpan w:val="2"/>
          </w:tcPr>
          <w:p w14:paraId="124A7DB4" w14:textId="77777777" w:rsidR="00752D4D" w:rsidRPr="00CD3CA0" w:rsidRDefault="006C136E" w:rsidP="00C30155">
            <w:pPr>
              <w:pStyle w:val="Committee"/>
              <w:rPr>
                <w:lang w:val="es-ES_tradnl"/>
              </w:rPr>
            </w:pPr>
            <w:r w:rsidRPr="00CD3CA0">
              <w:rPr>
                <w:lang w:val="es-ES_tradnl"/>
              </w:rPr>
              <w:t>SESIÓN PLENARIA</w:t>
            </w:r>
          </w:p>
        </w:tc>
        <w:tc>
          <w:tcPr>
            <w:tcW w:w="3574" w:type="dxa"/>
            <w:gridSpan w:val="2"/>
          </w:tcPr>
          <w:p w14:paraId="4EC51019" w14:textId="77777777" w:rsidR="00752D4D" w:rsidRPr="00CD3CA0" w:rsidRDefault="006C136E" w:rsidP="00A52D1A">
            <w:pPr>
              <w:pStyle w:val="Docnumber"/>
              <w:rPr>
                <w:lang w:val="es-ES_tradnl"/>
              </w:rPr>
            </w:pPr>
            <w:r w:rsidRPr="00CD3CA0">
              <w:rPr>
                <w:lang w:val="es-ES_tradnl"/>
              </w:rPr>
              <w:t>Addéndum 16 al</w:t>
            </w:r>
            <w:r w:rsidRPr="00CD3CA0">
              <w:rPr>
                <w:lang w:val="es-ES_tradnl"/>
              </w:rPr>
              <w:br/>
              <w:t>Documento 36</w:t>
            </w:r>
            <w:r w:rsidR="00D34410" w:rsidRPr="00CD3CA0">
              <w:rPr>
                <w:lang w:val="es-ES_tradnl"/>
              </w:rPr>
              <w:t>-S</w:t>
            </w:r>
          </w:p>
        </w:tc>
      </w:tr>
      <w:tr w:rsidR="00931298" w:rsidRPr="00CD3CA0" w14:paraId="3766B387" w14:textId="77777777" w:rsidTr="008E0616">
        <w:trPr>
          <w:cantSplit/>
        </w:trPr>
        <w:tc>
          <w:tcPr>
            <w:tcW w:w="6237" w:type="dxa"/>
            <w:gridSpan w:val="2"/>
          </w:tcPr>
          <w:p w14:paraId="2B2BC499" w14:textId="77777777" w:rsidR="00931298" w:rsidRPr="00CD3CA0" w:rsidRDefault="00931298" w:rsidP="00C30155">
            <w:pPr>
              <w:spacing w:before="0"/>
              <w:rPr>
                <w:sz w:val="20"/>
                <w:lang w:val="es-ES_tradnl"/>
              </w:rPr>
            </w:pPr>
          </w:p>
        </w:tc>
        <w:tc>
          <w:tcPr>
            <w:tcW w:w="3574" w:type="dxa"/>
            <w:gridSpan w:val="2"/>
          </w:tcPr>
          <w:p w14:paraId="4921F953" w14:textId="77777777" w:rsidR="00931298" w:rsidRPr="00CD3CA0" w:rsidRDefault="006C136E" w:rsidP="00C30155">
            <w:pPr>
              <w:pStyle w:val="TopHeader"/>
              <w:spacing w:before="0"/>
              <w:rPr>
                <w:sz w:val="20"/>
                <w:szCs w:val="20"/>
                <w:lang w:val="es-ES_tradnl"/>
              </w:rPr>
            </w:pPr>
            <w:r w:rsidRPr="00CD3CA0">
              <w:rPr>
                <w:sz w:val="20"/>
                <w:szCs w:val="16"/>
                <w:lang w:val="es-ES_tradnl"/>
              </w:rPr>
              <w:t>23 de septiembre de 2024</w:t>
            </w:r>
          </w:p>
        </w:tc>
      </w:tr>
      <w:tr w:rsidR="00931298" w:rsidRPr="00CD3CA0" w14:paraId="0B23778B" w14:textId="77777777" w:rsidTr="008E0616">
        <w:trPr>
          <w:cantSplit/>
        </w:trPr>
        <w:tc>
          <w:tcPr>
            <w:tcW w:w="6237" w:type="dxa"/>
            <w:gridSpan w:val="2"/>
          </w:tcPr>
          <w:p w14:paraId="7A021BBB" w14:textId="77777777" w:rsidR="00931298" w:rsidRPr="00CD3CA0" w:rsidRDefault="00931298" w:rsidP="00C30155">
            <w:pPr>
              <w:spacing w:before="0"/>
              <w:rPr>
                <w:sz w:val="20"/>
                <w:lang w:val="es-ES_tradnl"/>
              </w:rPr>
            </w:pPr>
          </w:p>
        </w:tc>
        <w:tc>
          <w:tcPr>
            <w:tcW w:w="3574" w:type="dxa"/>
            <w:gridSpan w:val="2"/>
          </w:tcPr>
          <w:p w14:paraId="3DEEBF08" w14:textId="77777777" w:rsidR="00931298" w:rsidRPr="00CD3CA0" w:rsidRDefault="006C136E" w:rsidP="00C30155">
            <w:pPr>
              <w:pStyle w:val="TopHeader"/>
              <w:spacing w:before="0"/>
              <w:rPr>
                <w:sz w:val="20"/>
                <w:szCs w:val="20"/>
                <w:lang w:val="es-ES_tradnl"/>
              </w:rPr>
            </w:pPr>
            <w:r w:rsidRPr="00CD3CA0">
              <w:rPr>
                <w:sz w:val="20"/>
                <w:szCs w:val="16"/>
                <w:lang w:val="es-ES_tradnl"/>
              </w:rPr>
              <w:t>Original: inglés</w:t>
            </w:r>
          </w:p>
        </w:tc>
      </w:tr>
      <w:tr w:rsidR="00931298" w:rsidRPr="00CD3CA0" w14:paraId="25435178" w14:textId="77777777" w:rsidTr="008E0616">
        <w:trPr>
          <w:cantSplit/>
        </w:trPr>
        <w:tc>
          <w:tcPr>
            <w:tcW w:w="9811" w:type="dxa"/>
            <w:gridSpan w:val="4"/>
          </w:tcPr>
          <w:p w14:paraId="6AADB69B" w14:textId="77777777" w:rsidR="00931298" w:rsidRPr="00CD3CA0" w:rsidRDefault="00931298" w:rsidP="00EB5053">
            <w:pPr>
              <w:spacing w:before="0"/>
              <w:rPr>
                <w:sz w:val="20"/>
                <w:lang w:val="es-ES_tradnl"/>
              </w:rPr>
            </w:pPr>
          </w:p>
        </w:tc>
      </w:tr>
      <w:tr w:rsidR="00931298" w:rsidRPr="00113006" w14:paraId="6AEFE101" w14:textId="77777777" w:rsidTr="008E0616">
        <w:trPr>
          <w:cantSplit/>
        </w:trPr>
        <w:tc>
          <w:tcPr>
            <w:tcW w:w="9811" w:type="dxa"/>
            <w:gridSpan w:val="4"/>
          </w:tcPr>
          <w:p w14:paraId="2299376C" w14:textId="77777777" w:rsidR="00931298" w:rsidRPr="00CD3CA0" w:rsidRDefault="006C136E" w:rsidP="00C30155">
            <w:pPr>
              <w:pStyle w:val="Source"/>
              <w:rPr>
                <w:lang w:val="es-ES_tradnl"/>
              </w:rPr>
            </w:pPr>
            <w:r w:rsidRPr="00CD3CA0">
              <w:rPr>
                <w:lang w:val="es-ES_tradnl"/>
              </w:rPr>
              <w:t>Administraciones de los Estados Árabes</w:t>
            </w:r>
          </w:p>
        </w:tc>
      </w:tr>
      <w:tr w:rsidR="00931298" w:rsidRPr="00113006" w14:paraId="4FBD321C" w14:textId="77777777" w:rsidTr="008E0616">
        <w:trPr>
          <w:cantSplit/>
        </w:trPr>
        <w:tc>
          <w:tcPr>
            <w:tcW w:w="9811" w:type="dxa"/>
            <w:gridSpan w:val="4"/>
          </w:tcPr>
          <w:p w14:paraId="0F97DB1A" w14:textId="475A170D" w:rsidR="00931298" w:rsidRPr="00CD3CA0" w:rsidRDefault="006C136E" w:rsidP="00C30155">
            <w:pPr>
              <w:pStyle w:val="Title1"/>
              <w:rPr>
                <w:lang w:val="es-ES_tradnl"/>
              </w:rPr>
            </w:pPr>
            <w:r w:rsidRPr="00CD3CA0">
              <w:rPr>
                <w:lang w:val="es-ES_tradnl"/>
              </w:rPr>
              <w:t>PROP</w:t>
            </w:r>
            <w:r w:rsidR="0077566B" w:rsidRPr="00CD3CA0">
              <w:rPr>
                <w:lang w:val="es-ES_tradnl"/>
              </w:rPr>
              <w:t>uesta de modificación de la resolución</w:t>
            </w:r>
            <w:r w:rsidRPr="00CD3CA0">
              <w:rPr>
                <w:lang w:val="es-ES_tradnl"/>
              </w:rPr>
              <w:t xml:space="preserve"> 74</w:t>
            </w:r>
          </w:p>
        </w:tc>
      </w:tr>
      <w:tr w:rsidR="00657CDA" w:rsidRPr="00113006" w14:paraId="124E624E" w14:textId="77777777" w:rsidTr="008E0616">
        <w:trPr>
          <w:cantSplit/>
          <w:trHeight w:hRule="exact" w:val="240"/>
        </w:trPr>
        <w:tc>
          <w:tcPr>
            <w:tcW w:w="9811" w:type="dxa"/>
            <w:gridSpan w:val="4"/>
          </w:tcPr>
          <w:p w14:paraId="283848D2" w14:textId="77777777" w:rsidR="00657CDA" w:rsidRPr="00CD3CA0" w:rsidRDefault="00657CDA" w:rsidP="006C136E">
            <w:pPr>
              <w:pStyle w:val="Title2"/>
              <w:spacing w:before="0"/>
              <w:rPr>
                <w:lang w:val="es-ES_tradnl"/>
              </w:rPr>
            </w:pPr>
          </w:p>
        </w:tc>
      </w:tr>
      <w:tr w:rsidR="00657CDA" w:rsidRPr="00113006" w14:paraId="6DC4448D" w14:textId="77777777" w:rsidTr="008E0616">
        <w:trPr>
          <w:cantSplit/>
          <w:trHeight w:hRule="exact" w:val="240"/>
        </w:trPr>
        <w:tc>
          <w:tcPr>
            <w:tcW w:w="9811" w:type="dxa"/>
            <w:gridSpan w:val="4"/>
          </w:tcPr>
          <w:p w14:paraId="641DFEC9" w14:textId="77777777" w:rsidR="00657CDA" w:rsidRPr="00CD3CA0" w:rsidRDefault="00657CDA" w:rsidP="00293F9A">
            <w:pPr>
              <w:pStyle w:val="Agendaitem"/>
              <w:spacing w:before="0"/>
            </w:pPr>
          </w:p>
        </w:tc>
      </w:tr>
    </w:tbl>
    <w:p w14:paraId="1D86C5C4" w14:textId="77777777" w:rsidR="00931298" w:rsidRPr="00CD3CA0" w:rsidRDefault="00931298" w:rsidP="00931298">
      <w:pPr>
        <w:rPr>
          <w:lang w:val="es-ES_tradnl"/>
        </w:rPr>
      </w:pPr>
    </w:p>
    <w:tbl>
      <w:tblPr>
        <w:tblW w:w="5000" w:type="pct"/>
        <w:tblLayout w:type="fixed"/>
        <w:tblLook w:val="0000" w:firstRow="0" w:lastRow="0" w:firstColumn="0" w:lastColumn="0" w:noHBand="0" w:noVBand="0"/>
      </w:tblPr>
      <w:tblGrid>
        <w:gridCol w:w="1885"/>
        <w:gridCol w:w="3877"/>
        <w:gridCol w:w="3877"/>
      </w:tblGrid>
      <w:tr w:rsidR="00931298" w:rsidRPr="00113006" w14:paraId="70A2E821" w14:textId="77777777" w:rsidTr="008E0616">
        <w:trPr>
          <w:cantSplit/>
        </w:trPr>
        <w:tc>
          <w:tcPr>
            <w:tcW w:w="1912" w:type="dxa"/>
          </w:tcPr>
          <w:p w14:paraId="565DC373" w14:textId="77777777" w:rsidR="00931298" w:rsidRPr="00CD3CA0" w:rsidRDefault="00E610A4" w:rsidP="00C30155">
            <w:pPr>
              <w:rPr>
                <w:lang w:val="es-ES_tradnl"/>
              </w:rPr>
            </w:pPr>
            <w:r w:rsidRPr="00CD3CA0">
              <w:rPr>
                <w:b/>
                <w:bCs/>
                <w:lang w:val="es-ES_tradnl"/>
              </w:rPr>
              <w:t>Resumen:</w:t>
            </w:r>
          </w:p>
        </w:tc>
        <w:tc>
          <w:tcPr>
            <w:tcW w:w="7870" w:type="dxa"/>
            <w:gridSpan w:val="2"/>
          </w:tcPr>
          <w:p w14:paraId="661FE50C" w14:textId="3703029E" w:rsidR="00931298" w:rsidRPr="00CD3CA0" w:rsidRDefault="0077566B" w:rsidP="00C30155">
            <w:pPr>
              <w:pStyle w:val="Abstract"/>
              <w:rPr>
                <w:lang w:val="es-ES_tradnl"/>
              </w:rPr>
            </w:pPr>
            <w:r w:rsidRPr="00CD3CA0">
              <w:rPr>
                <w:lang w:val="es-ES_tradnl"/>
              </w:rPr>
              <w:t>En esta contribución se propone modificar la Resolución 74 de la AMNT a fin de aumentar la inclusión y el apoyo a los países en desarrollo en la normalización de las telecomunicaciones y ampliar el alcance para integrar a los proveedores de servicios y la industria, reconociendo su papel en la normalización.</w:t>
            </w:r>
          </w:p>
        </w:tc>
      </w:tr>
      <w:tr w:rsidR="00931298" w:rsidRPr="00113006" w14:paraId="3BB9A5BA" w14:textId="77777777" w:rsidTr="008E0616">
        <w:trPr>
          <w:cantSplit/>
        </w:trPr>
        <w:tc>
          <w:tcPr>
            <w:tcW w:w="1912" w:type="dxa"/>
          </w:tcPr>
          <w:p w14:paraId="34B033F9" w14:textId="77777777" w:rsidR="00931298" w:rsidRPr="00CD3CA0" w:rsidRDefault="00E610A4" w:rsidP="00C30155">
            <w:pPr>
              <w:rPr>
                <w:b/>
                <w:bCs/>
                <w:szCs w:val="24"/>
                <w:lang w:val="es-ES_tradnl"/>
              </w:rPr>
            </w:pPr>
            <w:r w:rsidRPr="00CD3CA0">
              <w:rPr>
                <w:b/>
                <w:bCs/>
                <w:lang w:val="es-ES_tradnl"/>
              </w:rPr>
              <w:t>Contacto:</w:t>
            </w:r>
          </w:p>
        </w:tc>
        <w:tc>
          <w:tcPr>
            <w:tcW w:w="3935" w:type="dxa"/>
          </w:tcPr>
          <w:p w14:paraId="66C6A634" w14:textId="541D81C1" w:rsidR="00FE5494" w:rsidRPr="00CD3CA0" w:rsidRDefault="0077566B" w:rsidP="00E6117A">
            <w:pPr>
              <w:rPr>
                <w:lang w:val="es-ES_tradnl"/>
              </w:rPr>
            </w:pPr>
            <w:r w:rsidRPr="00CD3CA0">
              <w:rPr>
                <w:lang w:val="es-ES_tradnl"/>
              </w:rPr>
              <w:t>Majed Alanazi</w:t>
            </w:r>
            <w:r w:rsidRPr="00CD3CA0">
              <w:rPr>
                <w:lang w:val="es-ES_tradnl"/>
              </w:rPr>
              <w:br/>
              <w:t xml:space="preserve">Comisión de Comunicaciones, Espacio y Tecnología </w:t>
            </w:r>
            <w:r w:rsidRPr="00CD3CA0">
              <w:rPr>
                <w:lang w:val="es-ES_tradnl"/>
              </w:rPr>
              <w:br/>
              <w:t>Arabia Saudita</w:t>
            </w:r>
          </w:p>
        </w:tc>
        <w:tc>
          <w:tcPr>
            <w:tcW w:w="3935" w:type="dxa"/>
          </w:tcPr>
          <w:p w14:paraId="6DE3156B" w14:textId="35816679" w:rsidR="00931298" w:rsidRPr="00CD3CA0" w:rsidRDefault="00E610A4" w:rsidP="00E6117A">
            <w:pPr>
              <w:rPr>
                <w:lang w:val="es-ES_tradnl"/>
              </w:rPr>
            </w:pPr>
            <w:r w:rsidRPr="00CD3CA0">
              <w:rPr>
                <w:lang w:val="es-ES_tradnl"/>
              </w:rPr>
              <w:t>Correo-e:</w:t>
            </w:r>
            <w:r w:rsidR="0077566B" w:rsidRPr="00CD3CA0">
              <w:rPr>
                <w:lang w:val="es-ES_tradnl"/>
              </w:rPr>
              <w:t xml:space="preserve"> </w:t>
            </w:r>
            <w:r w:rsidR="001D36B1" w:rsidRPr="00CD3CA0">
              <w:fldChar w:fldCharType="begin"/>
            </w:r>
            <w:r w:rsidR="001D36B1" w:rsidRPr="00CD3CA0">
              <w:rPr>
                <w:lang w:val="es-ES_tradnl"/>
                <w:rPrChange w:id="0" w:author="TSB (RC)" w:date="2024-10-07T15:13:00Z">
                  <w:rPr/>
                </w:rPrChange>
              </w:rPr>
              <w:instrText xml:space="preserve"> HYPERLINK "mailto:mbanazi@cst.gov.sa" </w:instrText>
            </w:r>
            <w:r w:rsidR="001D36B1" w:rsidRPr="00CD3CA0">
              <w:fldChar w:fldCharType="separate"/>
            </w:r>
            <w:r w:rsidR="0077566B" w:rsidRPr="00CD3CA0">
              <w:rPr>
                <w:rStyle w:val="Hyperlink"/>
                <w:lang w:val="es-ES_tradnl"/>
              </w:rPr>
              <w:t>mbanazi@cst.gov.sa</w:t>
            </w:r>
            <w:r w:rsidR="001D36B1" w:rsidRPr="00CD3CA0">
              <w:rPr>
                <w:rStyle w:val="Hyperlink"/>
                <w:lang w:val="es-ES_tradnl"/>
              </w:rPr>
              <w:fldChar w:fldCharType="end"/>
            </w:r>
          </w:p>
        </w:tc>
      </w:tr>
    </w:tbl>
    <w:p w14:paraId="5C17B426" w14:textId="77777777" w:rsidR="00A52D1A" w:rsidRPr="00CD3CA0" w:rsidRDefault="00A52D1A" w:rsidP="00A52D1A">
      <w:pPr>
        <w:rPr>
          <w:lang w:val="es-ES_tradnl"/>
        </w:rPr>
      </w:pPr>
    </w:p>
    <w:p w14:paraId="1466FF02" w14:textId="77777777" w:rsidR="00931298" w:rsidRPr="00CD3CA0" w:rsidRDefault="009F4801" w:rsidP="00961DA9">
      <w:pPr>
        <w:tabs>
          <w:tab w:val="clear" w:pos="1134"/>
          <w:tab w:val="clear" w:pos="1871"/>
          <w:tab w:val="clear" w:pos="2268"/>
        </w:tabs>
        <w:overflowPunct/>
        <w:autoSpaceDE/>
        <w:autoSpaceDN/>
        <w:adjustRightInd/>
        <w:spacing w:before="0"/>
        <w:textAlignment w:val="auto"/>
        <w:rPr>
          <w:lang w:val="es-ES_tradnl"/>
        </w:rPr>
      </w:pPr>
      <w:r w:rsidRPr="00CD3CA0">
        <w:rPr>
          <w:lang w:val="es-ES_tradnl"/>
        </w:rPr>
        <w:br w:type="page"/>
      </w:r>
    </w:p>
    <w:p w14:paraId="4E51A41A" w14:textId="77777777" w:rsidR="00152070" w:rsidRPr="00CD3CA0" w:rsidRDefault="00F74328">
      <w:pPr>
        <w:pStyle w:val="Proposal"/>
        <w:rPr>
          <w:lang w:val="es-ES_tradnl"/>
          <w:rPrChange w:id="1" w:author="Spanish1" w:date="2024-10-01T11:07:00Z">
            <w:rPr/>
          </w:rPrChange>
        </w:rPr>
      </w:pPr>
      <w:r w:rsidRPr="00CD3CA0">
        <w:rPr>
          <w:lang w:val="es-ES_tradnl"/>
          <w:rPrChange w:id="2" w:author="Spanish1" w:date="2024-10-01T11:07:00Z">
            <w:rPr/>
          </w:rPrChange>
        </w:rPr>
        <w:lastRenderedPageBreak/>
        <w:t>MOD</w:t>
      </w:r>
      <w:r w:rsidRPr="00CD3CA0">
        <w:rPr>
          <w:lang w:val="es-ES_tradnl"/>
          <w:rPrChange w:id="3" w:author="Spanish1" w:date="2024-10-01T11:07:00Z">
            <w:rPr/>
          </w:rPrChange>
        </w:rPr>
        <w:tab/>
        <w:t>ARB/36A16/1</w:t>
      </w:r>
    </w:p>
    <w:p w14:paraId="2D115203" w14:textId="3E798D7D" w:rsidR="00CE366A" w:rsidRPr="00CD3CA0" w:rsidRDefault="00F74328" w:rsidP="00CE366A">
      <w:pPr>
        <w:pStyle w:val="ResNo"/>
        <w:rPr>
          <w:caps w:val="0"/>
          <w:lang w:val="es-ES_tradnl"/>
        </w:rPr>
      </w:pPr>
      <w:bookmarkStart w:id="4" w:name="_Toc111990524"/>
      <w:r w:rsidRPr="00CD3CA0">
        <w:rPr>
          <w:lang w:val="es-ES_tradnl"/>
        </w:rPr>
        <w:t xml:space="preserve">RESOLUCIÓN </w:t>
      </w:r>
      <w:r w:rsidRPr="00CD3CA0">
        <w:rPr>
          <w:rStyle w:val="href"/>
          <w:bCs/>
          <w:lang w:val="es-ES_tradnl"/>
        </w:rPr>
        <w:t>74</w:t>
      </w:r>
      <w:r w:rsidRPr="00CD3CA0">
        <w:rPr>
          <w:lang w:val="es-ES_tradnl"/>
        </w:rPr>
        <w:t xml:space="preserve"> </w:t>
      </w:r>
      <w:r w:rsidRPr="00CD3CA0">
        <w:rPr>
          <w:caps w:val="0"/>
          <w:lang w:val="es-ES_tradnl"/>
        </w:rPr>
        <w:t xml:space="preserve">(Rev. </w:t>
      </w:r>
      <w:ins w:id="5" w:author="Spanish1" w:date="2024-10-01T11:07:00Z">
        <w:r w:rsidR="0077566B" w:rsidRPr="00CD3CA0">
          <w:rPr>
            <w:caps w:val="0"/>
            <w:lang w:val="es-ES_tradnl"/>
          </w:rPr>
          <w:t>Nueva Delhi, 2024</w:t>
        </w:r>
      </w:ins>
      <w:del w:id="6" w:author="Spanish1" w:date="2024-10-01T11:07:00Z">
        <w:r w:rsidRPr="00CD3CA0" w:rsidDel="0077566B">
          <w:rPr>
            <w:caps w:val="0"/>
            <w:lang w:val="es-ES_tradnl"/>
          </w:rPr>
          <w:delText>Ginebra, 2022</w:delText>
        </w:r>
      </w:del>
      <w:r w:rsidRPr="00CD3CA0">
        <w:rPr>
          <w:caps w:val="0"/>
          <w:lang w:val="es-ES_tradnl"/>
        </w:rPr>
        <w:t>)</w:t>
      </w:r>
      <w:bookmarkEnd w:id="4"/>
    </w:p>
    <w:p w14:paraId="0C840B65" w14:textId="77777777" w:rsidR="00CE366A" w:rsidRPr="00CD3CA0" w:rsidRDefault="00F74328" w:rsidP="00CE366A">
      <w:pPr>
        <w:pStyle w:val="Restitle"/>
        <w:rPr>
          <w:lang w:val="es-ES_tradnl"/>
        </w:rPr>
      </w:pPr>
      <w:bookmarkStart w:id="7" w:name="_Toc111990525"/>
      <w:r w:rsidRPr="00CD3CA0">
        <w:rPr>
          <w:lang w:val="es-ES_tradnl"/>
        </w:rPr>
        <w:t>Mejora de la participación de Miembros de Sector</w:t>
      </w:r>
      <w:r w:rsidRPr="00CD3CA0">
        <w:rPr>
          <w:rStyle w:val="FootnoteReference"/>
          <w:lang w:val="es-ES_tradnl"/>
        </w:rPr>
        <w:footnoteReference w:customMarkFollows="1" w:id="1"/>
        <w:t>1</w:t>
      </w:r>
      <w:r w:rsidRPr="00CD3CA0">
        <w:rPr>
          <w:lang w:val="es-ES_tradnl"/>
        </w:rPr>
        <w:t xml:space="preserve"> de los países en desarrollo</w:t>
      </w:r>
      <w:r w:rsidRPr="00CD3CA0">
        <w:rPr>
          <w:rStyle w:val="FootnoteReference"/>
          <w:lang w:val="es-ES_tradnl"/>
        </w:rPr>
        <w:footnoteReference w:customMarkFollows="1" w:id="2"/>
        <w:t>2</w:t>
      </w:r>
      <w:r w:rsidRPr="00CD3CA0">
        <w:rPr>
          <w:lang w:val="es-ES_tradnl"/>
        </w:rPr>
        <w:t xml:space="preserve"> en la labor del Sector de Normalización de las Telecomunicaciones de la UIT</w:t>
      </w:r>
      <w:bookmarkEnd w:id="7"/>
    </w:p>
    <w:p w14:paraId="40B5CE0D" w14:textId="3E931BAC" w:rsidR="00CE366A" w:rsidRPr="00CD3CA0" w:rsidRDefault="00F74328" w:rsidP="00CE366A">
      <w:pPr>
        <w:pStyle w:val="Resref"/>
        <w:rPr>
          <w:lang w:val="es-ES_tradnl"/>
        </w:rPr>
      </w:pPr>
      <w:r w:rsidRPr="00CD3CA0">
        <w:rPr>
          <w:lang w:val="es-ES_tradnl"/>
        </w:rPr>
        <w:t>(Johannesburgo, 2008; Dubái, 2012; Ginebra, 2022</w:t>
      </w:r>
      <w:ins w:id="8" w:author="Spanish1" w:date="2024-10-01T11:07:00Z">
        <w:r w:rsidR="0077566B" w:rsidRPr="00CD3CA0">
          <w:rPr>
            <w:lang w:val="es-ES_tradnl"/>
          </w:rPr>
          <w:t>; Nueva Delhi, 2024</w:t>
        </w:r>
      </w:ins>
      <w:r w:rsidRPr="00CD3CA0">
        <w:rPr>
          <w:lang w:val="es-ES_tradnl"/>
        </w:rPr>
        <w:t>)</w:t>
      </w:r>
    </w:p>
    <w:p w14:paraId="19AE9095" w14:textId="735F081D" w:rsidR="00CE366A" w:rsidRPr="00CD3CA0" w:rsidRDefault="00F74328" w:rsidP="00CE366A">
      <w:pPr>
        <w:pStyle w:val="Normalaftertitle0"/>
        <w:rPr>
          <w:lang w:val="es-ES_tradnl"/>
        </w:rPr>
      </w:pPr>
      <w:r w:rsidRPr="00CD3CA0">
        <w:rPr>
          <w:lang w:val="es-ES_tradnl"/>
        </w:rPr>
        <w:t>La Asamblea Mundial de Normalización de las Telecomunicaciones (</w:t>
      </w:r>
      <w:del w:id="9" w:author="Spanish1" w:date="2024-10-01T11:07:00Z">
        <w:r w:rsidRPr="00CD3CA0" w:rsidDel="0077566B">
          <w:rPr>
            <w:lang w:val="es-ES_tradnl"/>
          </w:rPr>
          <w:delText>Ginebra, 2022</w:delText>
        </w:r>
      </w:del>
      <w:ins w:id="10" w:author="Spanish1" w:date="2024-10-01T11:07:00Z">
        <w:r w:rsidR="0077566B" w:rsidRPr="00CD3CA0">
          <w:rPr>
            <w:lang w:val="es-ES_tradnl"/>
          </w:rPr>
          <w:t>Nueva Delhi, 202</w:t>
        </w:r>
      </w:ins>
      <w:ins w:id="11" w:author="Spanish1" w:date="2024-10-01T11:08:00Z">
        <w:r w:rsidR="0077566B" w:rsidRPr="00CD3CA0">
          <w:rPr>
            <w:lang w:val="es-ES_tradnl"/>
          </w:rPr>
          <w:t>4</w:t>
        </w:r>
      </w:ins>
      <w:r w:rsidRPr="00CD3CA0">
        <w:rPr>
          <w:lang w:val="es-ES_tradnl"/>
        </w:rPr>
        <w:t>),</w:t>
      </w:r>
    </w:p>
    <w:p w14:paraId="58ED5F05" w14:textId="77777777" w:rsidR="00CE366A" w:rsidRPr="00CD3CA0" w:rsidRDefault="00F74328" w:rsidP="00CE366A">
      <w:pPr>
        <w:pStyle w:val="Call"/>
        <w:rPr>
          <w:lang w:val="es-ES_tradnl"/>
        </w:rPr>
      </w:pPr>
      <w:r w:rsidRPr="00CD3CA0">
        <w:rPr>
          <w:lang w:val="es-ES_tradnl"/>
        </w:rPr>
        <w:t>recordando</w:t>
      </w:r>
    </w:p>
    <w:p w14:paraId="25633A2E" w14:textId="77777777" w:rsidR="00CE366A" w:rsidRPr="00CD3CA0" w:rsidRDefault="00F74328" w:rsidP="00CE366A">
      <w:pPr>
        <w:rPr>
          <w:lang w:val="es-ES_tradnl"/>
        </w:rPr>
      </w:pPr>
      <w:r w:rsidRPr="00CD3CA0">
        <w:rPr>
          <w:i/>
          <w:iCs/>
          <w:lang w:val="es-ES_tradnl"/>
        </w:rPr>
        <w:t>a)</w:t>
      </w:r>
      <w:r w:rsidRPr="00CD3CA0">
        <w:rPr>
          <w:lang w:val="es-ES_tradnl"/>
        </w:rPr>
        <w:tab/>
        <w:t>la Resolución 71 (Rev. Dubái, 2018) de la Conferencia de Plenipotenciarios, sobre el plan estratégico de la Unión para 2020-2023;</w:t>
      </w:r>
    </w:p>
    <w:p w14:paraId="6ABBB7BF" w14:textId="77777777" w:rsidR="00CE366A" w:rsidRPr="00CD3CA0" w:rsidRDefault="00F74328" w:rsidP="00CE366A">
      <w:pPr>
        <w:rPr>
          <w:lang w:val="es-ES_tradnl"/>
        </w:rPr>
      </w:pPr>
      <w:r w:rsidRPr="00CD3CA0">
        <w:rPr>
          <w:i/>
          <w:iCs/>
          <w:lang w:val="es-ES_tradnl"/>
        </w:rPr>
        <w:t>b)</w:t>
      </w:r>
      <w:r w:rsidRPr="00CD3CA0">
        <w:rPr>
          <w:lang w:val="es-ES_tradnl"/>
        </w:rPr>
        <w:tab/>
        <w:t>el espíritu de la Resolución 123 (Rev. Dubái, 2018) de la Conferencia de Plenipotenciarios, sobre la reducción de la brecha de normalización entre los países en desarrollo y los desarrollados;</w:t>
      </w:r>
    </w:p>
    <w:p w14:paraId="3E850DB4" w14:textId="50FAFCE2" w:rsidR="00CE366A" w:rsidRPr="00CD3CA0" w:rsidRDefault="00F74328" w:rsidP="00CE366A">
      <w:pPr>
        <w:rPr>
          <w:ins w:id="12" w:author="Spanish1" w:date="2024-10-01T11:08:00Z"/>
          <w:lang w:val="es-ES_tradnl"/>
        </w:rPr>
      </w:pPr>
      <w:r w:rsidRPr="00CD3CA0">
        <w:rPr>
          <w:i/>
          <w:iCs/>
          <w:lang w:val="es-ES_tradnl"/>
        </w:rPr>
        <w:t>c)</w:t>
      </w:r>
      <w:r w:rsidRPr="00CD3CA0">
        <w:rPr>
          <w:lang w:val="es-ES_tradnl"/>
        </w:rPr>
        <w:tab/>
        <w:t>los objetivos de las Resoluciones 44 y 54 (Rev. Ginebra, 2022) de la presente Asamblea</w:t>
      </w:r>
      <w:ins w:id="13" w:author="Spanish1" w:date="2024-10-01T11:08:00Z">
        <w:r w:rsidR="0077566B" w:rsidRPr="00CD3CA0">
          <w:rPr>
            <w:lang w:val="es-ES_tradnl"/>
          </w:rPr>
          <w:t>;</w:t>
        </w:r>
      </w:ins>
      <w:del w:id="14" w:author="Spanish1" w:date="2024-10-01T11:08:00Z">
        <w:r w:rsidRPr="00CD3CA0" w:rsidDel="0077566B">
          <w:rPr>
            <w:lang w:val="es-ES_tradnl"/>
          </w:rPr>
          <w:delText>,</w:delText>
        </w:r>
      </w:del>
    </w:p>
    <w:p w14:paraId="47C43F12" w14:textId="064E46FD" w:rsidR="0077566B" w:rsidRPr="00CD3CA0" w:rsidRDefault="0077566B" w:rsidP="00CE366A">
      <w:pPr>
        <w:rPr>
          <w:ins w:id="15" w:author="Spanish1" w:date="2024-10-01T11:08:00Z"/>
          <w:lang w:val="es-ES_tradnl"/>
        </w:rPr>
      </w:pPr>
      <w:ins w:id="16" w:author="Spanish1" w:date="2024-10-01T11:08:00Z">
        <w:r w:rsidRPr="00CD3CA0">
          <w:rPr>
            <w:i/>
            <w:iCs/>
            <w:lang w:val="es-ES_tradnl"/>
          </w:rPr>
          <w:t>d)</w:t>
        </w:r>
        <w:r w:rsidRPr="00CD3CA0">
          <w:rPr>
            <w:lang w:val="es-ES_tradnl"/>
          </w:rPr>
          <w:tab/>
          <w:t>la Resolución 25 (Rev. Bucarest, 2022) de la Conferencia de Plenipotenciarios, Fortalecimiento de la presencia regional de la UIT;</w:t>
        </w:r>
      </w:ins>
    </w:p>
    <w:p w14:paraId="04060EB0" w14:textId="1B402636" w:rsidR="0077566B" w:rsidRPr="00CD3CA0" w:rsidRDefault="0077566B" w:rsidP="00CE366A">
      <w:pPr>
        <w:rPr>
          <w:lang w:val="es-ES_tradnl"/>
        </w:rPr>
      </w:pPr>
      <w:ins w:id="17" w:author="Spanish1" w:date="2024-10-01T11:08:00Z">
        <w:r w:rsidRPr="00CD3CA0">
          <w:rPr>
            <w:i/>
            <w:iCs/>
            <w:lang w:val="es-ES_tradnl"/>
          </w:rPr>
          <w:t>e)</w:t>
        </w:r>
        <w:r w:rsidRPr="00CD3CA0">
          <w:rPr>
            <w:lang w:val="es-ES_tradnl"/>
          </w:rPr>
          <w:tab/>
          <w:t>la Resolución 30 (Rev. Bucarest, 2022</w:t>
        </w:r>
      </w:ins>
      <w:ins w:id="18" w:author="Spanish1" w:date="2024-10-01T11:09:00Z">
        <w:r w:rsidRPr="00CD3CA0">
          <w:rPr>
            <w:lang w:val="es-ES_tradnl"/>
          </w:rPr>
          <w:t>) de la Conferencia de Plenipotenciarios, Medidas especiales en favor de los países menos adelantados, los pequeños Estados insulares en desarrollo, los países en desarrollo sin litoral y los países con economías en transición,</w:t>
        </w:r>
      </w:ins>
    </w:p>
    <w:p w14:paraId="116B7AC6" w14:textId="77777777" w:rsidR="00CE366A" w:rsidRPr="00CD3CA0" w:rsidRDefault="00F74328" w:rsidP="00CE366A">
      <w:pPr>
        <w:pStyle w:val="Call"/>
        <w:rPr>
          <w:lang w:val="es-ES_tradnl"/>
        </w:rPr>
      </w:pPr>
      <w:r w:rsidRPr="00CD3CA0">
        <w:rPr>
          <w:lang w:val="es-ES_tradnl"/>
        </w:rPr>
        <w:t>teniendo en cuenta</w:t>
      </w:r>
    </w:p>
    <w:p w14:paraId="6351C33D" w14:textId="77777777" w:rsidR="00CE366A" w:rsidRPr="00CD3CA0" w:rsidRDefault="00F74328" w:rsidP="00CE366A">
      <w:pPr>
        <w:rPr>
          <w:lang w:val="es-ES_tradnl"/>
        </w:rPr>
      </w:pPr>
      <w:r w:rsidRPr="00CD3CA0">
        <w:rPr>
          <w:lang w:val="es-ES_tradnl"/>
        </w:rPr>
        <w:t>la Resolución 170 (Rev. Busán, 2014) de la Conferencia de Plenipotenciarios, sobre la admisión de los Miembros de Sector de los países en desarrollo para participar en los trabajos del Sector de Normalización de las Telecomunicaciones de la UIT (UIT-T) y del Sector de Radiocomunicaciones de la UIT (UIT-R), en virtud de la cual se fija el nivel de la contribución económica de los Miembros de Sector de los países en desarrollo para sufragar los gastos de la Unión en un dieciseisavo del valor de la unidad contributiva de los Miembros de Sector,</w:t>
      </w:r>
    </w:p>
    <w:p w14:paraId="52BBD5AC" w14:textId="77777777" w:rsidR="00CE366A" w:rsidRPr="00CD3CA0" w:rsidRDefault="00F74328" w:rsidP="00CE366A">
      <w:pPr>
        <w:pStyle w:val="Call"/>
        <w:rPr>
          <w:lang w:val="es-ES_tradnl"/>
        </w:rPr>
      </w:pPr>
      <w:r w:rsidRPr="00CD3CA0">
        <w:rPr>
          <w:lang w:val="es-ES_tradnl"/>
        </w:rPr>
        <w:t>reconociendo</w:t>
      </w:r>
    </w:p>
    <w:p w14:paraId="0B011183" w14:textId="78B32792" w:rsidR="00CE366A" w:rsidRPr="00CD3CA0" w:rsidRDefault="00F74328" w:rsidP="00CE366A">
      <w:pPr>
        <w:rPr>
          <w:lang w:val="es-ES_tradnl"/>
        </w:rPr>
      </w:pPr>
      <w:r w:rsidRPr="00CD3CA0">
        <w:rPr>
          <w:i/>
          <w:iCs/>
          <w:lang w:val="es-ES_tradnl"/>
        </w:rPr>
        <w:t>a)</w:t>
      </w:r>
      <w:r w:rsidRPr="00CD3CA0">
        <w:rPr>
          <w:lang w:val="es-ES_tradnl"/>
        </w:rPr>
        <w:tab/>
        <w:t>la escasa participación de los operadores</w:t>
      </w:r>
      <w:ins w:id="19" w:author="Spanish1" w:date="2024-10-01T11:09:00Z">
        <w:r w:rsidR="0077566B" w:rsidRPr="00CD3CA0">
          <w:rPr>
            <w:lang w:val="es-ES_tradnl"/>
          </w:rPr>
          <w:t>, proveedores de servicios e industrias</w:t>
        </w:r>
      </w:ins>
      <w:r w:rsidRPr="00CD3CA0">
        <w:rPr>
          <w:lang w:val="es-ES_tradnl"/>
        </w:rPr>
        <w:t xml:space="preserve"> de los países en desarrollo en las actividades de normalización;</w:t>
      </w:r>
    </w:p>
    <w:p w14:paraId="430982E4" w14:textId="233B5CB3" w:rsidR="00CE366A" w:rsidRPr="00CD3CA0" w:rsidRDefault="00F74328" w:rsidP="00CE366A">
      <w:pPr>
        <w:rPr>
          <w:lang w:val="es-ES_tradnl"/>
        </w:rPr>
      </w:pPr>
      <w:r w:rsidRPr="00CD3CA0">
        <w:rPr>
          <w:i/>
          <w:iCs/>
          <w:lang w:val="es-ES_tradnl"/>
        </w:rPr>
        <w:t>b)</w:t>
      </w:r>
      <w:r w:rsidRPr="00CD3CA0">
        <w:rPr>
          <w:lang w:val="es-ES_tradnl"/>
        </w:rPr>
        <w:tab/>
        <w:t>que la mayoría de dichos operadores</w:t>
      </w:r>
      <w:ins w:id="20" w:author="Spanish1" w:date="2024-10-01T11:10:00Z">
        <w:r w:rsidR="0077566B" w:rsidRPr="00CD3CA0">
          <w:rPr>
            <w:lang w:val="es-ES_tradnl"/>
          </w:rPr>
          <w:t>, proveedores de servicios e industrias de los países en desarrollo</w:t>
        </w:r>
      </w:ins>
      <w:r w:rsidRPr="00CD3CA0">
        <w:rPr>
          <w:lang w:val="es-ES_tradnl"/>
        </w:rPr>
        <w:t xml:space="preserve"> son filiales de empresas de telecomunicaciones de países desarrollados que ya son Miembros de Sector;</w:t>
      </w:r>
    </w:p>
    <w:p w14:paraId="5EEF366C" w14:textId="77777777" w:rsidR="00CE366A" w:rsidRPr="00CD3CA0" w:rsidRDefault="00F74328" w:rsidP="00CE366A">
      <w:pPr>
        <w:rPr>
          <w:lang w:val="es-ES_tradnl"/>
        </w:rPr>
      </w:pPr>
      <w:r w:rsidRPr="00CD3CA0">
        <w:rPr>
          <w:i/>
          <w:iCs/>
          <w:lang w:val="es-ES_tradnl"/>
        </w:rPr>
        <w:lastRenderedPageBreak/>
        <w:t>c)</w:t>
      </w:r>
      <w:r w:rsidRPr="00CD3CA0">
        <w:rPr>
          <w:lang w:val="es-ES_tradnl"/>
        </w:rPr>
        <w:tab/>
        <w:t>que los objetivos estratégicos de los Miembros de Sector de los países desarrollados que participan en las actividades del UIT-T no siempre incluyen la participación de sus filiales;</w:t>
      </w:r>
    </w:p>
    <w:p w14:paraId="3744802A" w14:textId="77777777" w:rsidR="00CE366A" w:rsidRPr="00CD3CA0" w:rsidRDefault="00F74328" w:rsidP="00CE366A">
      <w:pPr>
        <w:rPr>
          <w:lang w:val="es-ES_tradnl"/>
        </w:rPr>
      </w:pPr>
      <w:r w:rsidRPr="00CD3CA0">
        <w:rPr>
          <w:i/>
          <w:iCs/>
          <w:lang w:val="es-ES_tradnl"/>
        </w:rPr>
        <w:t>d)</w:t>
      </w:r>
      <w:r w:rsidRPr="00CD3CA0">
        <w:rPr>
          <w:lang w:val="es-ES_tradnl"/>
        </w:rPr>
        <w:tab/>
        <w:t>que los citados operadores de telecomunicaciones de los países en desarrollo muestran un especial interés por la explotación e instalación de infraestructuras de tecnologías de la información y la comunicación, en vez de participar de forma activa en las actividades de normalización;</w:t>
      </w:r>
    </w:p>
    <w:p w14:paraId="59F596A2" w14:textId="77777777" w:rsidR="00CE366A" w:rsidRPr="00CD3CA0" w:rsidRDefault="00F74328" w:rsidP="00CE366A">
      <w:pPr>
        <w:keepNext/>
        <w:keepLines/>
        <w:rPr>
          <w:lang w:val="es-ES_tradnl"/>
        </w:rPr>
      </w:pPr>
      <w:r w:rsidRPr="00CD3CA0">
        <w:rPr>
          <w:i/>
          <w:iCs/>
          <w:lang w:val="es-ES_tradnl"/>
        </w:rPr>
        <w:t>e)</w:t>
      </w:r>
      <w:r w:rsidRPr="00CD3CA0">
        <w:rPr>
          <w:lang w:val="es-ES_tradnl"/>
        </w:rPr>
        <w:tab/>
        <w:t>que, en el Artículo 1 de la Constitución de la UIT, se señala que la Unión facilitará el proceso de normalización mundial de las telecomunicaciones con una calidad de servicio satisfactoria, alentará y mejorará la participación de entidades y organizaciones en las actividades de la Unión favoreciendo la cooperación fructífera y la asociación entre ellas y los Estados Miembros para la consecución de los fines de la Unión,</w:t>
      </w:r>
    </w:p>
    <w:p w14:paraId="3DA0BAB7" w14:textId="77777777" w:rsidR="00CE366A" w:rsidRPr="00CD3CA0" w:rsidRDefault="00F74328" w:rsidP="00CE366A">
      <w:pPr>
        <w:pStyle w:val="Call"/>
        <w:rPr>
          <w:lang w:val="es-ES_tradnl"/>
        </w:rPr>
      </w:pPr>
      <w:r w:rsidRPr="00CD3CA0">
        <w:rPr>
          <w:lang w:val="es-ES_tradnl"/>
        </w:rPr>
        <w:t>considerando</w:t>
      </w:r>
    </w:p>
    <w:p w14:paraId="5A27CD9A" w14:textId="77777777" w:rsidR="00CE366A" w:rsidRPr="00CD3CA0" w:rsidRDefault="00F74328" w:rsidP="00CE366A">
      <w:pPr>
        <w:rPr>
          <w:lang w:val="es-ES_tradnl"/>
        </w:rPr>
      </w:pPr>
      <w:r w:rsidRPr="00CD3CA0">
        <w:rPr>
          <w:i/>
          <w:iCs/>
          <w:lang w:val="es-ES_tradnl"/>
        </w:rPr>
        <w:t>a)</w:t>
      </w:r>
      <w:r w:rsidRPr="00CD3CA0">
        <w:rPr>
          <w:lang w:val="es-ES_tradnl"/>
        </w:rPr>
        <w:tab/>
        <w:t>que las entidades u organizaciones pertinentes de los países en desarrollo se interesan por la labor de normalización que lleva a cabo el UIT</w:t>
      </w:r>
      <w:r w:rsidRPr="00CD3CA0">
        <w:rPr>
          <w:lang w:val="es-ES_tradnl"/>
        </w:rPr>
        <w:noBreakHyphen/>
        <w:t>T y estarían dispuestas a sumarse a dicha labor si existieran condiciones financieras más favorables para su participación en los trabajos del UIT</w:t>
      </w:r>
      <w:r w:rsidRPr="00CD3CA0">
        <w:rPr>
          <w:lang w:val="es-ES_tradnl"/>
        </w:rPr>
        <w:noBreakHyphen/>
        <w:t>T;</w:t>
      </w:r>
    </w:p>
    <w:p w14:paraId="440785F4" w14:textId="77777777" w:rsidR="00CE366A" w:rsidRPr="00CD3CA0" w:rsidRDefault="00F74328" w:rsidP="00CE366A">
      <w:pPr>
        <w:rPr>
          <w:lang w:val="es-ES_tradnl" w:eastAsia="ar-SA"/>
        </w:rPr>
      </w:pPr>
      <w:r w:rsidRPr="00CD3CA0">
        <w:rPr>
          <w:i/>
          <w:iCs/>
          <w:lang w:val="es-ES_tradnl" w:eastAsia="ar-SA"/>
        </w:rPr>
        <w:t>b)</w:t>
      </w:r>
      <w:r w:rsidRPr="00CD3CA0">
        <w:rPr>
          <w:lang w:val="es-ES_tradnl" w:eastAsia="ar-SA"/>
        </w:rPr>
        <w:tab/>
        <w:t>que las citadas entidades u organizaciones podrían desempeñar un importante papel a efectos de la investigación y el desarrollo de nuevas tecnologías, y que la participación de tales entidades de los países en desarrollo en el trabajo del UIT</w:t>
      </w:r>
      <w:r w:rsidRPr="00CD3CA0">
        <w:rPr>
          <w:lang w:val="es-ES_tradnl" w:eastAsia="ar-SA"/>
        </w:rPr>
        <w:noBreakHyphen/>
        <w:t>T contribuiría a reducir la brecha de normalización;</w:t>
      </w:r>
    </w:p>
    <w:p w14:paraId="6FAAC8E4" w14:textId="5382545C" w:rsidR="00CE366A" w:rsidRPr="00CD3CA0" w:rsidRDefault="00F74328" w:rsidP="00CE366A">
      <w:pPr>
        <w:rPr>
          <w:i/>
          <w:lang w:val="es-ES_tradnl" w:eastAsia="ar-SA"/>
        </w:rPr>
      </w:pPr>
      <w:r w:rsidRPr="00CD3CA0">
        <w:rPr>
          <w:i/>
          <w:iCs/>
          <w:lang w:val="es-ES_tradnl" w:eastAsia="ar-SA"/>
        </w:rPr>
        <w:t>c)</w:t>
      </w:r>
      <w:r w:rsidRPr="00CD3CA0">
        <w:rPr>
          <w:i/>
          <w:iCs/>
          <w:lang w:val="es-ES_tradnl" w:eastAsia="ar-SA"/>
        </w:rPr>
        <w:tab/>
      </w:r>
      <w:r w:rsidRPr="00CD3CA0">
        <w:rPr>
          <w:lang w:val="es-ES_tradnl"/>
        </w:rPr>
        <w:t>que esta participación de los Miembros de Sector</w:t>
      </w:r>
      <w:ins w:id="21" w:author="Spanish1" w:date="2024-10-01T11:10:00Z">
        <w:r w:rsidR="0077566B" w:rsidRPr="00CD3CA0">
          <w:rPr>
            <w:lang w:val="es-ES_tradnl"/>
          </w:rPr>
          <w:t>, en particular las empresas líderes</w:t>
        </w:r>
      </w:ins>
      <w:ins w:id="22" w:author="TSB (RC)" w:date="2024-10-07T16:16:00Z">
        <w:r w:rsidR="00113006">
          <w:rPr>
            <w:lang w:val="es-ES_tradnl"/>
          </w:rPr>
          <w:t>,</w:t>
        </w:r>
      </w:ins>
      <w:r w:rsidRPr="00CD3CA0">
        <w:rPr>
          <w:lang w:val="es-ES_tradnl"/>
        </w:rPr>
        <w:t xml:space="preserve"> contribuiría a fortalecer la labor de capacitación en los países en desarrollo, fomentaría su competitividad y facilitaría la innovación en sus mercados,</w:t>
      </w:r>
    </w:p>
    <w:p w14:paraId="05E9B836" w14:textId="77777777" w:rsidR="00CE366A" w:rsidRPr="00CD3CA0" w:rsidRDefault="00F74328" w:rsidP="00CE366A">
      <w:pPr>
        <w:pStyle w:val="Call"/>
        <w:rPr>
          <w:lang w:val="es-ES_tradnl"/>
        </w:rPr>
      </w:pPr>
      <w:r w:rsidRPr="00CD3CA0">
        <w:rPr>
          <w:lang w:val="es-ES_tradnl"/>
        </w:rPr>
        <w:t>resuelve</w:t>
      </w:r>
    </w:p>
    <w:p w14:paraId="724C99F3" w14:textId="77777777" w:rsidR="00CE366A" w:rsidRPr="00CD3CA0" w:rsidRDefault="00F74328" w:rsidP="00CE366A">
      <w:pPr>
        <w:rPr>
          <w:lang w:val="es-ES_tradnl"/>
        </w:rPr>
      </w:pPr>
      <w:r w:rsidRPr="00CD3CA0">
        <w:rPr>
          <w:lang w:val="es-ES_tradnl"/>
        </w:rPr>
        <w:t>1</w:t>
      </w:r>
      <w:r w:rsidRPr="00CD3CA0">
        <w:rPr>
          <w:lang w:val="es-ES_tradnl"/>
        </w:rPr>
        <w:tab/>
        <w:t>alentar la adopción de las medidas y los mecanismos necesarios para permitir la incorporación al UIT-T de nuevos Miembros de Sector de países en desarrollo y su participación en la labor de las Comisiones de Estudio y de otros grupos del UIT</w:t>
      </w:r>
      <w:r w:rsidRPr="00CD3CA0">
        <w:rPr>
          <w:lang w:val="es-ES_tradnl"/>
        </w:rPr>
        <w:noBreakHyphen/>
        <w:t>T;</w:t>
      </w:r>
    </w:p>
    <w:p w14:paraId="7FBAF12A" w14:textId="77777777" w:rsidR="00CE366A" w:rsidRPr="00CD3CA0" w:rsidRDefault="00F74328" w:rsidP="00CE366A">
      <w:pPr>
        <w:rPr>
          <w:lang w:val="es-ES_tradnl"/>
        </w:rPr>
      </w:pPr>
      <w:r w:rsidRPr="00CD3CA0">
        <w:rPr>
          <w:lang w:val="es-ES_tradnl"/>
        </w:rPr>
        <w:t>2</w:t>
      </w:r>
      <w:r w:rsidRPr="00CD3CA0">
        <w:rPr>
          <w:lang w:val="es-ES_tradnl"/>
        </w:rPr>
        <w:tab/>
        <w:t>alentar a los Miembros de Sector de los países desarrollados a fomentar la participación en las actividades del UIT-T de sus filiales instaladas en países en desarrollo,</w:t>
      </w:r>
    </w:p>
    <w:p w14:paraId="41C2DC0F" w14:textId="19EA8F61" w:rsidR="00CE366A" w:rsidRPr="00CD3CA0" w:rsidRDefault="00F74328" w:rsidP="00CE366A">
      <w:pPr>
        <w:pStyle w:val="Call"/>
        <w:rPr>
          <w:lang w:val="es-ES_tradnl"/>
        </w:rPr>
      </w:pPr>
      <w:r w:rsidRPr="00CD3CA0">
        <w:rPr>
          <w:lang w:val="es-ES_tradnl"/>
        </w:rPr>
        <w:t>invita a los Estados Miembros</w:t>
      </w:r>
      <w:ins w:id="23" w:author="Spanish1" w:date="2024-10-01T11:10:00Z">
        <w:r w:rsidR="0077566B" w:rsidRPr="00CD3CA0">
          <w:rPr>
            <w:lang w:val="es-ES_tradnl"/>
          </w:rPr>
          <w:t xml:space="preserve"> de los países en desarrollo</w:t>
        </w:r>
      </w:ins>
    </w:p>
    <w:p w14:paraId="6B80F267" w14:textId="58746416" w:rsidR="00820507" w:rsidRPr="00CD3CA0" w:rsidRDefault="00F74328" w:rsidP="00CE366A">
      <w:pPr>
        <w:rPr>
          <w:ins w:id="24" w:author="Spanish1" w:date="2024-10-01T11:10:00Z"/>
          <w:lang w:val="es-ES_tradnl"/>
        </w:rPr>
      </w:pPr>
      <w:r w:rsidRPr="00CD3CA0">
        <w:rPr>
          <w:lang w:val="es-ES_tradnl"/>
        </w:rPr>
        <w:t>a instar a sus Miembros de Sector a que participen en las actividades del UIT</w:t>
      </w:r>
      <w:r w:rsidRPr="00CD3CA0">
        <w:rPr>
          <w:lang w:val="es-ES_tradnl"/>
        </w:rPr>
        <w:noBreakHyphen/>
        <w:t>T</w:t>
      </w:r>
      <w:ins w:id="25" w:author="Spanish1" w:date="2024-10-01T11:10:00Z">
        <w:r w:rsidR="0077566B" w:rsidRPr="00CD3CA0">
          <w:rPr>
            <w:lang w:val="es-ES_tradnl"/>
          </w:rPr>
          <w:t>,</w:t>
        </w:r>
      </w:ins>
      <w:del w:id="26" w:author="Spanish1" w:date="2024-10-01T11:10:00Z">
        <w:r w:rsidRPr="00CD3CA0" w:rsidDel="0077566B">
          <w:rPr>
            <w:lang w:val="es-ES_tradnl"/>
          </w:rPr>
          <w:delText>.</w:delText>
        </w:r>
      </w:del>
    </w:p>
    <w:p w14:paraId="04309110" w14:textId="5299DD1D" w:rsidR="0077566B" w:rsidRPr="00CD3CA0" w:rsidRDefault="0077566B">
      <w:pPr>
        <w:pStyle w:val="Call"/>
        <w:rPr>
          <w:ins w:id="27" w:author="Spanish1" w:date="2024-10-01T11:11:00Z"/>
          <w:lang w:val="es-ES_tradnl"/>
        </w:rPr>
        <w:pPrChange w:id="28" w:author="TSB (RC)" w:date="2024-10-07T16:11:00Z">
          <w:pPr/>
        </w:pPrChange>
      </w:pPr>
      <w:ins w:id="29" w:author="Spanish1" w:date="2024-10-01T11:10:00Z">
        <w:del w:id="30" w:author="TSB (RC)" w:date="2024-10-07T16:13:00Z">
          <w:r w:rsidRPr="00CD3CA0" w:rsidDel="001D36B1">
            <w:rPr>
              <w:lang w:val="es-ES_tradnl"/>
            </w:rPr>
            <w:tab/>
          </w:r>
        </w:del>
        <w:r w:rsidRPr="00CD3CA0">
          <w:rPr>
            <w:lang w:val="es-ES_tradnl"/>
          </w:rPr>
          <w:t xml:space="preserve">encarga al Director de la Oficina de </w:t>
        </w:r>
      </w:ins>
      <w:ins w:id="31" w:author="Spanish1" w:date="2024-10-01T11:11:00Z">
        <w:r w:rsidRPr="00CD3CA0">
          <w:rPr>
            <w:lang w:val="es-ES_tradnl"/>
          </w:rPr>
          <w:t>Normalización de las Telecomunicaciones</w:t>
        </w:r>
      </w:ins>
    </w:p>
    <w:p w14:paraId="73C4815E" w14:textId="534E3EF3" w:rsidR="0077566B" w:rsidRPr="00CD3CA0" w:rsidRDefault="0077566B" w:rsidP="00CE366A">
      <w:pPr>
        <w:rPr>
          <w:lang w:val="es-ES_tradnl"/>
        </w:rPr>
      </w:pPr>
      <w:ins w:id="32" w:author="Spanish1" w:date="2024-10-01T11:11:00Z">
        <w:r w:rsidRPr="00CD3CA0">
          <w:rPr>
            <w:lang w:val="es-ES_tradnl"/>
          </w:rPr>
          <w:t>que continúe mejorando las herramientas web de la UIT en un empeño por facilitar la localización de las directrices, Recomendaciones, Informes Técnicos, prácticas id</w:t>
        </w:r>
      </w:ins>
      <w:ins w:id="33" w:author="Spanish1" w:date="2024-10-01T11:12:00Z">
        <w:r w:rsidRPr="00CD3CA0">
          <w:rPr>
            <w:lang w:val="es-ES_tradnl"/>
          </w:rPr>
          <w:t>óneas y casos de uso preparados por el UIT-T, y promoverlos, e identifique estrategias y mecanismos para ayudar a los Miemb</w:t>
        </w:r>
      </w:ins>
      <w:ins w:id="34" w:author="Spanish1" w:date="2024-10-01T11:13:00Z">
        <w:r w:rsidRPr="00CD3CA0">
          <w:rPr>
            <w:lang w:val="es-ES_tradnl"/>
          </w:rPr>
          <w:t>ros de Sector de los países en desarrollo a utilizar proactivamente esas herramientas a fin de acelerar la transferencia de conocimientos.</w:t>
        </w:r>
      </w:ins>
    </w:p>
    <w:p w14:paraId="35F6B810" w14:textId="77777777" w:rsidR="00F27541" w:rsidRPr="00CD3CA0" w:rsidRDefault="00F27541" w:rsidP="00F27541">
      <w:pPr>
        <w:pStyle w:val="Reasons"/>
        <w:rPr>
          <w:lang w:val="es-ES_tradnl"/>
        </w:rPr>
      </w:pPr>
    </w:p>
    <w:p w14:paraId="4CE05A25" w14:textId="55001135" w:rsidR="00152070" w:rsidRPr="0077566B" w:rsidRDefault="00F27541" w:rsidP="00F27541">
      <w:pPr>
        <w:jc w:val="center"/>
        <w:rPr>
          <w:lang w:val="es-ES"/>
        </w:rPr>
      </w:pPr>
      <w:bookmarkStart w:id="35" w:name="Proposal"/>
      <w:bookmarkEnd w:id="35"/>
      <w:r w:rsidRPr="00CD3CA0">
        <w:rPr>
          <w:lang w:val="es-ES_tradnl"/>
        </w:rPr>
        <w:t>_______________</w:t>
      </w:r>
    </w:p>
    <w:sectPr w:rsidR="00152070" w:rsidRPr="0077566B">
      <w:headerReference w:type="default" r:id="rId14"/>
      <w:footerReference w:type="even" r:id="rId15"/>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68F12" w14:textId="77777777" w:rsidR="00FB26AC" w:rsidRDefault="00FB26AC">
      <w:r>
        <w:separator/>
      </w:r>
    </w:p>
  </w:endnote>
  <w:endnote w:type="continuationSeparator" w:id="0">
    <w:p w14:paraId="068BE4C6" w14:textId="77777777" w:rsidR="00FB26AC" w:rsidRDefault="00FB26AC">
      <w:r>
        <w:continuationSeparator/>
      </w:r>
    </w:p>
  </w:endnote>
  <w:endnote w:type="continuationNotice" w:id="1">
    <w:p w14:paraId="49691E1A" w14:textId="77777777" w:rsidR="00FB26AC" w:rsidRDefault="00FB26A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BF7A" w14:textId="77777777" w:rsidR="009D4900" w:rsidRDefault="009D4900">
    <w:pPr>
      <w:framePr w:wrap="around" w:vAnchor="text" w:hAnchor="margin" w:xAlign="right" w:y="1"/>
    </w:pPr>
    <w:r>
      <w:fldChar w:fldCharType="begin"/>
    </w:r>
    <w:r>
      <w:instrText xml:space="preserve">PAGE  </w:instrText>
    </w:r>
    <w:r>
      <w:fldChar w:fldCharType="end"/>
    </w:r>
  </w:p>
  <w:p w14:paraId="78466B9B" w14:textId="28996BC9"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113006">
      <w:rPr>
        <w:noProof/>
      </w:rPr>
      <w:t>07.10.24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772C5" w14:textId="77777777" w:rsidR="00FB26AC" w:rsidRDefault="00FB26AC">
      <w:r>
        <w:rPr>
          <w:b/>
        </w:rPr>
        <w:t>_______________</w:t>
      </w:r>
    </w:p>
  </w:footnote>
  <w:footnote w:type="continuationSeparator" w:id="0">
    <w:p w14:paraId="1F9993D4" w14:textId="77777777" w:rsidR="00FB26AC" w:rsidRDefault="00FB26AC">
      <w:r>
        <w:continuationSeparator/>
      </w:r>
    </w:p>
  </w:footnote>
  <w:footnote w:id="1">
    <w:p w14:paraId="75AF6A64" w14:textId="77777777" w:rsidR="0094774A" w:rsidRPr="00795ADF" w:rsidRDefault="00F74328">
      <w:pPr>
        <w:pStyle w:val="FootnoteText"/>
        <w:rPr>
          <w:lang w:val="es-ES"/>
        </w:rPr>
      </w:pPr>
      <w:r w:rsidRPr="0094774A">
        <w:rPr>
          <w:rStyle w:val="FootnoteReference"/>
          <w:lang w:val="es-ES"/>
        </w:rPr>
        <w:t>1</w:t>
      </w:r>
      <w:r w:rsidRPr="0094774A">
        <w:rPr>
          <w:lang w:val="es-ES"/>
        </w:rPr>
        <w:t xml:space="preserve"> </w:t>
      </w:r>
      <w:r>
        <w:rPr>
          <w:lang w:val="es-ES"/>
        </w:rPr>
        <w:tab/>
      </w:r>
      <w:r w:rsidRPr="00CE366A">
        <w:rPr>
          <w:lang w:val="es-ES"/>
        </w:rPr>
        <w:t xml:space="preserve">Estos Miembros de Sector de los países en desarrollo no podrán estar afiliados en modo alguno a ningún Miembro de Sector de un país desarrollado, y se limitarán a aquellos Miembros de Sector de países en desarrollo (incluidos los países menos adelantados, los pequeños Estados insulares en desarrollo, los países en desarrollo sin litoral y los países con economías en transición) que posean una renta per cápita </w:t>
      </w:r>
      <w:r w:rsidRPr="0014077C">
        <w:rPr>
          <w:lang w:val="es-ES"/>
        </w:rPr>
        <w:t>de acuerdo con el Programa de Desarrollo de las Naciones Unidas que no supere un umbral por determinar.</w:t>
      </w:r>
    </w:p>
  </w:footnote>
  <w:footnote w:id="2">
    <w:p w14:paraId="65917A8F" w14:textId="77777777" w:rsidR="0094774A" w:rsidRPr="00795ADF" w:rsidRDefault="00F74328">
      <w:pPr>
        <w:pStyle w:val="FootnoteText"/>
        <w:rPr>
          <w:lang w:val="es-ES"/>
        </w:rPr>
      </w:pPr>
      <w:r w:rsidRPr="0094774A">
        <w:rPr>
          <w:rStyle w:val="FootnoteReference"/>
          <w:lang w:val="es-ES"/>
        </w:rPr>
        <w:t>2</w:t>
      </w:r>
      <w:r w:rsidRPr="0094774A">
        <w:rPr>
          <w:lang w:val="es-ES"/>
        </w:rPr>
        <w:t xml:space="preserve"> </w:t>
      </w:r>
      <w:r>
        <w:rPr>
          <w:lang w:val="es-ES"/>
        </w:rPr>
        <w:tab/>
      </w:r>
      <w:r w:rsidRPr="00A31D56">
        <w:rPr>
          <w:lang w:val="es-ES"/>
        </w:rPr>
        <w:t>Este término comprende los países menos adelantados, los pequeños Estados insulares en desarrollo, los países en desarrollo sin litoral y los países con economías en transición</w:t>
      </w:r>
      <w:r w:rsidRPr="00CE366A">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11AE2"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WTSA-24/36(Add.16)-</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SB (RC)">
    <w15:presenceInfo w15:providerId="None" w15:userId="TSB (RC)"/>
  </w15:person>
  <w15:person w15:author="Spanish1">
    <w15:presenceInfo w15:providerId="None" w15:userId="Spanis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3006"/>
    <w:rsid w:val="00114CF7"/>
    <w:rsid w:val="0011715B"/>
    <w:rsid w:val="00123B68"/>
    <w:rsid w:val="00126F2E"/>
    <w:rsid w:val="001301F4"/>
    <w:rsid w:val="00130789"/>
    <w:rsid w:val="00137CF6"/>
    <w:rsid w:val="00146F6F"/>
    <w:rsid w:val="00152070"/>
    <w:rsid w:val="00161472"/>
    <w:rsid w:val="00163E58"/>
    <w:rsid w:val="0017074E"/>
    <w:rsid w:val="00182117"/>
    <w:rsid w:val="0018215C"/>
    <w:rsid w:val="00187BD9"/>
    <w:rsid w:val="00190B55"/>
    <w:rsid w:val="001C3B5F"/>
    <w:rsid w:val="001D058F"/>
    <w:rsid w:val="001D36B1"/>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36ABE"/>
    <w:rsid w:val="00336B4E"/>
    <w:rsid w:val="0034635C"/>
    <w:rsid w:val="00377BD3"/>
    <w:rsid w:val="00384088"/>
    <w:rsid w:val="003879F0"/>
    <w:rsid w:val="0039169B"/>
    <w:rsid w:val="00394470"/>
    <w:rsid w:val="003A5470"/>
    <w:rsid w:val="003A7F8C"/>
    <w:rsid w:val="003B09A1"/>
    <w:rsid w:val="003B532E"/>
    <w:rsid w:val="003C33B7"/>
    <w:rsid w:val="003D0F8B"/>
    <w:rsid w:val="003E15DB"/>
    <w:rsid w:val="003F020A"/>
    <w:rsid w:val="0041348E"/>
    <w:rsid w:val="004142ED"/>
    <w:rsid w:val="00420EDB"/>
    <w:rsid w:val="004373CA"/>
    <w:rsid w:val="004420C9"/>
    <w:rsid w:val="00443CCE"/>
    <w:rsid w:val="00465799"/>
    <w:rsid w:val="00471EF9"/>
    <w:rsid w:val="00492075"/>
    <w:rsid w:val="00495699"/>
    <w:rsid w:val="004969AD"/>
    <w:rsid w:val="004A26C4"/>
    <w:rsid w:val="004B13CB"/>
    <w:rsid w:val="004B4AAE"/>
    <w:rsid w:val="004C6FBE"/>
    <w:rsid w:val="004D3C35"/>
    <w:rsid w:val="004D5D5C"/>
    <w:rsid w:val="004D6DFC"/>
    <w:rsid w:val="004E05BE"/>
    <w:rsid w:val="004E268A"/>
    <w:rsid w:val="004E2B16"/>
    <w:rsid w:val="004F630A"/>
    <w:rsid w:val="0050139F"/>
    <w:rsid w:val="00510C3D"/>
    <w:rsid w:val="00524283"/>
    <w:rsid w:val="0055140B"/>
    <w:rsid w:val="00553247"/>
    <w:rsid w:val="0056378B"/>
    <w:rsid w:val="0056747D"/>
    <w:rsid w:val="00581B01"/>
    <w:rsid w:val="00587F8C"/>
    <w:rsid w:val="00590E6A"/>
    <w:rsid w:val="00595780"/>
    <w:rsid w:val="005964AB"/>
    <w:rsid w:val="005A1A6A"/>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566B"/>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61DA9"/>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2B15"/>
    <w:rsid w:val="00A82E71"/>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36D53"/>
    <w:rsid w:val="00B529AD"/>
    <w:rsid w:val="00B6324B"/>
    <w:rsid w:val="00B639E9"/>
    <w:rsid w:val="00B66385"/>
    <w:rsid w:val="00B66C2B"/>
    <w:rsid w:val="00B817CD"/>
    <w:rsid w:val="00B94AD0"/>
    <w:rsid w:val="00BA3E09"/>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240C"/>
    <w:rsid w:val="00C324A8"/>
    <w:rsid w:val="00C34489"/>
    <w:rsid w:val="00C35338"/>
    <w:rsid w:val="00C479FD"/>
    <w:rsid w:val="00C50EF4"/>
    <w:rsid w:val="00C54517"/>
    <w:rsid w:val="00C554F9"/>
    <w:rsid w:val="00C64CD8"/>
    <w:rsid w:val="00C701BF"/>
    <w:rsid w:val="00C72D5C"/>
    <w:rsid w:val="00C77E1A"/>
    <w:rsid w:val="00C97C68"/>
    <w:rsid w:val="00CA1A47"/>
    <w:rsid w:val="00CC247A"/>
    <w:rsid w:val="00CD3CA0"/>
    <w:rsid w:val="00CD70EF"/>
    <w:rsid w:val="00CD7CC4"/>
    <w:rsid w:val="00CE388F"/>
    <w:rsid w:val="00CE486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74898"/>
    <w:rsid w:val="00D801ED"/>
    <w:rsid w:val="00D936BC"/>
    <w:rsid w:val="00D96530"/>
    <w:rsid w:val="00DA7E2F"/>
    <w:rsid w:val="00DB13C5"/>
    <w:rsid w:val="00DB2357"/>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2404A"/>
    <w:rsid w:val="00F27541"/>
    <w:rsid w:val="00F30C7C"/>
    <w:rsid w:val="00F3630D"/>
    <w:rsid w:val="00F4677D"/>
    <w:rsid w:val="00F46E90"/>
    <w:rsid w:val="00F528B4"/>
    <w:rsid w:val="00F60D05"/>
    <w:rsid w:val="00F6155B"/>
    <w:rsid w:val="00F65C19"/>
    <w:rsid w:val="00F7356B"/>
    <w:rsid w:val="00F74328"/>
    <w:rsid w:val="00F80977"/>
    <w:rsid w:val="00F83F75"/>
    <w:rsid w:val="00F972D2"/>
    <w:rsid w:val="00FB26AC"/>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72D4A"/>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Author xmlns="f79a8e8c-27b1-4800-8d2f-fd027110372e">DPM</DPM_x0020_Author>
    <DPM_x0020_File_x0020_name xmlns="f79a8e8c-27b1-4800-8d2f-fd027110372e">T22-WTSA.24-C-0036!A16!MSW-S</DPM_x0020_File_x0020_name>
    <DPM_x0020_Version xmlns="f79a8e8c-27b1-4800-8d2f-fd027110372e">DPM_2022.05.12.01</DPM_x0020_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79a8e8c-27b1-4800-8d2f-fd027110372e" targetNamespace="http://schemas.microsoft.com/office/2006/metadata/properties" ma:root="true" ma:fieldsID="d41af5c836d734370eb92e7ee5f83852" ns2:_="" ns3:_="">
    <xsd:import namespace="996b2e75-67fd-4955-a3b0-5ab9934cb50b"/>
    <xsd:import namespace="f79a8e8c-27b1-4800-8d2f-fd027110372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79a8e8c-27b1-4800-8d2f-fd027110372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f79a8e8c-27b1-4800-8d2f-fd027110372e"/>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79a8e8c-27b1-4800-8d2f-fd0271103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886</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T22-WTSA.24-C-1000!!MSW-S</vt:lpstr>
    </vt:vector>
  </TitlesOfParts>
  <Manager>General Secretariat - Pool</Manager>
  <Company>International Telecommunication Union (ITU)</Company>
  <LinksUpToDate>false</LinksUpToDate>
  <CharactersWithSpaces>5780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T22-WTSA.24-C-0036!A16!MSW-S</dc:title>
  <dc:subject>World Telecommunication Standardization Assembly</dc:subject>
  <dc:creator>Documents Proposals Manager (DPM)</dc:creator>
  <cp:keywords>DPM_v2024.7.23.2_prod</cp:keywords>
  <dc:description>Template used by DPM and CPI for the WTSA-24</dc:description>
  <cp:lastModifiedBy>TSB (RC)</cp:lastModifiedBy>
  <cp:revision>17</cp:revision>
  <cp:lastPrinted>2016-06-06T07:49:00Z</cp:lastPrinted>
  <dcterms:created xsi:type="dcterms:W3CDTF">2024-10-07T13:14:00Z</dcterms:created>
  <dcterms:modified xsi:type="dcterms:W3CDTF">2024-10-07T14:16:00Z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