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70"/>
        <w:gridCol w:w="4857"/>
        <w:gridCol w:w="2226"/>
        <w:gridCol w:w="1286"/>
      </w:tblGrid>
      <w:tr w:rsidR="009C1736" w14:paraId="2F5EEA0C" w14:textId="77777777">
        <w:trPr>
          <w:cantSplit/>
          <w:trHeight w:val="1132"/>
        </w:trPr>
        <w:tc>
          <w:tcPr>
            <w:tcW w:w="1290" w:type="dxa"/>
            <w:vAlign w:val="center"/>
          </w:tcPr>
          <w:p w14:paraId="3BAF65D3" w14:textId="77777777" w:rsidR="009C1736" w:rsidRDefault="00650809">
            <w:pPr>
              <w:spacing w:before="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drawing>
                <wp:inline distT="0" distB="0" distL="0" distR="0" wp14:anchorId="4C651BF2" wp14:editId="5DEDEFE7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2E2291E" w14:textId="77777777" w:rsidR="009C1736" w:rsidRDefault="00650809">
            <w:pPr>
              <w:rPr>
                <w:rFonts w:ascii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>
              <w:rPr>
                <w:rFonts w:ascii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（</w:t>
            </w:r>
            <w:r>
              <w:rPr>
                <w:rFonts w:ascii="Verdana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49503917" w14:textId="77777777" w:rsidR="009C1736" w:rsidRDefault="00650809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>
              <w:rPr>
                <w:rFonts w:cstheme="minorHAnsi"/>
                <w:sz w:val="20"/>
                <w:szCs w:val="20"/>
                <w:lang w:eastAsia="zh-CN"/>
              </w:rPr>
              <w:t>2024</w:t>
            </w:r>
            <w:r>
              <w:rPr>
                <w:rFonts w:cstheme="minorHAnsi"/>
                <w:sz w:val="20"/>
                <w:szCs w:val="20"/>
                <w:lang w:eastAsia="zh-CN"/>
              </w:rPr>
              <w:t>年</w:t>
            </w:r>
            <w:r>
              <w:rPr>
                <w:rFonts w:cstheme="minorHAnsi"/>
                <w:sz w:val="20"/>
                <w:szCs w:val="20"/>
                <w:lang w:eastAsia="zh-CN"/>
              </w:rPr>
              <w:t>10</w:t>
            </w:r>
            <w:r>
              <w:rPr>
                <w:rFonts w:cstheme="minorHAnsi"/>
                <w:sz w:val="20"/>
                <w:szCs w:val="20"/>
                <w:lang w:eastAsia="zh-CN"/>
              </w:rPr>
              <w:t>月</w:t>
            </w:r>
            <w:r>
              <w:rPr>
                <w:rFonts w:cstheme="minorHAnsi"/>
                <w:sz w:val="20"/>
                <w:szCs w:val="20"/>
                <w:lang w:eastAsia="zh-CN"/>
              </w:rPr>
              <w:t>15-24</w:t>
            </w:r>
            <w:r>
              <w:rPr>
                <w:rFonts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>
              <w:rPr>
                <w:rFonts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>
              <w:rPr>
                <w:rFonts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5AB155A" w14:textId="77777777" w:rsidR="009C1736" w:rsidRDefault="00650809">
            <w:pPr>
              <w:spacing w:before="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drawing>
                <wp:inline distT="0" distB="0" distL="0" distR="0" wp14:anchorId="0C194B5C" wp14:editId="416CC51D">
                  <wp:extent cx="669290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736" w14:paraId="76D9981E" w14:textId="77777777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745ABB8" w14:textId="77777777" w:rsidR="009C1736" w:rsidRDefault="009C1736">
            <w:pPr>
              <w:spacing w:before="0"/>
              <w:rPr>
                <w:lang w:eastAsia="zh-CN"/>
              </w:rPr>
            </w:pPr>
          </w:p>
        </w:tc>
      </w:tr>
      <w:tr w:rsidR="009C1736" w14:paraId="1646AFAE" w14:textId="77777777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4ADB4C8" w14:textId="77777777" w:rsidR="009C1736" w:rsidRDefault="009C1736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66FD1620" w14:textId="77777777" w:rsidR="009C1736" w:rsidRDefault="009C1736">
            <w:pPr>
              <w:spacing w:before="0"/>
              <w:rPr>
                <w:sz w:val="20"/>
              </w:rPr>
            </w:pPr>
          </w:p>
        </w:tc>
      </w:tr>
      <w:tr w:rsidR="009C1736" w14:paraId="5DEF75F9" w14:textId="77777777">
        <w:trPr>
          <w:cantSplit/>
        </w:trPr>
        <w:tc>
          <w:tcPr>
            <w:tcW w:w="6237" w:type="dxa"/>
            <w:gridSpan w:val="2"/>
          </w:tcPr>
          <w:p w14:paraId="30CE68D3" w14:textId="77777777" w:rsidR="009C1736" w:rsidRDefault="00650809">
            <w:pPr>
              <w:pStyle w:val="Committee"/>
              <w:rPr>
                <w:lang w:eastAsia="zh-CN"/>
              </w:rPr>
            </w:pPr>
            <w:r>
              <w:t>全体会议</w:t>
            </w:r>
          </w:p>
        </w:tc>
        <w:tc>
          <w:tcPr>
            <w:tcW w:w="3574" w:type="dxa"/>
            <w:gridSpan w:val="2"/>
          </w:tcPr>
          <w:p w14:paraId="79982C7B" w14:textId="77777777" w:rsidR="009C1736" w:rsidRDefault="00650809">
            <w:pPr>
              <w:pStyle w:val="Docnumber"/>
              <w:rPr>
                <w:lang w:eastAsia="zh-CN"/>
              </w:rPr>
            </w:pPr>
            <w:r>
              <w:t>文件</w:t>
            </w:r>
            <w:r>
              <w:t xml:space="preserve"> 36 (Add.12)-C</w:t>
            </w:r>
          </w:p>
        </w:tc>
      </w:tr>
      <w:tr w:rsidR="009C1736" w14:paraId="4AD971EF" w14:textId="77777777">
        <w:trPr>
          <w:cantSplit/>
        </w:trPr>
        <w:tc>
          <w:tcPr>
            <w:tcW w:w="6237" w:type="dxa"/>
            <w:gridSpan w:val="2"/>
          </w:tcPr>
          <w:p w14:paraId="468DC512" w14:textId="77777777" w:rsidR="009C1736" w:rsidRDefault="009C1736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47CE27CB" w14:textId="77777777" w:rsidR="009C1736" w:rsidRDefault="00650809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16"/>
              </w:rPr>
              <w:t>2024</w:t>
            </w:r>
            <w:r>
              <w:rPr>
                <w:sz w:val="20"/>
                <w:szCs w:val="16"/>
              </w:rPr>
              <w:t>年</w:t>
            </w:r>
            <w:r>
              <w:rPr>
                <w:sz w:val="20"/>
                <w:szCs w:val="16"/>
              </w:rPr>
              <w:t>9</w:t>
            </w:r>
            <w:r>
              <w:rPr>
                <w:sz w:val="20"/>
                <w:szCs w:val="16"/>
              </w:rPr>
              <w:t>月</w:t>
            </w:r>
            <w:r>
              <w:rPr>
                <w:sz w:val="20"/>
                <w:szCs w:val="16"/>
              </w:rPr>
              <w:t>23</w:t>
            </w:r>
            <w:r>
              <w:rPr>
                <w:sz w:val="20"/>
                <w:szCs w:val="16"/>
              </w:rPr>
              <w:t>日</w:t>
            </w:r>
          </w:p>
        </w:tc>
      </w:tr>
      <w:tr w:rsidR="009C1736" w14:paraId="3B61422E" w14:textId="77777777">
        <w:trPr>
          <w:cantSplit/>
        </w:trPr>
        <w:tc>
          <w:tcPr>
            <w:tcW w:w="6237" w:type="dxa"/>
            <w:gridSpan w:val="2"/>
          </w:tcPr>
          <w:p w14:paraId="12F4B9D7" w14:textId="77777777" w:rsidR="009C1736" w:rsidRDefault="009C1736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518A22AE" w14:textId="77777777" w:rsidR="009C1736" w:rsidRDefault="00650809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16"/>
              </w:rPr>
              <w:t>原文：英文</w:t>
            </w:r>
          </w:p>
        </w:tc>
      </w:tr>
      <w:tr w:rsidR="009C1736" w14:paraId="0A7C0C31" w14:textId="77777777">
        <w:trPr>
          <w:cantSplit/>
        </w:trPr>
        <w:tc>
          <w:tcPr>
            <w:tcW w:w="9811" w:type="dxa"/>
            <w:gridSpan w:val="4"/>
          </w:tcPr>
          <w:p w14:paraId="1D34B7CE" w14:textId="77777777" w:rsidR="009C1736" w:rsidRDefault="009C1736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9C1736" w14:paraId="2F9EDC54" w14:textId="77777777">
        <w:trPr>
          <w:cantSplit/>
        </w:trPr>
        <w:tc>
          <w:tcPr>
            <w:tcW w:w="9811" w:type="dxa"/>
            <w:gridSpan w:val="4"/>
          </w:tcPr>
          <w:p w14:paraId="53EC69AC" w14:textId="77777777" w:rsidR="009C1736" w:rsidRDefault="00650809">
            <w:pPr>
              <w:pStyle w:val="Source"/>
              <w:rPr>
                <w:lang w:eastAsia="zh-CN"/>
              </w:rPr>
            </w:pPr>
            <w:r>
              <w:t>阿拉伯国家主管部门</w:t>
            </w:r>
          </w:p>
        </w:tc>
      </w:tr>
      <w:tr w:rsidR="009C1736" w14:paraId="0789BE7B" w14:textId="77777777">
        <w:trPr>
          <w:cantSplit/>
        </w:trPr>
        <w:tc>
          <w:tcPr>
            <w:tcW w:w="9811" w:type="dxa"/>
            <w:gridSpan w:val="4"/>
          </w:tcPr>
          <w:p w14:paraId="7C774B1E" w14:textId="77777777" w:rsidR="009C1736" w:rsidRDefault="00650809">
            <w:pPr>
              <w:pStyle w:val="Title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t>64</w:t>
            </w:r>
            <w:r>
              <w:rPr>
                <w:rFonts w:hint="eastAsia"/>
                <w:lang w:eastAsia="zh-CN"/>
              </w:rPr>
              <w:t>号决议的拟议修改</w:t>
            </w:r>
          </w:p>
        </w:tc>
      </w:tr>
      <w:tr w:rsidR="009C1736" w14:paraId="711A12BD" w14:textId="77777777">
        <w:trPr>
          <w:cantSplit/>
          <w:trHeight w:hRule="exact" w:val="240"/>
        </w:trPr>
        <w:tc>
          <w:tcPr>
            <w:tcW w:w="9811" w:type="dxa"/>
            <w:gridSpan w:val="4"/>
          </w:tcPr>
          <w:p w14:paraId="4A5D1C78" w14:textId="77777777" w:rsidR="009C1736" w:rsidRDefault="009C1736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9C1736" w14:paraId="14A92CD9" w14:textId="77777777">
        <w:trPr>
          <w:cantSplit/>
          <w:trHeight w:hRule="exact" w:val="240"/>
        </w:trPr>
        <w:tc>
          <w:tcPr>
            <w:tcW w:w="9811" w:type="dxa"/>
            <w:gridSpan w:val="4"/>
          </w:tcPr>
          <w:p w14:paraId="104DD320" w14:textId="77777777" w:rsidR="009C1736" w:rsidRDefault="009C1736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392A397B" w14:textId="77777777" w:rsidR="009C1736" w:rsidRDefault="009C1736">
      <w:pPr>
        <w:rPr>
          <w:lang w:eastAsia="zh-C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57"/>
        <w:gridCol w:w="3805"/>
        <w:gridCol w:w="3877"/>
      </w:tblGrid>
      <w:tr w:rsidR="009C1736" w14:paraId="4F394228" w14:textId="77777777">
        <w:trPr>
          <w:cantSplit/>
        </w:trPr>
        <w:tc>
          <w:tcPr>
            <w:tcW w:w="1985" w:type="dxa"/>
          </w:tcPr>
          <w:p w14:paraId="23EBE373" w14:textId="77777777" w:rsidR="009C1736" w:rsidRDefault="00650809">
            <w:pPr>
              <w:rPr>
                <w:rFonts w:ascii="SimSun" w:hAnsi="SimSun"/>
                <w:lang w:eastAsia="zh-CN"/>
              </w:rPr>
            </w:pPr>
            <w:r>
              <w:rPr>
                <w:rFonts w:ascii="SimSun" w:hAnsi="SimSun" w:cs="MS Mincho" w:hint="eastAsia"/>
                <w:b/>
                <w:bCs/>
                <w:lang w:eastAsia="zh-CN"/>
              </w:rPr>
              <w:t>摘要</w:t>
            </w:r>
            <w:r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2B817C5C" w14:textId="77777777" w:rsidR="009C1736" w:rsidRDefault="00650809">
            <w:pPr>
              <w:pStyle w:val="Abstract"/>
              <w:tabs>
                <w:tab w:val="clear" w:pos="1701"/>
                <w:tab w:val="clear" w:pos="2495"/>
                <w:tab w:val="left" w:pos="1871"/>
                <w:tab w:val="left" w:pos="2268"/>
              </w:tabs>
              <w:rPr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IPv6</w:t>
            </w:r>
            <w:r>
              <w:rPr>
                <w:rFonts w:hint="eastAsia"/>
                <w:lang w:val="zh-CN" w:eastAsia="zh-CN"/>
              </w:rPr>
              <w:t>过渡中的安全重点：</w:t>
            </w:r>
            <w:r>
              <w:rPr>
                <w:lang w:val="zh-CN" w:eastAsia="zh-CN"/>
              </w:rPr>
              <w:t>对</w:t>
            </w:r>
            <w:r>
              <w:rPr>
                <w:lang w:val="zh-CN" w:eastAsia="zh-CN"/>
              </w:rPr>
              <w:t>WTSA</w:t>
            </w:r>
            <w:r>
              <w:rPr>
                <w:lang w:val="zh-CN" w:eastAsia="zh-CN"/>
              </w:rPr>
              <w:t>第</w:t>
            </w:r>
            <w:r>
              <w:rPr>
                <w:lang w:val="zh-CN" w:eastAsia="zh-CN"/>
              </w:rPr>
              <w:t>64</w:t>
            </w:r>
            <w:r>
              <w:rPr>
                <w:lang w:val="zh-CN" w:eastAsia="zh-CN"/>
              </w:rPr>
              <w:t>号决议的最新修改</w:t>
            </w:r>
            <w:r>
              <w:rPr>
                <w:rFonts w:hint="eastAsia"/>
                <w:lang w:eastAsia="zh-CN"/>
              </w:rPr>
              <w:t>凸显</w:t>
            </w:r>
            <w:r>
              <w:rPr>
                <w:lang w:val="zh-CN" w:eastAsia="zh-CN"/>
              </w:rPr>
              <w:t>了在向</w:t>
            </w:r>
            <w:r>
              <w:rPr>
                <w:lang w:val="zh-CN" w:eastAsia="zh-CN"/>
              </w:rPr>
              <w:t>IPv6</w:t>
            </w:r>
            <w:r>
              <w:rPr>
                <w:lang w:val="zh-CN" w:eastAsia="zh-CN"/>
              </w:rPr>
              <w:t>过渡期间将安全放在首位的重要性。</w:t>
            </w:r>
            <w:r>
              <w:rPr>
                <w:rFonts w:hint="eastAsia"/>
                <w:lang w:eastAsia="zh-CN"/>
              </w:rPr>
              <w:t>对此问题的重视</w:t>
            </w:r>
            <w:r>
              <w:rPr>
                <w:lang w:val="zh-CN" w:eastAsia="zh-CN"/>
              </w:rPr>
              <w:t>源于从不同国家的经验中获得的重要见解。这些经验表明，当</w:t>
            </w:r>
            <w:r>
              <w:rPr>
                <w:lang w:val="zh-CN" w:eastAsia="zh-CN"/>
              </w:rPr>
              <w:t>IPv4</w:t>
            </w:r>
            <w:r>
              <w:rPr>
                <w:lang w:val="zh-CN" w:eastAsia="zh-CN"/>
              </w:rPr>
              <w:t>和</w:t>
            </w:r>
            <w:r>
              <w:rPr>
                <w:lang w:val="zh-CN" w:eastAsia="zh-CN"/>
              </w:rPr>
              <w:t>IPv6</w:t>
            </w:r>
            <w:r>
              <w:rPr>
                <w:lang w:val="zh-CN" w:eastAsia="zh-CN"/>
              </w:rPr>
              <w:t>协议同时共存时</w:t>
            </w:r>
            <w:r>
              <w:rPr>
                <w:rFonts w:hint="eastAsia"/>
                <w:lang w:val="zh-CN" w:eastAsia="zh-CN"/>
              </w:rPr>
              <w:t>，</w:t>
            </w:r>
            <w:r>
              <w:rPr>
                <w:lang w:val="zh-CN" w:eastAsia="zh-CN"/>
              </w:rPr>
              <w:t>存在固有的危险。</w:t>
            </w:r>
          </w:p>
          <w:p w14:paraId="218C9723" w14:textId="77777777" w:rsidR="009C1736" w:rsidRDefault="00650809">
            <w:pPr>
              <w:pStyle w:val="Abstract"/>
              <w:rPr>
                <w:lang w:eastAsia="zh-CN"/>
              </w:rPr>
            </w:pPr>
            <w:r>
              <w:rPr>
                <w:lang w:val="zh-CN" w:eastAsia="zh-CN"/>
              </w:rPr>
              <w:t>因此，修正案倡导：</w:t>
            </w:r>
          </w:p>
          <w:p w14:paraId="298ED8A8" w14:textId="77777777" w:rsidR="009C1736" w:rsidRDefault="00650809">
            <w:pPr>
              <w:pStyle w:val="enumlev1"/>
              <w:rPr>
                <w:lang w:eastAsia="zh-CN"/>
              </w:rPr>
            </w:pPr>
            <w:r>
              <w:rPr>
                <w:lang w:eastAsia="zh-CN"/>
              </w:rPr>
              <w:t>•</w:t>
            </w:r>
            <w:r>
              <w:rPr>
                <w:lang w:eastAsia="zh-CN"/>
              </w:rPr>
              <w:tab/>
            </w:r>
            <w:r>
              <w:rPr>
                <w:lang w:val="zh-CN" w:eastAsia="zh-CN"/>
              </w:rPr>
              <w:t>尽早整合安全性：必须从一开始就将安全考虑无缝地融入过渡规划过程。这种积极主动的方式确保了安全过渡的坚实基础。</w:t>
            </w:r>
          </w:p>
          <w:p w14:paraId="681A6EAF" w14:textId="77777777" w:rsidR="009C1736" w:rsidRDefault="00650809">
            <w:pPr>
              <w:pStyle w:val="enumlev1"/>
              <w:rPr>
                <w:lang w:eastAsia="zh-CN"/>
              </w:rPr>
            </w:pPr>
            <w:r>
              <w:rPr>
                <w:lang w:eastAsia="zh-CN"/>
              </w:rPr>
              <w:t>•</w:t>
            </w:r>
            <w:r>
              <w:rPr>
                <w:lang w:eastAsia="zh-CN"/>
              </w:rPr>
              <w:tab/>
            </w:r>
            <w:r>
              <w:rPr>
                <w:lang w:val="zh-CN" w:eastAsia="zh-CN"/>
              </w:rPr>
              <w:t>主动风险评估：全面评估</w:t>
            </w:r>
            <w:r>
              <w:rPr>
                <w:lang w:val="zh-CN" w:eastAsia="zh-CN"/>
              </w:rPr>
              <w:t>IPv6</w:t>
            </w:r>
            <w:r>
              <w:rPr>
                <w:lang w:val="zh-CN" w:eastAsia="zh-CN"/>
              </w:rPr>
              <w:t>特定风险至关重要。这包括识别潜在的漏洞并彻底评估其严重性，以有效缓解这些漏洞。</w:t>
            </w:r>
          </w:p>
          <w:p w14:paraId="59151E9E" w14:textId="78BD8228" w:rsidR="009C1736" w:rsidRDefault="00650809">
            <w:pPr>
              <w:pStyle w:val="enumlev1"/>
              <w:rPr>
                <w:lang w:val="en-US" w:eastAsia="zh-CN"/>
              </w:rPr>
            </w:pPr>
            <w:r>
              <w:rPr>
                <w:lang w:eastAsia="zh-CN"/>
              </w:rPr>
              <w:t>•</w:t>
            </w:r>
            <w:r>
              <w:rPr>
                <w:lang w:eastAsia="zh-CN"/>
              </w:rPr>
              <w:tab/>
            </w:r>
            <w:r>
              <w:rPr>
                <w:lang w:val="zh-CN" w:eastAsia="zh-CN"/>
              </w:rPr>
              <w:t>稳健的安全措施：实施稳健的安全机制对于解决已识别的风险至关重要。这些机制应针对</w:t>
            </w:r>
            <w:r>
              <w:rPr>
                <w:lang w:val="zh-CN" w:eastAsia="zh-CN"/>
              </w:rPr>
              <w:t>IPv6</w:t>
            </w:r>
            <w:r>
              <w:rPr>
                <w:lang w:val="zh-CN" w:eastAsia="zh-CN"/>
              </w:rPr>
              <w:t>的具体漏洞量身定制，</w:t>
            </w:r>
            <w:r>
              <w:rPr>
                <w:rFonts w:hint="eastAsia"/>
                <w:lang w:val="en-US" w:eastAsia="zh-CN"/>
              </w:rPr>
              <w:t>以</w:t>
            </w:r>
            <w:r>
              <w:rPr>
                <w:lang w:val="zh-CN" w:eastAsia="zh-CN"/>
              </w:rPr>
              <w:t>确保全面有效的安全态势。</w:t>
            </w:r>
          </w:p>
          <w:p w14:paraId="1A447495" w14:textId="77777777" w:rsidR="009C1736" w:rsidRDefault="00650809">
            <w:pPr>
              <w:pStyle w:val="Abstract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通过</w:t>
            </w:r>
            <w:r>
              <w:rPr>
                <w:lang w:val="zh-CN" w:eastAsia="zh-CN"/>
              </w:rPr>
              <w:t>遵循第</w:t>
            </w:r>
            <w:r>
              <w:rPr>
                <w:lang w:val="zh-CN" w:eastAsia="zh-CN"/>
              </w:rPr>
              <w:t>64</w:t>
            </w:r>
            <w:r>
              <w:rPr>
                <w:lang w:val="zh-CN" w:eastAsia="zh-CN"/>
              </w:rPr>
              <w:t>号决议修正案中的这些要点，各国可以更有信心地</w:t>
            </w:r>
            <w:r>
              <w:rPr>
                <w:rFonts w:hint="eastAsia"/>
                <w:lang w:val="en-GB" w:eastAsia="zh-CN"/>
              </w:rPr>
              <w:t>完成</w:t>
            </w:r>
            <w:r>
              <w:rPr>
                <w:lang w:val="zh-CN" w:eastAsia="zh-CN"/>
              </w:rPr>
              <w:t>IPv6</w:t>
            </w:r>
            <w:r>
              <w:rPr>
                <w:lang w:val="zh-CN" w:eastAsia="zh-CN"/>
              </w:rPr>
              <w:t>过渡，并将潜在的安全挑战降至最低。请记住，经过精心规划的安全过渡将为人人受益于</w:t>
            </w:r>
            <w:r>
              <w:rPr>
                <w:lang w:val="zh-CN" w:eastAsia="zh-CN"/>
              </w:rPr>
              <w:t>IPv6</w:t>
            </w:r>
            <w:r>
              <w:rPr>
                <w:lang w:val="zh-CN" w:eastAsia="zh-CN"/>
              </w:rPr>
              <w:t>的未来铺平道路。</w:t>
            </w:r>
          </w:p>
        </w:tc>
      </w:tr>
      <w:tr w:rsidR="009C1736" w14:paraId="62897F62" w14:textId="77777777">
        <w:trPr>
          <w:cantSplit/>
        </w:trPr>
        <w:tc>
          <w:tcPr>
            <w:tcW w:w="1985" w:type="dxa"/>
          </w:tcPr>
          <w:p w14:paraId="62ABE40D" w14:textId="77777777" w:rsidR="009C1736" w:rsidRDefault="00650809">
            <w:pPr>
              <w:rPr>
                <w:rFonts w:ascii="SimSun" w:hAnsi="SimSun"/>
                <w:b/>
                <w:bCs/>
                <w:szCs w:val="24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lang w:eastAsia="zh-CN"/>
              </w:rPr>
              <w:t>联系人</w:t>
            </w:r>
            <w:r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7758B9A9" w14:textId="77777777" w:rsidR="009C1736" w:rsidRDefault="00650809">
            <w:pPr>
              <w:rPr>
                <w:lang w:eastAsia="zh-CN"/>
              </w:rPr>
            </w:pPr>
            <w:r>
              <w:rPr>
                <w:lang w:val="zh-CN"/>
              </w:rPr>
              <w:t>阿尔及利亚邮电部</w:t>
            </w:r>
            <w:r>
              <w:rPr>
                <w:lang w:val="zh-CN"/>
              </w:rPr>
              <w:br/>
            </w:r>
            <w:r>
              <w:t>Snedj Nassima</w:t>
            </w:r>
            <w:r>
              <w:br/>
              <w:t>Bouremad Oum Keltoum</w:t>
            </w:r>
          </w:p>
        </w:tc>
        <w:tc>
          <w:tcPr>
            <w:tcW w:w="3935" w:type="dxa"/>
          </w:tcPr>
          <w:p w14:paraId="21D77AAA" w14:textId="77777777" w:rsidR="009C1736" w:rsidRDefault="00650809" w:rsidP="00650809">
            <w:pPr>
              <w:tabs>
                <w:tab w:val="clear" w:pos="1134"/>
                <w:tab w:val="left" w:pos="1190"/>
              </w:tabs>
              <w:rPr>
                <w:lang w:eastAsia="zh-CN"/>
              </w:rPr>
            </w:pPr>
            <w:r>
              <w:rPr>
                <w:rFonts w:ascii="SimSun" w:hAnsi="SimSun" w:cs="SimSun" w:hint="eastAsia"/>
                <w:lang w:eastAsia="zh-CN"/>
              </w:rPr>
              <w:t>电子邮件：</w:t>
            </w:r>
            <w:hyperlink r:id="rId14" w:history="1">
              <w:r>
                <w:rPr>
                  <w:rStyle w:val="Hyperlink"/>
                  <w:lang w:val="de-DE"/>
                </w:rPr>
                <w:t>n.snedj@mpt.gov.dz</w:t>
              </w:r>
            </w:hyperlink>
            <w:r>
              <w:br/>
            </w:r>
            <w:r>
              <w:tab/>
            </w:r>
            <w:hyperlink r:id="rId15" w:history="1">
              <w:r>
                <w:rPr>
                  <w:rStyle w:val="Hyperlink"/>
                  <w:lang w:val="de-DE"/>
                </w:rPr>
                <w:t>o.bouremad@mpt.gov.dz</w:t>
              </w:r>
            </w:hyperlink>
          </w:p>
        </w:tc>
      </w:tr>
    </w:tbl>
    <w:p w14:paraId="4FE8B236" w14:textId="77777777" w:rsidR="009C1736" w:rsidRDefault="00650809">
      <w:pPr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2D0992C4" w14:textId="77777777" w:rsidR="009C1736" w:rsidRDefault="00650809">
      <w:pPr>
        <w:pStyle w:val="Proposal"/>
        <w:rPr>
          <w:lang w:eastAsia="zh-CN"/>
        </w:rPr>
      </w:pPr>
      <w:r>
        <w:rPr>
          <w:lang w:eastAsia="zh-CN"/>
        </w:rPr>
        <w:lastRenderedPageBreak/>
        <w:t>MOD</w:t>
      </w:r>
      <w:r>
        <w:rPr>
          <w:lang w:eastAsia="zh-CN"/>
        </w:rPr>
        <w:tab/>
        <w:t>ARB/36A12/1</w:t>
      </w:r>
    </w:p>
    <w:p w14:paraId="6350382D" w14:textId="77777777" w:rsidR="009C1736" w:rsidRDefault="00650809">
      <w:pPr>
        <w:pStyle w:val="ResNo"/>
        <w:rPr>
          <w:lang w:eastAsia="zh-CN"/>
        </w:rPr>
      </w:pPr>
      <w:bookmarkStart w:id="1" w:name="_Toc114651341"/>
      <w:r>
        <w:rPr>
          <w:rStyle w:val="href"/>
          <w:rFonts w:hint="eastAsia"/>
          <w:lang w:eastAsia="zh-CN"/>
        </w:rPr>
        <w:t>第</w:t>
      </w:r>
      <w:r>
        <w:rPr>
          <w:rStyle w:val="href"/>
          <w:rFonts w:hint="eastAsia"/>
          <w:lang w:eastAsia="zh-CN"/>
        </w:rPr>
        <w:t>64</w:t>
      </w:r>
      <w:r>
        <w:rPr>
          <w:rStyle w:val="href"/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del w:id="2" w:author="Li, Kehan" w:date="2024-09-27T09:43:00Z">
        <w:r>
          <w:rPr>
            <w:rFonts w:hint="eastAsia"/>
            <w:lang w:eastAsia="zh-CN"/>
          </w:rPr>
          <w:delText>2</w:delText>
        </w:r>
        <w:r>
          <w:rPr>
            <w:lang w:eastAsia="zh-CN"/>
          </w:rPr>
          <w:delText>022</w:delText>
        </w:r>
        <w:r>
          <w:rPr>
            <w:rFonts w:hint="eastAsia"/>
            <w:lang w:eastAsia="zh-CN"/>
          </w:rPr>
          <w:delText>年，日内瓦</w:delText>
        </w:r>
      </w:del>
      <w:ins w:id="3" w:author="Li, Kehan" w:date="2024-09-27T09:43:00Z">
        <w:r>
          <w:rPr>
            <w:rFonts w:hint="eastAsia"/>
            <w:lang w:eastAsia="zh-CN"/>
          </w:rPr>
          <w:t>2024</w:t>
        </w:r>
        <w:r>
          <w:rPr>
            <w:rFonts w:hint="eastAsia"/>
            <w:lang w:eastAsia="zh-CN"/>
          </w:rPr>
          <w:t>年，新德里</w:t>
        </w:r>
      </w:ins>
      <w:r>
        <w:rPr>
          <w:rFonts w:hint="eastAsia"/>
          <w:lang w:eastAsia="zh-CN"/>
        </w:rPr>
        <w:t>，修订版）</w:t>
      </w:r>
      <w:bookmarkEnd w:id="1"/>
    </w:p>
    <w:p w14:paraId="1788016C" w14:textId="4223A8A4" w:rsidR="009C1736" w:rsidRDefault="0040241C">
      <w:pPr>
        <w:pStyle w:val="Restitle"/>
        <w:rPr>
          <w:lang w:eastAsia="zh-CN"/>
        </w:rPr>
      </w:pPr>
      <w:bookmarkStart w:id="4" w:name="_Toc114651342"/>
      <w:ins w:id="5" w:author="LING-C(KL)" w:date="2024-09-30T11:51:00Z" w16du:dateUtc="2024-09-30T09:51:00Z">
        <w:r>
          <w:rPr>
            <w:rFonts w:hint="eastAsia"/>
            <w:lang w:val="en-US" w:eastAsia="zh-CN"/>
          </w:rPr>
          <w:t>互</w:t>
        </w:r>
      </w:ins>
      <w:r w:rsidR="00650809">
        <w:rPr>
          <w:rFonts w:hint="eastAsia"/>
          <w:lang w:val="en-US" w:eastAsia="zh-CN"/>
        </w:rPr>
        <w:t>联网</w:t>
      </w:r>
      <w:r w:rsidR="00650809">
        <w:rPr>
          <w:rFonts w:hint="eastAsia"/>
          <w:lang w:eastAsia="zh-CN"/>
        </w:rPr>
        <w:t>协议地址分配以及推进向互联网协议</w:t>
      </w:r>
      <w:r w:rsidR="00650809">
        <w:rPr>
          <w:lang w:eastAsia="zh-CN"/>
        </w:rPr>
        <w:br/>
      </w:r>
      <w:r w:rsidR="00650809">
        <w:rPr>
          <w:rFonts w:hint="eastAsia"/>
          <w:lang w:eastAsia="zh-CN"/>
        </w:rPr>
        <w:t>第</w:t>
      </w:r>
      <w:r w:rsidR="00650809">
        <w:rPr>
          <w:lang w:eastAsia="zh-CN"/>
        </w:rPr>
        <w:t>6</w:t>
      </w:r>
      <w:r w:rsidR="00650809">
        <w:rPr>
          <w:rFonts w:hint="eastAsia"/>
          <w:lang w:eastAsia="zh-CN"/>
        </w:rPr>
        <w:t>版的过渡及其部署</w:t>
      </w:r>
      <w:bookmarkEnd w:id="4"/>
    </w:p>
    <w:p w14:paraId="57AB555D" w14:textId="77777777" w:rsidR="009C1736" w:rsidRDefault="00650809">
      <w:pPr>
        <w:pStyle w:val="Resref"/>
        <w:rPr>
          <w:i w:val="0"/>
          <w:lang w:eastAsia="zh-CN"/>
        </w:rPr>
      </w:pPr>
      <w:r>
        <w:rPr>
          <w:rFonts w:hint="eastAsia"/>
          <w:i w:val="0"/>
          <w:lang w:eastAsia="zh-CN"/>
        </w:rPr>
        <w:t>（</w:t>
      </w:r>
      <w:r>
        <w:rPr>
          <w:rStyle w:val="Italic"/>
          <w:i w:val="0"/>
          <w:lang w:eastAsia="zh-CN"/>
        </w:rPr>
        <w:t>2008</w:t>
      </w:r>
      <w:r>
        <w:rPr>
          <w:rStyle w:val="Italic"/>
          <w:rFonts w:hint="eastAsia"/>
          <w:i w:val="0"/>
          <w:lang w:eastAsia="zh-CN"/>
        </w:rPr>
        <w:t>年，约翰内斯堡；</w:t>
      </w:r>
      <w:r>
        <w:rPr>
          <w:rStyle w:val="Italic"/>
          <w:i w:val="0"/>
          <w:lang w:eastAsia="zh-CN"/>
        </w:rPr>
        <w:t>2012</w:t>
      </w:r>
      <w:r>
        <w:rPr>
          <w:rStyle w:val="Italic"/>
          <w:rFonts w:hint="eastAsia"/>
          <w:i w:val="0"/>
          <w:lang w:eastAsia="zh-CN"/>
        </w:rPr>
        <w:t>年，迪拜；</w:t>
      </w:r>
      <w:r>
        <w:rPr>
          <w:rStyle w:val="Italic"/>
          <w:rFonts w:hint="eastAsia"/>
          <w:i w:val="0"/>
          <w:lang w:eastAsia="zh-CN"/>
        </w:rPr>
        <w:t>2016</w:t>
      </w:r>
      <w:r>
        <w:rPr>
          <w:rStyle w:val="Italic"/>
          <w:rFonts w:hint="eastAsia"/>
          <w:i w:val="0"/>
          <w:lang w:eastAsia="zh-CN"/>
        </w:rPr>
        <w:t>年</w:t>
      </w:r>
      <w:r>
        <w:rPr>
          <w:rStyle w:val="Italic"/>
          <w:i w:val="0"/>
          <w:lang w:eastAsia="zh-CN"/>
        </w:rPr>
        <w:t>，哈马马特</w:t>
      </w:r>
      <w:r>
        <w:rPr>
          <w:rStyle w:val="Italic"/>
          <w:rFonts w:hint="eastAsia"/>
          <w:i w:val="0"/>
          <w:lang w:eastAsia="zh-CN"/>
        </w:rPr>
        <w:t>；</w:t>
      </w:r>
      <w:r>
        <w:rPr>
          <w:rStyle w:val="Italic"/>
          <w:i w:val="0"/>
          <w:lang w:eastAsia="zh-CN"/>
        </w:rPr>
        <w:br/>
      </w:r>
      <w:r>
        <w:rPr>
          <w:rStyle w:val="Italic"/>
          <w:rFonts w:hint="eastAsia"/>
          <w:i w:val="0"/>
          <w:lang w:eastAsia="zh-CN"/>
        </w:rPr>
        <w:t>2022</w:t>
      </w:r>
      <w:r>
        <w:rPr>
          <w:rStyle w:val="Italic"/>
          <w:rFonts w:hint="eastAsia"/>
          <w:i w:val="0"/>
          <w:lang w:eastAsia="zh-CN"/>
        </w:rPr>
        <w:t>年，日内瓦</w:t>
      </w:r>
      <w:ins w:id="6" w:author="Li, Kehan" w:date="2024-09-27T09:44:00Z">
        <w:r>
          <w:rPr>
            <w:rStyle w:val="Italic"/>
            <w:rFonts w:hint="eastAsia"/>
            <w:i w:val="0"/>
            <w:lang w:eastAsia="zh-CN"/>
          </w:rPr>
          <w:t>；</w:t>
        </w:r>
        <w:r>
          <w:rPr>
            <w:rStyle w:val="Italic"/>
            <w:rFonts w:hint="eastAsia"/>
            <w:i w:val="0"/>
            <w:lang w:eastAsia="zh-CN"/>
          </w:rPr>
          <w:t>2024</w:t>
        </w:r>
        <w:r>
          <w:rPr>
            <w:rStyle w:val="Italic"/>
            <w:rFonts w:hint="eastAsia"/>
            <w:i w:val="0"/>
            <w:lang w:eastAsia="zh-CN"/>
          </w:rPr>
          <w:t>年，新德里</w:t>
        </w:r>
      </w:ins>
      <w:r>
        <w:rPr>
          <w:rStyle w:val="Italic"/>
          <w:rFonts w:hint="eastAsia"/>
          <w:i w:val="0"/>
          <w:lang w:eastAsia="zh-CN"/>
        </w:rPr>
        <w:t>）</w:t>
      </w:r>
    </w:p>
    <w:p w14:paraId="62F6B569" w14:textId="77777777" w:rsidR="009C1736" w:rsidRDefault="00650809">
      <w:pPr>
        <w:pStyle w:val="Normalnoindent"/>
        <w:rPr>
          <w:rtl/>
        </w:rPr>
      </w:pPr>
      <w:r>
        <w:rPr>
          <w:rFonts w:hint="eastAsia"/>
          <w:lang w:eastAsia="zh-CN"/>
        </w:rPr>
        <w:t>世界电信标准化全会（</w:t>
      </w:r>
      <w:del w:id="7" w:author="Li, Kehan" w:date="2024-09-27T09:44:00Z">
        <w:r>
          <w:rPr>
            <w:rFonts w:hint="eastAsia"/>
            <w:lang w:eastAsia="zh-CN"/>
          </w:rPr>
          <w:delText>2022</w:delText>
        </w:r>
        <w:r>
          <w:rPr>
            <w:rFonts w:hint="eastAsia"/>
            <w:lang w:eastAsia="zh-CN"/>
          </w:rPr>
          <w:delText>年，日内瓦</w:delText>
        </w:r>
      </w:del>
      <w:ins w:id="8" w:author="Li, Kehan" w:date="2024-09-27T09:44:00Z">
        <w:r>
          <w:rPr>
            <w:rFonts w:hint="eastAsia"/>
            <w:lang w:eastAsia="zh-CN"/>
          </w:rPr>
          <w:t>2024</w:t>
        </w:r>
        <w:r>
          <w:rPr>
            <w:rFonts w:hint="eastAsia"/>
            <w:lang w:eastAsia="zh-CN"/>
          </w:rPr>
          <w:t>年，新德里</w:t>
        </w:r>
      </w:ins>
      <w:r>
        <w:rPr>
          <w:rFonts w:hint="eastAsia"/>
          <w:lang w:eastAsia="zh-CN"/>
        </w:rPr>
        <w:t>），</w:t>
      </w:r>
    </w:p>
    <w:p w14:paraId="2D9A7B2D" w14:textId="77777777" w:rsidR="009C1736" w:rsidRDefault="00650809">
      <w:pPr>
        <w:pStyle w:val="Call"/>
        <w:rPr>
          <w:rStyle w:val="Italic"/>
          <w:lang w:eastAsia="zh-CN"/>
        </w:rPr>
      </w:pPr>
      <w:r>
        <w:rPr>
          <w:rFonts w:hint="eastAsia"/>
          <w:lang w:eastAsia="zh-CN"/>
        </w:rPr>
        <w:t>认识到</w:t>
      </w:r>
    </w:p>
    <w:p w14:paraId="1A7434C2" w14:textId="77777777" w:rsidR="009C1736" w:rsidRDefault="00650809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a)</w:t>
      </w:r>
      <w:r>
        <w:rPr>
          <w:lang w:eastAsia="zh-CN"/>
        </w:rPr>
        <w:tab/>
      </w:r>
      <w:r>
        <w:rPr>
          <w:rFonts w:hint="eastAsia"/>
          <w:lang w:eastAsia="zh-CN"/>
        </w:rPr>
        <w:t>全权代表大会第</w:t>
      </w:r>
      <w:r>
        <w:rPr>
          <w:lang w:eastAsia="zh-CN"/>
        </w:rPr>
        <w:t>101</w:t>
      </w:r>
      <w:r>
        <w:rPr>
          <w:rFonts w:hint="eastAsia"/>
          <w:lang w:eastAsia="zh-CN"/>
        </w:rPr>
        <w:t>号决议（</w:t>
      </w:r>
      <w:del w:id="9" w:author="Li, Kehan" w:date="2024-09-27T09:44:00Z">
        <w:r>
          <w:rPr>
            <w:rFonts w:hint="eastAsia"/>
            <w:lang w:eastAsia="zh-CN"/>
          </w:rPr>
          <w:delText>2018</w:delText>
        </w:r>
        <w:r>
          <w:rPr>
            <w:rFonts w:hint="eastAsia"/>
            <w:lang w:eastAsia="zh-CN"/>
          </w:rPr>
          <w:delText>年，迪拜</w:delText>
        </w:r>
      </w:del>
      <w:ins w:id="10" w:author="Li, Kehan" w:date="2024-09-27T09:44:00Z">
        <w:r>
          <w:rPr>
            <w:rFonts w:hint="eastAsia"/>
            <w:lang w:eastAsia="zh-CN"/>
          </w:rPr>
          <w:t>2022</w:t>
        </w:r>
        <w:r>
          <w:rPr>
            <w:rFonts w:hint="eastAsia"/>
            <w:lang w:eastAsia="zh-CN"/>
          </w:rPr>
          <w:t>年，布加勒斯特</w:t>
        </w:r>
      </w:ins>
      <w:r>
        <w:rPr>
          <w:rFonts w:hint="eastAsia"/>
          <w:lang w:eastAsia="zh-CN"/>
        </w:rPr>
        <w:t>，修订版）、第</w:t>
      </w:r>
      <w:r>
        <w:rPr>
          <w:lang w:eastAsia="zh-CN"/>
        </w:rPr>
        <w:t>102</w:t>
      </w:r>
      <w:r>
        <w:rPr>
          <w:rFonts w:hint="eastAsia"/>
          <w:lang w:eastAsia="zh-CN"/>
        </w:rPr>
        <w:t>号决议（</w:t>
      </w:r>
      <w:del w:id="11" w:author="Li, Kehan" w:date="2024-09-27T09:44:00Z">
        <w:r>
          <w:rPr>
            <w:rFonts w:hint="eastAsia"/>
            <w:lang w:eastAsia="zh-CN"/>
          </w:rPr>
          <w:delText>2018</w:delText>
        </w:r>
        <w:r>
          <w:rPr>
            <w:rFonts w:hint="eastAsia"/>
            <w:lang w:eastAsia="zh-CN"/>
          </w:rPr>
          <w:delText>年，迪拜</w:delText>
        </w:r>
      </w:del>
      <w:ins w:id="12" w:author="Li, Kehan" w:date="2024-09-27T09:44:00Z">
        <w:r>
          <w:rPr>
            <w:rFonts w:hint="eastAsia"/>
            <w:lang w:eastAsia="zh-CN"/>
          </w:rPr>
          <w:t>2022</w:t>
        </w:r>
        <w:r>
          <w:rPr>
            <w:rFonts w:hint="eastAsia"/>
            <w:lang w:eastAsia="zh-CN"/>
          </w:rPr>
          <w:t>年，布加勒斯特</w:t>
        </w:r>
      </w:ins>
      <w:r>
        <w:rPr>
          <w:rFonts w:hint="eastAsia"/>
          <w:lang w:eastAsia="zh-CN"/>
        </w:rPr>
        <w:t>，修订版）和第</w:t>
      </w:r>
      <w:r>
        <w:rPr>
          <w:rFonts w:hint="eastAsia"/>
          <w:lang w:eastAsia="zh-CN"/>
        </w:rPr>
        <w:t>180</w:t>
      </w:r>
      <w:r>
        <w:rPr>
          <w:rFonts w:hint="eastAsia"/>
          <w:lang w:eastAsia="zh-CN"/>
        </w:rPr>
        <w:t>号决议（</w:t>
      </w:r>
      <w:del w:id="13" w:author="Li, Kehan" w:date="2024-09-27T09:45:00Z">
        <w:r>
          <w:rPr>
            <w:rFonts w:hint="eastAsia"/>
            <w:lang w:eastAsia="zh-CN"/>
          </w:rPr>
          <w:delText>2018</w:delText>
        </w:r>
        <w:r>
          <w:rPr>
            <w:rFonts w:hint="eastAsia"/>
            <w:lang w:eastAsia="zh-CN"/>
          </w:rPr>
          <w:delText>年，迪拜</w:delText>
        </w:r>
      </w:del>
      <w:ins w:id="14" w:author="Li, Kehan" w:date="2024-09-27T09:45:00Z">
        <w:r>
          <w:rPr>
            <w:rFonts w:hint="eastAsia"/>
            <w:lang w:eastAsia="zh-CN"/>
          </w:rPr>
          <w:t>2022</w:t>
        </w:r>
        <w:r>
          <w:rPr>
            <w:rFonts w:hint="eastAsia"/>
            <w:lang w:eastAsia="zh-CN"/>
          </w:rPr>
          <w:t>年，布加勒斯特</w:t>
        </w:r>
      </w:ins>
      <w:r>
        <w:rPr>
          <w:rFonts w:hint="eastAsia"/>
          <w:lang w:eastAsia="zh-CN"/>
        </w:rPr>
        <w:t>，修订版）以及世界电信发展大会第</w:t>
      </w:r>
      <w:r>
        <w:rPr>
          <w:rFonts w:hint="eastAsia"/>
          <w:lang w:eastAsia="zh-CN"/>
        </w:rPr>
        <w:t>63</w:t>
      </w:r>
      <w:r>
        <w:rPr>
          <w:rFonts w:hint="eastAsia"/>
          <w:lang w:eastAsia="zh-CN"/>
        </w:rPr>
        <w:t>号决议（</w:t>
      </w:r>
      <w:del w:id="15" w:author="Li, Kehan" w:date="2024-09-27T09:45:00Z">
        <w:r>
          <w:rPr>
            <w:rFonts w:hint="eastAsia"/>
            <w:lang w:eastAsia="zh-CN"/>
          </w:rPr>
          <w:delText>2017</w:delText>
        </w:r>
        <w:r>
          <w:rPr>
            <w:rFonts w:hint="eastAsia"/>
            <w:lang w:eastAsia="zh-CN"/>
          </w:rPr>
          <w:delText>年，布宜诺斯艾利斯</w:delText>
        </w:r>
      </w:del>
      <w:ins w:id="16" w:author="Li, Kehan" w:date="2024-09-27T09:45:00Z">
        <w:r>
          <w:rPr>
            <w:rFonts w:hint="eastAsia"/>
            <w:lang w:eastAsia="zh-CN"/>
          </w:rPr>
          <w:t>2022</w:t>
        </w:r>
        <w:r>
          <w:rPr>
            <w:rFonts w:hint="eastAsia"/>
            <w:lang w:eastAsia="zh-CN"/>
          </w:rPr>
          <w:t>年，基加利</w:t>
        </w:r>
      </w:ins>
      <w:r>
        <w:rPr>
          <w:lang w:eastAsia="zh-CN"/>
        </w:rPr>
        <w:t>，修订版</w:t>
      </w:r>
      <w:r>
        <w:rPr>
          <w:rFonts w:hint="eastAsia"/>
          <w:lang w:eastAsia="zh-CN"/>
        </w:rPr>
        <w:t>）；</w:t>
      </w:r>
    </w:p>
    <w:p w14:paraId="7718ADEC" w14:textId="77777777" w:rsidR="009C1736" w:rsidRDefault="00650809">
      <w:pPr>
        <w:pStyle w:val="Normalnoindent"/>
        <w:rPr>
          <w:lang w:eastAsia="zh-CN"/>
        </w:rPr>
      </w:pPr>
      <w:r>
        <w:rPr>
          <w:i/>
          <w:lang w:eastAsia="zh-CN"/>
        </w:rPr>
        <w:t>b)</w:t>
      </w:r>
      <w:r>
        <w:rPr>
          <w:lang w:eastAsia="zh-CN"/>
        </w:rPr>
        <w:tab/>
      </w:r>
      <w:r>
        <w:rPr>
          <w:rFonts w:hint="eastAsia"/>
          <w:lang w:eastAsia="zh-CN"/>
        </w:rPr>
        <w:t>互联网协议第</w:t>
      </w:r>
      <w:r>
        <w:rPr>
          <w:lang w:eastAsia="zh-CN"/>
        </w:rPr>
        <w:t>4</w:t>
      </w:r>
      <w:r>
        <w:rPr>
          <w:rFonts w:hint="eastAsia"/>
          <w:lang w:eastAsia="zh-CN"/>
        </w:rPr>
        <w:t>版（</w:t>
      </w:r>
      <w:r>
        <w:rPr>
          <w:lang w:eastAsia="zh-CN"/>
        </w:rPr>
        <w:t>IPv4</w:t>
      </w:r>
      <w:r>
        <w:rPr>
          <w:rFonts w:hint="eastAsia"/>
          <w:lang w:eastAsia="zh-CN"/>
        </w:rPr>
        <w:t>）地址的穷竭要求加快</w:t>
      </w:r>
      <w:r>
        <w:rPr>
          <w:lang w:eastAsia="zh-CN"/>
        </w:rPr>
        <w:t>IPv4</w:t>
      </w:r>
      <w:r>
        <w:rPr>
          <w:rFonts w:hint="eastAsia"/>
          <w:lang w:eastAsia="zh-CN"/>
        </w:rPr>
        <w:t>向互联网协议第</w:t>
      </w:r>
      <w:r>
        <w:rPr>
          <w:lang w:eastAsia="zh-CN"/>
        </w:rPr>
        <w:t>6</w:t>
      </w:r>
      <w:r>
        <w:rPr>
          <w:rFonts w:hint="eastAsia"/>
          <w:lang w:eastAsia="zh-CN"/>
        </w:rPr>
        <w:t>版（</w:t>
      </w:r>
      <w:r>
        <w:rPr>
          <w:lang w:eastAsia="zh-CN"/>
        </w:rPr>
        <w:t>IPv6</w:t>
      </w:r>
      <w:r>
        <w:rPr>
          <w:rFonts w:hint="eastAsia"/>
          <w:lang w:eastAsia="zh-CN"/>
        </w:rPr>
        <w:t>）的过渡，这已成为各成员国和部门成员面临的重要问题；</w:t>
      </w:r>
    </w:p>
    <w:p w14:paraId="08D52076" w14:textId="77777777" w:rsidR="009C1736" w:rsidRDefault="00650809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c)</w:t>
      </w:r>
      <w:r>
        <w:rPr>
          <w:lang w:eastAsia="zh-CN"/>
        </w:rPr>
        <w:tab/>
      </w:r>
      <w:r>
        <w:rPr>
          <w:rFonts w:hint="eastAsia"/>
          <w:lang w:eastAsia="zh-CN"/>
        </w:rPr>
        <w:t>已开展了所分配工作的国际电联</w:t>
      </w:r>
      <w:r>
        <w:rPr>
          <w:rFonts w:hint="eastAsia"/>
          <w:lang w:eastAsia="zh-CN"/>
        </w:rPr>
        <w:t>IPv6</w:t>
      </w:r>
      <w:r>
        <w:rPr>
          <w:rFonts w:hint="eastAsia"/>
          <w:lang w:eastAsia="zh-CN"/>
        </w:rPr>
        <w:t>工作组的成果；</w:t>
      </w:r>
    </w:p>
    <w:p w14:paraId="734B0DBB" w14:textId="77777777" w:rsidR="009C1736" w:rsidRDefault="00650809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d)</w:t>
      </w:r>
      <w:r>
        <w:rPr>
          <w:lang w:eastAsia="zh-CN"/>
        </w:rPr>
        <w:tab/>
      </w:r>
      <w:r>
        <w:rPr>
          <w:rFonts w:hint="eastAsia"/>
          <w:lang w:eastAsia="zh-CN"/>
        </w:rPr>
        <w:t>将继续由国际电联电信发展局（</w:t>
      </w:r>
      <w:r>
        <w:rPr>
          <w:rFonts w:hint="eastAsia"/>
          <w:lang w:eastAsia="zh-CN"/>
        </w:rPr>
        <w:t>BDT</w:t>
      </w:r>
      <w:r>
        <w:rPr>
          <w:rFonts w:hint="eastAsia"/>
          <w:lang w:eastAsia="zh-CN"/>
        </w:rPr>
        <w:t>）牵头开展未来的</w:t>
      </w:r>
      <w:r>
        <w:rPr>
          <w:rFonts w:hint="eastAsia"/>
          <w:lang w:eastAsia="zh-CN"/>
        </w:rPr>
        <w:t>IPv6</w:t>
      </w:r>
      <w:r>
        <w:rPr>
          <w:rFonts w:hint="eastAsia"/>
          <w:lang w:eastAsia="zh-CN"/>
        </w:rPr>
        <w:t>人员能力建设工作，如有需要，可与其他相关组织开展协作，</w:t>
      </w:r>
    </w:p>
    <w:p w14:paraId="215AA7FC" w14:textId="77777777" w:rsidR="009C1736" w:rsidRDefault="00650809">
      <w:pPr>
        <w:pStyle w:val="Call"/>
        <w:rPr>
          <w:rtl/>
        </w:rPr>
      </w:pPr>
      <w:r>
        <w:rPr>
          <w:rFonts w:hint="eastAsia"/>
          <w:lang w:eastAsia="zh-CN"/>
        </w:rPr>
        <w:t>注意到</w:t>
      </w:r>
    </w:p>
    <w:p w14:paraId="2DEB3B80" w14:textId="77777777" w:rsidR="009C1736" w:rsidRDefault="00650809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a)</w:t>
      </w:r>
      <w:r>
        <w:rPr>
          <w:lang w:eastAsia="zh-CN"/>
        </w:rPr>
        <w:tab/>
      </w:r>
      <w:r>
        <w:rPr>
          <w:rFonts w:hint="eastAsia"/>
          <w:lang w:eastAsia="zh-CN"/>
        </w:rPr>
        <w:t>互联网协议（</w:t>
      </w:r>
      <w:r>
        <w:rPr>
          <w:lang w:eastAsia="zh-CN"/>
        </w:rPr>
        <w:t>IP</w:t>
      </w:r>
      <w:r>
        <w:rPr>
          <w:rFonts w:hint="eastAsia"/>
          <w:lang w:eastAsia="zh-CN"/>
        </w:rPr>
        <w:t>）地址是基础资源，对于基于</w:t>
      </w:r>
      <w:r>
        <w:rPr>
          <w:rFonts w:hint="eastAsia"/>
          <w:lang w:eastAsia="zh-CN"/>
        </w:rPr>
        <w:t>IP</w:t>
      </w:r>
      <w:r>
        <w:rPr>
          <w:rFonts w:hint="eastAsia"/>
          <w:lang w:eastAsia="zh-CN"/>
        </w:rPr>
        <w:t>的电信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信息通信技术（</w:t>
      </w:r>
      <w:r>
        <w:rPr>
          <w:rFonts w:hint="eastAsia"/>
          <w:lang w:eastAsia="zh-CN"/>
        </w:rPr>
        <w:t>ICT</w:t>
      </w:r>
      <w:r>
        <w:rPr>
          <w:rFonts w:hint="eastAsia"/>
          <w:lang w:eastAsia="zh-CN"/>
        </w:rPr>
        <w:t>）网络和世界经济的未来发展至关重要；</w:t>
      </w:r>
    </w:p>
    <w:p w14:paraId="345665E2" w14:textId="77777777" w:rsidR="009C1736" w:rsidRDefault="00650809">
      <w:pPr>
        <w:pStyle w:val="Normalnoindent"/>
        <w:rPr>
          <w:rtl/>
        </w:rPr>
      </w:pPr>
      <w:r>
        <w:rPr>
          <w:i/>
          <w:iCs/>
          <w:lang w:eastAsia="zh-CN"/>
        </w:rPr>
        <w:t>b)</w:t>
      </w:r>
      <w:r>
        <w:rPr>
          <w:lang w:eastAsia="zh-CN"/>
        </w:rPr>
        <w:tab/>
      </w:r>
      <w:r>
        <w:rPr>
          <w:rFonts w:hint="eastAsia"/>
          <w:lang w:eastAsia="zh-CN"/>
        </w:rPr>
        <w:t>许多国家认为，由于历史原因，在</w:t>
      </w:r>
      <w:r>
        <w:rPr>
          <w:lang w:eastAsia="zh-CN"/>
        </w:rPr>
        <w:t>IPv4</w:t>
      </w:r>
      <w:r>
        <w:rPr>
          <w:rFonts w:hint="eastAsia"/>
          <w:lang w:eastAsia="zh-CN"/>
        </w:rPr>
        <w:t>（地址）分配方面存在着不平衡问题；</w:t>
      </w:r>
    </w:p>
    <w:p w14:paraId="718F5468" w14:textId="77777777" w:rsidR="009C1736" w:rsidRDefault="00650809">
      <w:pPr>
        <w:pStyle w:val="Normalnoindent"/>
        <w:rPr>
          <w:rtl/>
        </w:rPr>
      </w:pPr>
      <w:r>
        <w:rPr>
          <w:i/>
          <w:iCs/>
          <w:lang w:eastAsia="zh-CN"/>
        </w:rPr>
        <w:t>c)</w:t>
      </w:r>
      <w:r>
        <w:rPr>
          <w:lang w:eastAsia="zh-CN"/>
        </w:rPr>
        <w:tab/>
      </w:r>
      <w:r>
        <w:rPr>
          <w:rFonts w:hint="eastAsia"/>
          <w:lang w:eastAsia="zh-CN"/>
        </w:rPr>
        <w:t>连续的</w:t>
      </w:r>
      <w:r>
        <w:rPr>
          <w:lang w:eastAsia="zh-CN"/>
        </w:rPr>
        <w:t>IPv4</w:t>
      </w:r>
      <w:r>
        <w:rPr>
          <w:rFonts w:hint="eastAsia"/>
          <w:lang w:eastAsia="zh-CN"/>
        </w:rPr>
        <w:t>地址日渐稀少，因此推进向</w:t>
      </w:r>
      <w:r>
        <w:rPr>
          <w:lang w:eastAsia="zh-CN"/>
        </w:rPr>
        <w:t>IPv6</w:t>
      </w:r>
      <w:r>
        <w:rPr>
          <w:rFonts w:hint="eastAsia"/>
          <w:lang w:eastAsia="zh-CN"/>
        </w:rPr>
        <w:t>的过渡实为当务之急；</w:t>
      </w:r>
    </w:p>
    <w:p w14:paraId="22A61AA9" w14:textId="77777777" w:rsidR="009C1736" w:rsidRDefault="00650809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d)</w:t>
      </w:r>
      <w:r>
        <w:rPr>
          <w:lang w:eastAsia="zh-CN"/>
        </w:rPr>
        <w:tab/>
      </w:r>
      <w:r>
        <w:rPr>
          <w:rFonts w:hint="eastAsia"/>
          <w:lang w:eastAsia="zh-CN"/>
        </w:rPr>
        <w:t>国际电联为回应成员国和部门成员的需求而与相关组织在</w:t>
      </w:r>
      <w:r>
        <w:rPr>
          <w:rFonts w:hint="eastAsia"/>
          <w:lang w:eastAsia="zh-CN"/>
        </w:rPr>
        <w:t>IPv6</w:t>
      </w:r>
      <w:r>
        <w:rPr>
          <w:rFonts w:hint="eastAsia"/>
          <w:lang w:eastAsia="zh-CN"/>
        </w:rPr>
        <w:t>能力建设方面开展的协作与合作；</w:t>
      </w:r>
    </w:p>
    <w:p w14:paraId="5959890E" w14:textId="77777777" w:rsidR="009C1736" w:rsidRDefault="00650809">
      <w:pPr>
        <w:pStyle w:val="Normalnoindent"/>
        <w:rPr>
          <w:rtl/>
          <w:lang w:eastAsia="zh-CN"/>
        </w:rPr>
      </w:pPr>
      <w:r>
        <w:rPr>
          <w:i/>
          <w:iCs/>
          <w:lang w:eastAsia="zh-CN"/>
        </w:rPr>
        <w:t>e)</w:t>
      </w:r>
      <w:r>
        <w:rPr>
          <w:lang w:eastAsia="zh-CN"/>
        </w:rPr>
        <w:tab/>
      </w:r>
      <w:r>
        <w:rPr>
          <w:rFonts w:hint="eastAsia"/>
          <w:lang w:eastAsia="zh-CN"/>
        </w:rPr>
        <w:t>过去数年间在采用</w:t>
      </w:r>
      <w:r>
        <w:rPr>
          <w:rFonts w:hint="eastAsia"/>
          <w:lang w:eastAsia="zh-CN"/>
        </w:rPr>
        <w:t>IPv6</w:t>
      </w:r>
      <w:r>
        <w:rPr>
          <w:rFonts w:hint="eastAsia"/>
          <w:lang w:eastAsia="zh-CN"/>
        </w:rPr>
        <w:t>方面所取得的进展</w:t>
      </w:r>
      <w:del w:id="17" w:author="Li, Kehan" w:date="2024-09-27T09:46:00Z">
        <w:r>
          <w:rPr>
            <w:rFonts w:hint="eastAsia"/>
            <w:lang w:eastAsia="zh-CN"/>
          </w:rPr>
          <w:delText>，</w:delText>
        </w:r>
      </w:del>
      <w:ins w:id="18" w:author="Li, Kehan" w:date="2024-09-27T09:46:00Z">
        <w:r>
          <w:rPr>
            <w:rFonts w:hint="eastAsia"/>
            <w:lang w:eastAsia="zh-CN"/>
          </w:rPr>
          <w:t>；</w:t>
        </w:r>
      </w:ins>
    </w:p>
    <w:p w14:paraId="5AEBB8BF" w14:textId="77777777" w:rsidR="009C1736" w:rsidRDefault="00650809">
      <w:pPr>
        <w:rPr>
          <w:ins w:id="19" w:author="Li, Kehan" w:date="2024-09-27T09:46:00Z"/>
          <w:rtl/>
        </w:rPr>
      </w:pPr>
      <w:ins w:id="20" w:author="Li, Kehan" w:date="2024-09-27T09:46:00Z">
        <w:r>
          <w:rPr>
            <w:i/>
            <w:iCs/>
            <w:lang w:eastAsia="zh-CN"/>
          </w:rPr>
          <w:t>f)</w:t>
        </w:r>
        <w:r>
          <w:rPr>
            <w:i/>
            <w:iCs/>
            <w:lang w:eastAsia="zh-CN"/>
          </w:rPr>
          <w:tab/>
        </w:r>
      </w:ins>
      <w:ins w:id="21" w:author="TSB(RC)" w:date="2024-09-28T11:28:00Z">
        <w:r>
          <w:rPr>
            <w:lang w:val="zh-CN" w:eastAsia="zh-CN"/>
          </w:rPr>
          <w:t>区域性互联网注册管理机构（</w:t>
        </w:r>
        <w:r>
          <w:rPr>
            <w:lang w:val="zh-CN" w:eastAsia="zh-CN"/>
          </w:rPr>
          <w:t>RIR</w:t>
        </w:r>
        <w:r>
          <w:rPr>
            <w:lang w:val="zh-CN" w:eastAsia="zh-CN"/>
          </w:rPr>
          <w:t>）是凝聚其成员紧密合作</w:t>
        </w:r>
      </w:ins>
      <w:ins w:id="22" w:author="TSB(RC)" w:date="2024-09-28T11:29:00Z">
        <w:r>
          <w:rPr>
            <w:rFonts w:hint="eastAsia"/>
            <w:lang w:val="zh-CN" w:eastAsia="zh-CN"/>
          </w:rPr>
          <w:t>、</w:t>
        </w:r>
      </w:ins>
      <w:ins w:id="23" w:author="TSB(RC)" w:date="2024-09-28T11:28:00Z">
        <w:r>
          <w:rPr>
            <w:lang w:val="zh-CN" w:eastAsia="zh-CN"/>
          </w:rPr>
          <w:t>制定连贯一致的政策并推广互联网最佳做法的关键因素，</w:t>
        </w:r>
      </w:ins>
    </w:p>
    <w:p w14:paraId="201B6F59" w14:textId="77777777" w:rsidR="009C1736" w:rsidRDefault="00650809">
      <w:pPr>
        <w:pStyle w:val="Call"/>
        <w:rPr>
          <w:rtl/>
        </w:rPr>
      </w:pPr>
      <w:r>
        <w:rPr>
          <w:rFonts w:hint="eastAsia"/>
          <w:lang w:eastAsia="zh-CN"/>
        </w:rPr>
        <w:t>考虑到</w:t>
      </w:r>
    </w:p>
    <w:p w14:paraId="578B7BC1" w14:textId="39369E26" w:rsidR="009C1736" w:rsidRDefault="00650809">
      <w:pPr>
        <w:pStyle w:val="Normalnoindent"/>
        <w:rPr>
          <w:rtl/>
        </w:rPr>
      </w:pPr>
      <w:r>
        <w:rPr>
          <w:i/>
          <w:iCs/>
          <w:lang w:eastAsia="zh-CN"/>
        </w:rPr>
        <w:t>a)</w:t>
      </w:r>
      <w:r>
        <w:rPr>
          <w:lang w:eastAsia="zh-CN"/>
        </w:rPr>
        <w:tab/>
      </w:r>
      <w:r>
        <w:rPr>
          <w:rFonts w:hint="eastAsia"/>
          <w:lang w:eastAsia="zh-CN"/>
        </w:rPr>
        <w:t>有必要在互联网界相关利益</w:t>
      </w:r>
      <w:del w:id="24" w:author="LING-C(KL)" w:date="2024-09-30T11:56:00Z" w16du:dateUtc="2024-09-30T09:56:00Z">
        <w:r w:rsidDel="0040241C">
          <w:rPr>
            <w:rFonts w:hint="eastAsia"/>
            <w:lang w:eastAsia="zh-CN"/>
          </w:rPr>
          <w:delText>相关</w:delText>
        </w:r>
      </w:del>
      <w:ins w:id="25" w:author="LING-C(KL)" w:date="2024-09-30T11:56:00Z" w16du:dateUtc="2024-09-30T09:56:00Z">
        <w:r w:rsidR="0040241C">
          <w:rPr>
            <w:rFonts w:hint="eastAsia"/>
            <w:lang w:eastAsia="zh-CN"/>
          </w:rPr>
          <w:t>攸关</w:t>
        </w:r>
      </w:ins>
      <w:r>
        <w:rPr>
          <w:rFonts w:hint="eastAsia"/>
          <w:lang w:eastAsia="zh-CN"/>
        </w:rPr>
        <w:t>方之间继续就</w:t>
      </w:r>
      <w:r>
        <w:rPr>
          <w:lang w:eastAsia="zh-CN"/>
        </w:rPr>
        <w:t>IPv6</w:t>
      </w:r>
      <w:r>
        <w:rPr>
          <w:rFonts w:hint="eastAsia"/>
          <w:lang w:eastAsia="zh-CN"/>
        </w:rPr>
        <w:t>部署问题展开讨论并传播这方面的信息；</w:t>
      </w:r>
    </w:p>
    <w:p w14:paraId="1D176D76" w14:textId="77777777" w:rsidR="009C1736" w:rsidRDefault="00650809">
      <w:pPr>
        <w:pStyle w:val="Normalnoindent"/>
        <w:rPr>
          <w:lang w:eastAsia="zh-CN"/>
        </w:rPr>
      </w:pPr>
      <w:r>
        <w:rPr>
          <w:rFonts w:hint="eastAsia"/>
          <w:i/>
          <w:iCs/>
          <w:lang w:eastAsia="zh-CN"/>
        </w:rPr>
        <w:t>b</w:t>
      </w:r>
      <w:r>
        <w:rPr>
          <w:i/>
          <w:iCs/>
          <w:lang w:eastAsia="zh-CN"/>
        </w:rPr>
        <w:t>)</w:t>
      </w:r>
      <w:r>
        <w:rPr>
          <w:lang w:eastAsia="zh-CN"/>
        </w:rPr>
        <w:tab/>
        <w:t>IPv6</w:t>
      </w:r>
      <w:r>
        <w:rPr>
          <w:rFonts w:hint="eastAsia"/>
          <w:lang w:eastAsia="zh-CN"/>
        </w:rPr>
        <w:t>的部署与过渡对于成员国和部门成员是一个重要问题；</w:t>
      </w:r>
    </w:p>
    <w:p w14:paraId="26CF133F" w14:textId="77777777" w:rsidR="009C1736" w:rsidRDefault="00650809">
      <w:pPr>
        <w:pStyle w:val="Normalnoindent"/>
        <w:rPr>
          <w:lang w:eastAsia="zh-CN"/>
        </w:rPr>
      </w:pPr>
      <w:r>
        <w:rPr>
          <w:rFonts w:hint="eastAsia"/>
          <w:i/>
          <w:iCs/>
          <w:lang w:eastAsia="zh-CN"/>
        </w:rPr>
        <w:t>c</w:t>
      </w:r>
      <w:r>
        <w:rPr>
          <w:i/>
          <w:iCs/>
          <w:lang w:eastAsia="zh-CN"/>
        </w:rPr>
        <w:t>)</w:t>
      </w:r>
      <w:r>
        <w:rPr>
          <w:lang w:eastAsia="zh-CN"/>
        </w:rPr>
        <w:tab/>
      </w:r>
      <w:r>
        <w:rPr>
          <w:rFonts w:hint="eastAsia"/>
          <w:lang w:eastAsia="zh-CN"/>
        </w:rPr>
        <w:t>许多发展中国家</w:t>
      </w:r>
      <w:r>
        <w:rPr>
          <w:rStyle w:val="FootnoteReference"/>
          <w:lang w:eastAsia="zh-CN"/>
        </w:rPr>
        <w:footnoteReference w:customMarkFollows="1" w:id="1"/>
        <w:t>1</w:t>
      </w:r>
      <w:r>
        <w:rPr>
          <w:rFonts w:hint="eastAsia"/>
          <w:lang w:eastAsia="zh-CN"/>
        </w:rPr>
        <w:t>因缺乏此领域的技术能力</w:t>
      </w:r>
      <w:ins w:id="26" w:author="TSB(RC)" w:date="2024-09-28T11:30:00Z">
        <w:r>
          <w:rPr>
            <w:lang w:val="zh-CN" w:eastAsia="zh-CN"/>
          </w:rPr>
          <w:t>以及过渡成本高昂</w:t>
        </w:r>
      </w:ins>
      <w:r>
        <w:rPr>
          <w:rFonts w:hint="eastAsia"/>
          <w:lang w:eastAsia="zh-CN"/>
        </w:rPr>
        <w:t>，在</w:t>
      </w:r>
      <w:r>
        <w:rPr>
          <w:rFonts w:hint="eastAsia"/>
          <w:lang w:eastAsia="zh-CN"/>
        </w:rPr>
        <w:t>IPv4</w:t>
      </w:r>
      <w:r>
        <w:rPr>
          <w:rFonts w:hint="eastAsia"/>
          <w:lang w:eastAsia="zh-CN"/>
        </w:rPr>
        <w:t>向</w:t>
      </w:r>
      <w:r>
        <w:rPr>
          <w:rFonts w:hint="eastAsia"/>
          <w:lang w:eastAsia="zh-CN"/>
        </w:rPr>
        <w:t>IPv6</w:t>
      </w:r>
      <w:r>
        <w:rPr>
          <w:rFonts w:hint="eastAsia"/>
          <w:lang w:eastAsia="zh-CN"/>
        </w:rPr>
        <w:t>过渡的进程中依然遇到挑战；</w:t>
      </w:r>
    </w:p>
    <w:p w14:paraId="71222762" w14:textId="77777777" w:rsidR="009C1736" w:rsidRDefault="00650809">
      <w:pPr>
        <w:pStyle w:val="Normalnoindent"/>
        <w:rPr>
          <w:lang w:eastAsia="zh-CN"/>
        </w:rPr>
      </w:pPr>
      <w:r>
        <w:rPr>
          <w:i/>
          <w:lang w:eastAsia="zh-CN"/>
        </w:rPr>
        <w:lastRenderedPageBreak/>
        <w:t>d)</w:t>
      </w:r>
      <w:r>
        <w:rPr>
          <w:lang w:eastAsia="zh-CN"/>
        </w:rPr>
        <w:tab/>
      </w:r>
      <w:r>
        <w:rPr>
          <w:lang w:eastAsia="zh-CN"/>
        </w:rPr>
        <w:t>一些国家</w:t>
      </w:r>
      <w:r>
        <w:rPr>
          <w:lang w:eastAsia="zh-CN"/>
        </w:rPr>
        <w:t>IPv6</w:t>
      </w:r>
      <w:r>
        <w:rPr>
          <w:lang w:eastAsia="zh-CN"/>
        </w:rPr>
        <w:t>方面的技术能力充足，</w:t>
      </w:r>
      <w:r>
        <w:rPr>
          <w:rFonts w:hint="eastAsia"/>
          <w:lang w:eastAsia="zh-CN"/>
        </w:rPr>
        <w:t>然而却</w:t>
      </w:r>
      <w:r>
        <w:rPr>
          <w:lang w:eastAsia="zh-CN"/>
        </w:rPr>
        <w:t>由于种种原因</w:t>
      </w:r>
      <w:r>
        <w:rPr>
          <w:rFonts w:hint="eastAsia"/>
          <w:lang w:eastAsia="zh-CN"/>
        </w:rPr>
        <w:t>延迟</w:t>
      </w:r>
      <w:r>
        <w:rPr>
          <w:lang w:eastAsia="zh-CN"/>
        </w:rPr>
        <w:t>了从</w:t>
      </w:r>
      <w:r>
        <w:rPr>
          <w:lang w:eastAsia="zh-CN"/>
        </w:rPr>
        <w:t>IPv4</w:t>
      </w:r>
      <w:r>
        <w:rPr>
          <w:lang w:eastAsia="zh-CN"/>
        </w:rPr>
        <w:t>向</w:t>
      </w:r>
      <w:r>
        <w:rPr>
          <w:lang w:eastAsia="zh-CN"/>
        </w:rPr>
        <w:t>IPv6</w:t>
      </w:r>
      <w:r>
        <w:rPr>
          <w:rFonts w:hint="eastAsia"/>
          <w:lang w:eastAsia="zh-CN"/>
        </w:rPr>
        <w:t>的</w:t>
      </w:r>
      <w:r>
        <w:rPr>
          <w:lang w:eastAsia="zh-CN"/>
        </w:rPr>
        <w:t>过渡</w:t>
      </w:r>
      <w:r>
        <w:rPr>
          <w:rFonts w:hint="eastAsia"/>
          <w:lang w:eastAsia="zh-CN"/>
        </w:rPr>
        <w:t>；</w:t>
      </w:r>
    </w:p>
    <w:p w14:paraId="464DD017" w14:textId="77777777" w:rsidR="009C1736" w:rsidRDefault="00650809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e)</w:t>
      </w:r>
      <w:r>
        <w:rPr>
          <w:lang w:eastAsia="zh-CN"/>
        </w:rPr>
        <w:tab/>
      </w:r>
      <w:r>
        <w:rPr>
          <w:rFonts w:hint="eastAsia"/>
          <w:lang w:eastAsia="zh-CN"/>
        </w:rPr>
        <w:t>成员国在推进</w:t>
      </w:r>
      <w:r>
        <w:rPr>
          <w:rFonts w:hint="eastAsia"/>
          <w:lang w:eastAsia="zh-CN"/>
        </w:rPr>
        <w:t>IPv6</w:t>
      </w:r>
      <w:r>
        <w:rPr>
          <w:rFonts w:hint="eastAsia"/>
          <w:lang w:eastAsia="zh-CN"/>
        </w:rPr>
        <w:t>部署方面可发挥重要作用；</w:t>
      </w:r>
    </w:p>
    <w:p w14:paraId="3234D501" w14:textId="77777777" w:rsidR="009C1736" w:rsidRDefault="00650809">
      <w:pPr>
        <w:rPr>
          <w:ins w:id="27" w:author="Li, Kehan" w:date="2024-09-27T09:46:00Z"/>
          <w:lang w:eastAsia="zh-CN"/>
        </w:rPr>
      </w:pPr>
      <w:ins w:id="28" w:author="Li, Kehan" w:date="2024-09-27T09:46:00Z">
        <w:r>
          <w:rPr>
            <w:i/>
            <w:iCs/>
            <w:lang w:eastAsia="zh-CN"/>
          </w:rPr>
          <w:t>f)</w:t>
        </w:r>
        <w:r>
          <w:rPr>
            <w:lang w:eastAsia="zh-CN"/>
          </w:rPr>
          <w:tab/>
        </w:r>
      </w:ins>
      <w:ins w:id="29" w:author="TSB(RC)" w:date="2024-09-28T11:30:00Z">
        <w:r>
          <w:rPr>
            <w:lang w:val="zh-CN" w:eastAsia="zh-CN"/>
          </w:rPr>
          <w:t>IPv4</w:t>
        </w:r>
        <w:r>
          <w:rPr>
            <w:lang w:val="zh-CN" w:eastAsia="zh-CN"/>
          </w:rPr>
          <w:t>地址的枯竭和</w:t>
        </w:r>
        <w:r>
          <w:rPr>
            <w:lang w:val="zh-CN" w:eastAsia="zh-CN"/>
          </w:rPr>
          <w:t>IPv6</w:t>
        </w:r>
        <w:r>
          <w:rPr>
            <w:lang w:val="zh-CN" w:eastAsia="zh-CN"/>
          </w:rPr>
          <w:t>协议部署的延迟阻碍了新</w:t>
        </w:r>
      </w:ins>
      <w:ins w:id="30" w:author="TSB(RC)" w:date="2024-09-28T11:31:00Z">
        <w:r>
          <w:rPr>
            <w:rFonts w:hint="eastAsia"/>
            <w:lang w:val="en-US" w:eastAsia="zh-CN"/>
          </w:rPr>
          <w:t>的</w:t>
        </w:r>
      </w:ins>
      <w:ins w:id="31" w:author="TSB(RC)" w:date="2024-09-28T11:30:00Z">
        <w:r>
          <w:rPr>
            <w:lang w:val="zh-CN" w:eastAsia="zh-CN"/>
          </w:rPr>
          <w:t>和新兴技术的部署，</w:t>
        </w:r>
      </w:ins>
      <w:ins w:id="32" w:author="TSB(RC)" w:date="2024-09-28T11:31:00Z">
        <w:r>
          <w:rPr>
            <w:rFonts w:hint="eastAsia"/>
            <w:lang w:val="en-US" w:eastAsia="zh-CN"/>
          </w:rPr>
          <w:t>这涉及</w:t>
        </w:r>
      </w:ins>
      <w:ins w:id="33" w:author="TSB(RC)" w:date="2024-09-28T11:30:00Z">
        <w:r>
          <w:rPr>
            <w:lang w:val="zh-CN" w:eastAsia="zh-CN"/>
          </w:rPr>
          <w:t>其业务和应用以及新服务提供商的进入</w:t>
        </w:r>
        <w:r>
          <w:rPr>
            <w:rFonts w:hint="eastAsia"/>
            <w:lang w:val="zh-CN" w:eastAsia="zh-CN"/>
          </w:rPr>
          <w:t>；</w:t>
        </w:r>
      </w:ins>
    </w:p>
    <w:p w14:paraId="2FDC4841" w14:textId="77777777" w:rsidR="009C1736" w:rsidRDefault="00650809">
      <w:pPr>
        <w:pStyle w:val="Normalnoindent"/>
        <w:rPr>
          <w:lang w:eastAsia="zh-CN"/>
        </w:rPr>
      </w:pPr>
      <w:del w:id="34" w:author="Li, Kehan" w:date="2024-09-27T09:47:00Z">
        <w:r>
          <w:rPr>
            <w:i/>
            <w:iCs/>
            <w:lang w:eastAsia="zh-CN"/>
          </w:rPr>
          <w:delText>f</w:delText>
        </w:r>
      </w:del>
      <w:ins w:id="35" w:author="Li, Kehan" w:date="2024-09-27T09:47:00Z">
        <w:r>
          <w:rPr>
            <w:rFonts w:hint="eastAsia"/>
            <w:i/>
            <w:iCs/>
            <w:lang w:eastAsia="zh-CN"/>
          </w:rPr>
          <w:t>g</w:t>
        </w:r>
      </w:ins>
      <w:r>
        <w:rPr>
          <w:i/>
          <w:iCs/>
          <w:lang w:eastAsia="zh-CN"/>
        </w:rPr>
        <w:t>)</w:t>
      </w:r>
      <w:r>
        <w:rPr>
          <w:lang w:eastAsia="zh-CN"/>
        </w:rPr>
        <w:tab/>
      </w:r>
      <w:r>
        <w:rPr>
          <w:rFonts w:hint="eastAsia"/>
          <w:lang w:eastAsia="zh-CN"/>
        </w:rPr>
        <w:t>由于</w:t>
      </w:r>
      <w:r>
        <w:rPr>
          <w:rFonts w:hint="eastAsia"/>
          <w:lang w:eastAsia="zh-CN"/>
        </w:rPr>
        <w:t>IPv4</w:t>
      </w:r>
      <w:r>
        <w:rPr>
          <w:rFonts w:hint="eastAsia"/>
          <w:lang w:eastAsia="zh-CN"/>
        </w:rPr>
        <w:t>地址快速穷竭，快速部署</w:t>
      </w:r>
      <w:r>
        <w:rPr>
          <w:rFonts w:hint="eastAsia"/>
          <w:lang w:eastAsia="zh-CN"/>
        </w:rPr>
        <w:t>IPv6</w:t>
      </w:r>
      <w:r>
        <w:rPr>
          <w:rFonts w:hint="eastAsia"/>
          <w:lang w:eastAsia="zh-CN"/>
        </w:rPr>
        <w:t>时不我待；</w:t>
      </w:r>
    </w:p>
    <w:p w14:paraId="30CCA4A1" w14:textId="77777777" w:rsidR="009C1736" w:rsidRDefault="00650809">
      <w:pPr>
        <w:pStyle w:val="Normalnoindent"/>
        <w:rPr>
          <w:lang w:eastAsia="zh-CN"/>
        </w:rPr>
      </w:pPr>
      <w:del w:id="36" w:author="Li, Kehan" w:date="2024-09-27T09:47:00Z">
        <w:r>
          <w:rPr>
            <w:i/>
            <w:iCs/>
            <w:lang w:eastAsia="zh-CN"/>
          </w:rPr>
          <w:delText>g</w:delText>
        </w:r>
      </w:del>
      <w:ins w:id="37" w:author="Li, Kehan" w:date="2024-09-27T09:47:00Z">
        <w:r>
          <w:rPr>
            <w:rFonts w:hint="eastAsia"/>
            <w:i/>
            <w:iCs/>
            <w:lang w:eastAsia="zh-CN"/>
          </w:rPr>
          <w:t>h</w:t>
        </w:r>
      </w:ins>
      <w:r>
        <w:rPr>
          <w:i/>
          <w:iCs/>
          <w:lang w:eastAsia="zh-CN"/>
        </w:rPr>
        <w:t>)</w:t>
      </w:r>
      <w:r>
        <w:rPr>
          <w:lang w:eastAsia="zh-CN"/>
        </w:rPr>
        <w:tab/>
      </w:r>
      <w:r>
        <w:rPr>
          <w:rFonts w:hint="eastAsia"/>
          <w:lang w:eastAsia="zh-CN"/>
        </w:rPr>
        <w:t>许多发展中国家希望国际电联电信标准化部门（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）亦成为</w:t>
      </w:r>
      <w:r>
        <w:rPr>
          <w:rFonts w:hint="eastAsia"/>
          <w:lang w:eastAsia="zh-CN"/>
        </w:rPr>
        <w:t>IP</w:t>
      </w:r>
      <w:r>
        <w:rPr>
          <w:rFonts w:hint="eastAsia"/>
          <w:lang w:eastAsia="zh-CN"/>
        </w:rPr>
        <w:t>地址注册机构，以便发展中国家可以有直接从国际电联获得</w:t>
      </w:r>
      <w:r>
        <w:rPr>
          <w:rFonts w:hint="eastAsia"/>
          <w:lang w:eastAsia="zh-CN"/>
        </w:rPr>
        <w:t>IP</w:t>
      </w:r>
      <w:r>
        <w:rPr>
          <w:rFonts w:hint="eastAsia"/>
          <w:lang w:eastAsia="zh-CN"/>
        </w:rPr>
        <w:t>地址的备选方案，而其他国家则更希望使用现有体制；</w:t>
      </w:r>
    </w:p>
    <w:p w14:paraId="35D4851D" w14:textId="77777777" w:rsidR="009C1736" w:rsidRDefault="00650809">
      <w:pPr>
        <w:pStyle w:val="Normalnoindent"/>
        <w:rPr>
          <w:lang w:eastAsia="zh-CN"/>
        </w:rPr>
      </w:pPr>
      <w:del w:id="38" w:author="Li, Kehan" w:date="2024-09-27T09:47:00Z">
        <w:r>
          <w:rPr>
            <w:i/>
            <w:lang w:eastAsia="zh-CN"/>
          </w:rPr>
          <w:delText>h</w:delText>
        </w:r>
      </w:del>
      <w:ins w:id="39" w:author="Li, Kehan" w:date="2024-09-27T09:47:00Z">
        <w:r>
          <w:rPr>
            <w:rFonts w:hint="eastAsia"/>
            <w:i/>
            <w:lang w:eastAsia="zh-CN"/>
          </w:rPr>
          <w:t>i</w:t>
        </w:r>
      </w:ins>
      <w:r>
        <w:rPr>
          <w:i/>
          <w:lang w:eastAsia="zh-CN"/>
        </w:rPr>
        <w:t>)</w:t>
      </w:r>
      <w:r>
        <w:rPr>
          <w:lang w:eastAsia="zh-CN"/>
        </w:rPr>
        <w:tab/>
        <w:t>IPv6</w:t>
      </w:r>
      <w:r>
        <w:rPr>
          <w:lang w:eastAsia="zh-CN"/>
        </w:rPr>
        <w:t>的部署</w:t>
      </w:r>
      <w:r>
        <w:rPr>
          <w:rFonts w:hint="eastAsia"/>
          <w:lang w:eastAsia="zh-CN"/>
        </w:rPr>
        <w:t>有助于物</w:t>
      </w:r>
      <w:r>
        <w:rPr>
          <w:lang w:eastAsia="zh-CN"/>
        </w:rPr>
        <w:t>联网</w:t>
      </w:r>
      <w:r>
        <w:rPr>
          <w:rFonts w:hint="eastAsia"/>
          <w:lang w:eastAsia="zh-CN"/>
        </w:rPr>
        <w:t>（</w:t>
      </w:r>
      <w:r>
        <w:rPr>
          <w:lang w:eastAsia="zh-CN"/>
        </w:rPr>
        <w:t>IoT</w:t>
      </w:r>
      <w:r>
        <w:rPr>
          <w:rFonts w:hint="eastAsia"/>
          <w:lang w:eastAsia="zh-CN"/>
        </w:rPr>
        <w:t>）解决方案的实现，而</w:t>
      </w:r>
      <w:r>
        <w:rPr>
          <w:lang w:eastAsia="zh-CN"/>
        </w:rPr>
        <w:t>后者</w:t>
      </w:r>
      <w:r>
        <w:rPr>
          <w:rFonts w:hint="eastAsia"/>
          <w:lang w:eastAsia="zh-CN"/>
        </w:rPr>
        <w:t>需要大量的</w:t>
      </w:r>
      <w:r>
        <w:rPr>
          <w:lang w:eastAsia="zh-CN"/>
        </w:rPr>
        <w:t>IP</w:t>
      </w:r>
      <w:r>
        <w:rPr>
          <w:lang w:eastAsia="zh-CN"/>
        </w:rPr>
        <w:t>地址；</w:t>
      </w:r>
    </w:p>
    <w:p w14:paraId="35036E18" w14:textId="77777777" w:rsidR="009C1736" w:rsidRDefault="00650809">
      <w:pPr>
        <w:pStyle w:val="Normalnoindent"/>
        <w:rPr>
          <w:lang w:eastAsia="zh-CN"/>
        </w:rPr>
      </w:pPr>
      <w:del w:id="40" w:author="Li, Kehan" w:date="2024-09-27T09:47:00Z">
        <w:r>
          <w:rPr>
            <w:i/>
            <w:lang w:eastAsia="zh-CN"/>
          </w:rPr>
          <w:delText>i</w:delText>
        </w:r>
      </w:del>
      <w:ins w:id="41" w:author="Li, Kehan" w:date="2024-09-27T09:47:00Z">
        <w:r>
          <w:rPr>
            <w:rFonts w:hint="eastAsia"/>
            <w:i/>
            <w:lang w:eastAsia="zh-CN"/>
          </w:rPr>
          <w:t>j</w:t>
        </w:r>
      </w:ins>
      <w:r>
        <w:rPr>
          <w:i/>
          <w:lang w:eastAsia="zh-CN"/>
        </w:rPr>
        <w:t>)</w:t>
      </w:r>
      <w:r>
        <w:rPr>
          <w:lang w:eastAsia="zh-CN"/>
        </w:rPr>
        <w:tab/>
      </w:r>
      <w:r>
        <w:rPr>
          <w:lang w:eastAsia="zh-CN"/>
        </w:rPr>
        <w:t>将</w:t>
      </w:r>
      <w:r>
        <w:rPr>
          <w:rFonts w:hint="eastAsia"/>
          <w:lang w:eastAsia="zh-CN"/>
        </w:rPr>
        <w:t>需要</w:t>
      </w:r>
      <w:r>
        <w:rPr>
          <w:lang w:eastAsia="zh-CN"/>
        </w:rPr>
        <w:t>IPv6</w:t>
      </w:r>
      <w:r>
        <w:rPr>
          <w:rFonts w:hint="eastAsia"/>
          <w:lang w:eastAsia="zh-CN"/>
        </w:rPr>
        <w:t>来</w:t>
      </w:r>
      <w:r>
        <w:rPr>
          <w:lang w:eastAsia="zh-CN"/>
        </w:rPr>
        <w:t>实现</w:t>
      </w:r>
      <w:r>
        <w:rPr>
          <w:lang w:eastAsia="zh-CN"/>
        </w:rPr>
        <w:t>4G/LTE</w:t>
      </w:r>
      <w:r>
        <w:rPr>
          <w:rFonts w:hint="eastAsia"/>
          <w:lang w:eastAsia="zh-CN"/>
        </w:rPr>
        <w:t>和</w:t>
      </w:r>
      <w:r>
        <w:rPr>
          <w:lang w:eastAsia="zh-CN"/>
        </w:rPr>
        <w:t>5G</w:t>
      </w:r>
      <w:r>
        <w:rPr>
          <w:lang w:eastAsia="zh-CN"/>
        </w:rPr>
        <w:t>网络之类的新通信基础设施</w:t>
      </w:r>
      <w:r>
        <w:rPr>
          <w:rFonts w:hint="eastAsia"/>
          <w:lang w:eastAsia="zh-CN"/>
        </w:rPr>
        <w:t>以</w:t>
      </w:r>
      <w:r>
        <w:rPr>
          <w:lang w:eastAsia="zh-CN"/>
        </w:rPr>
        <w:t>便于更好</w:t>
      </w:r>
      <w:r>
        <w:rPr>
          <w:rFonts w:hint="eastAsia"/>
          <w:lang w:eastAsia="zh-CN"/>
        </w:rPr>
        <w:t>地</w:t>
      </w:r>
      <w:r>
        <w:rPr>
          <w:lang w:eastAsia="zh-CN"/>
        </w:rPr>
        <w:t>通信</w:t>
      </w:r>
      <w:del w:id="42" w:author="Li, Kehan" w:date="2024-09-27T09:47:00Z">
        <w:r>
          <w:rPr>
            <w:lang w:eastAsia="zh-CN"/>
          </w:rPr>
          <w:delText>，</w:delText>
        </w:r>
      </w:del>
      <w:ins w:id="43" w:author="Li, Kehan" w:date="2024-09-27T09:47:00Z">
        <w:r>
          <w:rPr>
            <w:rFonts w:hint="eastAsia"/>
            <w:lang w:eastAsia="zh-CN"/>
          </w:rPr>
          <w:t>；</w:t>
        </w:r>
      </w:ins>
    </w:p>
    <w:p w14:paraId="5FA37046" w14:textId="77777777" w:rsidR="009C1736" w:rsidRDefault="00650809">
      <w:pPr>
        <w:rPr>
          <w:ins w:id="44" w:author="Li, Kehan" w:date="2024-09-27T09:47:00Z"/>
          <w:lang w:eastAsia="zh-CN"/>
        </w:rPr>
      </w:pPr>
      <w:ins w:id="45" w:author="Li, Kehan" w:date="2024-09-27T09:47:00Z">
        <w:r>
          <w:rPr>
            <w:i/>
            <w:iCs/>
            <w:lang w:eastAsia="zh-CN"/>
          </w:rPr>
          <w:t>k)</w:t>
        </w:r>
        <w:r>
          <w:rPr>
            <w:lang w:eastAsia="zh-CN"/>
          </w:rPr>
          <w:tab/>
        </w:r>
      </w:ins>
      <w:ins w:id="46" w:author="TSB(RC)" w:date="2024-09-28T11:32:00Z">
        <w:r>
          <w:rPr>
            <w:lang w:val="zh-CN" w:eastAsia="zh-CN"/>
          </w:rPr>
          <w:t>IPv6</w:t>
        </w:r>
        <w:r>
          <w:rPr>
            <w:lang w:val="zh-CN" w:eastAsia="zh-CN"/>
          </w:rPr>
          <w:t>协议的部署必须保证电信</w:t>
        </w:r>
        <w:r>
          <w:rPr>
            <w:lang w:val="zh-CN" w:eastAsia="zh-CN"/>
          </w:rPr>
          <w:t>/</w:t>
        </w:r>
        <w:r>
          <w:rPr>
            <w:lang w:val="zh-CN" w:eastAsia="zh-CN"/>
          </w:rPr>
          <w:t>信息通信技术（</w:t>
        </w:r>
        <w:r>
          <w:rPr>
            <w:lang w:val="zh-CN" w:eastAsia="zh-CN"/>
          </w:rPr>
          <w:t>ICT</w:t>
        </w:r>
        <w:r>
          <w:rPr>
            <w:lang w:val="zh-CN" w:eastAsia="zh-CN"/>
          </w:rPr>
          <w:t>）网络的安全性和完整性，重点是防止与</w:t>
        </w:r>
        <w:r>
          <w:rPr>
            <w:lang w:val="zh-CN" w:eastAsia="zh-CN"/>
          </w:rPr>
          <w:t>IP</w:t>
        </w:r>
        <w:r>
          <w:rPr>
            <w:lang w:val="zh-CN" w:eastAsia="zh-CN"/>
          </w:rPr>
          <w:t>地址和</w:t>
        </w:r>
        <w:r>
          <w:rPr>
            <w:lang w:val="zh-CN" w:eastAsia="zh-CN"/>
          </w:rPr>
          <w:t>IPv6</w:t>
        </w:r>
        <w:r>
          <w:rPr>
            <w:lang w:val="zh-CN" w:eastAsia="zh-CN"/>
          </w:rPr>
          <w:t>网络有关的潜在威胁</w:t>
        </w:r>
        <w:r>
          <w:rPr>
            <w:rFonts w:hint="eastAsia"/>
            <w:lang w:val="zh-CN" w:eastAsia="zh-CN"/>
          </w:rPr>
          <w:t>；</w:t>
        </w:r>
      </w:ins>
    </w:p>
    <w:p w14:paraId="1C171A4E" w14:textId="77777777" w:rsidR="009C1736" w:rsidRDefault="00650809">
      <w:pPr>
        <w:rPr>
          <w:ins w:id="47" w:author="Li, Kehan" w:date="2024-09-27T09:47:00Z"/>
          <w:lang w:eastAsia="zh-CN"/>
        </w:rPr>
      </w:pPr>
      <w:ins w:id="48" w:author="Li, Kehan" w:date="2024-09-27T09:47:00Z">
        <w:r>
          <w:rPr>
            <w:i/>
            <w:iCs/>
            <w:lang w:eastAsia="zh-CN"/>
          </w:rPr>
          <w:t>l)</w:t>
        </w:r>
        <w:r>
          <w:rPr>
            <w:lang w:eastAsia="zh-CN"/>
          </w:rPr>
          <w:tab/>
        </w:r>
      </w:ins>
      <w:ins w:id="49" w:author="TSB(RC)" w:date="2024-09-28T11:32:00Z">
        <w:r>
          <w:rPr>
            <w:lang w:val="zh-CN" w:eastAsia="zh-CN"/>
          </w:rPr>
          <w:t>通过改变支持</w:t>
        </w:r>
      </w:ins>
      <w:ins w:id="50" w:author="TSB(RC)" w:date="2024-09-28T11:50:00Z">
        <w:r>
          <w:rPr>
            <w:rFonts w:hint="eastAsia"/>
            <w:lang w:val="en-US" w:eastAsia="zh-CN"/>
          </w:rPr>
          <w:t>本地</w:t>
        </w:r>
        <w:r>
          <w:rPr>
            <w:rFonts w:hint="eastAsia"/>
            <w:lang w:val="zh-CN" w:eastAsia="zh-CN"/>
          </w:rPr>
          <w:t>用户驻地设备</w:t>
        </w:r>
      </w:ins>
      <w:ins w:id="51" w:author="TSB(RC)" w:date="2024-09-28T11:32:00Z">
        <w:r>
          <w:rPr>
            <w:lang w:val="zh-CN" w:eastAsia="zh-CN"/>
          </w:rPr>
          <w:t>（</w:t>
        </w:r>
        <w:r>
          <w:rPr>
            <w:lang w:val="zh-CN" w:eastAsia="zh-CN"/>
          </w:rPr>
          <w:t>CPE</w:t>
        </w:r>
        <w:r>
          <w:rPr>
            <w:lang w:val="zh-CN" w:eastAsia="zh-CN"/>
          </w:rPr>
          <w:t>）的现有</w:t>
        </w:r>
        <w:r>
          <w:rPr>
            <w:lang w:val="zh-CN" w:eastAsia="zh-CN"/>
          </w:rPr>
          <w:t>IP4</w:t>
        </w:r>
        <w:r>
          <w:rPr>
            <w:lang w:val="zh-CN" w:eastAsia="zh-CN"/>
          </w:rPr>
          <w:t>来实现向</w:t>
        </w:r>
        <w:r>
          <w:rPr>
            <w:lang w:val="zh-CN" w:eastAsia="zh-CN"/>
          </w:rPr>
          <w:t>IPv6</w:t>
        </w:r>
        <w:r>
          <w:rPr>
            <w:lang w:val="zh-CN" w:eastAsia="zh-CN"/>
          </w:rPr>
          <w:t>过渡的成本可能成为快速向新网络协议过渡的重大障碍，在发展中国家</w:t>
        </w:r>
      </w:ins>
      <w:ins w:id="52" w:author="TSB(RC)" w:date="2024-09-28T11:56:00Z">
        <w:r>
          <w:rPr>
            <w:rFonts w:hint="eastAsia"/>
            <w:lang w:val="en-US" w:eastAsia="zh-CN"/>
          </w:rPr>
          <w:t>尤其如此</w:t>
        </w:r>
      </w:ins>
      <w:ins w:id="53" w:author="TSB(RC)" w:date="2024-09-28T11:32:00Z">
        <w:r>
          <w:rPr>
            <w:rFonts w:hint="eastAsia"/>
            <w:lang w:val="zh-CN" w:eastAsia="zh-CN"/>
          </w:rPr>
          <w:t>；</w:t>
        </w:r>
      </w:ins>
    </w:p>
    <w:p w14:paraId="3D58D2E4" w14:textId="77777777" w:rsidR="009C1736" w:rsidRDefault="00650809">
      <w:pPr>
        <w:rPr>
          <w:ins w:id="54" w:author="Li, Kehan" w:date="2024-09-27T09:47:00Z"/>
          <w:lang w:eastAsia="zh-CN"/>
        </w:rPr>
      </w:pPr>
      <w:ins w:id="55" w:author="Li, Kehan" w:date="2024-09-27T09:47:00Z">
        <w:r>
          <w:rPr>
            <w:i/>
            <w:iCs/>
            <w:lang w:eastAsia="zh-CN"/>
          </w:rPr>
          <w:t>m)</w:t>
        </w:r>
        <w:r>
          <w:rPr>
            <w:lang w:eastAsia="zh-CN"/>
          </w:rPr>
          <w:tab/>
        </w:r>
      </w:ins>
      <w:ins w:id="56" w:author="TSB(RC)" w:date="2024-09-28T11:32:00Z">
        <w:r>
          <w:rPr>
            <w:lang w:val="zh-CN" w:eastAsia="zh-CN"/>
          </w:rPr>
          <w:t>操作系统和当代设备通常默认同时支持</w:t>
        </w:r>
        <w:r>
          <w:rPr>
            <w:lang w:val="zh-CN" w:eastAsia="zh-CN"/>
          </w:rPr>
          <w:t>IPv4</w:t>
        </w:r>
        <w:r>
          <w:rPr>
            <w:lang w:val="zh-CN" w:eastAsia="zh-CN"/>
          </w:rPr>
          <w:t>和</w:t>
        </w:r>
        <w:r>
          <w:rPr>
            <w:lang w:val="zh-CN" w:eastAsia="zh-CN"/>
          </w:rPr>
          <w:t>IPv6</w:t>
        </w:r>
        <w:r>
          <w:rPr>
            <w:lang w:val="zh-CN" w:eastAsia="zh-CN"/>
          </w:rPr>
          <w:t>协议，</w:t>
        </w:r>
      </w:ins>
      <w:ins w:id="57" w:author="TSB(RC)" w:date="2024-09-28T11:48:00Z">
        <w:r>
          <w:rPr>
            <w:rFonts w:hint="eastAsia"/>
            <w:lang w:val="en-US" w:eastAsia="zh-CN"/>
          </w:rPr>
          <w:t>这</w:t>
        </w:r>
      </w:ins>
      <w:ins w:id="58" w:author="TSB(RC)" w:date="2024-09-28T11:32:00Z">
        <w:r>
          <w:rPr>
            <w:lang w:val="zh-CN" w:eastAsia="zh-CN"/>
          </w:rPr>
          <w:t>造成了</w:t>
        </w:r>
      </w:ins>
      <w:ins w:id="59" w:author="TSB(RC)" w:date="2024-09-28T11:48:00Z">
        <w:r>
          <w:rPr>
            <w:rFonts w:hint="eastAsia"/>
            <w:lang w:val="en-US" w:eastAsia="zh-CN"/>
          </w:rPr>
          <w:t>一种</w:t>
        </w:r>
      </w:ins>
      <w:ins w:id="60" w:author="TSB(RC)" w:date="2024-09-28T11:32:00Z">
        <w:r>
          <w:rPr>
            <w:lang w:val="zh-CN" w:eastAsia="zh-CN"/>
          </w:rPr>
          <w:t>双栈环境，而没有考虑到与每个协议相关的具体风险</w:t>
        </w:r>
        <w:r>
          <w:rPr>
            <w:rFonts w:hint="eastAsia"/>
            <w:lang w:val="zh-CN" w:eastAsia="zh-CN"/>
          </w:rPr>
          <w:t>；</w:t>
        </w:r>
        <w:r>
          <w:rPr>
            <w:lang w:val="zh-CN" w:eastAsia="zh-CN"/>
          </w:rPr>
          <w:t>必须实施适当的安全措施和最佳做法，以确保</w:t>
        </w:r>
      </w:ins>
      <w:ins w:id="61" w:author="TSB(RC)" w:date="2024-09-28T11:49:00Z">
        <w:r>
          <w:rPr>
            <w:rFonts w:hint="eastAsia"/>
            <w:lang w:val="en-US" w:eastAsia="zh-CN"/>
          </w:rPr>
          <w:t>实现与所</w:t>
        </w:r>
        <w:r>
          <w:rPr>
            <w:lang w:val="zh-CN" w:eastAsia="zh-CN"/>
          </w:rPr>
          <w:t>使用协议</w:t>
        </w:r>
        <w:r>
          <w:rPr>
            <w:rFonts w:hint="eastAsia"/>
            <w:lang w:val="en-US" w:eastAsia="zh-CN"/>
          </w:rPr>
          <w:t>无关的</w:t>
        </w:r>
      </w:ins>
      <w:ins w:id="62" w:author="TSB(RC)" w:date="2024-09-28T11:32:00Z">
        <w:r>
          <w:rPr>
            <w:lang w:val="zh-CN" w:eastAsia="zh-CN"/>
          </w:rPr>
          <w:t>安全网络环境</w:t>
        </w:r>
        <w:r>
          <w:rPr>
            <w:rFonts w:hint="eastAsia"/>
            <w:lang w:val="zh-CN" w:eastAsia="zh-CN"/>
          </w:rPr>
          <w:t>；</w:t>
        </w:r>
      </w:ins>
    </w:p>
    <w:p w14:paraId="139F4348" w14:textId="77777777" w:rsidR="009C1736" w:rsidRDefault="00650809">
      <w:pPr>
        <w:rPr>
          <w:ins w:id="63" w:author="Li, Kehan" w:date="2024-09-27T09:47:00Z"/>
          <w:lang w:eastAsia="zh-CN"/>
        </w:rPr>
      </w:pPr>
      <w:ins w:id="64" w:author="Li, Kehan" w:date="2024-09-27T09:47:00Z">
        <w:r>
          <w:rPr>
            <w:i/>
            <w:iCs/>
            <w:lang w:eastAsia="zh-CN"/>
          </w:rPr>
          <w:t>n)</w:t>
        </w:r>
        <w:r>
          <w:rPr>
            <w:lang w:eastAsia="zh-CN"/>
          </w:rPr>
          <w:tab/>
        </w:r>
      </w:ins>
      <w:ins w:id="65" w:author="TSB(RC)" w:date="2024-09-28T11:32:00Z">
        <w:r>
          <w:rPr>
            <w:lang w:val="zh-CN" w:eastAsia="zh-CN"/>
          </w:rPr>
          <w:t>ITU-T X. 1037</w:t>
        </w:r>
        <w:r>
          <w:rPr>
            <w:lang w:val="zh-CN" w:eastAsia="zh-CN"/>
          </w:rPr>
          <w:t>建议书及其增补提供了侧重于企业网络中</w:t>
        </w:r>
        <w:r>
          <w:rPr>
            <w:lang w:val="zh-CN" w:eastAsia="zh-CN"/>
          </w:rPr>
          <w:t>IPv6</w:t>
        </w:r>
        <w:r>
          <w:rPr>
            <w:lang w:val="zh-CN" w:eastAsia="zh-CN"/>
          </w:rPr>
          <w:t>的安全导则，并为电信组织部署和</w:t>
        </w:r>
      </w:ins>
      <w:ins w:id="66" w:author="TSB(RC)" w:date="2024-09-28T11:47:00Z">
        <w:r>
          <w:rPr>
            <w:rFonts w:hint="eastAsia"/>
            <w:lang w:val="en-US" w:eastAsia="zh-CN"/>
          </w:rPr>
          <w:t>运营</w:t>
        </w:r>
      </w:ins>
      <w:ins w:id="67" w:author="TSB(RC)" w:date="2024-09-28T11:32:00Z">
        <w:r>
          <w:rPr>
            <w:lang w:val="zh-CN" w:eastAsia="zh-CN"/>
          </w:rPr>
          <w:t>IPv6</w:t>
        </w:r>
        <w:r>
          <w:rPr>
            <w:lang w:val="zh-CN" w:eastAsia="zh-CN"/>
          </w:rPr>
          <w:t>网络提供了一套安全导则</w:t>
        </w:r>
        <w:r>
          <w:rPr>
            <w:rFonts w:hint="eastAsia"/>
            <w:lang w:val="zh-CN" w:eastAsia="zh-CN"/>
          </w:rPr>
          <w:t>；</w:t>
        </w:r>
      </w:ins>
    </w:p>
    <w:p w14:paraId="5FE4DB73" w14:textId="77777777" w:rsidR="009C1736" w:rsidRDefault="00650809">
      <w:pPr>
        <w:rPr>
          <w:ins w:id="68" w:author="Li, Kehan" w:date="2024-09-27T09:47:00Z"/>
          <w:lang w:eastAsia="zh-CN"/>
        </w:rPr>
      </w:pPr>
      <w:ins w:id="69" w:author="Li, Kehan" w:date="2024-09-27T09:47:00Z">
        <w:r>
          <w:rPr>
            <w:i/>
            <w:iCs/>
            <w:lang w:eastAsia="zh-CN"/>
          </w:rPr>
          <w:t>o)</w:t>
        </w:r>
        <w:r>
          <w:rPr>
            <w:lang w:eastAsia="zh-CN"/>
          </w:rPr>
          <w:tab/>
        </w:r>
      </w:ins>
      <w:ins w:id="70" w:author="TSB(RC)" w:date="2024-09-28T11:32:00Z">
        <w:r>
          <w:rPr>
            <w:lang w:val="zh-CN" w:eastAsia="zh-CN"/>
          </w:rPr>
          <w:t>尽管此前的</w:t>
        </w:r>
        <w:r>
          <w:rPr>
            <w:lang w:val="zh-CN" w:eastAsia="zh-CN"/>
          </w:rPr>
          <w:t>WTSA</w:t>
        </w:r>
        <w:r>
          <w:rPr>
            <w:lang w:val="zh-CN" w:eastAsia="zh-CN"/>
          </w:rPr>
          <w:t>决议已建议采取措施鼓励</w:t>
        </w:r>
        <w:r>
          <w:rPr>
            <w:lang w:val="zh-CN" w:eastAsia="zh-CN"/>
          </w:rPr>
          <w:t>IPv4</w:t>
        </w:r>
        <w:r>
          <w:rPr>
            <w:lang w:val="zh-CN" w:eastAsia="zh-CN"/>
          </w:rPr>
          <w:t>向</w:t>
        </w:r>
        <w:r>
          <w:rPr>
            <w:lang w:val="zh-CN" w:eastAsia="zh-CN"/>
          </w:rPr>
          <w:t>IPv6</w:t>
        </w:r>
        <w:r>
          <w:rPr>
            <w:lang w:val="zh-CN" w:eastAsia="zh-CN"/>
          </w:rPr>
          <w:t>的过渡，但发展中国家的过渡率仍然很低，</w:t>
        </w:r>
      </w:ins>
    </w:p>
    <w:p w14:paraId="69C3B0C1" w14:textId="77777777" w:rsidR="009C1736" w:rsidRDefault="00650809">
      <w:pPr>
        <w:pStyle w:val="Call"/>
        <w:rPr>
          <w:rtl/>
        </w:rPr>
      </w:pPr>
      <w:r>
        <w:rPr>
          <w:rFonts w:hint="eastAsia"/>
          <w:lang w:eastAsia="zh-CN"/>
        </w:rPr>
        <w:t>做出决议</w:t>
      </w:r>
    </w:p>
    <w:p w14:paraId="1360BE1F" w14:textId="77777777" w:rsidR="009C1736" w:rsidRDefault="00650809">
      <w:pPr>
        <w:pStyle w:val="Normalnoindent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责成</w:t>
      </w:r>
      <w:r>
        <w:rPr>
          <w:lang w:eastAsia="zh-CN"/>
        </w:rPr>
        <w:t>ITU-T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和第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研究组在各自职权范围内，与所有相关利益攸关方协作，为感兴趣的成员（尤其是发展中国家）分析</w:t>
      </w:r>
      <w:r>
        <w:rPr>
          <w:rFonts w:hint="eastAsia"/>
          <w:lang w:eastAsia="zh-CN"/>
        </w:rPr>
        <w:t>IPv6</w:t>
      </w:r>
      <w:r>
        <w:rPr>
          <w:rFonts w:hint="eastAsia"/>
          <w:lang w:eastAsia="zh-CN"/>
        </w:rPr>
        <w:t>地址分配和登记的节奏和地域问题的统计数据；</w:t>
      </w:r>
    </w:p>
    <w:p w14:paraId="016A7538" w14:textId="77777777" w:rsidR="009C1736" w:rsidRDefault="00650809">
      <w:pPr>
        <w:rPr>
          <w:ins w:id="71" w:author="Li, Kehan" w:date="2024-09-27T09:47:00Z"/>
          <w:rtl/>
          <w:lang w:val="en-US"/>
        </w:rPr>
      </w:pPr>
      <w:ins w:id="72" w:author="Li, Kehan" w:date="2024-09-27T09:47:00Z">
        <w:r>
          <w:rPr>
            <w:lang w:val="en-US" w:eastAsia="zh-CN"/>
          </w:rPr>
          <w:t>2</w:t>
        </w:r>
        <w:r>
          <w:rPr>
            <w:lang w:val="en-US" w:eastAsia="zh-CN"/>
          </w:rPr>
          <w:tab/>
        </w:r>
      </w:ins>
      <w:ins w:id="73" w:author="TSB(RC)" w:date="2024-09-28T11:33:00Z">
        <w:r>
          <w:rPr>
            <w:lang w:val="zh-CN" w:eastAsia="zh-CN"/>
          </w:rPr>
          <w:t>责成第</w:t>
        </w:r>
        <w:r>
          <w:rPr>
            <w:lang w:val="zh-CN" w:eastAsia="zh-CN"/>
          </w:rPr>
          <w:t>17</w:t>
        </w:r>
        <w:r>
          <w:rPr>
            <w:lang w:val="zh-CN" w:eastAsia="zh-CN"/>
          </w:rPr>
          <w:t>研究组开展更多研究，以支持网络环境的多样性，从而促进更安全、更快速地采用</w:t>
        </w:r>
        <w:r>
          <w:rPr>
            <w:lang w:val="zh-CN" w:eastAsia="zh-CN"/>
          </w:rPr>
          <w:t>IPv6</w:t>
        </w:r>
        <w:r>
          <w:rPr>
            <w:lang w:val="zh-CN" w:eastAsia="zh-CN"/>
          </w:rPr>
          <w:t>协议，在发展中国家的部署项目中</w:t>
        </w:r>
      </w:ins>
      <w:ins w:id="74" w:author="TSB(RC)" w:date="2024-09-28T11:56:00Z">
        <w:r>
          <w:rPr>
            <w:rFonts w:hint="eastAsia"/>
            <w:lang w:val="en-US" w:eastAsia="zh-CN"/>
          </w:rPr>
          <w:t>尤应如此</w:t>
        </w:r>
      </w:ins>
      <w:ins w:id="75" w:author="TSB(RC)" w:date="2024-09-28T11:33:00Z">
        <w:r>
          <w:rPr>
            <w:rFonts w:hint="eastAsia"/>
            <w:lang w:val="zh-CN" w:eastAsia="zh-CN"/>
          </w:rPr>
          <w:t>；</w:t>
        </w:r>
      </w:ins>
    </w:p>
    <w:p w14:paraId="6C1FA388" w14:textId="77777777" w:rsidR="009C1736" w:rsidRDefault="00650809">
      <w:pPr>
        <w:pStyle w:val="Normalnoindent"/>
        <w:rPr>
          <w:lang w:eastAsia="zh-CN"/>
        </w:rPr>
      </w:pPr>
      <w:del w:id="76" w:author="Li, Kehan" w:date="2024-09-27T09:47:00Z">
        <w:r>
          <w:rPr>
            <w:rFonts w:hint="eastAsia"/>
            <w:lang w:eastAsia="zh-CN"/>
          </w:rPr>
          <w:delText>2</w:delText>
        </w:r>
      </w:del>
      <w:ins w:id="77" w:author="Li, Kehan" w:date="2024-09-27T09:47:00Z">
        <w:r>
          <w:rPr>
            <w:rFonts w:hint="eastAsia"/>
            <w:lang w:eastAsia="zh-CN"/>
          </w:rPr>
          <w:t>3</w:t>
        </w:r>
      </w:ins>
      <w:r>
        <w:rPr>
          <w:lang w:eastAsia="zh-CN"/>
        </w:rPr>
        <w:tab/>
      </w:r>
      <w:r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IPv6</w:t>
      </w:r>
      <w:r>
        <w:rPr>
          <w:rFonts w:hint="eastAsia"/>
          <w:lang w:eastAsia="zh-CN"/>
        </w:rPr>
        <w:t>部署方面，加强与所有利益相关方的经验与信息交流，</w:t>
      </w:r>
      <w:ins w:id="78" w:author="TSB(RC)" w:date="2024-09-28T11:33:00Z">
        <w:r>
          <w:rPr>
            <w:lang w:val="zh-CN" w:eastAsia="zh-CN"/>
          </w:rPr>
          <w:t>包括安全方面的交流，</w:t>
        </w:r>
      </w:ins>
      <w:r>
        <w:rPr>
          <w:rFonts w:hint="eastAsia"/>
          <w:lang w:eastAsia="zh-CN"/>
        </w:rPr>
        <w:t>旨在创造协作机遇、提高技术技能，并确保得到反馈，以增强国际电联对</w:t>
      </w:r>
      <w:r>
        <w:rPr>
          <w:rFonts w:hint="eastAsia"/>
          <w:lang w:eastAsia="zh-CN"/>
        </w:rPr>
        <w:t>IPv6</w:t>
      </w:r>
      <w:r>
        <w:rPr>
          <w:rFonts w:hint="eastAsia"/>
          <w:lang w:eastAsia="zh-CN"/>
        </w:rPr>
        <w:t>的过渡和部署的支持，</w:t>
      </w:r>
    </w:p>
    <w:p w14:paraId="14D18F79" w14:textId="77777777" w:rsidR="009C1736" w:rsidRDefault="00650809">
      <w:pPr>
        <w:pStyle w:val="Call"/>
        <w:rPr>
          <w:rtl/>
        </w:rPr>
      </w:pPr>
      <w:r>
        <w:rPr>
          <w:rFonts w:hint="eastAsia"/>
          <w:lang w:eastAsia="zh-CN"/>
        </w:rPr>
        <w:t>责成电信标准化局主任与电信发展局主任密切协作</w:t>
      </w:r>
    </w:p>
    <w:p w14:paraId="4679C5BC" w14:textId="77777777" w:rsidR="009C1736" w:rsidRDefault="00650809">
      <w:pPr>
        <w:pStyle w:val="Normalnoindent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继续国际电联电信标准化局和</w:t>
      </w:r>
      <w:r>
        <w:rPr>
          <w:rFonts w:hint="eastAsia"/>
          <w:lang w:eastAsia="zh-CN"/>
        </w:rPr>
        <w:t>B</w:t>
      </w:r>
      <w:r>
        <w:rPr>
          <w:lang w:eastAsia="zh-CN"/>
        </w:rPr>
        <w:t>DT</w:t>
      </w:r>
      <w:r>
        <w:rPr>
          <w:rFonts w:hint="eastAsia"/>
          <w:lang w:eastAsia="zh-CN"/>
        </w:rPr>
        <w:t>正在开展的活动，同时顾及那些愿意参与并利用其专长帮助发展中国家实现</w:t>
      </w:r>
      <w:r>
        <w:rPr>
          <w:rFonts w:hint="eastAsia"/>
          <w:lang w:eastAsia="zh-CN"/>
        </w:rPr>
        <w:t>IPv6</w:t>
      </w:r>
      <w:r>
        <w:rPr>
          <w:rFonts w:hint="eastAsia"/>
          <w:lang w:eastAsia="zh-CN"/>
        </w:rPr>
        <w:t>过渡和部署的合作伙伴，并回应</w:t>
      </w:r>
      <w:r>
        <w:rPr>
          <w:rFonts w:hint="eastAsia"/>
          <w:lang w:eastAsia="zh-CN"/>
        </w:rPr>
        <w:t>B</w:t>
      </w:r>
      <w:r>
        <w:rPr>
          <w:lang w:eastAsia="zh-CN"/>
        </w:rPr>
        <w:t>DT</w:t>
      </w:r>
      <w:r>
        <w:rPr>
          <w:rFonts w:hint="eastAsia"/>
          <w:lang w:eastAsia="zh-CN"/>
        </w:rPr>
        <w:t>确定的这些国家在区域层面的需求，同时需考虑到世界电信发展大会第</w:t>
      </w:r>
      <w:r>
        <w:rPr>
          <w:rFonts w:hint="eastAsia"/>
          <w:lang w:eastAsia="zh-CN"/>
        </w:rPr>
        <w:t>63</w:t>
      </w:r>
      <w:r>
        <w:rPr>
          <w:rFonts w:hint="eastAsia"/>
          <w:lang w:eastAsia="zh-CN"/>
        </w:rPr>
        <w:t>号决议（</w:t>
      </w:r>
      <w:del w:id="79" w:author="Li, Kehan" w:date="2024-09-27T09:48:00Z">
        <w:r>
          <w:rPr>
            <w:rFonts w:hint="eastAsia"/>
            <w:lang w:eastAsia="zh-CN"/>
          </w:rPr>
          <w:delText>2017</w:delText>
        </w:r>
        <w:r>
          <w:rPr>
            <w:rFonts w:hint="eastAsia"/>
            <w:lang w:eastAsia="zh-CN"/>
          </w:rPr>
          <w:delText>年，布宜诺斯艾利斯</w:delText>
        </w:r>
      </w:del>
      <w:ins w:id="80" w:author="Li, Kehan" w:date="2024-09-27T09:48:00Z">
        <w:r>
          <w:rPr>
            <w:rFonts w:hint="eastAsia"/>
            <w:lang w:eastAsia="zh-CN"/>
          </w:rPr>
          <w:t>2022</w:t>
        </w:r>
        <w:r>
          <w:rPr>
            <w:rFonts w:hint="eastAsia"/>
            <w:lang w:eastAsia="zh-CN"/>
          </w:rPr>
          <w:t>年，基加利</w:t>
        </w:r>
      </w:ins>
      <w:r>
        <w:rPr>
          <w:rFonts w:hint="eastAsia"/>
          <w:lang w:eastAsia="zh-CN"/>
        </w:rPr>
        <w:t>，修订版）的规定；</w:t>
      </w:r>
    </w:p>
    <w:p w14:paraId="48A3A0A7" w14:textId="77777777" w:rsidR="009C1736" w:rsidRDefault="00650809">
      <w:pPr>
        <w:pStyle w:val="Normalnoindent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ab/>
      </w:r>
      <w:r>
        <w:rPr>
          <w:lang w:eastAsia="zh-CN"/>
        </w:rPr>
        <w:t>更新和</w:t>
      </w:r>
      <w:r>
        <w:rPr>
          <w:rFonts w:hint="eastAsia"/>
          <w:lang w:eastAsia="zh-CN"/>
        </w:rPr>
        <w:t>维护提供全球</w:t>
      </w:r>
      <w:r>
        <w:rPr>
          <w:lang w:eastAsia="zh-CN"/>
        </w:rPr>
        <w:t>IPv6</w:t>
      </w:r>
      <w:r>
        <w:rPr>
          <w:rFonts w:hint="eastAsia"/>
          <w:lang w:eastAsia="zh-CN"/>
        </w:rPr>
        <w:t>活动信息的网站，</w:t>
      </w:r>
      <w:ins w:id="81" w:author="TSB(RC)" w:date="2024-09-28T11:33:00Z">
        <w:r>
          <w:rPr>
            <w:lang w:val="zh-CN" w:eastAsia="zh-CN"/>
          </w:rPr>
          <w:t>包括对这些活动的监测和跟踪，</w:t>
        </w:r>
      </w:ins>
      <w:r>
        <w:rPr>
          <w:rFonts w:hint="eastAsia"/>
          <w:lang w:eastAsia="zh-CN"/>
        </w:rPr>
        <w:t>以便提高国际电联所有成员和感兴趣的实体对</w:t>
      </w:r>
      <w:r>
        <w:rPr>
          <w:lang w:eastAsia="zh-CN"/>
        </w:rPr>
        <w:t>IPv6</w:t>
      </w:r>
      <w:r>
        <w:rPr>
          <w:rFonts w:hint="eastAsia"/>
          <w:lang w:eastAsia="zh-CN"/>
        </w:rPr>
        <w:t>及其部署的重要性的认识，并提供国际电联及</w:t>
      </w:r>
      <w:r>
        <w:rPr>
          <w:rFonts w:hint="eastAsia"/>
          <w:lang w:eastAsia="zh-CN"/>
        </w:rPr>
        <w:lastRenderedPageBreak/>
        <w:t>相关组织（如区域性互联网注册机构（</w:t>
      </w:r>
      <w:r>
        <w:rPr>
          <w:rFonts w:hint="eastAsia"/>
          <w:lang w:eastAsia="zh-CN"/>
        </w:rPr>
        <w:t>RIR</w:t>
      </w:r>
      <w:r>
        <w:rPr>
          <w:rFonts w:hint="eastAsia"/>
          <w:lang w:eastAsia="zh-CN"/>
        </w:rPr>
        <w:t>）、网络运营商集团以及互联网协会（</w:t>
      </w:r>
      <w:r>
        <w:rPr>
          <w:rFonts w:hint="eastAsia"/>
          <w:lang w:eastAsia="zh-CN"/>
        </w:rPr>
        <w:t>ISOC</w:t>
      </w:r>
      <w:r>
        <w:rPr>
          <w:rFonts w:hint="eastAsia"/>
          <w:lang w:eastAsia="zh-CN"/>
        </w:rPr>
        <w:t>））正在开展的培训活动信息；</w:t>
      </w:r>
    </w:p>
    <w:p w14:paraId="4856FAF6" w14:textId="77777777" w:rsidR="009C1736" w:rsidRDefault="00650809">
      <w:pPr>
        <w:pStyle w:val="Normalnoindent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提高对部署</w:t>
      </w:r>
      <w:r>
        <w:rPr>
          <w:rFonts w:hint="eastAsia"/>
          <w:lang w:eastAsia="zh-CN"/>
        </w:rPr>
        <w:t>IPv6</w:t>
      </w:r>
      <w:r>
        <w:rPr>
          <w:rFonts w:hint="eastAsia"/>
          <w:lang w:eastAsia="zh-CN"/>
        </w:rPr>
        <w:t>的重要性的认识，推进有相关实体适当专家参与的联合培训活动，</w:t>
      </w:r>
      <w:del w:id="82" w:author="TSB(RC)" w:date="2024-09-28T11:34:00Z">
        <w:r>
          <w:rPr>
            <w:rFonts w:hint="eastAsia"/>
            <w:lang w:eastAsia="zh-CN"/>
          </w:rPr>
          <w:delText>并</w:delText>
        </w:r>
      </w:del>
      <w:r>
        <w:rPr>
          <w:rFonts w:hint="eastAsia"/>
          <w:lang w:eastAsia="zh-CN"/>
        </w:rPr>
        <w:t>提供包括路线图和指导原则在内的信息，</w:t>
      </w:r>
      <w:ins w:id="83" w:author="TSB(RC)" w:date="2024-09-28T11:34:00Z">
        <w:r>
          <w:rPr>
            <w:lang w:val="zh-CN" w:eastAsia="zh-CN"/>
          </w:rPr>
          <w:t>并提供专家技术援助，</w:t>
        </w:r>
      </w:ins>
      <w:ins w:id="84" w:author="TSB(RC)" w:date="2024-09-28T11:35:00Z">
        <w:r>
          <w:rPr>
            <w:lang w:val="zh-CN" w:eastAsia="zh-CN"/>
          </w:rPr>
          <w:t>以便</w:t>
        </w:r>
      </w:ins>
      <w:del w:id="85" w:author="TSB(RC)" w:date="2024-09-28T11:35:00Z">
        <w:r>
          <w:rPr>
            <w:rFonts w:hint="eastAsia"/>
            <w:lang w:eastAsia="zh-CN"/>
          </w:rPr>
          <w:delText>同时</w:delText>
        </w:r>
      </w:del>
      <w:r>
        <w:rPr>
          <w:rFonts w:hint="eastAsia"/>
          <w:lang w:eastAsia="zh-CN"/>
        </w:rPr>
        <w:t>与适当相关组织开展协作，</w:t>
      </w:r>
      <w:ins w:id="86" w:author="TSB(RC)" w:date="2024-09-28T11:35:00Z">
        <w:r>
          <w:rPr>
            <w:lang w:val="zh-CN" w:eastAsia="zh-CN"/>
          </w:rPr>
          <w:t>在</w:t>
        </w:r>
      </w:ins>
      <w:del w:id="87" w:author="TSB(RC)" w:date="2024-09-28T11:35:00Z">
        <w:r>
          <w:rPr>
            <w:rFonts w:hint="eastAsia"/>
            <w:lang w:eastAsia="zh-CN"/>
          </w:rPr>
          <w:delText>帮助</w:delText>
        </w:r>
      </w:del>
      <w:r>
        <w:rPr>
          <w:rFonts w:hint="eastAsia"/>
          <w:lang w:eastAsia="zh-CN"/>
        </w:rPr>
        <w:t>发展中国家继续建设</w:t>
      </w:r>
      <w:r>
        <w:rPr>
          <w:rFonts w:hint="eastAsia"/>
          <w:lang w:eastAsia="zh-CN"/>
        </w:rPr>
        <w:t>IPv6</w:t>
      </w:r>
      <w:r>
        <w:rPr>
          <w:rFonts w:hint="eastAsia"/>
          <w:lang w:eastAsia="zh-CN"/>
        </w:rPr>
        <w:t>测试平台实验室，同时鉴于</w:t>
      </w:r>
      <w:r>
        <w:rPr>
          <w:rFonts w:hint="eastAsia"/>
          <w:color w:val="000000"/>
          <w:lang w:eastAsia="zh-CN"/>
        </w:rPr>
        <w:t>IoT</w:t>
      </w:r>
      <w:r>
        <w:rPr>
          <w:color w:val="000000"/>
          <w:lang w:eastAsia="zh-CN"/>
        </w:rPr>
        <w:t>设备的</w:t>
      </w:r>
      <w:r>
        <w:rPr>
          <w:color w:val="000000"/>
          <w:lang w:eastAsia="zh-CN"/>
        </w:rPr>
        <w:t>IP</w:t>
      </w:r>
      <w:r>
        <w:rPr>
          <w:color w:val="000000"/>
          <w:lang w:eastAsia="zh-CN"/>
        </w:rPr>
        <w:t>地址需求巨大，提高对</w:t>
      </w:r>
      <w:r>
        <w:rPr>
          <w:rFonts w:hint="eastAsia"/>
          <w:color w:val="000000"/>
          <w:lang w:eastAsia="zh-CN"/>
        </w:rPr>
        <w:t>在</w:t>
      </w:r>
      <w:r>
        <w:rPr>
          <w:rFonts w:hint="eastAsia"/>
          <w:color w:val="000000"/>
          <w:lang w:eastAsia="zh-CN"/>
        </w:rPr>
        <w:t>IoT</w:t>
      </w:r>
      <w:r>
        <w:rPr>
          <w:rFonts w:hint="eastAsia"/>
          <w:color w:val="000000"/>
          <w:lang w:eastAsia="zh-CN"/>
        </w:rPr>
        <w:t>方面部署</w:t>
      </w:r>
      <w:r>
        <w:rPr>
          <w:color w:val="000000"/>
          <w:lang w:eastAsia="zh-CN"/>
        </w:rPr>
        <w:t>IPv6</w:t>
      </w:r>
      <w:r>
        <w:rPr>
          <w:rFonts w:hint="eastAsia"/>
          <w:color w:val="000000"/>
          <w:lang w:eastAsia="zh-CN"/>
        </w:rPr>
        <w:t>必要性</w:t>
      </w:r>
      <w:r>
        <w:rPr>
          <w:color w:val="000000"/>
          <w:lang w:eastAsia="zh-CN"/>
        </w:rPr>
        <w:t>的认</w:t>
      </w:r>
      <w:r>
        <w:rPr>
          <w:rFonts w:ascii="SimSun" w:hAnsi="SimSun" w:cs="SimSun" w:hint="eastAsia"/>
          <w:color w:val="000000"/>
          <w:lang w:eastAsia="zh-CN"/>
        </w:rPr>
        <w:t>识；</w:t>
      </w:r>
    </w:p>
    <w:p w14:paraId="4BE69678" w14:textId="77777777" w:rsidR="009C1736" w:rsidRDefault="00650809">
      <w:pPr>
        <w:pStyle w:val="Normalnoindent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</w:r>
      <w:r>
        <w:rPr>
          <w:rFonts w:hint="eastAsia"/>
          <w:lang w:eastAsia="zh-CN"/>
        </w:rPr>
        <w:t>在主要面向发展中国家的</w:t>
      </w:r>
      <w:r>
        <w:rPr>
          <w:lang w:eastAsia="zh-CN"/>
        </w:rPr>
        <w:t>工程师、网络运营</w:t>
      </w:r>
      <w:r>
        <w:rPr>
          <w:rFonts w:hint="eastAsia"/>
          <w:lang w:eastAsia="zh-CN"/>
        </w:rPr>
        <w:t>商</w:t>
      </w:r>
      <w:del w:id="88" w:author="TSB(RC)" w:date="2024-09-28T11:36:00Z">
        <w:r>
          <w:rPr>
            <w:lang w:eastAsia="zh-CN"/>
          </w:rPr>
          <w:delText>和</w:delText>
        </w:r>
      </w:del>
      <w:ins w:id="89" w:author="TSB(RC)" w:date="2024-09-28T11:36:00Z">
        <w:r>
          <w:rPr>
            <w:rFonts w:hint="eastAsia"/>
            <w:lang w:eastAsia="zh-CN"/>
          </w:rPr>
          <w:t>、</w:t>
        </w:r>
      </w:ins>
      <w:r>
        <w:rPr>
          <w:lang w:eastAsia="zh-CN"/>
        </w:rPr>
        <w:t>内容提供</w:t>
      </w:r>
      <w:r>
        <w:rPr>
          <w:rFonts w:hint="eastAsia"/>
          <w:lang w:eastAsia="zh-CN"/>
        </w:rPr>
        <w:t>商</w:t>
      </w:r>
      <w:ins w:id="90" w:author="TSB(RC)" w:date="2024-09-28T11:36:00Z">
        <w:r>
          <w:rPr>
            <w:lang w:val="zh-CN" w:eastAsia="zh-CN"/>
          </w:rPr>
          <w:t>和服务提供商</w:t>
        </w:r>
      </w:ins>
      <w:r>
        <w:rPr>
          <w:rFonts w:hint="eastAsia"/>
          <w:lang w:eastAsia="zh-CN"/>
        </w:rPr>
        <w:t>的</w:t>
      </w:r>
      <w:r>
        <w:rPr>
          <w:lang w:eastAsia="zh-CN"/>
        </w:rPr>
        <w:t>IPv6</w:t>
      </w:r>
      <w:r>
        <w:rPr>
          <w:lang w:eastAsia="zh-CN"/>
        </w:rPr>
        <w:t>培训</w:t>
      </w:r>
      <w:r>
        <w:rPr>
          <w:rFonts w:hint="eastAsia"/>
          <w:lang w:eastAsia="zh-CN"/>
        </w:rPr>
        <w:t>中向</w:t>
      </w:r>
      <w:r>
        <w:rPr>
          <w:rFonts w:hint="eastAsia"/>
          <w:lang w:eastAsia="zh-CN"/>
        </w:rPr>
        <w:t>B</w:t>
      </w:r>
      <w:r>
        <w:rPr>
          <w:lang w:eastAsia="zh-CN"/>
        </w:rPr>
        <w:t>DT</w:t>
      </w:r>
      <w:r>
        <w:rPr>
          <w:rFonts w:hint="eastAsia"/>
          <w:lang w:eastAsia="zh-CN"/>
        </w:rPr>
        <w:t>提供支持</w:t>
      </w:r>
      <w:r>
        <w:rPr>
          <w:lang w:eastAsia="zh-CN"/>
        </w:rPr>
        <w:t>，</w:t>
      </w:r>
      <w:r>
        <w:rPr>
          <w:rFonts w:hint="eastAsia"/>
          <w:lang w:eastAsia="zh-CN"/>
        </w:rPr>
        <w:t>这些培训可</w:t>
      </w:r>
      <w:r>
        <w:rPr>
          <w:lang w:eastAsia="zh-CN"/>
        </w:rPr>
        <w:t>以加强</w:t>
      </w:r>
      <w:r>
        <w:rPr>
          <w:rFonts w:hint="eastAsia"/>
          <w:lang w:eastAsia="zh-CN"/>
        </w:rPr>
        <w:t>其</w:t>
      </w:r>
      <w:r>
        <w:rPr>
          <w:lang w:eastAsia="zh-CN"/>
        </w:rPr>
        <w:t>技能，</w:t>
      </w:r>
      <w:r>
        <w:rPr>
          <w:rFonts w:hint="eastAsia"/>
          <w:lang w:eastAsia="zh-CN"/>
        </w:rPr>
        <w:t>以</w:t>
      </w:r>
      <w:r>
        <w:rPr>
          <w:lang w:eastAsia="zh-CN"/>
        </w:rPr>
        <w:t>便</w:t>
      </w:r>
      <w:r>
        <w:rPr>
          <w:rFonts w:hint="eastAsia"/>
          <w:lang w:eastAsia="zh-CN"/>
        </w:rPr>
        <w:t>进一步应用于</w:t>
      </w:r>
      <w:r>
        <w:rPr>
          <w:lang w:eastAsia="zh-CN"/>
        </w:rPr>
        <w:t>各自单位</w:t>
      </w:r>
      <w:r>
        <w:rPr>
          <w:rFonts w:hint="eastAsia"/>
          <w:lang w:eastAsia="zh-CN"/>
        </w:rPr>
        <w:t>的规划、部署和运营，</w:t>
      </w:r>
    </w:p>
    <w:p w14:paraId="68275108" w14:textId="77777777" w:rsidR="009C1736" w:rsidRDefault="00650809">
      <w:pPr>
        <w:pStyle w:val="Call"/>
        <w:rPr>
          <w:lang w:eastAsia="zh-CN"/>
        </w:rPr>
      </w:pPr>
      <w:r>
        <w:rPr>
          <w:rFonts w:hint="eastAsia"/>
          <w:lang w:eastAsia="zh-CN"/>
        </w:rPr>
        <w:t>进一步责成电信标准化局主任</w:t>
      </w:r>
    </w:p>
    <w:p w14:paraId="475C9F22" w14:textId="01A78083" w:rsidR="009C1736" w:rsidRDefault="000D77D6">
      <w:pPr>
        <w:rPr>
          <w:lang w:eastAsia="zh-CN"/>
        </w:rPr>
      </w:pPr>
      <w:ins w:id="91" w:author="LING-C(KL)" w:date="2024-09-30T11:42:00Z" w16du:dateUtc="2024-09-30T09:42:00Z">
        <w:r>
          <w:rPr>
            <w:rFonts w:hint="eastAsia"/>
            <w:szCs w:val="24"/>
            <w:lang w:eastAsia="zh-CN"/>
          </w:rPr>
          <w:t>1</w:t>
        </w:r>
        <w:r>
          <w:rPr>
            <w:szCs w:val="24"/>
            <w:lang w:eastAsia="zh-CN"/>
          </w:rPr>
          <w:tab/>
        </w:r>
      </w:ins>
      <w:r w:rsidR="00650809">
        <w:rPr>
          <w:rFonts w:hint="eastAsia"/>
          <w:szCs w:val="24"/>
          <w:lang w:eastAsia="zh-CN"/>
        </w:rPr>
        <w:t>就上述</w:t>
      </w:r>
      <w:r w:rsidR="00650809">
        <w:rPr>
          <w:rStyle w:val="Italic"/>
          <w:rFonts w:hint="eastAsia"/>
          <w:lang w:eastAsia="zh-CN"/>
        </w:rPr>
        <w:t>做出决议</w:t>
      </w:r>
      <w:r w:rsidR="00650809">
        <w:rPr>
          <w:rFonts w:hint="eastAsia"/>
          <w:szCs w:val="24"/>
          <w:lang w:eastAsia="zh-CN"/>
        </w:rPr>
        <w:t>所述行动取得的进展，向国际电联理事会并亦向</w:t>
      </w:r>
      <w:r w:rsidR="00650809">
        <w:rPr>
          <w:rFonts w:hint="eastAsia"/>
          <w:szCs w:val="24"/>
          <w:lang w:eastAsia="zh-CN"/>
        </w:rPr>
        <w:t>20</w:t>
      </w:r>
      <w:r w:rsidR="00650809">
        <w:rPr>
          <w:szCs w:val="24"/>
          <w:lang w:eastAsia="zh-CN"/>
        </w:rPr>
        <w:t>24</w:t>
      </w:r>
      <w:r w:rsidR="00650809">
        <w:rPr>
          <w:rFonts w:hint="eastAsia"/>
          <w:szCs w:val="24"/>
          <w:lang w:eastAsia="zh-CN"/>
        </w:rPr>
        <w:t>年世界电信标准化全会做出报告</w:t>
      </w:r>
      <w:del w:id="92" w:author="Li, Kehan" w:date="2024-09-27T09:49:00Z">
        <w:r w:rsidR="00650809">
          <w:rPr>
            <w:rFonts w:hint="eastAsia"/>
            <w:lang w:eastAsia="zh-CN"/>
          </w:rPr>
          <w:delText>，</w:delText>
        </w:r>
      </w:del>
      <w:ins w:id="93" w:author="Li, Kehan" w:date="2024-09-27T09:49:00Z">
        <w:r w:rsidR="00650809">
          <w:rPr>
            <w:rFonts w:hint="eastAsia"/>
            <w:lang w:eastAsia="zh-CN"/>
          </w:rPr>
          <w:t>；</w:t>
        </w:r>
      </w:ins>
    </w:p>
    <w:p w14:paraId="4751C586" w14:textId="77777777" w:rsidR="009C1736" w:rsidRDefault="00650809">
      <w:pPr>
        <w:rPr>
          <w:ins w:id="94" w:author="Li, Kehan" w:date="2024-09-27T09:49:00Z"/>
          <w:lang w:eastAsia="zh-CN"/>
        </w:rPr>
      </w:pPr>
      <w:ins w:id="95" w:author="Li, Kehan" w:date="2024-09-27T09:49:00Z">
        <w:r>
          <w:rPr>
            <w:lang w:eastAsia="zh-CN"/>
          </w:rPr>
          <w:t>2</w:t>
        </w:r>
        <w:r>
          <w:rPr>
            <w:lang w:eastAsia="zh-CN"/>
          </w:rPr>
          <w:tab/>
        </w:r>
      </w:ins>
      <w:ins w:id="96" w:author="TSB(RC)" w:date="2024-09-28T11:37:00Z">
        <w:r>
          <w:rPr>
            <w:lang w:val="zh-CN" w:eastAsia="zh-CN"/>
          </w:rPr>
          <w:t>就标准化工作开展协作，</w:t>
        </w:r>
        <w:r>
          <w:rPr>
            <w:rFonts w:hint="eastAsia"/>
            <w:lang w:val="en-US" w:eastAsia="zh-CN"/>
          </w:rPr>
          <w:t>以</w:t>
        </w:r>
        <w:r>
          <w:rPr>
            <w:lang w:val="zh-CN" w:eastAsia="zh-CN"/>
          </w:rPr>
          <w:t>制定促进双栈用户驻地设备（</w:t>
        </w:r>
        <w:r>
          <w:rPr>
            <w:lang w:val="zh-CN" w:eastAsia="zh-CN"/>
          </w:rPr>
          <w:t>CPE</w:t>
        </w:r>
        <w:r>
          <w:rPr>
            <w:lang w:val="zh-CN" w:eastAsia="zh-CN"/>
          </w:rPr>
          <w:t>）的</w:t>
        </w:r>
        <w:r>
          <w:rPr>
            <w:lang w:val="zh-CN" w:eastAsia="zh-CN"/>
          </w:rPr>
          <w:t>ITU-T</w:t>
        </w:r>
        <w:r>
          <w:rPr>
            <w:lang w:val="zh-CN" w:eastAsia="zh-CN"/>
          </w:rPr>
          <w:t>标准，确保实现最佳的互操作性，并顺利</w:t>
        </w:r>
      </w:ins>
      <w:ins w:id="97" w:author="TSB(RC)" w:date="2024-09-28T11:58:00Z">
        <w:r>
          <w:rPr>
            <w:rFonts w:hint="eastAsia"/>
            <w:lang w:val="en-US" w:eastAsia="zh-CN"/>
          </w:rPr>
          <w:t>且</w:t>
        </w:r>
      </w:ins>
      <w:ins w:id="98" w:author="TSB(RC)" w:date="2024-09-28T11:37:00Z">
        <w:r>
          <w:rPr>
            <w:lang w:val="zh-CN" w:eastAsia="zh-CN"/>
          </w:rPr>
          <w:t>经济高效地向超高速宽带过渡，特别是在发展中国家，</w:t>
        </w:r>
      </w:ins>
    </w:p>
    <w:p w14:paraId="27138E48" w14:textId="77777777" w:rsidR="009C1736" w:rsidRDefault="00650809">
      <w:pPr>
        <w:pStyle w:val="Call"/>
        <w:rPr>
          <w:rtl/>
        </w:rPr>
      </w:pPr>
      <w:r>
        <w:rPr>
          <w:rFonts w:hint="eastAsia"/>
          <w:lang w:eastAsia="zh-CN"/>
        </w:rPr>
        <w:t>请成员国和部门成员</w:t>
      </w:r>
    </w:p>
    <w:p w14:paraId="34462983" w14:textId="77777777" w:rsidR="009C1736" w:rsidRDefault="00650809">
      <w:pPr>
        <w:pStyle w:val="Normalnoindent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利用本决议所获得的知识，在国家层面推动开展具体举措，加强与政府、私营部门、学术机构和民间团体的互动，以交流在其各自国家部署</w:t>
      </w:r>
      <w:r>
        <w:rPr>
          <w:rFonts w:hint="eastAsia"/>
          <w:lang w:eastAsia="zh-CN"/>
        </w:rPr>
        <w:t>IPv6</w:t>
      </w:r>
      <w:r>
        <w:rPr>
          <w:rFonts w:hint="eastAsia"/>
          <w:lang w:eastAsia="zh-CN"/>
        </w:rPr>
        <w:t>所需的信息；</w:t>
      </w:r>
    </w:p>
    <w:p w14:paraId="02B359C4" w14:textId="77777777" w:rsidR="009C1736" w:rsidRDefault="00650809">
      <w:pPr>
        <w:pStyle w:val="Normalnoindent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确保新近部署的网络设备、计算机设备和</w:t>
      </w:r>
      <w:r>
        <w:rPr>
          <w:lang w:eastAsia="zh-CN"/>
        </w:rPr>
        <w:t>软件</w:t>
      </w:r>
      <w:r>
        <w:rPr>
          <w:rFonts w:hint="eastAsia"/>
          <w:lang w:eastAsia="zh-CN"/>
        </w:rPr>
        <w:t>具备</w:t>
      </w:r>
      <w:r>
        <w:rPr>
          <w:rFonts w:hint="eastAsia"/>
          <w:lang w:eastAsia="zh-CN"/>
        </w:rPr>
        <w:t>IPv6</w:t>
      </w:r>
      <w:r>
        <w:rPr>
          <w:rFonts w:hint="eastAsia"/>
          <w:lang w:eastAsia="zh-CN"/>
        </w:rPr>
        <w:t>能力，并与这方面的相关国际组织协作；</w:t>
      </w:r>
    </w:p>
    <w:p w14:paraId="35875925" w14:textId="77777777" w:rsidR="009C1736" w:rsidRDefault="00650809">
      <w:pPr>
        <w:pStyle w:val="Normalnoindent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>
        <w:rPr>
          <w:lang w:eastAsia="zh-CN"/>
        </w:rPr>
        <w:t>考虑承诺</w:t>
      </w:r>
      <w:r>
        <w:rPr>
          <w:rFonts w:hint="eastAsia"/>
          <w:lang w:eastAsia="zh-CN"/>
        </w:rPr>
        <w:t>向</w:t>
      </w:r>
      <w:r>
        <w:rPr>
          <w:lang w:eastAsia="zh-CN"/>
        </w:rPr>
        <w:t>IPv6</w:t>
      </w:r>
      <w:r>
        <w:rPr>
          <w:rFonts w:hint="eastAsia"/>
          <w:lang w:eastAsia="zh-CN"/>
        </w:rPr>
        <w:t>的</w:t>
      </w:r>
      <w:r>
        <w:rPr>
          <w:lang w:eastAsia="zh-CN"/>
        </w:rPr>
        <w:t>过渡，</w:t>
      </w:r>
      <w:r>
        <w:rPr>
          <w:rFonts w:hint="eastAsia"/>
          <w:lang w:eastAsia="zh-CN"/>
        </w:rPr>
        <w:t>并通报其进展；</w:t>
      </w:r>
    </w:p>
    <w:p w14:paraId="2473A8FA" w14:textId="77777777" w:rsidR="009C1736" w:rsidRDefault="00650809">
      <w:pPr>
        <w:pStyle w:val="Normalnoindent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</w:r>
      <w:r>
        <w:rPr>
          <w:rFonts w:hint="eastAsia"/>
          <w:lang w:eastAsia="zh-CN"/>
        </w:rPr>
        <w:t>制定</w:t>
      </w:r>
      <w:ins w:id="99" w:author="TSB(RC)" w:date="2024-09-28T11:38:00Z">
        <w:r>
          <w:rPr>
            <w:lang w:val="zh-CN" w:eastAsia="zh-CN"/>
          </w:rPr>
          <w:t>适用于</w:t>
        </w:r>
      </w:ins>
      <w:del w:id="100" w:author="TSB(RC)" w:date="2024-09-28T11:38:00Z">
        <w:r>
          <w:rPr>
            <w:rFonts w:hint="eastAsia"/>
            <w:lang w:eastAsia="zh-CN"/>
          </w:rPr>
          <w:delText>相关的</w:delText>
        </w:r>
      </w:del>
      <w:r>
        <w:rPr>
          <w:rFonts w:hint="eastAsia"/>
          <w:lang w:eastAsia="zh-CN"/>
        </w:rPr>
        <w:t>IPv6</w:t>
      </w:r>
      <w:ins w:id="101" w:author="TSB(RC)" w:date="2024-09-28T11:38:00Z">
        <w:r>
          <w:rPr>
            <w:lang w:val="zh-CN" w:eastAsia="zh-CN"/>
          </w:rPr>
          <w:t>协议</w:t>
        </w:r>
      </w:ins>
      <w:r>
        <w:rPr>
          <w:rFonts w:hint="eastAsia"/>
          <w:lang w:eastAsia="zh-CN"/>
        </w:rPr>
        <w:t>部署</w:t>
      </w:r>
      <w:ins w:id="102" w:author="TSB(RC)" w:date="2024-09-28T11:38:00Z">
        <w:r>
          <w:rPr>
            <w:lang w:val="zh-CN" w:eastAsia="zh-CN"/>
          </w:rPr>
          <w:t>的详细行动</w:t>
        </w:r>
      </w:ins>
      <w:r>
        <w:rPr>
          <w:rFonts w:hint="eastAsia"/>
          <w:lang w:eastAsia="zh-CN"/>
        </w:rPr>
        <w:t>计划</w:t>
      </w:r>
      <w:ins w:id="103" w:author="TSB(RC)" w:date="2024-09-28T11:41:00Z">
        <w:r>
          <w:rPr>
            <w:rFonts w:hint="eastAsia"/>
            <w:lang w:eastAsia="zh-CN"/>
          </w:rPr>
          <w:t>，</w:t>
        </w:r>
        <w:r>
          <w:rPr>
            <w:rFonts w:hint="eastAsia"/>
            <w:lang w:val="en-US" w:eastAsia="zh-CN"/>
          </w:rPr>
          <w:t>重点介绍</w:t>
        </w:r>
        <w:r>
          <w:rPr>
            <w:lang w:val="zh-CN" w:eastAsia="zh-CN"/>
          </w:rPr>
          <w:t>这一过渡的经济和技术优势，并</w:t>
        </w:r>
        <w:r>
          <w:rPr>
            <w:rFonts w:hint="eastAsia"/>
            <w:lang w:val="zh-CN" w:eastAsia="zh-CN"/>
          </w:rPr>
          <w:t>使其广泛适用于公民</w:t>
        </w:r>
        <w:r>
          <w:rPr>
            <w:lang w:val="zh-CN" w:eastAsia="zh-CN"/>
          </w:rPr>
          <w:t>，从而使运营商和供应商免受</w:t>
        </w:r>
        <w:r>
          <w:rPr>
            <w:lang w:val="zh-CN" w:eastAsia="zh-CN"/>
          </w:rPr>
          <w:t>IPv4</w:t>
        </w:r>
        <w:r>
          <w:rPr>
            <w:lang w:val="zh-CN" w:eastAsia="zh-CN"/>
          </w:rPr>
          <w:t>地址枯竭带来的不利影响，</w:t>
        </w:r>
        <w:r>
          <w:rPr>
            <w:rFonts w:hint="eastAsia"/>
            <w:lang w:val="zh-CN" w:eastAsia="zh-CN"/>
          </w:rPr>
          <w:t>尤其</w:t>
        </w:r>
        <w:r>
          <w:rPr>
            <w:lang w:val="zh-CN" w:eastAsia="zh-CN"/>
          </w:rPr>
          <w:t>是在发展中国家</w:t>
        </w:r>
      </w:ins>
      <w:r>
        <w:rPr>
          <w:rFonts w:hint="eastAsia"/>
          <w:lang w:eastAsia="zh-CN"/>
        </w:rPr>
        <w:t>，</w:t>
      </w:r>
    </w:p>
    <w:p w14:paraId="042642B6" w14:textId="77777777" w:rsidR="009C1736" w:rsidRDefault="00650809">
      <w:pPr>
        <w:pStyle w:val="Call"/>
        <w:rPr>
          <w:lang w:eastAsia="zh-CN"/>
        </w:rPr>
      </w:pPr>
      <w:r>
        <w:rPr>
          <w:rFonts w:hint="eastAsia"/>
          <w:lang w:eastAsia="zh-CN"/>
        </w:rPr>
        <w:t>请成员国</w:t>
      </w:r>
    </w:p>
    <w:p w14:paraId="4AD9E2F5" w14:textId="77777777" w:rsidR="009C1736" w:rsidRDefault="00650809">
      <w:pPr>
        <w:pStyle w:val="Normalnoindent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制定促进系统技术更新的国家政策，以确保利用</w:t>
      </w:r>
      <w:r>
        <w:rPr>
          <w:rFonts w:hint="eastAsia"/>
          <w:lang w:eastAsia="zh-CN"/>
        </w:rPr>
        <w:t>IP</w:t>
      </w:r>
      <w:r>
        <w:rPr>
          <w:rFonts w:hint="eastAsia"/>
          <w:lang w:eastAsia="zh-CN"/>
        </w:rPr>
        <w:t>协议提供的公共服务以及成员国的通信基础设施和相关应用均与</w:t>
      </w:r>
      <w:r>
        <w:rPr>
          <w:rFonts w:hint="eastAsia"/>
          <w:lang w:eastAsia="zh-CN"/>
        </w:rPr>
        <w:t>IPv6</w:t>
      </w:r>
      <w:r>
        <w:rPr>
          <w:rFonts w:hint="eastAsia"/>
          <w:lang w:eastAsia="zh-CN"/>
        </w:rPr>
        <w:t>兼容；</w:t>
      </w:r>
    </w:p>
    <w:p w14:paraId="23E4BC9A" w14:textId="77777777" w:rsidR="009C1736" w:rsidRDefault="00650809">
      <w:pPr>
        <w:pStyle w:val="Normalnoindent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>
        <w:rPr>
          <w:lang w:eastAsia="zh-CN"/>
        </w:rPr>
        <w:t>考虑</w:t>
      </w:r>
      <w:ins w:id="104" w:author="TSB(RC)" w:date="2024-09-28T11:42:00Z">
        <w:r>
          <w:rPr>
            <w:lang w:val="zh-CN" w:eastAsia="zh-CN"/>
          </w:rPr>
          <w:t>制定国家项目的可能性，以</w:t>
        </w:r>
      </w:ins>
      <w:r>
        <w:rPr>
          <w:rFonts w:hint="eastAsia"/>
          <w:lang w:eastAsia="zh-CN"/>
        </w:rPr>
        <w:t>鼓励</w:t>
      </w:r>
      <w:r>
        <w:rPr>
          <w:lang w:eastAsia="zh-CN"/>
        </w:rPr>
        <w:t>互联网服务提供商（</w:t>
      </w:r>
      <w:r>
        <w:rPr>
          <w:lang w:eastAsia="zh-CN"/>
        </w:rPr>
        <w:t>ISP</w:t>
      </w:r>
      <w:r>
        <w:rPr>
          <w:lang w:eastAsia="zh-CN"/>
        </w:rPr>
        <w:t>）及其它相关组织</w:t>
      </w:r>
      <w:r>
        <w:rPr>
          <w:rFonts w:hint="eastAsia"/>
          <w:lang w:eastAsia="zh-CN"/>
        </w:rPr>
        <w:t>部署</w:t>
      </w:r>
      <w:r>
        <w:rPr>
          <w:lang w:eastAsia="zh-CN"/>
        </w:rPr>
        <w:t>IPv6</w:t>
      </w:r>
      <w:ins w:id="105" w:author="TSB(RC)" w:date="2024-09-28T11:42:00Z">
        <w:r>
          <w:rPr>
            <w:lang w:val="zh-CN" w:eastAsia="zh-CN"/>
          </w:rPr>
          <w:t>协议，</w:t>
        </w:r>
        <w:r>
          <w:rPr>
            <w:lang w:val="zh-CN" w:eastAsia="zh-CN"/>
          </w:rPr>
          <w:t xml:space="preserve"> </w:t>
        </w:r>
        <w:r>
          <w:rPr>
            <w:lang w:val="zh-CN" w:eastAsia="zh-CN"/>
          </w:rPr>
          <w:t>这些项目旨在刺激同时支持</w:t>
        </w:r>
        <w:r>
          <w:rPr>
            <w:lang w:val="zh-CN" w:eastAsia="zh-CN"/>
          </w:rPr>
          <w:t>IPv4</w:t>
        </w:r>
        <w:r>
          <w:rPr>
            <w:lang w:val="zh-CN" w:eastAsia="zh-CN"/>
          </w:rPr>
          <w:t>和</w:t>
        </w:r>
        <w:r>
          <w:rPr>
            <w:lang w:val="zh-CN" w:eastAsia="zh-CN"/>
          </w:rPr>
          <w:t>IPv6</w:t>
        </w:r>
        <w:r>
          <w:rPr>
            <w:lang w:val="zh-CN" w:eastAsia="zh-CN"/>
          </w:rPr>
          <w:t>协议的产品市场，以加速向</w:t>
        </w:r>
        <w:r>
          <w:rPr>
            <w:lang w:val="zh-CN" w:eastAsia="zh-CN"/>
          </w:rPr>
          <w:t>IPv6</w:t>
        </w:r>
        <w:r>
          <w:rPr>
            <w:lang w:val="zh-CN" w:eastAsia="zh-CN"/>
          </w:rPr>
          <w:t>的过渡</w:t>
        </w:r>
      </w:ins>
      <w:del w:id="106" w:author="TSB(RC)" w:date="2024-09-28T11:43:00Z">
        <w:r>
          <w:rPr>
            <w:rFonts w:hint="eastAsia"/>
            <w:lang w:eastAsia="zh-CN"/>
          </w:rPr>
          <w:delText>的国家</w:delText>
        </w:r>
        <w:r>
          <w:rPr>
            <w:lang w:eastAsia="zh-CN"/>
          </w:rPr>
          <w:delText>项目</w:delText>
        </w:r>
        <w:r>
          <w:rPr>
            <w:rFonts w:hint="eastAsia"/>
            <w:lang w:eastAsia="zh-CN"/>
          </w:rPr>
          <w:delText>的可能性</w:delText>
        </w:r>
      </w:del>
      <w:r>
        <w:rPr>
          <w:rFonts w:hint="eastAsia"/>
          <w:lang w:eastAsia="zh-CN"/>
        </w:rPr>
        <w:t>；</w:t>
      </w:r>
      <w:ins w:id="107" w:author="TSB(RC)" w:date="2024-09-28T11:42:00Z">
        <w:r>
          <w:rPr>
            <w:lang w:val="zh-CN" w:eastAsia="zh-CN"/>
          </w:rPr>
          <w:t xml:space="preserve"> </w:t>
        </w:r>
      </w:ins>
    </w:p>
    <w:p w14:paraId="1924337E" w14:textId="77777777" w:rsidR="009C1736" w:rsidRDefault="00650809">
      <w:pPr>
        <w:pStyle w:val="Normalnoindent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>
        <w:rPr>
          <w:rFonts w:hint="eastAsia"/>
          <w:lang w:val="en-US" w:eastAsia="zh-CN"/>
        </w:rPr>
        <w:t>在国际电联区域代表处、</w:t>
      </w:r>
      <w:r>
        <w:rPr>
          <w:lang w:eastAsia="zh-CN"/>
        </w:rPr>
        <w:t>RIR</w:t>
      </w:r>
      <w:r>
        <w:rPr>
          <w:rFonts w:hint="eastAsia"/>
          <w:lang w:val="en-US" w:eastAsia="zh-CN"/>
        </w:rPr>
        <w:t>和其他区域性组织的支持下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鼓励协调由政府、业界和学术界参与的研究、宣传以及培训活动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以促进</w:t>
      </w:r>
      <w:r>
        <w:rPr>
          <w:lang w:eastAsia="zh-CN"/>
        </w:rPr>
        <w:t>IPv6</w:t>
      </w:r>
      <w:r>
        <w:rPr>
          <w:rFonts w:hint="eastAsia"/>
          <w:lang w:val="en-US" w:eastAsia="zh-CN"/>
        </w:rPr>
        <w:t>在其国家和区域的部署及采用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并协调区域之间的全球性部署推广举措</w:t>
      </w:r>
      <w:r>
        <w:rPr>
          <w:rFonts w:hint="eastAsia"/>
          <w:lang w:eastAsia="zh-CN"/>
        </w:rPr>
        <w:t>；</w:t>
      </w:r>
    </w:p>
    <w:p w14:paraId="1CD8308F" w14:textId="77777777" w:rsidR="009C1736" w:rsidRDefault="00650809">
      <w:pPr>
        <w:pStyle w:val="Normalnoindent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</w:r>
      <w:r>
        <w:rPr>
          <w:lang w:eastAsia="zh-CN"/>
        </w:rPr>
        <w:t>考虑</w:t>
      </w:r>
      <w:r>
        <w:rPr>
          <w:rFonts w:hint="eastAsia"/>
          <w:lang w:eastAsia="zh-CN"/>
        </w:rPr>
        <w:t>酌情利用政府采购需求的</w:t>
      </w:r>
      <w:r>
        <w:rPr>
          <w:lang w:eastAsia="zh-CN"/>
        </w:rPr>
        <w:t>方式</w:t>
      </w:r>
      <w:r>
        <w:rPr>
          <w:rFonts w:hint="eastAsia"/>
          <w:lang w:eastAsia="zh-CN"/>
        </w:rPr>
        <w:t>鼓励</w:t>
      </w:r>
      <w:r>
        <w:rPr>
          <w:lang w:eastAsia="zh-CN"/>
        </w:rPr>
        <w:t>ISP</w:t>
      </w:r>
      <w:r>
        <w:rPr>
          <w:lang w:eastAsia="zh-CN"/>
        </w:rPr>
        <w:t>及相关组织</w:t>
      </w:r>
      <w:r>
        <w:rPr>
          <w:rFonts w:hint="eastAsia"/>
          <w:lang w:eastAsia="zh-CN"/>
        </w:rPr>
        <w:t>部署</w:t>
      </w:r>
      <w:r>
        <w:rPr>
          <w:lang w:eastAsia="zh-CN"/>
        </w:rPr>
        <w:t>IPv6</w:t>
      </w:r>
      <w:r>
        <w:rPr>
          <w:rFonts w:hint="eastAsia"/>
          <w:lang w:eastAsia="zh-CN"/>
        </w:rPr>
        <w:t>；</w:t>
      </w:r>
    </w:p>
    <w:p w14:paraId="2CCB91E0" w14:textId="77777777" w:rsidR="009C1736" w:rsidRDefault="00650809">
      <w:pPr>
        <w:pStyle w:val="Normalnoindent"/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ab/>
      </w:r>
      <w:r>
        <w:rPr>
          <w:rFonts w:hint="eastAsia"/>
          <w:lang w:eastAsia="zh-CN"/>
        </w:rPr>
        <w:t>分享</w:t>
      </w:r>
      <w:del w:id="108" w:author="TSB(RC)" w:date="2024-09-28T11:43:00Z">
        <w:r>
          <w:rPr>
            <w:lang w:eastAsia="zh-CN"/>
          </w:rPr>
          <w:delText>IPv6</w:delText>
        </w:r>
        <w:r>
          <w:rPr>
            <w:rFonts w:hint="eastAsia"/>
            <w:lang w:eastAsia="zh-CN"/>
          </w:rPr>
          <w:delText>部署方面的</w:delText>
        </w:r>
      </w:del>
      <w:r>
        <w:rPr>
          <w:rFonts w:hint="eastAsia"/>
          <w:lang w:eastAsia="zh-CN"/>
        </w:rPr>
        <w:t>经验</w:t>
      </w:r>
      <w:ins w:id="109" w:author="TSB(RC)" w:date="2024-09-28T11:43:00Z">
        <w:r>
          <w:rPr>
            <w:lang w:val="zh-CN" w:eastAsia="zh-CN"/>
          </w:rPr>
          <w:t>并概述缓解</w:t>
        </w:r>
      </w:ins>
      <w:ins w:id="110" w:author="TSB(RC)" w:date="2024-09-28T11:59:00Z">
        <w:r>
          <w:rPr>
            <w:rFonts w:hint="eastAsia"/>
            <w:lang w:val="en-US" w:eastAsia="zh-CN"/>
          </w:rPr>
          <w:t>相关</w:t>
        </w:r>
      </w:ins>
      <w:ins w:id="111" w:author="TSB(RC)" w:date="2024-09-28T11:43:00Z">
        <w:r>
          <w:rPr>
            <w:lang w:val="zh-CN" w:eastAsia="zh-CN"/>
          </w:rPr>
          <w:t>挑战的措施，包括</w:t>
        </w:r>
        <w:r>
          <w:rPr>
            <w:lang w:val="zh-CN" w:eastAsia="zh-CN"/>
          </w:rPr>
          <w:t>IPv6</w:t>
        </w:r>
        <w:r>
          <w:rPr>
            <w:lang w:val="zh-CN" w:eastAsia="zh-CN"/>
          </w:rPr>
          <w:t>部署期间的欺诈性请求、</w:t>
        </w:r>
      </w:ins>
      <w:ins w:id="112" w:author="TSB(RC)" w:date="2024-09-28T11:44:00Z">
        <w:r>
          <w:rPr>
            <w:rFonts w:hint="eastAsia"/>
            <w:lang w:val="en-US" w:eastAsia="zh-CN"/>
          </w:rPr>
          <w:t>自主</w:t>
        </w:r>
      </w:ins>
      <w:ins w:id="113" w:author="TSB(RC)" w:date="2024-09-28T11:43:00Z">
        <w:r>
          <w:rPr>
            <w:lang w:val="zh-CN" w:eastAsia="zh-CN"/>
          </w:rPr>
          <w:t>系统</w:t>
        </w:r>
      </w:ins>
      <w:ins w:id="114" w:author="TSB(RC)" w:date="2024-09-28T11:44:00Z">
        <w:r>
          <w:rPr>
            <w:rFonts w:hint="eastAsia"/>
            <w:lang w:val="en-US" w:eastAsia="zh-CN"/>
          </w:rPr>
          <w:t>号码</w:t>
        </w:r>
      </w:ins>
      <w:ins w:id="115" w:author="TSB(RC)" w:date="2024-09-28T11:43:00Z">
        <w:r>
          <w:rPr>
            <w:lang w:val="zh-CN" w:eastAsia="zh-CN"/>
          </w:rPr>
          <w:t>（</w:t>
        </w:r>
        <w:r>
          <w:rPr>
            <w:lang w:val="zh-CN" w:eastAsia="zh-CN"/>
          </w:rPr>
          <w:t>ASN</w:t>
        </w:r>
        <w:r>
          <w:rPr>
            <w:lang w:val="zh-CN" w:eastAsia="zh-CN"/>
          </w:rPr>
          <w:t>）和路由劫持</w:t>
        </w:r>
      </w:ins>
      <w:del w:id="116" w:author="Li, Kehan" w:date="2024-09-27T09:50:00Z">
        <w:r>
          <w:rPr>
            <w:rFonts w:hint="eastAsia"/>
            <w:lang w:eastAsia="zh-CN"/>
          </w:rPr>
          <w:delText>。</w:delText>
        </w:r>
      </w:del>
      <w:ins w:id="117" w:author="Li, Kehan" w:date="2024-09-27T09:50:00Z">
        <w:r>
          <w:rPr>
            <w:rFonts w:hint="eastAsia"/>
            <w:lang w:eastAsia="zh-CN"/>
          </w:rPr>
          <w:t>；</w:t>
        </w:r>
      </w:ins>
    </w:p>
    <w:p w14:paraId="18A8137F" w14:textId="77777777" w:rsidR="009C1736" w:rsidRDefault="00650809">
      <w:pPr>
        <w:rPr>
          <w:ins w:id="118" w:author="Li, Kehan" w:date="2024-09-27T09:50:00Z"/>
          <w:lang w:eastAsia="zh-CN"/>
        </w:rPr>
      </w:pPr>
      <w:ins w:id="119" w:author="Li, Kehan" w:date="2024-09-27T09:50:00Z">
        <w:r>
          <w:rPr>
            <w:lang w:eastAsia="zh-CN"/>
          </w:rPr>
          <w:t>6</w:t>
        </w:r>
        <w:r>
          <w:rPr>
            <w:lang w:eastAsia="zh-CN"/>
          </w:rPr>
          <w:tab/>
        </w:r>
      </w:ins>
      <w:ins w:id="120" w:author="TSB(RC)" w:date="2024-09-28T11:45:00Z">
        <w:r>
          <w:rPr>
            <w:lang w:val="zh-CN" w:eastAsia="zh-CN"/>
          </w:rPr>
          <w:t>积极参与</w:t>
        </w:r>
        <w:r>
          <w:rPr>
            <w:lang w:val="zh-CN" w:eastAsia="zh-CN"/>
          </w:rPr>
          <w:t>RIR</w:t>
        </w:r>
        <w:r>
          <w:rPr>
            <w:lang w:val="zh-CN" w:eastAsia="zh-CN"/>
          </w:rPr>
          <w:t>活动，</w:t>
        </w:r>
      </w:ins>
      <w:ins w:id="121" w:author="TSB(RC)" w:date="2024-09-28T12:00:00Z">
        <w:r>
          <w:rPr>
            <w:rFonts w:hint="eastAsia"/>
            <w:lang w:val="en-US" w:eastAsia="zh-CN"/>
          </w:rPr>
          <w:t>以</w:t>
        </w:r>
      </w:ins>
      <w:ins w:id="122" w:author="TSB(RC)" w:date="2024-09-28T11:45:00Z">
        <w:r>
          <w:rPr>
            <w:lang w:val="zh-CN" w:eastAsia="zh-CN"/>
          </w:rPr>
          <w:t>改进</w:t>
        </w:r>
        <w:r>
          <w:rPr>
            <w:lang w:val="zh-CN" w:eastAsia="zh-CN"/>
          </w:rPr>
          <w:t>IP</w:t>
        </w:r>
        <w:r>
          <w:rPr>
            <w:lang w:val="zh-CN" w:eastAsia="zh-CN"/>
          </w:rPr>
          <w:t>地址管理，</w:t>
        </w:r>
      </w:ins>
      <w:ins w:id="123" w:author="TSB(RC)" w:date="2024-09-28T12:00:00Z">
        <w:r>
          <w:rPr>
            <w:rFonts w:hint="eastAsia"/>
            <w:lang w:val="en-US" w:eastAsia="zh-CN"/>
          </w:rPr>
          <w:t>并</w:t>
        </w:r>
      </w:ins>
      <w:ins w:id="124" w:author="TSB(RC)" w:date="2024-09-28T11:45:00Z">
        <w:r>
          <w:rPr>
            <w:lang w:val="zh-CN" w:eastAsia="zh-CN"/>
          </w:rPr>
          <w:t>确保互联网资源的公平分配，对发展中国家</w:t>
        </w:r>
        <w:r>
          <w:rPr>
            <w:rFonts w:hint="eastAsia"/>
            <w:lang w:val="en-US" w:eastAsia="zh-CN"/>
          </w:rPr>
          <w:t>尤应如此</w:t>
        </w:r>
        <w:r>
          <w:rPr>
            <w:lang w:val="zh-CN" w:eastAsia="zh-CN"/>
          </w:rPr>
          <w:t>。</w:t>
        </w:r>
      </w:ins>
    </w:p>
    <w:p w14:paraId="0300AFCE" w14:textId="77777777" w:rsidR="009C1736" w:rsidRDefault="009C1736">
      <w:pPr>
        <w:pStyle w:val="Reasons"/>
        <w:rPr>
          <w:lang w:eastAsia="zh-CN"/>
        </w:rPr>
      </w:pPr>
    </w:p>
    <w:sectPr w:rsidR="009C173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4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E7FED" w14:textId="77777777" w:rsidR="00650809" w:rsidRDefault="00650809">
      <w:pPr>
        <w:spacing w:before="0"/>
      </w:pPr>
      <w:r>
        <w:separator/>
      </w:r>
    </w:p>
  </w:endnote>
  <w:endnote w:type="continuationSeparator" w:id="0">
    <w:p w14:paraId="5CDCD081" w14:textId="77777777" w:rsidR="00650809" w:rsidRDefault="0065080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E99B1" w14:textId="77777777" w:rsidR="009C1736" w:rsidRDefault="0065080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27B0F85" w14:textId="6FFB8CB0" w:rsidR="009C1736" w:rsidRDefault="00650809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D77D6">
      <w:rPr>
        <w:noProof/>
      </w:rPr>
      <w:t>30.09.24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B1387" w14:textId="77777777" w:rsidR="009C1736" w:rsidRDefault="009C17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8E049" w14:textId="77777777" w:rsidR="009C1736" w:rsidRDefault="009C1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9E216" w14:textId="77777777" w:rsidR="009C1736" w:rsidRDefault="00650809">
      <w:pPr>
        <w:spacing w:before="0"/>
      </w:pPr>
      <w:r>
        <w:separator/>
      </w:r>
    </w:p>
  </w:footnote>
  <w:footnote w:type="continuationSeparator" w:id="0">
    <w:p w14:paraId="03FC61DE" w14:textId="77777777" w:rsidR="009C1736" w:rsidRDefault="00650809">
      <w:pPr>
        <w:spacing w:before="0"/>
      </w:pPr>
      <w:r>
        <w:continuationSeparator/>
      </w:r>
    </w:p>
  </w:footnote>
  <w:footnote w:id="1">
    <w:p w14:paraId="4DB9E3E4" w14:textId="77777777" w:rsidR="009C1736" w:rsidRDefault="00650809">
      <w:pPr>
        <w:pStyle w:val="FootnoteText"/>
        <w:rPr>
          <w:lang w:eastAsia="zh-CN"/>
        </w:rPr>
      </w:pPr>
      <w:r>
        <w:rPr>
          <w:rStyle w:val="FootnoteReference"/>
          <w:lang w:eastAsia="zh-CN"/>
        </w:rPr>
        <w:t>1</w:t>
      </w:r>
      <w:r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rFonts w:hint="eastAsia"/>
          <w:lang w:eastAsia="zh-CN"/>
        </w:rPr>
        <w:t>其中包括最不发达国家、小岛屿发展中国家、内陆发展中国家和经济转型国家。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BAFF4" w14:textId="77777777" w:rsidR="009C1736" w:rsidRDefault="009C17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CC906" w14:textId="77777777" w:rsidR="009C1736" w:rsidRDefault="0065080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>
      <w:br/>
      <w:t>WTSA-24/36(Add.12)-C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ED779" w14:textId="77777777" w:rsidR="009C1736" w:rsidRDefault="009C17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D27D4"/>
    <w:multiLevelType w:val="multilevel"/>
    <w:tmpl w:val="02CD27D4"/>
    <w:lvl w:ilvl="0">
      <w:start w:val="1"/>
      <w:numFmt w:val="decimal"/>
      <w:pStyle w:val="References"/>
      <w:lvlText w:val="[%1]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4441542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, Kehan">
    <w15:presenceInfo w15:providerId="AD" w15:userId="S::kehan.li@itu.int::0d21bda4-d879-4d20-9016-e42610876afa"/>
  </w15:person>
  <w15:person w15:author="LING-C(KL)">
    <w15:presenceInfo w15:providerId="None" w15:userId="LING-C(KL)"/>
  </w15:person>
  <w15:person w15:author="TSB(RC)">
    <w15:presenceInfo w15:providerId="None" w15:userId="TSB(R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1C6E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D0578"/>
    <w:rsid w:val="000D708A"/>
    <w:rsid w:val="000D77D6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B4124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3994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0241C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4F645D"/>
    <w:rsid w:val="00500E28"/>
    <w:rsid w:val="0050139F"/>
    <w:rsid w:val="00510C3D"/>
    <w:rsid w:val="005134F7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A38F1"/>
    <w:rsid w:val="005B7B2D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0809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1C73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40F52"/>
    <w:rsid w:val="00841526"/>
    <w:rsid w:val="008508D8"/>
    <w:rsid w:val="00850EEE"/>
    <w:rsid w:val="0086377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B0480"/>
    <w:rsid w:val="009B2216"/>
    <w:rsid w:val="009B59BB"/>
    <w:rsid w:val="009B7300"/>
    <w:rsid w:val="009C1736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65463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20486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9514A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16E1C"/>
    <w:rsid w:val="00D201BA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55C6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  <w:rsid w:val="03D70445"/>
    <w:rsid w:val="0C425831"/>
    <w:rsid w:val="0C9A19A3"/>
    <w:rsid w:val="0CC57D93"/>
    <w:rsid w:val="0D75742F"/>
    <w:rsid w:val="3C351FEC"/>
    <w:rsid w:val="4DB510E4"/>
    <w:rsid w:val="4E08155A"/>
    <w:rsid w:val="53DD3143"/>
    <w:rsid w:val="5A7A330C"/>
    <w:rsid w:val="6CB31985"/>
    <w:rsid w:val="7A90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36378"/>
  <w15:docId w15:val="{3B9D329F-40BD-4E8E-A9D1-B6CDE580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index 1" w:unhideWhenUsed="1" w:qFormat="1"/>
    <w:lsdException w:name="index 2" w:unhideWhenUsed="1"/>
    <w:lsdException w:name="index 3" w:unhideWhenUsed="1"/>
    <w:lsdException w:name="index 4" w:unhideWhenUsed="1" w:qFormat="1"/>
    <w:lsdException w:name="index 5" w:unhideWhenUsed="1" w:qFormat="1"/>
    <w:lsdException w:name="index 6" w:unhideWhenUsed="1"/>
    <w:lsdException w:name="index 7" w:unhideWhenUsed="1"/>
    <w:lsdException w:name="index 8" w:unhideWhenUsed="1" w:qFormat="1"/>
    <w:lsdException w:name="index 9" w:unhideWhenUsed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 w:unhideWhenUsed="1"/>
    <w:lsdException w:name="index heading" w:unhideWhenUsed="1"/>
    <w:lsdException w:name="caption" w:unhideWhenUsed="1"/>
    <w:lsdException w:name="table of figures" w:uiPriority="99"/>
    <w:lsdException w:name="envelope address" w:unhideWhenUsed="1"/>
    <w:lsdException w:name="envelope return" w:unhideWhenUsed="1" w:qFormat="1"/>
    <w:lsdException w:name="annotation reference" w:uiPriority="99" w:unhideWhenUsed="1"/>
    <w:lsdException w:name="line number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 w:qFormat="1"/>
    <w:lsdException w:name="List 3" w:unhideWhenUsed="1" w:qFormat="1"/>
    <w:lsdException w:name="List 4" w:unhideWhenUsed="1"/>
    <w:lsdException w:name="List 5" w:unhideWhenUsed="1"/>
    <w:lsdException w:name="List Bullet 2" w:unhideWhenUsed="1"/>
    <w:lsdException w:name="List Bullet 3" w:unhideWhenUsed="1" w:qFormat="1"/>
    <w:lsdException w:name="List Bullet 4" w:unhideWhenUsed="1"/>
    <w:lsdException w:name="List Bullet 5" w:unhideWhenUsed="1"/>
    <w:lsdException w:name="List Number 2" w:unhideWhenUsed="1" w:qFormat="1"/>
    <w:lsdException w:name="List Number 3" w:unhideWhenUsed="1"/>
    <w:lsdException w:name="List Number 4" w:unhideWhenUsed="1"/>
    <w:lsdException w:name="List Number 5" w:unhideWhenUsed="1"/>
    <w:lsdException w:name="Closing" w:unhideWhenUsed="1"/>
    <w:lsdException w:name="Signature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 w:qFormat="1"/>
    <w:lsdException w:name="Message Header" w:unhideWhenUsed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unhideWhenUsed="1"/>
    <w:lsdException w:name="Plain Text" w:unhideWhenUsed="1"/>
    <w:lsdException w:name="E-mail Signature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semiHidden="1" w:unhideWhenUsed="1"/>
    <w:lsdException w:name="HTML Sample" w:unhideWhenUsed="1"/>
    <w:lsdException w:name="HTML Typewriter" w:semiHidden="1" w:unhideWhenUsed="1"/>
    <w:lsdException w:name="HTML Variable" w:unhideWhenUsed="1"/>
    <w:lsdException w:name="Normal Table" w:semiHidden="1" w:uiPriority="99" w:unhideWhenUsed="1"/>
    <w:lsdException w:name="annotation subject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134"/>
        <w:tab w:val="left" w:pos="1701"/>
        <w:tab w:val="left" w:pos="249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eastAsia="ja-JP"/>
    </w:rPr>
  </w:style>
  <w:style w:type="paragraph" w:styleId="List3">
    <w:name w:val="List 3"/>
    <w:basedOn w:val="Normal"/>
    <w:unhideWhenUsed/>
    <w:qFormat/>
    <w:pPr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TOC7">
    <w:name w:val="toc 7"/>
    <w:basedOn w:val="TOC4"/>
  </w:style>
  <w:style w:type="paragraph" w:styleId="TOC4">
    <w:name w:val="toc 4"/>
    <w:basedOn w:val="TOC3"/>
    <w:uiPriority w:val="39"/>
  </w:style>
  <w:style w:type="paragraph" w:styleId="TOC3">
    <w:name w:val="toc 3"/>
    <w:basedOn w:val="TOC2"/>
    <w:uiPriority w:val="39"/>
    <w:pPr>
      <w:ind w:left="2269"/>
    </w:pPr>
  </w:style>
  <w:style w:type="paragraph" w:styleId="TOC2">
    <w:name w:val="toc 2"/>
    <w:basedOn w:val="TOC1"/>
    <w:uiPriority w:val="39"/>
    <w:pPr>
      <w:spacing w:before="80"/>
      <w:ind w:left="1531" w:hanging="851"/>
    </w:pPr>
  </w:style>
  <w:style w:type="paragraph" w:styleId="TOC1">
    <w:name w:val="toc 1"/>
    <w:basedOn w:val="Normal"/>
    <w:uiPriority w:val="39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</w:rPr>
  </w:style>
  <w:style w:type="paragraph" w:styleId="ListNumber2">
    <w:name w:val="List Number 2"/>
    <w:basedOn w:val="Normal"/>
    <w:unhideWhenUsed/>
    <w:qFormat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pPr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paragraph" w:styleId="ListBullet4">
    <w:name w:val="List Bullet 4"/>
    <w:basedOn w:val="Normal"/>
    <w:unhideWhenUsed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qFormat/>
    <w:pPr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qFormat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paragraph" w:styleId="ListNumber">
    <w:name w:val="List Number"/>
    <w:basedOn w:val="Normal"/>
    <w:unhideWhenUsed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NormalIndent">
    <w:name w:val="Normal Indent"/>
    <w:basedOn w:val="Normal"/>
    <w:pPr>
      <w:ind w:left="1134"/>
    </w:pPr>
  </w:style>
  <w:style w:type="paragraph" w:styleId="Caption">
    <w:name w:val="caption"/>
    <w:basedOn w:val="Normal"/>
    <w:next w:val="Normal"/>
    <w:unhideWhenUsed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unhideWhenUsed/>
    <w:qFormat/>
    <w:pPr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pPr>
      <w:framePr w:w="7920" w:h="1980" w:hRule="exact" w:hSpace="180" w:wrap="around" w:hAnchor="page" w:xAlign="center" w:yAlign="bottom"/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pPr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paragraph" w:styleId="TOAHeading">
    <w:name w:val="toa heading"/>
    <w:basedOn w:val="Normal"/>
    <w:next w:val="Normal"/>
    <w:unhideWhenUsed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paragraph" w:styleId="Index6">
    <w:name w:val="index 6"/>
    <w:basedOn w:val="Normal"/>
    <w:next w:val="Normal"/>
    <w:unhideWhenUsed/>
    <w:pPr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paragraph" w:styleId="BodyText3">
    <w:name w:val="Body Text 3"/>
    <w:basedOn w:val="Normal"/>
    <w:link w:val="BodyText3Char"/>
    <w:unhideWhenUsed/>
    <w:pPr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paragraph" w:styleId="Closing">
    <w:name w:val="Closing"/>
    <w:basedOn w:val="Normal"/>
    <w:link w:val="ClosingChar"/>
    <w:unhideWhenUsed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paragraph" w:styleId="ListBullet3">
    <w:name w:val="List Bullet 3"/>
    <w:basedOn w:val="Normal"/>
    <w:unhideWhenUsed/>
    <w:qFormat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pPr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paragraph" w:styleId="BodyTextIndent">
    <w:name w:val="Body Text Indent"/>
    <w:basedOn w:val="Normal"/>
    <w:link w:val="BodyTextIndentChar"/>
    <w:unhideWhenUsed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paragraph" w:styleId="ListNumber3">
    <w:name w:val="List Number 3"/>
    <w:basedOn w:val="Normal"/>
    <w:unhideWhenUsed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qFormat/>
    <w:pPr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pPr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pPr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paragraph" w:styleId="Index4">
    <w:name w:val="index 4"/>
    <w:basedOn w:val="Normal"/>
    <w:next w:val="Normal"/>
    <w:unhideWhenUsed/>
    <w:qFormat/>
    <w:pPr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TOC5">
    <w:name w:val="toc 5"/>
    <w:basedOn w:val="TOC4"/>
  </w:style>
  <w:style w:type="paragraph" w:styleId="PlainText">
    <w:name w:val="Plain Text"/>
    <w:basedOn w:val="Normal"/>
    <w:link w:val="PlainTextChar"/>
    <w:unhideWhenUsed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paragraph" w:styleId="ListBullet5">
    <w:name w:val="List Bullet 5"/>
    <w:basedOn w:val="Normal"/>
    <w:unhideWhenUsed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OC8">
    <w:name w:val="toc 8"/>
    <w:basedOn w:val="TOC4"/>
  </w:style>
  <w:style w:type="paragraph" w:styleId="Index3">
    <w:name w:val="index 3"/>
    <w:basedOn w:val="Normal"/>
    <w:next w:val="Normal"/>
    <w:unhideWhenUsed/>
    <w:pPr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paragraph" w:styleId="BodyTextIndent2">
    <w:name w:val="Body Text Indent 2"/>
    <w:basedOn w:val="Normal"/>
    <w:link w:val="BodyTextIndent2Char"/>
    <w:unhideWhenUsed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paragraph" w:styleId="EndnoteText">
    <w:name w:val="endnote text"/>
    <w:basedOn w:val="Normal"/>
    <w:link w:val="EndnoteTextChar"/>
    <w:unhideWhenUsed/>
    <w:pPr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paragraph" w:styleId="ListContinue5">
    <w:name w:val="List Continue 5"/>
    <w:basedOn w:val="Normal"/>
    <w:unhideWhenUsed/>
    <w:qFormat/>
    <w:pPr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BalloonText">
    <w:name w:val="Balloon Text"/>
    <w:basedOn w:val="Normal"/>
    <w:link w:val="BalloonTextChar"/>
    <w:unhideWhenUsed/>
    <w:pPr>
      <w:spacing w:before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pPr>
      <w:tabs>
        <w:tab w:val="left" w:pos="5954"/>
        <w:tab w:val="right" w:pos="9639"/>
      </w:tabs>
      <w:spacing w:before="0"/>
    </w:pPr>
    <w:rPr>
      <w:caps/>
      <w:sz w:val="16"/>
    </w:rPr>
  </w:style>
  <w:style w:type="paragraph" w:styleId="EnvelopeReturn">
    <w:name w:val="envelope return"/>
    <w:basedOn w:val="Normal"/>
    <w:unhideWhenUsed/>
    <w:qFormat/>
    <w:pPr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styleId="Signature">
    <w:name w:val="Signature"/>
    <w:basedOn w:val="Normal"/>
    <w:link w:val="SignatureChar"/>
    <w:unhideWhenUsed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paragraph" w:styleId="ListContinue4">
    <w:name w:val="List Continue 4"/>
    <w:basedOn w:val="Normal"/>
    <w:unhideWhenUsed/>
    <w:pPr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Heading">
    <w:name w:val="index heading"/>
    <w:basedOn w:val="Normal"/>
    <w:next w:val="Index1"/>
    <w:unhideWhenUsed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qFormat/>
    <w:pPr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Subtitle">
    <w:name w:val="Subtitle"/>
    <w:basedOn w:val="Normal"/>
    <w:next w:val="Normal"/>
    <w:link w:val="SubtitleChar"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nhideWhenUsed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">
    <w:name w:val="List"/>
    <w:basedOn w:val="Normal"/>
    <w:pPr>
      <w:tabs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  <w:rPr>
      <w:sz w:val="20"/>
    </w:rPr>
  </w:style>
  <w:style w:type="paragraph" w:styleId="TOC6">
    <w:name w:val="toc 6"/>
    <w:basedOn w:val="TOC4"/>
  </w:style>
  <w:style w:type="paragraph" w:styleId="List5">
    <w:name w:val="List 5"/>
    <w:basedOn w:val="Normal"/>
    <w:unhideWhenUsed/>
    <w:pPr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paragraph" w:styleId="Index7">
    <w:name w:val="index 7"/>
    <w:basedOn w:val="Normal"/>
    <w:next w:val="Normal"/>
    <w:unhideWhenUsed/>
    <w:pPr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pPr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TableofFigures">
    <w:name w:val="table of figures"/>
    <w:basedOn w:val="Normal"/>
    <w:next w:val="Normal"/>
    <w:uiPriority w:val="99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paragraph" w:styleId="TOC9">
    <w:name w:val="toc 9"/>
    <w:basedOn w:val="Normal"/>
    <w:next w:val="Normal"/>
    <w:autoRedefine/>
    <w:pPr>
      <w:overflowPunct/>
      <w:autoSpaceDE/>
      <w:autoSpaceDN/>
      <w:adjustRightInd/>
      <w:spacing w:before="0"/>
      <w:ind w:left="1920"/>
      <w:textAlignment w:val="auto"/>
    </w:pPr>
    <w:rPr>
      <w:szCs w:val="21"/>
      <w:lang w:eastAsia="ja-JP"/>
    </w:rPr>
  </w:style>
  <w:style w:type="paragraph" w:styleId="BodyText2">
    <w:name w:val="Body Text 2"/>
    <w:basedOn w:val="Normal"/>
    <w:link w:val="BodyText2Char"/>
    <w:unhideWhenUsed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paragraph" w:styleId="List4">
    <w:name w:val="List 4"/>
    <w:basedOn w:val="Normal"/>
    <w:unhideWhenUsed/>
    <w:pPr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pPr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HTMLPreformatted">
    <w:name w:val="HTML Preformatted"/>
    <w:basedOn w:val="Normal"/>
    <w:link w:val="HTMLPreformattedChar"/>
    <w:semiHidden/>
    <w:unhideWhenUsed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paragraph" w:styleId="NormalWeb">
    <w:name w:val="Normal (Web)"/>
    <w:basedOn w:val="Normal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styleId="ListContinue3">
    <w:name w:val="List Continue 3"/>
    <w:basedOn w:val="Normal"/>
    <w:unhideWhenUsed/>
    <w:pPr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pPr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pPr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pPr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paragraph" w:styleId="BodyTextFirstIndent">
    <w:name w:val="Body Text First Indent"/>
    <w:basedOn w:val="BodyText"/>
    <w:link w:val="BodyTextFirstIndentChar"/>
    <w:unhideWhenUsed/>
    <w:pPr>
      <w:spacing w:after="0"/>
      <w:ind w:firstLine="360"/>
    </w:pPr>
  </w:style>
  <w:style w:type="paragraph" w:styleId="BodyTextFirstIndent2">
    <w:name w:val="Body Text First Indent 2"/>
    <w:basedOn w:val="BodyTextIndent"/>
    <w:link w:val="BodyTextFirstIndent2Char"/>
    <w:unhideWhenUsed/>
    <w:pPr>
      <w:spacing w:after="0"/>
      <w:ind w:left="360" w:firstLine="360"/>
    </w:pPr>
  </w:style>
  <w:style w:type="table" w:styleId="TableGrid">
    <w:name w:val="Table Grid"/>
    <w:basedOn w:val="TableNormal"/>
    <w:uiPriority w:val="59"/>
    <w:qFormat/>
    <w:pPr>
      <w:spacing w:before="12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rPr>
      <w:b/>
      <w:bCs/>
    </w:rPr>
  </w:style>
  <w:style w:type="character" w:styleId="EndnoteReference">
    <w:name w:val="endnote reference"/>
    <w:basedOn w:val="DefaultParagraphFont"/>
    <w:rPr>
      <w:vertAlign w:val="superscript"/>
    </w:rPr>
  </w:style>
  <w:style w:type="character" w:styleId="PageNumber">
    <w:name w:val="page number"/>
    <w:rPr>
      <w:rFonts w:cs="Times New Roman"/>
    </w:rPr>
  </w:style>
  <w:style w:type="character" w:styleId="FollowedHyperlink">
    <w:name w:val="FollowedHyperlink"/>
    <w:basedOn w:val="DefaultParagraphFont"/>
    <w:unhideWhenUsed/>
    <w:rPr>
      <w:color w:val="800080" w:themeColor="followedHyperlink"/>
      <w:u w:val="single"/>
    </w:rPr>
  </w:style>
  <w:style w:type="character" w:styleId="Emphasis">
    <w:name w:val="Emphasis"/>
    <w:basedOn w:val="DefaultParagraphFont"/>
    <w:rPr>
      <w:i/>
      <w:iCs/>
    </w:rPr>
  </w:style>
  <w:style w:type="character" w:styleId="LineNumber">
    <w:name w:val="line number"/>
    <w:basedOn w:val="DefaultParagraphFont"/>
    <w:unhideWhenUsed/>
  </w:style>
  <w:style w:type="character" w:styleId="HTMLDefinition">
    <w:name w:val="HTML Definition"/>
    <w:unhideWhenUsed/>
    <w:rPr>
      <w:i/>
      <w:iCs/>
    </w:rPr>
  </w:style>
  <w:style w:type="character" w:styleId="HTMLTypewriter">
    <w:name w:val="HTML Typewriter"/>
    <w:semiHidden/>
    <w:unhideWhenUsed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</w:style>
  <w:style w:type="character" w:styleId="HTMLVariable">
    <w:name w:val="HTML Variable"/>
    <w:unhideWhenUsed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TMLCode">
    <w:name w:val="HTML Code"/>
    <w:unhideWhenUsed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HTMLCite">
    <w:name w:val="HTML Cite"/>
    <w:unhideWhenUsed/>
    <w:rPr>
      <w:i/>
      <w:iCs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character" w:styleId="HTMLKeyboard">
    <w:name w:val="HTML Keyboard"/>
    <w:unhideWhenUsed/>
    <w:rPr>
      <w:rFonts w:ascii="Consolas" w:hAnsi="Consolas"/>
      <w:sz w:val="20"/>
      <w:szCs w:val="20"/>
    </w:rPr>
  </w:style>
  <w:style w:type="character" w:styleId="HTMLSample">
    <w:name w:val="HTML Sample"/>
    <w:unhideWhenUsed/>
    <w:rPr>
      <w:rFonts w:ascii="Consolas" w:hAnsi="Consolas"/>
      <w:sz w:val="24"/>
      <w:szCs w:val="24"/>
    </w:rPr>
  </w:style>
  <w:style w:type="paragraph" w:customStyle="1" w:styleId="Abstract">
    <w:name w:val="Abstract"/>
    <w:basedOn w:val="Normal"/>
    <w:uiPriority w:val="99"/>
    <w:rPr>
      <w:lang w:val="en-US"/>
    </w:rPr>
  </w:style>
  <w:style w:type="paragraph" w:customStyle="1" w:styleId="AnnexNo">
    <w:name w:val="Annex_No"/>
    <w:basedOn w:val="Normal"/>
    <w:next w:val="Normal"/>
    <w:uiPriority w:val="9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</w:style>
  <w:style w:type="paragraph" w:customStyle="1" w:styleId="Agendaitem">
    <w:name w:val="Agenda_item"/>
    <w:basedOn w:val="Normal"/>
    <w:next w:val="Normal"/>
    <w:qFormat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endixref">
    <w:name w:val="Appendix_ref"/>
    <w:basedOn w:val="Annexref"/>
    <w:next w:val="Annextitle"/>
    <w:uiPriority w:val="99"/>
  </w:style>
  <w:style w:type="paragraph" w:customStyle="1" w:styleId="Appendixtitle">
    <w:name w:val="Appendix_title"/>
    <w:basedOn w:val="Annextitle"/>
    <w:next w:val="Normal"/>
    <w:uiPriority w:val="99"/>
  </w:style>
  <w:style w:type="paragraph" w:customStyle="1" w:styleId="Border">
    <w:name w:val="Border"/>
    <w:basedOn w:val="Normal"/>
    <w:uiPriority w:val="99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Normal"/>
    <w:next w:val="Normal"/>
    <w:uiPriority w:val="99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link w:val="enumlev1Char"/>
    <w:qFormat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uiPriority w:val="9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hAnsi="Times New Roman"/>
      <w:caps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Pr>
      <w:b w:val="0"/>
      <w:i/>
    </w:rPr>
  </w:style>
  <w:style w:type="paragraph" w:customStyle="1" w:styleId="Section3">
    <w:name w:val="Section_3"/>
    <w:basedOn w:val="Section1"/>
    <w:uiPriority w:val="99"/>
    <w:rPr>
      <w:b w:val="0"/>
    </w:rPr>
  </w:style>
  <w:style w:type="paragraph" w:customStyle="1" w:styleId="SectionNo">
    <w:name w:val="Section_No"/>
    <w:basedOn w:val="AnnexNo"/>
    <w:next w:val="Normal"/>
    <w:uiPriority w:val="99"/>
  </w:style>
  <w:style w:type="paragraph" w:customStyle="1" w:styleId="Sectiontitle">
    <w:name w:val="Section_title"/>
    <w:basedOn w:val="Annextitle"/>
    <w:next w:val="Normal"/>
    <w:uiPriority w:val="99"/>
  </w:style>
  <w:style w:type="paragraph" w:customStyle="1" w:styleId="Source">
    <w:name w:val="Source"/>
    <w:basedOn w:val="Normal"/>
    <w:next w:val="Normal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pPr>
      <w:tabs>
        <w:tab w:val="left" w:pos="567"/>
        <w:tab w:val="left" w:pos="2268"/>
        <w:tab w:val="left" w:pos="2835"/>
      </w:tabs>
      <w:jc w:val="both"/>
    </w:pPr>
    <w:rPr>
      <w:caps w:val="0"/>
    </w:rPr>
  </w:style>
  <w:style w:type="character" w:customStyle="1" w:styleId="Tablefreq">
    <w:name w:val="Table_freq"/>
    <w:basedOn w:val="DefaultParagraphFont"/>
    <w:rPr>
      <w:b/>
      <w:color w:val="auto"/>
      <w:sz w:val="20"/>
    </w:rPr>
  </w:style>
  <w:style w:type="paragraph" w:customStyle="1" w:styleId="Tablehead">
    <w:name w:val="Table_head"/>
    <w:basedOn w:val="Normal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Pr>
      <w:sz w:val="20"/>
    </w:rPr>
  </w:style>
  <w:style w:type="paragraph" w:customStyle="1" w:styleId="TableNo">
    <w:name w:val="Table_No"/>
    <w:basedOn w:val="Normal"/>
    <w:next w:val="Normal"/>
    <w:uiPriority w:val="9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Pr>
      <w:lang w:val="en-US"/>
    </w:rPr>
  </w:style>
  <w:style w:type="paragraph" w:customStyle="1" w:styleId="Proposal">
    <w:name w:val="Proposal"/>
    <w:basedOn w:val="Normal"/>
    <w:next w:val="Normal"/>
    <w:uiPriority w:val="99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</w:style>
  <w:style w:type="paragraph" w:customStyle="1" w:styleId="Questiondate">
    <w:name w:val="Question_date"/>
    <w:basedOn w:val="Normal"/>
    <w:next w:val="Normal"/>
    <w:uiPriority w:val="99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Title1">
    <w:name w:val="Title 1"/>
    <w:basedOn w:val="Source"/>
    <w:next w:val="Normal"/>
    <w:uiPriority w:val="99"/>
    <w:pPr>
      <w:tabs>
        <w:tab w:val="left" w:pos="567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abletext">
    <w:name w:val="Table_text"/>
    <w:basedOn w:val="Normal"/>
    <w:link w:val="TabletextChar"/>
    <w:pPr>
      <w:tabs>
        <w:tab w:val="left" w:pos="284"/>
        <w:tab w:val="left" w:pos="567"/>
        <w:tab w:val="left" w:pos="85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</w:style>
  <w:style w:type="paragraph" w:customStyle="1" w:styleId="PartNo">
    <w:name w:val="Part_No"/>
    <w:basedOn w:val="AnnexNo"/>
    <w:next w:val="Normal"/>
    <w:uiPriority w:val="99"/>
  </w:style>
  <w:style w:type="paragraph" w:customStyle="1" w:styleId="Partref">
    <w:name w:val="Part_ref"/>
    <w:basedOn w:val="Annexref"/>
    <w:next w:val="Normal"/>
    <w:uiPriority w:val="99"/>
    <w:rPr>
      <w:i/>
    </w:rPr>
  </w:style>
  <w:style w:type="paragraph" w:customStyle="1" w:styleId="Parttitle">
    <w:name w:val="Part_title"/>
    <w:basedOn w:val="Annextitle"/>
    <w:next w:val="Normal"/>
    <w:uiPriority w:val="99"/>
  </w:style>
  <w:style w:type="paragraph" w:customStyle="1" w:styleId="Recdate">
    <w:name w:val="Rec_date"/>
    <w:basedOn w:val="Normal"/>
    <w:next w:val="Normal"/>
    <w:uiPriority w:val="99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opHeader">
    <w:name w:val="TopHeader"/>
    <w:basedOn w:val="Normal"/>
    <w:rPr>
      <w:rFonts w:ascii="Verdana" w:hAnsi="Verdana" w:cs="Times New Roman Bold"/>
      <w:b/>
      <w:bCs/>
      <w:szCs w:val="24"/>
    </w:rPr>
  </w:style>
  <w:style w:type="paragraph" w:customStyle="1" w:styleId="Docnumber">
    <w:name w:val="Docnumber"/>
    <w:basedOn w:val="TopHeader"/>
    <w:link w:val="DocnumberChar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Pr>
      <w:rFonts w:ascii="Verdana" w:hAnsi="Verdana" w:cs="Times New Roman Bold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</w:style>
  <w:style w:type="paragraph" w:customStyle="1" w:styleId="Opinionref">
    <w:name w:val="Opinion_ref"/>
    <w:basedOn w:val="Normal"/>
    <w:next w:val="Normal"/>
    <w:uiPriority w:val="99"/>
    <w:qFormat/>
    <w:pPr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HeadingSummary">
    <w:name w:val="HeadingSummary"/>
    <w:basedOn w:val="Headingb"/>
    <w:qFormat/>
  </w:style>
  <w:style w:type="paragraph" w:customStyle="1" w:styleId="Questionhistory">
    <w:name w:val="Question_history"/>
    <w:basedOn w:val="Normal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</w:style>
  <w:style w:type="paragraph" w:customStyle="1" w:styleId="Arttitle">
    <w:name w:val="Art_title"/>
    <w:basedOn w:val="Normal"/>
    <w:next w:val="Normal"/>
    <w:uiPriority w:val="99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toAnnex">
    <w:name w:val="App_to_Annex"/>
    <w:basedOn w:val="AppendixNo"/>
    <w:next w:val="Normal"/>
    <w:uiPriority w:val="99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Subsection1">
    <w:name w:val="Subsection_1"/>
    <w:basedOn w:val="Section1"/>
    <w:next w:val="Normalaftertitle"/>
    <w:uiPriority w:val="99"/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</w:style>
  <w:style w:type="paragraph" w:customStyle="1" w:styleId="LSForComment">
    <w:name w:val="LSForComment"/>
    <w:basedOn w:val="LSForAction"/>
    <w:uiPriority w:val="99"/>
  </w:style>
  <w:style w:type="paragraph" w:customStyle="1" w:styleId="LSnumber">
    <w:name w:val="LSnumber"/>
    <w:basedOn w:val="Normal"/>
    <w:uiPriority w:val="99"/>
    <w:pPr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pPr>
      <w:keepNext/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CorrectionSeparatorBegin">
    <w:name w:val="Correction Separator Begin"/>
    <w:basedOn w:val="Normal"/>
    <w:pPr>
      <w:keepNext/>
      <w:pBdr>
        <w:bottom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pPr>
      <w:pBdr>
        <w:top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hAnsi="Courier New"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pPr>
      <w:keepLines/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pPr>
      <w:ind w:left="2268" w:hanging="2268"/>
    </w:pPr>
  </w:style>
  <w:style w:type="character" w:customStyle="1" w:styleId="ReftextArial9pt">
    <w:name w:val="Ref_text Arial 9 pt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pPr>
      <w:keepNext/>
      <w:keepLines/>
      <w:spacing w:before="360" w:after="120"/>
      <w:jc w:val="center"/>
    </w:pPr>
    <w:rPr>
      <w:b/>
      <w:lang w:eastAsia="ja-JP"/>
    </w:rPr>
  </w:style>
  <w:style w:type="character" w:customStyle="1" w:styleId="enumlev1Char">
    <w:name w:val="enumlev1 Char"/>
    <w:link w:val="enumlev1"/>
    <w:qFormat/>
    <w:rPr>
      <w:rFonts w:ascii="Times New Roman" w:eastAsia="SimSun" w:hAnsi="Times New Roman"/>
      <w:sz w:val="24"/>
      <w:lang w:val="en-GB" w:eastAsia="en-US"/>
    </w:rPr>
  </w:style>
  <w:style w:type="paragraph" w:customStyle="1" w:styleId="ASN1">
    <w:name w:val="ASN.1"/>
    <w:basedOn w:val="Normal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hAnsi="Times New Roman Bold"/>
      <w:b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pPr>
      <w:keepNext/>
      <w:keepLines/>
      <w:overflowPunct/>
      <w:autoSpaceDE/>
      <w:autoSpaceDN/>
      <w:adjustRightInd/>
      <w:jc w:val="right"/>
      <w:textAlignment w:val="auto"/>
    </w:pPr>
    <w:rPr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Head">
    <w:name w:val="Head"/>
    <w:basedOn w:val="Normal"/>
    <w:uiPriority w:val="99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pPr>
      <w:tabs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b/>
      <w:sz w:val="22"/>
      <w:szCs w:val="24"/>
      <w:lang w:eastAsia="ja-JP"/>
    </w:rPr>
  </w:style>
  <w:style w:type="paragraph" w:customStyle="1" w:styleId="Address">
    <w:name w:val="Address"/>
    <w:basedOn w:val="Normal"/>
    <w:uiPriority w:val="99"/>
    <w:pPr>
      <w:tabs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pPr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pPr>
      <w:tabs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pPr>
      <w:keepNext/>
      <w:overflowPunct/>
      <w:autoSpaceDE/>
      <w:autoSpaceDN/>
      <w:adjustRightInd/>
      <w:textAlignment w:val="auto"/>
    </w:pPr>
    <w:rPr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paragraph" w:customStyle="1" w:styleId="Heading1Centered">
    <w:name w:val="Heading 1 Centered"/>
    <w:basedOn w:val="Heading1"/>
    <w:pPr>
      <w:spacing w:before="360"/>
      <w:ind w:left="0" w:firstLine="0"/>
      <w:jc w:val="center"/>
    </w:pPr>
    <w:rPr>
      <w:bCs/>
      <w:sz w:val="24"/>
    </w:rPr>
  </w:style>
  <w:style w:type="character" w:customStyle="1" w:styleId="TabletextChar">
    <w:name w:val="Table_text Char"/>
    <w:link w:val="Tabletext"/>
    <w:qFormat/>
    <w:locked/>
    <w:rPr>
      <w:rFonts w:ascii="Times New Roman" w:hAnsi="Times New Roman"/>
      <w:sz w:val="22"/>
      <w:lang w:val="en-GB" w:eastAsia="en-US"/>
    </w:rPr>
  </w:style>
  <w:style w:type="paragraph" w:customStyle="1" w:styleId="Revision1">
    <w:name w:val="Revision1"/>
    <w:hidden/>
    <w:uiPriority w:val="99"/>
    <w:semiHidden/>
    <w:rPr>
      <w:rFonts w:ascii="Times New Roman" w:eastAsia="SimSun" w:hAnsi="Times New Roman"/>
      <w:sz w:val="24"/>
      <w:szCs w:val="24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LSTo">
    <w:name w:val="LSTo"/>
    <w:basedOn w:val="Normal"/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pPr>
      <w:widowControl w:val="0"/>
      <w:numPr>
        <w:numId w:val="1"/>
      </w:numPr>
    </w:pPr>
    <w:rPr>
      <w:lang w:eastAsia="zh-CN"/>
    </w:rPr>
  </w:style>
  <w:style w:type="paragraph" w:customStyle="1" w:styleId="NormalITU">
    <w:name w:val="Normal_ITU"/>
    <w:basedOn w:val="Normal"/>
    <w:uiPriority w:val="99"/>
    <w:pPr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</w:style>
  <w:style w:type="character" w:customStyle="1" w:styleId="MacroTextChar">
    <w:name w:val="Macro Text Char"/>
    <w:basedOn w:val="DefaultParagraphFont"/>
    <w:link w:val="MacroText"/>
    <w:qFormat/>
    <w:rPr>
      <w:rFonts w:ascii="Consolas" w:eastAsia="Calibri" w:hAnsi="Consolas"/>
      <w:lang w:val="en-GB" w:eastAsia="ja-JP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Segoe UI" w:eastAsia="Calibri" w:hAnsi="Segoe UI" w:cs="Segoe UI"/>
      <w:sz w:val="16"/>
      <w:szCs w:val="16"/>
      <w:lang w:val="en-GB" w:eastAsia="ja-JP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Calibri" w:hAnsi="Times New Roman"/>
      <w:sz w:val="16"/>
      <w:szCs w:val="16"/>
      <w:lang w:val="en-GB" w:eastAsia="ja-JP"/>
    </w:rPr>
  </w:style>
  <w:style w:type="character" w:customStyle="1" w:styleId="ClosingChar">
    <w:name w:val="Closing Char"/>
    <w:basedOn w:val="DefaultParagraphFont"/>
    <w:link w:val="Closing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character" w:customStyle="1" w:styleId="PlainTextChar">
    <w:name w:val="Plain Text Char"/>
    <w:basedOn w:val="DefaultParagraphFont"/>
    <w:link w:val="PlainText"/>
    <w:rPr>
      <w:rFonts w:ascii="Consolas" w:eastAsia="Calibri" w:hAnsi="Consolas"/>
      <w:sz w:val="21"/>
      <w:szCs w:val="21"/>
      <w:lang w:val="en-GB" w:eastAsia="ja-JP"/>
    </w:rPr>
  </w:style>
  <w:style w:type="character" w:customStyle="1" w:styleId="DateChar">
    <w:name w:val="Date Char"/>
    <w:basedOn w:val="DefaultParagraphFont"/>
    <w:link w:val="Date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eastAsia="Calibri" w:hAnsi="Times New Roman"/>
      <w:szCs w:val="24"/>
      <w:lang w:val="en-GB" w:eastAsia="ja-JP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Calibri" w:hAnsi="Times New Roman"/>
      <w:sz w:val="16"/>
      <w:szCs w:val="16"/>
      <w:lang w:val="en-GB" w:eastAsia="ja-JP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Pr>
      <w:rFonts w:ascii="Consolas" w:eastAsia="Calibri" w:hAnsi="Consolas"/>
      <w:szCs w:val="24"/>
      <w:lang w:val="en-GB" w:eastAsia="ja-JP"/>
    </w:rPr>
  </w:style>
  <w:style w:type="character" w:customStyle="1" w:styleId="TitleChar">
    <w:name w:val="Title Char"/>
    <w:basedOn w:val="DefaultParagraphFont"/>
    <w:link w:val="Title"/>
    <w:qFormat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Calibri" w:hAnsi="Times New Roman"/>
      <w:b/>
      <w:bCs/>
      <w:szCs w:val="24"/>
      <w:lang w:val="en-GB" w:eastAsia="ja-JP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0">
    <w:name w:val="Revision1"/>
    <w:uiPriority w:val="99"/>
    <w:semiHidden/>
    <w:rPr>
      <w:rFonts w:ascii="Times New Roman" w:eastAsia="SimSun" w:hAnsi="Times New Roman"/>
      <w:sz w:val="24"/>
      <w:szCs w:val="24"/>
      <w:lang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pPr>
      <w:keepNext w:val="0"/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Hashtag1">
    <w:name w:val="Hashtag1"/>
    <w:basedOn w:val="DefaultParagraphFont"/>
    <w:uiPriority w:val="99"/>
    <w:semiHidden/>
    <w:unhideWhenUsed/>
    <w:rPr>
      <w:color w:val="2B579A"/>
      <w:shd w:val="clear" w:color="auto" w:fill="E1DFDD"/>
    </w:rPr>
  </w:style>
  <w:style w:type="character" w:customStyle="1" w:styleId="Hashtag10">
    <w:name w:val="Hashtag1"/>
    <w:uiPriority w:val="99"/>
    <w:semiHidden/>
    <w:unhideWhenUsed/>
    <w:qFormat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qFormat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pPr>
      <w:pBdr>
        <w:top w:val="single" w:sz="4" w:space="10" w:color="5B9BD5"/>
        <w:bottom w:val="single" w:sz="4" w:space="10" w:color="5B9BD5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1DFDD"/>
    </w:rPr>
  </w:style>
  <w:style w:type="paragraph" w:styleId="NoSpacing">
    <w:name w:val="No Spacing"/>
    <w:uiPriority w:val="1"/>
    <w:rPr>
      <w:rFonts w:ascii="Times New Roman" w:eastAsia="Calibri" w:hAnsi="Times New Roman"/>
      <w:sz w:val="24"/>
      <w:szCs w:val="24"/>
      <w:lang w:eastAsia="ja-JP"/>
    </w:rPr>
  </w:style>
  <w:style w:type="character" w:customStyle="1" w:styleId="SmartHyperlink1">
    <w:name w:val="Smart Hyperlink1"/>
    <w:uiPriority w:val="99"/>
    <w:semiHidden/>
    <w:unhideWhenUsed/>
    <w:rPr>
      <w:u w:val="dotted"/>
    </w:rPr>
  </w:style>
  <w:style w:type="character" w:customStyle="1" w:styleId="SmartLink1">
    <w:name w:val="SmartLink1"/>
    <w:uiPriority w:val="99"/>
    <w:semiHidden/>
    <w:unhideWhenUsed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Pr>
      <w:color w:val="FF0000"/>
    </w:rPr>
  </w:style>
  <w:style w:type="character" w:customStyle="1" w:styleId="SubtleEmphasis1">
    <w:name w:val="Subtle Emphasis1"/>
    <w:uiPriority w:val="19"/>
    <w:rPr>
      <w:i/>
      <w:iCs/>
      <w:color w:val="404040"/>
    </w:rPr>
  </w:style>
  <w:style w:type="character" w:customStyle="1" w:styleId="SubtleReference1">
    <w:name w:val="Subtle Reference1"/>
    <w:uiPriority w:val="31"/>
    <w:qFormat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pPr>
      <w:tabs>
        <w:tab w:val="left" w:pos="432"/>
      </w:tabs>
      <w:spacing w:before="360"/>
      <w:ind w:left="0" w:firstLine="0"/>
      <w:outlineLvl w:val="9"/>
    </w:pPr>
    <w:rPr>
      <w:rFonts w:ascii="Calibri Light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qFormat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qFormat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Bibliography2">
    <w:name w:val="Bibliography2"/>
    <w:basedOn w:val="Normal"/>
    <w:next w:val="Normal"/>
    <w:uiPriority w:val="37"/>
    <w:semiHidden/>
    <w:unhideWhenUsed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BookTitle1">
    <w:name w:val="Book Title1"/>
    <w:basedOn w:val="DefaultParagraphFont"/>
    <w:uiPriority w:val="33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Pr>
      <w:color w:val="2B579A"/>
      <w:shd w:val="clear" w:color="auto" w:fill="E1DFDD"/>
    </w:rPr>
  </w:style>
  <w:style w:type="character" w:customStyle="1" w:styleId="IntenseEmphasis2">
    <w:name w:val="Intense Emphasis2"/>
    <w:basedOn w:val="DefaultParagraphFont"/>
    <w:uiPriority w:val="21"/>
    <w:rPr>
      <w:i/>
      <w:iCs/>
      <w:color w:val="4F81BD" w:themeColor="accent1"/>
    </w:rPr>
  </w:style>
  <w:style w:type="character" w:customStyle="1" w:styleId="IntenseReference2">
    <w:name w:val="Intense Reference2"/>
    <w:basedOn w:val="DefaultParagraphFont"/>
    <w:uiPriority w:val="32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Pr>
      <w:color w:val="0000FF"/>
      <w:u w:val="single"/>
      <w:shd w:val="clear" w:color="auto" w:fill="F3F2F1"/>
    </w:rPr>
  </w:style>
  <w:style w:type="character" w:customStyle="1" w:styleId="SubtleEmphasis2">
    <w:name w:val="Subtle Emphasis2"/>
    <w:basedOn w:val="DefaultParagraphFont"/>
    <w:uiPriority w:val="19"/>
    <w:rPr>
      <w:i/>
      <w:iCs/>
      <w:color w:val="404040" w:themeColor="text1" w:themeTint="BF"/>
    </w:rPr>
  </w:style>
  <w:style w:type="character" w:customStyle="1" w:styleId="SubtleReference2">
    <w:name w:val="Subtle Reference2"/>
    <w:basedOn w:val="DefaultParagraphFont"/>
    <w:uiPriority w:val="31"/>
    <w:rPr>
      <w:smallCaps/>
      <w:color w:val="595959" w:themeColor="text1" w:themeTint="A6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pPr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customStyle="1" w:styleId="Mention4">
    <w:name w:val="Mention4"/>
    <w:basedOn w:val="DefaultParagraphFont"/>
    <w:uiPriority w:val="99"/>
    <w:semiHidden/>
    <w:unhideWhenUsed/>
    <w:rPr>
      <w:color w:val="2B579A"/>
      <w:shd w:val="clear" w:color="auto" w:fill="E1DFDD"/>
    </w:rPr>
  </w:style>
  <w:style w:type="character" w:customStyle="1" w:styleId="SmartHyperlink4">
    <w:name w:val="Smart Hyperlink4"/>
    <w:basedOn w:val="DefaultParagraphFont"/>
    <w:uiPriority w:val="99"/>
    <w:semiHidden/>
    <w:unhideWhenUsed/>
    <w:rPr>
      <w:u w:val="dotted"/>
    </w:rPr>
  </w:style>
  <w:style w:type="character" w:customStyle="1" w:styleId="SmartLink4">
    <w:name w:val="SmartLink4"/>
    <w:basedOn w:val="DefaultParagraphFont"/>
    <w:uiPriority w:val="99"/>
    <w:semiHidden/>
    <w:unhideWhenUsed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</w:style>
  <w:style w:type="character" w:customStyle="1" w:styleId="href">
    <w:name w:val="href"/>
    <w:basedOn w:val="DefaultParagraphFont"/>
    <w:qFormat/>
  </w:style>
  <w:style w:type="character" w:customStyle="1" w:styleId="Italic">
    <w:name w:val="Italic"/>
    <w:rPr>
      <w:rFonts w:eastAsia="STKaiti"/>
      <w:lang w:val="fr-FR"/>
    </w:rPr>
  </w:style>
  <w:style w:type="paragraph" w:customStyle="1" w:styleId="Normalnoindent">
    <w:name w:val="Normal no indent"/>
    <w:basedOn w:val="Normal"/>
  </w:style>
  <w:style w:type="paragraph" w:styleId="Revision">
    <w:name w:val="Revision"/>
    <w:hidden/>
    <w:uiPriority w:val="99"/>
    <w:unhideWhenUsed/>
    <w:rsid w:val="001B4124"/>
    <w:rPr>
      <w:rFonts w:ascii="Times New Roman" w:eastAsia="SimSu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o.bouremad@mpt.gov.dz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.snedj@mpt.gov.d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4424674d-bd76-42c9-952b-4002830ec3eb">DPM</DPM_x0020_Author>
    <DPM_x0020_File_x0020_name xmlns="4424674d-bd76-42c9-952b-4002830ec3eb">T22-WTSA.24-C-0036!A12!MSW-C</DPM_x0020_File_x0020_name>
    <DPM_x0020_Version xmlns="4424674d-bd76-42c9-952b-4002830ec3eb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4424674d-bd76-42c9-952b-4002830ec3eb" targetNamespace="http://schemas.microsoft.com/office/2006/metadata/properties" ma:root="true" ma:fieldsID="d41af5c836d734370eb92e7ee5f83852" ns2:_="" ns3:_="">
    <xsd:import namespace="996b2e75-67fd-4955-a3b0-5ab9934cb50b"/>
    <xsd:import namespace="4424674d-bd76-42c9-952b-4002830ec3e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4674d-bd76-42c9-952b-4002830ec3e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/>
</ds:datastoreItem>
</file>

<file path=customXml/itemProps2.xml><?xml version="1.0" encoding="utf-8"?>
<ds:datastoreItem xmlns:ds="http://schemas.openxmlformats.org/officeDocument/2006/customXml" ds:itemID="{0AF829E2-78C4-4AE9-B0CB-2D4C96A037AB}">
  <ds:schemaRefs/>
</ds:datastoreItem>
</file>

<file path=customXml/itemProps3.xml><?xml version="1.0" encoding="utf-8"?>
<ds:datastoreItem xmlns:ds="http://schemas.openxmlformats.org/officeDocument/2006/customXml" ds:itemID="{B21B1F41-FCAB-4F2A-81E2-D384F50A6647}">
  <ds:schemaRefs/>
</ds:datastoreItem>
</file>

<file path=customXml/itemProps4.xml><?xml version="1.0" encoding="utf-8"?>
<ds:datastoreItem xmlns:ds="http://schemas.openxmlformats.org/officeDocument/2006/customXml" ds:itemID="{5CA035DF-A293-4EC3-AD58-DEFBB131D29E}">
  <ds:schemaRefs/>
</ds:datastoreItem>
</file>

<file path=customXml/itemProps5.xml><?xml version="1.0" encoding="utf-8"?>
<ds:datastoreItem xmlns:ds="http://schemas.openxmlformats.org/officeDocument/2006/customXml" ds:itemID="{C93E26ED-57A6-443A-A4F1-CD976F7233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3080</Words>
  <Characters>818</Characters>
  <Application>Microsoft Office Word</Application>
  <DocSecurity>0</DocSecurity>
  <Lines>6</Lines>
  <Paragraphs>7</Paragraphs>
  <ScaleCrop>false</ScaleCrop>
  <Manager>General Secretariat - Pool</Manager>
  <Company>International Telecommunication Union (ITU)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T22-WTSA.24-C-0036!A12!MSW-C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LING-C(KL)</cp:lastModifiedBy>
  <cp:revision>5</cp:revision>
  <cp:lastPrinted>2016-06-06T07:49:00Z</cp:lastPrinted>
  <dcterms:created xsi:type="dcterms:W3CDTF">2024-09-30T09:33:00Z</dcterms:created>
  <dcterms:modified xsi:type="dcterms:W3CDTF">2024-09-30T09:56:00Z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  <property fmtid="{D5CDD505-2E9C-101B-9397-08002B2CF9AE}" pid="11" name="KSOProductBuildVer">
    <vt:lpwstr>2052-12.1.0.17857</vt:lpwstr>
  </property>
  <property fmtid="{D5CDD505-2E9C-101B-9397-08002B2CF9AE}" pid="12" name="ICV">
    <vt:lpwstr>71773F1B2FBC4D6CA1F3C555F45A4A77_12</vt:lpwstr>
  </property>
</Properties>
</file>