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A19FB" w14:paraId="692DBFCD" w14:textId="77777777" w:rsidTr="00267BFB">
        <w:trPr>
          <w:cantSplit/>
          <w:trHeight w:val="1132"/>
        </w:trPr>
        <w:tc>
          <w:tcPr>
            <w:tcW w:w="1290" w:type="dxa"/>
            <w:vAlign w:val="center"/>
          </w:tcPr>
          <w:p w14:paraId="16B45145" w14:textId="77777777" w:rsidR="00D2023F" w:rsidRPr="00BA19FB" w:rsidRDefault="0018215C" w:rsidP="002765DF">
            <w:pPr>
              <w:spacing w:before="0"/>
              <w:rPr>
                <w:lang w:val="fr-FR"/>
              </w:rPr>
            </w:pPr>
            <w:r w:rsidRPr="00BA19FB">
              <w:rPr>
                <w:lang w:val="fr-FR"/>
              </w:rPr>
              <w:drawing>
                <wp:inline distT="0" distB="0" distL="0" distR="0" wp14:anchorId="21EB39F8" wp14:editId="581BB51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E9E8AE0" w14:textId="77777777" w:rsidR="00D2023F" w:rsidRPr="00BA19FB" w:rsidRDefault="006F0DB7" w:rsidP="002765DF">
            <w:pPr>
              <w:pStyle w:val="TopHeader"/>
              <w:rPr>
                <w:lang w:val="fr-FR"/>
              </w:rPr>
            </w:pPr>
            <w:r w:rsidRPr="00BA19FB">
              <w:rPr>
                <w:lang w:val="fr-FR"/>
              </w:rPr>
              <w:t>Assemblée mondiale de normalisation des télécommunications (AMNT-24)</w:t>
            </w:r>
            <w:r w:rsidRPr="00BA19FB">
              <w:rPr>
                <w:sz w:val="26"/>
                <w:szCs w:val="26"/>
                <w:lang w:val="fr-FR"/>
              </w:rPr>
              <w:br/>
            </w:r>
            <w:r w:rsidRPr="00BA19FB">
              <w:rPr>
                <w:sz w:val="18"/>
                <w:szCs w:val="18"/>
                <w:lang w:val="fr-FR"/>
              </w:rPr>
              <w:t>New Delhi, 15</w:t>
            </w:r>
            <w:r w:rsidR="00BC053B" w:rsidRPr="00BA19FB">
              <w:rPr>
                <w:sz w:val="18"/>
                <w:szCs w:val="18"/>
                <w:lang w:val="fr-FR"/>
              </w:rPr>
              <w:t>-</w:t>
            </w:r>
            <w:r w:rsidRPr="00BA19FB">
              <w:rPr>
                <w:sz w:val="18"/>
                <w:szCs w:val="18"/>
                <w:lang w:val="fr-FR"/>
              </w:rPr>
              <w:t>24 octobre 2024</w:t>
            </w:r>
          </w:p>
        </w:tc>
        <w:tc>
          <w:tcPr>
            <w:tcW w:w="1306" w:type="dxa"/>
            <w:tcBorders>
              <w:left w:val="nil"/>
            </w:tcBorders>
            <w:vAlign w:val="center"/>
          </w:tcPr>
          <w:p w14:paraId="43427FCD" w14:textId="77777777" w:rsidR="00D2023F" w:rsidRPr="00BA19FB" w:rsidRDefault="00D2023F" w:rsidP="002765DF">
            <w:pPr>
              <w:spacing w:before="0"/>
              <w:rPr>
                <w:lang w:val="fr-FR"/>
              </w:rPr>
            </w:pPr>
            <w:r w:rsidRPr="00BA19FB">
              <w:rPr>
                <w:lang w:val="fr-FR" w:eastAsia="zh-CN"/>
              </w:rPr>
              <w:drawing>
                <wp:inline distT="0" distB="0" distL="0" distR="0" wp14:anchorId="39FE7128" wp14:editId="7147E63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A19FB" w14:paraId="4EC5E161" w14:textId="77777777" w:rsidTr="00267BFB">
        <w:trPr>
          <w:cantSplit/>
        </w:trPr>
        <w:tc>
          <w:tcPr>
            <w:tcW w:w="9811" w:type="dxa"/>
            <w:gridSpan w:val="4"/>
            <w:tcBorders>
              <w:bottom w:val="single" w:sz="12" w:space="0" w:color="auto"/>
            </w:tcBorders>
          </w:tcPr>
          <w:p w14:paraId="1B23FDA2" w14:textId="77777777" w:rsidR="00D2023F" w:rsidRPr="00BA19FB" w:rsidRDefault="00D2023F" w:rsidP="002765DF">
            <w:pPr>
              <w:spacing w:before="0"/>
              <w:rPr>
                <w:lang w:val="fr-FR"/>
              </w:rPr>
            </w:pPr>
          </w:p>
        </w:tc>
      </w:tr>
      <w:tr w:rsidR="00931298" w:rsidRPr="00BA19FB" w14:paraId="722026F7" w14:textId="77777777" w:rsidTr="00267BFB">
        <w:trPr>
          <w:cantSplit/>
        </w:trPr>
        <w:tc>
          <w:tcPr>
            <w:tcW w:w="6237" w:type="dxa"/>
            <w:gridSpan w:val="2"/>
            <w:tcBorders>
              <w:top w:val="single" w:sz="12" w:space="0" w:color="auto"/>
            </w:tcBorders>
          </w:tcPr>
          <w:p w14:paraId="1864228D" w14:textId="77777777" w:rsidR="00931298" w:rsidRPr="00BA19FB" w:rsidRDefault="00931298" w:rsidP="002765DF">
            <w:pPr>
              <w:spacing w:before="0"/>
              <w:rPr>
                <w:lang w:val="fr-FR"/>
              </w:rPr>
            </w:pPr>
          </w:p>
        </w:tc>
        <w:tc>
          <w:tcPr>
            <w:tcW w:w="3574" w:type="dxa"/>
            <w:gridSpan w:val="2"/>
          </w:tcPr>
          <w:p w14:paraId="548E4CAB" w14:textId="77777777" w:rsidR="00931298" w:rsidRPr="00BA19FB" w:rsidRDefault="00931298" w:rsidP="002765DF">
            <w:pPr>
              <w:spacing w:before="0"/>
              <w:rPr>
                <w:sz w:val="20"/>
                <w:szCs w:val="16"/>
                <w:lang w:val="fr-FR"/>
              </w:rPr>
            </w:pPr>
          </w:p>
        </w:tc>
      </w:tr>
      <w:tr w:rsidR="00752D4D" w:rsidRPr="00BA19FB" w14:paraId="3065D74E" w14:textId="77777777" w:rsidTr="00267BFB">
        <w:trPr>
          <w:cantSplit/>
        </w:trPr>
        <w:tc>
          <w:tcPr>
            <w:tcW w:w="6237" w:type="dxa"/>
            <w:gridSpan w:val="2"/>
          </w:tcPr>
          <w:p w14:paraId="5683D2AE" w14:textId="77777777" w:rsidR="00752D4D" w:rsidRPr="00BA19FB" w:rsidRDefault="007F4179" w:rsidP="002765DF">
            <w:pPr>
              <w:pStyle w:val="Committee"/>
              <w:spacing w:line="240" w:lineRule="auto"/>
              <w:rPr>
                <w:lang w:val="fr-FR"/>
              </w:rPr>
            </w:pPr>
            <w:r w:rsidRPr="00BA19FB">
              <w:rPr>
                <w:lang w:val="fr-FR"/>
              </w:rPr>
              <w:t>SÉANCE PLÉNIÈRE</w:t>
            </w:r>
          </w:p>
        </w:tc>
        <w:tc>
          <w:tcPr>
            <w:tcW w:w="3574" w:type="dxa"/>
            <w:gridSpan w:val="2"/>
          </w:tcPr>
          <w:p w14:paraId="1A364E48" w14:textId="1257CD37" w:rsidR="00752D4D" w:rsidRPr="00BA19FB" w:rsidRDefault="007F4179" w:rsidP="002765DF">
            <w:pPr>
              <w:pStyle w:val="Docnumber"/>
              <w:rPr>
                <w:lang w:val="fr-FR"/>
              </w:rPr>
            </w:pPr>
            <w:r w:rsidRPr="00BA19FB">
              <w:rPr>
                <w:lang w:val="fr-FR"/>
              </w:rPr>
              <w:t>Addendum 37 au</w:t>
            </w:r>
            <w:r w:rsidRPr="00BA19FB">
              <w:rPr>
                <w:lang w:val="fr-FR"/>
              </w:rPr>
              <w:br/>
              <w:t>Document 35</w:t>
            </w:r>
            <w:r w:rsidR="00381ADB" w:rsidRPr="00BA19FB">
              <w:rPr>
                <w:lang w:val="fr-FR"/>
              </w:rPr>
              <w:t>-F</w:t>
            </w:r>
          </w:p>
        </w:tc>
      </w:tr>
      <w:tr w:rsidR="00931298" w:rsidRPr="00BA19FB" w14:paraId="7DA247B2" w14:textId="77777777" w:rsidTr="00267BFB">
        <w:trPr>
          <w:cantSplit/>
        </w:trPr>
        <w:tc>
          <w:tcPr>
            <w:tcW w:w="6237" w:type="dxa"/>
            <w:gridSpan w:val="2"/>
          </w:tcPr>
          <w:p w14:paraId="4E019930" w14:textId="77777777" w:rsidR="00931298" w:rsidRPr="00BA19FB" w:rsidRDefault="00931298" w:rsidP="002765DF">
            <w:pPr>
              <w:spacing w:before="0"/>
              <w:rPr>
                <w:lang w:val="fr-FR"/>
              </w:rPr>
            </w:pPr>
          </w:p>
        </w:tc>
        <w:tc>
          <w:tcPr>
            <w:tcW w:w="3574" w:type="dxa"/>
            <w:gridSpan w:val="2"/>
          </w:tcPr>
          <w:p w14:paraId="2E5E95B7" w14:textId="77777777" w:rsidR="00931298" w:rsidRPr="00BA19FB" w:rsidRDefault="007F4179" w:rsidP="002765DF">
            <w:pPr>
              <w:pStyle w:val="TopHeader"/>
              <w:spacing w:before="0"/>
              <w:rPr>
                <w:sz w:val="20"/>
                <w:szCs w:val="20"/>
                <w:lang w:val="fr-FR"/>
              </w:rPr>
            </w:pPr>
            <w:r w:rsidRPr="00BA19FB">
              <w:rPr>
                <w:sz w:val="20"/>
                <w:szCs w:val="16"/>
                <w:lang w:val="fr-FR"/>
              </w:rPr>
              <w:t>13 septembre 2024</w:t>
            </w:r>
          </w:p>
        </w:tc>
      </w:tr>
      <w:tr w:rsidR="00931298" w:rsidRPr="00BA19FB" w14:paraId="3BDB1AA3" w14:textId="77777777" w:rsidTr="00267BFB">
        <w:trPr>
          <w:cantSplit/>
        </w:trPr>
        <w:tc>
          <w:tcPr>
            <w:tcW w:w="6237" w:type="dxa"/>
            <w:gridSpan w:val="2"/>
          </w:tcPr>
          <w:p w14:paraId="55A57D09" w14:textId="77777777" w:rsidR="00931298" w:rsidRPr="00BA19FB" w:rsidRDefault="00931298" w:rsidP="002765DF">
            <w:pPr>
              <w:spacing w:before="0"/>
              <w:rPr>
                <w:lang w:val="fr-FR"/>
              </w:rPr>
            </w:pPr>
          </w:p>
        </w:tc>
        <w:tc>
          <w:tcPr>
            <w:tcW w:w="3574" w:type="dxa"/>
            <w:gridSpan w:val="2"/>
          </w:tcPr>
          <w:p w14:paraId="48BAA866" w14:textId="77777777" w:rsidR="00931298" w:rsidRPr="00BA19FB" w:rsidRDefault="007F4179" w:rsidP="002765DF">
            <w:pPr>
              <w:pStyle w:val="TopHeader"/>
              <w:spacing w:before="0"/>
              <w:rPr>
                <w:sz w:val="20"/>
                <w:szCs w:val="20"/>
                <w:lang w:val="fr-FR"/>
              </w:rPr>
            </w:pPr>
            <w:r w:rsidRPr="00BA19FB">
              <w:rPr>
                <w:sz w:val="20"/>
                <w:szCs w:val="16"/>
                <w:lang w:val="fr-FR"/>
              </w:rPr>
              <w:t>Original: anglais</w:t>
            </w:r>
          </w:p>
        </w:tc>
      </w:tr>
      <w:tr w:rsidR="00931298" w:rsidRPr="00BA19FB" w14:paraId="23BF8967" w14:textId="77777777" w:rsidTr="00267BFB">
        <w:trPr>
          <w:cantSplit/>
        </w:trPr>
        <w:tc>
          <w:tcPr>
            <w:tcW w:w="9811" w:type="dxa"/>
            <w:gridSpan w:val="4"/>
          </w:tcPr>
          <w:p w14:paraId="5F99A0ED" w14:textId="77777777" w:rsidR="00931298" w:rsidRPr="00BA19FB" w:rsidRDefault="00931298" w:rsidP="002765DF">
            <w:pPr>
              <w:spacing w:before="0"/>
              <w:rPr>
                <w:sz w:val="20"/>
                <w:szCs w:val="16"/>
                <w:lang w:val="fr-FR"/>
              </w:rPr>
            </w:pPr>
          </w:p>
        </w:tc>
      </w:tr>
      <w:tr w:rsidR="007F4179" w:rsidRPr="00BA19FB" w14:paraId="554DE795" w14:textId="77777777" w:rsidTr="00267BFB">
        <w:trPr>
          <w:cantSplit/>
        </w:trPr>
        <w:tc>
          <w:tcPr>
            <w:tcW w:w="9811" w:type="dxa"/>
            <w:gridSpan w:val="4"/>
          </w:tcPr>
          <w:p w14:paraId="0606FE14" w14:textId="4D6861C4" w:rsidR="007F4179" w:rsidRPr="00BA19FB" w:rsidRDefault="007F4179" w:rsidP="002765DF">
            <w:pPr>
              <w:pStyle w:val="Source"/>
              <w:rPr>
                <w:lang w:val="fr-FR"/>
              </w:rPr>
            </w:pPr>
            <w:r w:rsidRPr="00BA19FB">
              <w:rPr>
                <w:lang w:val="fr-FR"/>
              </w:rPr>
              <w:t xml:space="preserve">Administrations des pays membres de </w:t>
            </w:r>
            <w:r w:rsidR="00381ADB" w:rsidRPr="00BA19FB">
              <w:rPr>
                <w:lang w:val="fr-FR"/>
              </w:rPr>
              <w:br/>
            </w:r>
            <w:r w:rsidRPr="00BA19FB">
              <w:rPr>
                <w:lang w:val="fr-FR"/>
              </w:rPr>
              <w:t>l'Union africaine des télécommunications</w:t>
            </w:r>
          </w:p>
        </w:tc>
      </w:tr>
      <w:tr w:rsidR="007F4179" w:rsidRPr="00BA19FB" w14:paraId="07766718" w14:textId="77777777" w:rsidTr="00267BFB">
        <w:trPr>
          <w:cantSplit/>
        </w:trPr>
        <w:tc>
          <w:tcPr>
            <w:tcW w:w="9811" w:type="dxa"/>
            <w:gridSpan w:val="4"/>
          </w:tcPr>
          <w:p w14:paraId="28BA2050" w14:textId="7E39AA77" w:rsidR="007F4179" w:rsidRPr="00BA19FB" w:rsidRDefault="00381ADB" w:rsidP="002765DF">
            <w:pPr>
              <w:pStyle w:val="Title1"/>
              <w:rPr>
                <w:lang w:val="fr-FR"/>
              </w:rPr>
            </w:pPr>
            <w:r w:rsidRPr="00BA19FB">
              <w:rPr>
                <w:lang w:val="fr-FR"/>
              </w:rPr>
              <w:t>Projet de nouvelle résolution</w:t>
            </w:r>
            <w:r w:rsidR="007F4179" w:rsidRPr="00BA19FB">
              <w:rPr>
                <w:lang w:val="fr-FR"/>
              </w:rPr>
              <w:t xml:space="preserve"> [MV-ATU] </w:t>
            </w:r>
            <w:r w:rsidRPr="00BA19FB">
              <w:rPr>
                <w:lang w:val="fr-FR"/>
              </w:rPr>
              <w:t>–</w:t>
            </w:r>
            <w:r w:rsidR="007F4179" w:rsidRPr="00BA19FB">
              <w:rPr>
                <w:lang w:val="fr-FR"/>
              </w:rPr>
              <w:t xml:space="preserve"> M</w:t>
            </w:r>
            <w:r w:rsidRPr="00BA19FB">
              <w:rPr>
                <w:lang w:val="fr-FR"/>
              </w:rPr>
              <w:t>é</w:t>
            </w:r>
            <w:r w:rsidR="007F4179" w:rsidRPr="00BA19FB">
              <w:rPr>
                <w:lang w:val="fr-FR"/>
              </w:rPr>
              <w:t>tavers</w:t>
            </w:r>
          </w:p>
        </w:tc>
      </w:tr>
      <w:tr w:rsidR="00657CDA" w:rsidRPr="00BA19FB" w14:paraId="7CF02C50" w14:textId="77777777" w:rsidTr="00267BFB">
        <w:trPr>
          <w:cantSplit/>
          <w:trHeight w:hRule="exact" w:val="240"/>
        </w:trPr>
        <w:tc>
          <w:tcPr>
            <w:tcW w:w="9811" w:type="dxa"/>
            <w:gridSpan w:val="4"/>
          </w:tcPr>
          <w:p w14:paraId="645DC8E0" w14:textId="77777777" w:rsidR="00657CDA" w:rsidRPr="00BA19FB" w:rsidRDefault="00657CDA" w:rsidP="002765DF">
            <w:pPr>
              <w:pStyle w:val="Title2"/>
              <w:spacing w:before="0"/>
              <w:rPr>
                <w:lang w:val="fr-FR"/>
              </w:rPr>
            </w:pPr>
          </w:p>
        </w:tc>
      </w:tr>
      <w:tr w:rsidR="00657CDA" w:rsidRPr="00BA19FB" w14:paraId="63B0CF81" w14:textId="77777777" w:rsidTr="00267BFB">
        <w:trPr>
          <w:cantSplit/>
          <w:trHeight w:hRule="exact" w:val="240"/>
        </w:trPr>
        <w:tc>
          <w:tcPr>
            <w:tcW w:w="9811" w:type="dxa"/>
            <w:gridSpan w:val="4"/>
          </w:tcPr>
          <w:p w14:paraId="24E0EB55" w14:textId="77777777" w:rsidR="00657CDA" w:rsidRPr="00BA19FB" w:rsidRDefault="00657CDA" w:rsidP="002765DF">
            <w:pPr>
              <w:pStyle w:val="Agendaitem"/>
              <w:spacing w:before="0"/>
              <w:rPr>
                <w:lang w:val="fr-FR"/>
              </w:rPr>
            </w:pPr>
          </w:p>
        </w:tc>
      </w:tr>
    </w:tbl>
    <w:p w14:paraId="1115677A" w14:textId="77777777" w:rsidR="00931298" w:rsidRPr="00BA19FB" w:rsidRDefault="00931298" w:rsidP="002765DF">
      <w:pPr>
        <w:rPr>
          <w:lang w:val="fr-FR"/>
        </w:rPr>
      </w:pPr>
    </w:p>
    <w:tbl>
      <w:tblPr>
        <w:tblW w:w="5000" w:type="pct"/>
        <w:tblLayout w:type="fixed"/>
        <w:tblLook w:val="0000" w:firstRow="0" w:lastRow="0" w:firstColumn="0" w:lastColumn="0" w:noHBand="0" w:noVBand="0"/>
      </w:tblPr>
      <w:tblGrid>
        <w:gridCol w:w="1885"/>
        <w:gridCol w:w="3877"/>
        <w:gridCol w:w="3877"/>
      </w:tblGrid>
      <w:tr w:rsidR="009A4EAC" w:rsidRPr="00BA19FB" w14:paraId="553CE3E1" w14:textId="77777777" w:rsidTr="009A4EAC">
        <w:trPr>
          <w:cantSplit/>
        </w:trPr>
        <w:tc>
          <w:tcPr>
            <w:tcW w:w="1885" w:type="dxa"/>
          </w:tcPr>
          <w:p w14:paraId="7D2F5E1A" w14:textId="77777777" w:rsidR="009A4EAC" w:rsidRPr="00BA19FB" w:rsidRDefault="009A4EAC" w:rsidP="002765DF">
            <w:pPr>
              <w:rPr>
                <w:lang w:val="fr-FR"/>
              </w:rPr>
            </w:pPr>
            <w:r w:rsidRPr="00BA19FB">
              <w:rPr>
                <w:b/>
                <w:bCs/>
                <w:lang w:val="fr-FR"/>
              </w:rPr>
              <w:t>Résumé:</w:t>
            </w:r>
          </w:p>
        </w:tc>
        <w:tc>
          <w:tcPr>
            <w:tcW w:w="7754" w:type="dxa"/>
            <w:gridSpan w:val="2"/>
          </w:tcPr>
          <w:p w14:paraId="1D3A00C9" w14:textId="1034104E" w:rsidR="009A4EAC" w:rsidRPr="00BA19FB" w:rsidRDefault="009A4EAC" w:rsidP="002765DF">
            <w:pPr>
              <w:pStyle w:val="Abstract"/>
              <w:rPr>
                <w:lang w:val="fr-FR"/>
              </w:rPr>
            </w:pPr>
            <w:r w:rsidRPr="00BA19FB">
              <w:rPr>
                <w:rFonts w:cs="Arabic Transparent"/>
                <w:bCs/>
                <w:szCs w:val="24"/>
                <w:lang w:val="fr-FR"/>
              </w:rPr>
              <w:t xml:space="preserve">La présente contribution contient une proposition de nouvelle résolution visant à </w:t>
            </w:r>
            <w:r w:rsidR="00662579" w:rsidRPr="00BA19FB">
              <w:rPr>
                <w:bCs/>
                <w:lang w:val="fr-FR"/>
              </w:rPr>
              <w:t>définir</w:t>
            </w:r>
            <w:r w:rsidRPr="00BA19FB">
              <w:rPr>
                <w:bCs/>
                <w:lang w:val="fr-FR"/>
              </w:rPr>
              <w:t xml:space="preserve"> un cadre technique</w:t>
            </w:r>
            <w:r w:rsidR="00662579" w:rsidRPr="00BA19FB">
              <w:rPr>
                <w:bCs/>
                <w:lang w:val="fr-FR"/>
              </w:rPr>
              <w:t>/</w:t>
            </w:r>
            <w:r w:rsidRPr="00BA19FB">
              <w:rPr>
                <w:bCs/>
                <w:lang w:val="fr-FR"/>
              </w:rPr>
              <w:t xml:space="preserve">de gouvernance global pour le métavers qui garantisse </w:t>
            </w:r>
            <w:r w:rsidR="00662579" w:rsidRPr="00BA19FB">
              <w:rPr>
                <w:bCs/>
                <w:lang w:val="fr-FR"/>
              </w:rPr>
              <w:t>le</w:t>
            </w:r>
            <w:r w:rsidRPr="00BA19FB">
              <w:rPr>
                <w:bCs/>
                <w:lang w:val="fr-FR"/>
              </w:rPr>
              <w:t xml:space="preserve"> développement responsable</w:t>
            </w:r>
            <w:r w:rsidR="00662579" w:rsidRPr="00BA19FB">
              <w:rPr>
                <w:bCs/>
                <w:lang w:val="fr-FR"/>
              </w:rPr>
              <w:t xml:space="preserve"> de cette technologie</w:t>
            </w:r>
            <w:r w:rsidRPr="00BA19FB">
              <w:rPr>
                <w:bCs/>
                <w:lang w:val="fr-FR"/>
              </w:rPr>
              <w:t xml:space="preserve">, accorde la priorité aux droits et à la sécurité des utilisateurs et favorise la collaboration internationale afin d'éviter la fragmentation et d'optimiser </w:t>
            </w:r>
            <w:r w:rsidR="006E2F6C" w:rsidRPr="00BA19FB">
              <w:rPr>
                <w:bCs/>
                <w:lang w:val="fr-FR"/>
              </w:rPr>
              <w:t>les avantages offerts</w:t>
            </w:r>
            <w:r w:rsidR="00662579" w:rsidRPr="00BA19FB">
              <w:rPr>
                <w:bCs/>
                <w:lang w:val="fr-FR"/>
              </w:rPr>
              <w:t xml:space="preserve"> à tous les pays, qu'il s'agisse de </w:t>
            </w:r>
            <w:r w:rsidRPr="00BA19FB">
              <w:rPr>
                <w:bCs/>
                <w:lang w:val="fr-FR"/>
              </w:rPr>
              <w:t xml:space="preserve">pays développés ou </w:t>
            </w:r>
            <w:r w:rsidR="00662579" w:rsidRPr="00BA19FB">
              <w:rPr>
                <w:bCs/>
                <w:lang w:val="fr-FR"/>
              </w:rPr>
              <w:t xml:space="preserve">de pays </w:t>
            </w:r>
            <w:r w:rsidRPr="00BA19FB">
              <w:rPr>
                <w:bCs/>
                <w:lang w:val="fr-FR"/>
              </w:rPr>
              <w:t>en développement.</w:t>
            </w:r>
          </w:p>
        </w:tc>
      </w:tr>
      <w:tr w:rsidR="009A4EAC" w:rsidRPr="00BA19FB" w14:paraId="28D06EFD" w14:textId="77777777" w:rsidTr="009A4EAC">
        <w:trPr>
          <w:cantSplit/>
        </w:trPr>
        <w:tc>
          <w:tcPr>
            <w:tcW w:w="1885" w:type="dxa"/>
          </w:tcPr>
          <w:p w14:paraId="1BFF05CF" w14:textId="77777777" w:rsidR="009A4EAC" w:rsidRPr="00BA19FB" w:rsidRDefault="009A4EAC" w:rsidP="002765DF">
            <w:pPr>
              <w:rPr>
                <w:b/>
                <w:bCs/>
                <w:szCs w:val="24"/>
                <w:lang w:val="fr-FR"/>
              </w:rPr>
            </w:pPr>
            <w:r w:rsidRPr="00BA19FB">
              <w:rPr>
                <w:b/>
                <w:bCs/>
                <w:szCs w:val="24"/>
                <w:lang w:val="fr-FR"/>
              </w:rPr>
              <w:t>Contact:</w:t>
            </w:r>
          </w:p>
        </w:tc>
        <w:tc>
          <w:tcPr>
            <w:tcW w:w="3877" w:type="dxa"/>
          </w:tcPr>
          <w:p w14:paraId="218E8C3A" w14:textId="5795EE68" w:rsidR="009A4EAC" w:rsidRPr="00BA19FB" w:rsidRDefault="009A4EAC" w:rsidP="002765DF">
            <w:pPr>
              <w:rPr>
                <w:lang w:val="fr-FR"/>
              </w:rPr>
            </w:pPr>
            <w:r w:rsidRPr="00BA19FB">
              <w:rPr>
                <w:lang w:val="fr-FR"/>
              </w:rPr>
              <w:t>Isaac Boateng</w:t>
            </w:r>
            <w:r w:rsidRPr="00BA19FB">
              <w:rPr>
                <w:lang w:val="fr-FR"/>
              </w:rPr>
              <w:br/>
            </w:r>
            <w:r w:rsidR="00662579" w:rsidRPr="00BA19FB">
              <w:rPr>
                <w:lang w:val="fr-FR"/>
              </w:rPr>
              <w:t>Union africaine des télécommunications</w:t>
            </w:r>
          </w:p>
        </w:tc>
        <w:tc>
          <w:tcPr>
            <w:tcW w:w="3877" w:type="dxa"/>
          </w:tcPr>
          <w:p w14:paraId="74A63F1F" w14:textId="751EE4EF" w:rsidR="009A4EAC" w:rsidRPr="00BA19FB" w:rsidRDefault="009A4EAC" w:rsidP="00BA19FB">
            <w:pPr>
              <w:tabs>
                <w:tab w:val="clear" w:pos="1134"/>
                <w:tab w:val="left" w:pos="1078"/>
              </w:tabs>
              <w:rPr>
                <w:lang w:val="fr-FR"/>
              </w:rPr>
            </w:pPr>
            <w:r w:rsidRPr="00BA19FB">
              <w:rPr>
                <w:lang w:val="fr-FR"/>
              </w:rPr>
              <w:t>Courriel:</w:t>
            </w:r>
            <w:r w:rsidR="00BA19FB" w:rsidRPr="00BA19FB">
              <w:rPr>
                <w:lang w:val="fr-FR"/>
              </w:rPr>
              <w:tab/>
            </w:r>
            <w:hyperlink r:id="rId14" w:history="1">
              <w:r w:rsidRPr="00BA19FB">
                <w:rPr>
                  <w:rStyle w:val="Hyperlink"/>
                  <w:lang w:val="fr-FR"/>
                </w:rPr>
                <w:t>i.boateng@atuuat.africa</w:t>
              </w:r>
            </w:hyperlink>
          </w:p>
        </w:tc>
      </w:tr>
    </w:tbl>
    <w:p w14:paraId="5F3EBAF2" w14:textId="5FAE0B4A" w:rsidR="00A52D1A" w:rsidRPr="00BA19FB" w:rsidRDefault="00D123E9" w:rsidP="002765DF">
      <w:pPr>
        <w:pStyle w:val="Headingb"/>
        <w:rPr>
          <w:lang w:val="fr-FR"/>
        </w:rPr>
      </w:pPr>
      <w:r w:rsidRPr="00BA19FB">
        <w:rPr>
          <w:lang w:val="fr-FR"/>
        </w:rPr>
        <w:t>Introduction</w:t>
      </w:r>
    </w:p>
    <w:p w14:paraId="417A6320" w14:textId="19A5916C" w:rsidR="00D123E9" w:rsidRPr="00BA19FB" w:rsidRDefault="009A4EAC" w:rsidP="002765DF">
      <w:pPr>
        <w:rPr>
          <w:lang w:val="fr-FR"/>
        </w:rPr>
      </w:pPr>
      <w:r w:rsidRPr="00BA19FB">
        <w:rPr>
          <w:lang w:val="fr-FR"/>
        </w:rPr>
        <w:t xml:space="preserve">Le métavers offre à l'UIT-T une occasion unique de consolider son </w:t>
      </w:r>
      <w:r w:rsidR="00AF5D04" w:rsidRPr="00BA19FB">
        <w:rPr>
          <w:lang w:val="fr-FR"/>
        </w:rPr>
        <w:t>rôle directeur</w:t>
      </w:r>
      <w:r w:rsidRPr="00BA19FB">
        <w:rPr>
          <w:lang w:val="fr-FR"/>
        </w:rPr>
        <w:t xml:space="preserve"> en matière de normalisation</w:t>
      </w:r>
      <w:r w:rsidR="00AF5D04" w:rsidRPr="00BA19FB">
        <w:rPr>
          <w:lang w:val="fr-FR"/>
        </w:rPr>
        <w:t xml:space="preserve"> au niveau mondial</w:t>
      </w:r>
      <w:r w:rsidRPr="00BA19FB">
        <w:rPr>
          <w:lang w:val="fr-FR"/>
        </w:rPr>
        <w:t xml:space="preserve">. </w:t>
      </w:r>
      <w:r w:rsidR="003C6A49" w:rsidRPr="00BA19FB">
        <w:rPr>
          <w:lang w:val="fr-FR"/>
        </w:rPr>
        <w:t>Sur la base des</w:t>
      </w:r>
      <w:r w:rsidRPr="00BA19FB">
        <w:rPr>
          <w:lang w:val="fr-FR"/>
        </w:rPr>
        <w:t xml:space="preserve"> résultats du Groupe spécialisé sur le métavers (FG-MV), qui a </w:t>
      </w:r>
      <w:r w:rsidR="003C6A49" w:rsidRPr="00BA19FB">
        <w:rPr>
          <w:lang w:val="fr-FR"/>
        </w:rPr>
        <w:t xml:space="preserve">élaboré </w:t>
      </w:r>
      <w:r w:rsidRPr="00BA19FB">
        <w:rPr>
          <w:lang w:val="fr-FR"/>
        </w:rPr>
        <w:t xml:space="preserve">52 </w:t>
      </w:r>
      <w:r w:rsidR="003C6A49" w:rsidRPr="00BA19FB">
        <w:rPr>
          <w:lang w:val="fr-FR"/>
        </w:rPr>
        <w:t>produits</w:t>
      </w:r>
      <w:r w:rsidRPr="00BA19FB">
        <w:rPr>
          <w:lang w:val="fr-FR"/>
        </w:rPr>
        <w:t xml:space="preserve">, l'UIT-T doit continuer d'être le fer de lance de l'élaboration de cadres techniques et de gouvernance </w:t>
      </w:r>
      <w:r w:rsidR="003C6A49" w:rsidRPr="00BA19FB">
        <w:rPr>
          <w:lang w:val="fr-FR"/>
        </w:rPr>
        <w:t>dans</w:t>
      </w:r>
      <w:r w:rsidRPr="00BA19FB">
        <w:rPr>
          <w:lang w:val="fr-FR"/>
        </w:rPr>
        <w:t xml:space="preserve"> ce paysage numérique naissant. </w:t>
      </w:r>
      <w:r w:rsidR="003C6A49" w:rsidRPr="00BA19FB">
        <w:rPr>
          <w:lang w:val="fr-FR"/>
        </w:rPr>
        <w:t xml:space="preserve">Pour peu qu'elle accorde la </w:t>
      </w:r>
      <w:r w:rsidRPr="00BA19FB">
        <w:rPr>
          <w:lang w:val="fr-FR"/>
        </w:rPr>
        <w:t>priorité aux droits des utilisateurs, à la sécurité et au développement éthique de l</w:t>
      </w:r>
      <w:r w:rsidR="003C6A49" w:rsidRPr="00BA19FB">
        <w:rPr>
          <w:lang w:val="fr-FR"/>
        </w:rPr>
        <w:t xml:space="preserve">'intelligence artificielle, </w:t>
      </w:r>
      <w:r w:rsidRPr="00BA19FB">
        <w:rPr>
          <w:lang w:val="fr-FR"/>
        </w:rPr>
        <w:t xml:space="preserve">l'UIT-T peut </w:t>
      </w:r>
      <w:r w:rsidR="00AF5D04" w:rsidRPr="00BA19FB">
        <w:rPr>
          <w:lang w:val="fr-FR"/>
        </w:rPr>
        <w:t xml:space="preserve">contribuer à </w:t>
      </w:r>
      <w:r w:rsidR="003C6A49" w:rsidRPr="00BA19FB">
        <w:rPr>
          <w:lang w:val="fr-FR"/>
        </w:rPr>
        <w:t>instaurer</w:t>
      </w:r>
      <w:r w:rsidRPr="00BA19FB">
        <w:rPr>
          <w:lang w:val="fr-FR"/>
        </w:rPr>
        <w:t xml:space="preserve"> un écosystème du métavers qui profite à toutes les parties prenantes. Pour y parvenir, </w:t>
      </w:r>
      <w:r w:rsidR="003C6A49" w:rsidRPr="00BA19FB">
        <w:rPr>
          <w:lang w:val="fr-FR"/>
        </w:rPr>
        <w:t>il est crucial d'entretenir une</w:t>
      </w:r>
      <w:r w:rsidRPr="00BA19FB">
        <w:rPr>
          <w:lang w:val="fr-FR"/>
        </w:rPr>
        <w:t xml:space="preserve"> collaboration </w:t>
      </w:r>
      <w:r w:rsidR="003C6A49" w:rsidRPr="00BA19FB">
        <w:rPr>
          <w:lang w:val="fr-FR"/>
        </w:rPr>
        <w:t xml:space="preserve">continue </w:t>
      </w:r>
      <w:r w:rsidRPr="00BA19FB">
        <w:rPr>
          <w:lang w:val="fr-FR"/>
        </w:rPr>
        <w:t xml:space="preserve">avec d'autres organisations de normalisation et </w:t>
      </w:r>
      <w:r w:rsidR="003C6A49" w:rsidRPr="00BA19FB">
        <w:rPr>
          <w:lang w:val="fr-FR"/>
        </w:rPr>
        <w:t>d'autres organes</w:t>
      </w:r>
      <w:r w:rsidRPr="00BA19FB">
        <w:rPr>
          <w:lang w:val="fr-FR"/>
        </w:rPr>
        <w:t xml:space="preserve"> des Nations Unies. Le présent document contient une proposition de nouvelle Résolution de l'AMNT-24 visant à renforcer le rôle de l'UIT-T dans la normalisation du métavers et à favoriser une collaboration plus large.</w:t>
      </w:r>
    </w:p>
    <w:p w14:paraId="30179432" w14:textId="0CE4597E" w:rsidR="00D123E9" w:rsidRPr="00BA19FB" w:rsidRDefault="00D123E9" w:rsidP="002765DF">
      <w:pPr>
        <w:pStyle w:val="Headingb"/>
        <w:rPr>
          <w:lang w:val="fr-FR"/>
        </w:rPr>
      </w:pPr>
      <w:r w:rsidRPr="00BA19FB">
        <w:rPr>
          <w:lang w:val="fr-FR"/>
        </w:rPr>
        <w:t>Proposition</w:t>
      </w:r>
    </w:p>
    <w:p w14:paraId="0496CA5B" w14:textId="39A42081" w:rsidR="009F4801" w:rsidRPr="00BA19FB" w:rsidRDefault="009A4EAC" w:rsidP="002765DF">
      <w:pPr>
        <w:rPr>
          <w:lang w:val="fr-FR"/>
        </w:rPr>
      </w:pPr>
      <w:r w:rsidRPr="00BA19FB">
        <w:rPr>
          <w:lang w:val="fr-FR"/>
        </w:rPr>
        <w:t xml:space="preserve">La nouvelle résolution vise à établir un cadre technique et de gouvernance global pour le métavers qui garantisse </w:t>
      </w:r>
      <w:r w:rsidR="003C6A49" w:rsidRPr="00BA19FB">
        <w:rPr>
          <w:lang w:val="fr-FR"/>
        </w:rPr>
        <w:t>le</w:t>
      </w:r>
      <w:r w:rsidRPr="00BA19FB">
        <w:rPr>
          <w:lang w:val="fr-FR"/>
        </w:rPr>
        <w:t xml:space="preserve"> développement responsable</w:t>
      </w:r>
      <w:r w:rsidR="003C6A49" w:rsidRPr="00BA19FB">
        <w:rPr>
          <w:lang w:val="fr-FR"/>
        </w:rPr>
        <w:t xml:space="preserve"> de cette technologie</w:t>
      </w:r>
      <w:r w:rsidRPr="00BA19FB">
        <w:rPr>
          <w:lang w:val="fr-FR"/>
        </w:rPr>
        <w:t>, accorde la priorité aux droits des utilisateurs et à la sécurité et favorise la collaboration internationale afin d'éviter la fragmentation et d</w:t>
      </w:r>
      <w:r w:rsidR="003C6A49" w:rsidRPr="00BA19FB">
        <w:rPr>
          <w:lang w:val="fr-FR"/>
        </w:rPr>
        <w:t xml:space="preserve">'optimiser </w:t>
      </w:r>
      <w:r w:rsidRPr="00BA19FB">
        <w:rPr>
          <w:lang w:val="fr-FR"/>
        </w:rPr>
        <w:t xml:space="preserve">les avantages pour </w:t>
      </w:r>
      <w:r w:rsidR="003C6A49" w:rsidRPr="00BA19FB">
        <w:rPr>
          <w:lang w:val="fr-FR"/>
        </w:rPr>
        <w:t>l'ensemble d</w:t>
      </w:r>
      <w:r w:rsidRPr="00BA19FB">
        <w:rPr>
          <w:lang w:val="fr-FR"/>
        </w:rPr>
        <w:t xml:space="preserve">es pays développés </w:t>
      </w:r>
      <w:r w:rsidR="003C6A49" w:rsidRPr="00BA19FB">
        <w:rPr>
          <w:lang w:val="fr-FR"/>
        </w:rPr>
        <w:t xml:space="preserve">et des pays </w:t>
      </w:r>
      <w:r w:rsidRPr="00BA19FB">
        <w:rPr>
          <w:lang w:val="fr-FR"/>
        </w:rPr>
        <w:t>en développement.</w:t>
      </w:r>
      <w:r w:rsidR="009F4801" w:rsidRPr="00BA19FB">
        <w:rPr>
          <w:lang w:val="fr-FR"/>
        </w:rPr>
        <w:br w:type="page"/>
      </w:r>
    </w:p>
    <w:p w14:paraId="0189DF99" w14:textId="77777777" w:rsidR="00134A42" w:rsidRPr="00BA19FB" w:rsidRDefault="00BE28FB" w:rsidP="002765DF">
      <w:pPr>
        <w:pStyle w:val="Proposal"/>
        <w:rPr>
          <w:lang w:val="fr-FR"/>
        </w:rPr>
      </w:pPr>
      <w:r w:rsidRPr="00BA19FB">
        <w:rPr>
          <w:lang w:val="fr-FR"/>
        </w:rPr>
        <w:lastRenderedPageBreak/>
        <w:t>ADD</w:t>
      </w:r>
      <w:r w:rsidRPr="00BA19FB">
        <w:rPr>
          <w:lang w:val="fr-FR"/>
        </w:rPr>
        <w:tab/>
        <w:t>ATU/35A37/1</w:t>
      </w:r>
    </w:p>
    <w:p w14:paraId="2153AA5B" w14:textId="0DA7211E" w:rsidR="005D325F" w:rsidRPr="00BA19FB" w:rsidRDefault="00BE28FB" w:rsidP="002765DF">
      <w:pPr>
        <w:pStyle w:val="ResNo"/>
        <w:rPr>
          <w:lang w:val="fr-FR"/>
        </w:rPr>
      </w:pPr>
      <w:r w:rsidRPr="00BA19FB">
        <w:rPr>
          <w:lang w:val="fr-FR"/>
        </w:rPr>
        <w:t>PROJET DE NOUVELLE RÉSOLUTION</w:t>
      </w:r>
      <w:r w:rsidR="00AB07D5" w:rsidRPr="00BA19FB">
        <w:rPr>
          <w:lang w:val="fr-FR"/>
        </w:rPr>
        <w:t xml:space="preserve"> [mv-atu] (</w:t>
      </w:r>
      <w:r w:rsidR="00AB07D5" w:rsidRPr="00BA19FB">
        <w:rPr>
          <w:caps w:val="0"/>
          <w:lang w:val="fr-FR"/>
        </w:rPr>
        <w:t>New Delhi</w:t>
      </w:r>
      <w:r w:rsidR="00AB07D5" w:rsidRPr="00BA19FB">
        <w:rPr>
          <w:lang w:val="fr-FR"/>
        </w:rPr>
        <w:t>, 2024)</w:t>
      </w:r>
    </w:p>
    <w:p w14:paraId="4E0120B7" w14:textId="3C6AF125" w:rsidR="00AB07D5" w:rsidRPr="00BA19FB" w:rsidRDefault="00AB07D5" w:rsidP="002765DF">
      <w:pPr>
        <w:pStyle w:val="Restitle"/>
        <w:rPr>
          <w:lang w:val="fr-FR"/>
        </w:rPr>
      </w:pPr>
      <w:r w:rsidRPr="00BA19FB">
        <w:rPr>
          <w:lang w:val="fr-FR"/>
        </w:rPr>
        <w:t>Métavers</w:t>
      </w:r>
    </w:p>
    <w:p w14:paraId="6A388013" w14:textId="5C26F761" w:rsidR="00AB07D5" w:rsidRPr="00BA19FB" w:rsidRDefault="00AB07D5" w:rsidP="002765DF">
      <w:pPr>
        <w:pStyle w:val="Resref"/>
        <w:rPr>
          <w:lang w:val="fr-FR"/>
        </w:rPr>
      </w:pPr>
      <w:r w:rsidRPr="00BA19FB">
        <w:rPr>
          <w:lang w:val="fr-FR"/>
        </w:rPr>
        <w:t>(New Delhi, 2024)</w:t>
      </w:r>
    </w:p>
    <w:p w14:paraId="395AB1F8" w14:textId="77777777" w:rsidR="00AB07D5" w:rsidRPr="00BA19FB" w:rsidRDefault="00AB07D5" w:rsidP="002765DF">
      <w:pPr>
        <w:pStyle w:val="Normalaftertitle"/>
        <w:rPr>
          <w:lang w:val="fr-FR"/>
        </w:rPr>
      </w:pPr>
      <w:r w:rsidRPr="00BA19FB">
        <w:rPr>
          <w:lang w:val="fr-FR"/>
        </w:rPr>
        <w:t>L'Assemblée mondiale de normalisation des télécommunications (New Delhi, 2024),</w:t>
      </w:r>
    </w:p>
    <w:p w14:paraId="32E84CE2" w14:textId="77777777" w:rsidR="00AB07D5" w:rsidRPr="00BA19FB" w:rsidRDefault="00AB07D5" w:rsidP="00BA19FB">
      <w:pPr>
        <w:pStyle w:val="Call"/>
        <w:rPr>
          <w:lang w:val="fr-FR"/>
        </w:rPr>
      </w:pPr>
      <w:r w:rsidRPr="00BA19FB">
        <w:rPr>
          <w:lang w:val="fr-FR"/>
        </w:rPr>
        <w:t>reconnaissant</w:t>
      </w:r>
    </w:p>
    <w:p w14:paraId="165A5BA8" w14:textId="4D543351" w:rsidR="00AB07D5" w:rsidRPr="00BA19FB" w:rsidRDefault="00AB07D5" w:rsidP="002765DF">
      <w:pPr>
        <w:rPr>
          <w:bCs/>
          <w:lang w:val="fr-FR"/>
        </w:rPr>
      </w:pPr>
      <w:r w:rsidRPr="00BA19FB">
        <w:rPr>
          <w:i/>
          <w:iCs/>
          <w:lang w:val="fr-FR"/>
        </w:rPr>
        <w:t>a)</w:t>
      </w:r>
      <w:r w:rsidRPr="00BA19FB">
        <w:rPr>
          <w:lang w:val="fr-FR"/>
        </w:rPr>
        <w:tab/>
        <w:t xml:space="preserve">que </w:t>
      </w:r>
      <w:r w:rsidR="003C6A49" w:rsidRPr="00BA19FB">
        <w:rPr>
          <w:lang w:val="fr-FR"/>
        </w:rPr>
        <w:t>l</w:t>
      </w:r>
      <w:r w:rsidR="003D7C80" w:rsidRPr="00BA19FB">
        <w:rPr>
          <w:lang w:val="fr-FR"/>
        </w:rPr>
        <w:t xml:space="preserve">'Internet Research Task Force (IRTF), l'Internet Engineering Task Force (IETF) </w:t>
      </w:r>
      <w:r w:rsidR="00DE6B8E" w:rsidRPr="00BA19FB">
        <w:rPr>
          <w:lang w:val="fr-FR"/>
        </w:rPr>
        <w:t>et d'autres forums du secteur, organisations de normalisation et projets de partenariat élaborent des spécifications techniques pour l'Internet, sur la base de leurs domaines de compétence spécifiques</w:t>
      </w:r>
      <w:r w:rsidRPr="00BA19FB">
        <w:rPr>
          <w:lang w:val="fr-FR"/>
        </w:rPr>
        <w:t>;</w:t>
      </w:r>
    </w:p>
    <w:p w14:paraId="4122FECB" w14:textId="68EB8221" w:rsidR="00AB07D5" w:rsidRPr="00BA19FB" w:rsidRDefault="00AB07D5" w:rsidP="002765DF">
      <w:pPr>
        <w:rPr>
          <w:bCs/>
          <w:lang w:val="fr-FR"/>
        </w:rPr>
      </w:pPr>
      <w:r w:rsidRPr="00BA19FB">
        <w:rPr>
          <w:i/>
          <w:iCs/>
          <w:lang w:val="fr-FR"/>
        </w:rPr>
        <w:t>b)</w:t>
      </w:r>
      <w:r w:rsidRPr="00BA19FB">
        <w:rPr>
          <w:lang w:val="fr-FR"/>
        </w:rPr>
        <w:tab/>
        <w:t>le rôle que joue le Secteur des radiocommunications de l'UIT (UIT-R)</w:t>
      </w:r>
      <w:r w:rsidR="00DE6B8E" w:rsidRPr="00BA19FB">
        <w:rPr>
          <w:lang w:val="fr-FR"/>
        </w:rPr>
        <w:t xml:space="preserve">, qui mène des </w:t>
      </w:r>
      <w:r w:rsidRPr="00BA19FB">
        <w:rPr>
          <w:lang w:val="fr-FR"/>
        </w:rPr>
        <w:t xml:space="preserve">études sur les aspects techniques et opérationnels des réseaux et des systèmes de radiocommunication pour </w:t>
      </w:r>
      <w:r w:rsidR="00DE6B8E" w:rsidRPr="00BA19FB">
        <w:rPr>
          <w:lang w:val="fr-FR"/>
        </w:rPr>
        <w:t>les technologies numériques;</w:t>
      </w:r>
    </w:p>
    <w:p w14:paraId="5F27AD0C" w14:textId="77777777" w:rsidR="00AB07D5" w:rsidRPr="00BA19FB" w:rsidRDefault="00AB07D5" w:rsidP="002765DF">
      <w:pPr>
        <w:rPr>
          <w:bCs/>
          <w:lang w:val="fr-FR"/>
        </w:rPr>
      </w:pPr>
      <w:r w:rsidRPr="00BA19FB">
        <w:rPr>
          <w:i/>
          <w:iCs/>
          <w:lang w:val="fr-FR"/>
        </w:rPr>
        <w:t>c)</w:t>
      </w:r>
      <w:r w:rsidRPr="00BA19FB">
        <w:rPr>
          <w:lang w:val="fr-FR"/>
        </w:rPr>
        <w:tab/>
        <w:t>le rôle que joue le Secteur du développement des télécommunications de l'UIT (UIT-D) en encourageant le développement des télécommunications/technologies de l'information et de la communication (TIC) à l'échelle mondiale et, en particulier, les travaux correspondants menés par les commissions d'études de l'UIT-D;</w:t>
      </w:r>
    </w:p>
    <w:p w14:paraId="5AF508FA" w14:textId="3ACCB7E9" w:rsidR="00AB07D5" w:rsidRPr="00BA19FB" w:rsidRDefault="00AB07D5" w:rsidP="002765DF">
      <w:pPr>
        <w:tabs>
          <w:tab w:val="left" w:pos="1076"/>
        </w:tabs>
        <w:rPr>
          <w:lang w:val="fr-FR"/>
        </w:rPr>
      </w:pPr>
      <w:r w:rsidRPr="00BA19FB">
        <w:rPr>
          <w:i/>
          <w:iCs/>
          <w:lang w:val="fr-FR"/>
        </w:rPr>
        <w:t>d)</w:t>
      </w:r>
      <w:r w:rsidRPr="00BA19FB">
        <w:rPr>
          <w:lang w:val="fr-FR"/>
        </w:rPr>
        <w:tab/>
      </w:r>
      <w:r w:rsidR="009A4EAC" w:rsidRPr="00BA19FB">
        <w:rPr>
          <w:lang w:val="fr-FR"/>
        </w:rPr>
        <w:t xml:space="preserve">les tâches </w:t>
      </w:r>
      <w:r w:rsidR="00C92000" w:rsidRPr="00BA19FB">
        <w:rPr>
          <w:lang w:val="fr-FR"/>
        </w:rPr>
        <w:t>menées à bien</w:t>
      </w:r>
      <w:r w:rsidR="009A4EAC" w:rsidRPr="00BA19FB">
        <w:rPr>
          <w:lang w:val="fr-FR"/>
        </w:rPr>
        <w:t xml:space="preserve"> par le Groupe spécialisé sur le métavers </w:t>
      </w:r>
      <w:r w:rsidR="00C92000" w:rsidRPr="00BA19FB">
        <w:rPr>
          <w:lang w:val="fr-FR"/>
        </w:rPr>
        <w:t xml:space="preserve">de l'UIT </w:t>
      </w:r>
      <w:r w:rsidR="009A4EAC" w:rsidRPr="00BA19FB">
        <w:rPr>
          <w:lang w:val="fr-FR"/>
        </w:rPr>
        <w:t>sur la base des</w:t>
      </w:r>
      <w:r w:rsidR="004E1DB7" w:rsidRPr="00BA19FB">
        <w:rPr>
          <w:lang w:val="fr-FR"/>
        </w:rPr>
        <w:t> </w:t>
      </w:r>
      <w:r w:rsidR="009A4EAC" w:rsidRPr="00BA19FB">
        <w:rPr>
          <w:lang w:val="fr-FR"/>
        </w:rPr>
        <w:t xml:space="preserve">52 produits </w:t>
      </w:r>
      <w:r w:rsidR="00C92000" w:rsidRPr="00BA19FB">
        <w:rPr>
          <w:lang w:val="fr-FR"/>
        </w:rPr>
        <w:t>élaborés</w:t>
      </w:r>
      <w:r w:rsidR="009A4EAC" w:rsidRPr="00BA19FB">
        <w:rPr>
          <w:lang w:val="fr-FR"/>
        </w:rPr>
        <w:t xml:space="preserve"> à l'issue des activités préalables à la normalisation</w:t>
      </w:r>
      <w:r w:rsidRPr="00BA19FB">
        <w:rPr>
          <w:lang w:val="fr-FR"/>
        </w:rPr>
        <w:t>;</w:t>
      </w:r>
    </w:p>
    <w:p w14:paraId="21A7DF0A" w14:textId="6090CB88" w:rsidR="00AB07D5" w:rsidRPr="00BA19FB" w:rsidRDefault="00AB07D5" w:rsidP="002765DF">
      <w:pPr>
        <w:rPr>
          <w:lang w:val="fr-FR"/>
        </w:rPr>
      </w:pPr>
      <w:r w:rsidRPr="00BA19FB">
        <w:rPr>
          <w:i/>
          <w:iCs/>
          <w:lang w:val="fr-FR"/>
        </w:rPr>
        <w:t>e)</w:t>
      </w:r>
      <w:r w:rsidRPr="00BA19FB">
        <w:rPr>
          <w:lang w:val="fr-FR"/>
        </w:rPr>
        <w:tab/>
      </w:r>
      <w:r w:rsidR="009A4EAC" w:rsidRPr="00BA19FB">
        <w:rPr>
          <w:lang w:val="fr-FR"/>
        </w:rPr>
        <w:t xml:space="preserve">les </w:t>
      </w:r>
      <w:r w:rsidR="00C92000" w:rsidRPr="00BA19FB">
        <w:rPr>
          <w:lang w:val="fr-FR"/>
        </w:rPr>
        <w:t>travaux</w:t>
      </w:r>
      <w:r w:rsidR="009A4EAC" w:rsidRPr="00BA19FB">
        <w:rPr>
          <w:lang w:val="fr-FR"/>
        </w:rPr>
        <w:t xml:space="preserve"> de recherche menés par les commissions d'études compétentes de l'Union</w:t>
      </w:r>
      <w:r w:rsidR="00BA19FB" w:rsidRPr="00BA19FB">
        <w:rPr>
          <w:lang w:val="fr-FR"/>
        </w:rPr>
        <w:t xml:space="preserve"> </w:t>
      </w:r>
      <w:r w:rsidR="009A4EAC" w:rsidRPr="00BA19FB">
        <w:rPr>
          <w:lang w:val="fr-FR"/>
        </w:rPr>
        <w:t>internationale des télécommunications sur des sujets liés au métavers</w:t>
      </w:r>
      <w:r w:rsidRPr="00BA19FB">
        <w:rPr>
          <w:lang w:val="fr-FR"/>
        </w:rPr>
        <w:t>;</w:t>
      </w:r>
    </w:p>
    <w:p w14:paraId="27F1D697" w14:textId="003F394C" w:rsidR="00AB07D5" w:rsidRPr="00BA19FB" w:rsidRDefault="00AB07D5" w:rsidP="002765DF">
      <w:pPr>
        <w:rPr>
          <w:lang w:val="fr-FR"/>
        </w:rPr>
      </w:pPr>
      <w:r w:rsidRPr="00BA19FB">
        <w:rPr>
          <w:i/>
          <w:iCs/>
          <w:lang w:val="fr-FR"/>
        </w:rPr>
        <w:t>f)</w:t>
      </w:r>
      <w:r w:rsidRPr="00BA19FB">
        <w:rPr>
          <w:lang w:val="fr-FR"/>
        </w:rPr>
        <w:tab/>
      </w:r>
      <w:r w:rsidR="009A4EAC" w:rsidRPr="00BA19FB">
        <w:rPr>
          <w:lang w:val="fr-FR"/>
        </w:rPr>
        <w:t>que le Forum de l'UIT sur le métavers offre un</w:t>
      </w:r>
      <w:r w:rsidR="0042097B" w:rsidRPr="00BA19FB">
        <w:rPr>
          <w:lang w:val="fr-FR"/>
        </w:rPr>
        <w:t xml:space="preserve">e tribune </w:t>
      </w:r>
      <w:r w:rsidR="009A4EAC" w:rsidRPr="00BA19FB">
        <w:rPr>
          <w:lang w:val="fr-FR"/>
        </w:rPr>
        <w:t xml:space="preserve">dynamique pour examiner les travaux </w:t>
      </w:r>
      <w:r w:rsidR="00811651" w:rsidRPr="00BA19FB">
        <w:rPr>
          <w:lang w:val="fr-FR"/>
        </w:rPr>
        <w:t>d'avant-garde</w:t>
      </w:r>
      <w:r w:rsidR="009A4EAC" w:rsidRPr="00BA19FB">
        <w:rPr>
          <w:lang w:val="fr-FR"/>
        </w:rPr>
        <w:t xml:space="preserve"> menés par le Groupe FG-MV de l'UIT, qui s'est </w:t>
      </w:r>
      <w:r w:rsidR="00811651" w:rsidRPr="00BA19FB">
        <w:rPr>
          <w:lang w:val="fr-FR"/>
        </w:rPr>
        <w:t xml:space="preserve">réuni </w:t>
      </w:r>
      <w:r w:rsidR="009A4EAC" w:rsidRPr="00BA19FB">
        <w:rPr>
          <w:lang w:val="fr-FR"/>
        </w:rPr>
        <w:t xml:space="preserve">à cinq reprises </w:t>
      </w:r>
      <w:r w:rsidR="0042097B" w:rsidRPr="00BA19FB">
        <w:rPr>
          <w:lang w:val="fr-FR"/>
        </w:rPr>
        <w:t xml:space="preserve">depuis </w:t>
      </w:r>
      <w:r w:rsidR="00811651" w:rsidRPr="00BA19FB">
        <w:rPr>
          <w:lang w:val="fr-FR"/>
        </w:rPr>
        <w:t>s</w:t>
      </w:r>
      <w:r w:rsidR="0042097B" w:rsidRPr="00BA19FB">
        <w:rPr>
          <w:lang w:val="fr-FR"/>
        </w:rPr>
        <w:t>a création</w:t>
      </w:r>
      <w:r w:rsidR="009A4EAC" w:rsidRPr="00BA19FB">
        <w:rPr>
          <w:lang w:val="fr-FR"/>
        </w:rPr>
        <w:t xml:space="preserve">, </w:t>
      </w:r>
      <w:r w:rsidR="0042097B" w:rsidRPr="00BA19FB">
        <w:rPr>
          <w:lang w:val="fr-FR"/>
        </w:rPr>
        <w:t>entre</w:t>
      </w:r>
      <w:r w:rsidR="009A4EAC" w:rsidRPr="00BA19FB">
        <w:rPr>
          <w:lang w:val="fr-FR"/>
        </w:rPr>
        <w:t xml:space="preserve"> décembre 2022 </w:t>
      </w:r>
      <w:r w:rsidR="0042097B" w:rsidRPr="00BA19FB">
        <w:rPr>
          <w:lang w:val="fr-FR"/>
        </w:rPr>
        <w:t>et</w:t>
      </w:r>
      <w:r w:rsidR="009A4EAC" w:rsidRPr="00BA19FB">
        <w:rPr>
          <w:lang w:val="fr-FR"/>
        </w:rPr>
        <w:t xml:space="preserve"> juin 2024</w:t>
      </w:r>
      <w:r w:rsidRPr="00BA19FB">
        <w:rPr>
          <w:lang w:val="fr-FR"/>
        </w:rPr>
        <w:t>;</w:t>
      </w:r>
    </w:p>
    <w:p w14:paraId="12743B96" w14:textId="12FF7908" w:rsidR="00AB07D5" w:rsidRPr="00BA19FB" w:rsidRDefault="00AB07D5" w:rsidP="002765DF">
      <w:pPr>
        <w:rPr>
          <w:lang w:val="fr-FR"/>
        </w:rPr>
      </w:pPr>
      <w:r w:rsidRPr="00BA19FB">
        <w:rPr>
          <w:i/>
          <w:iCs/>
          <w:lang w:val="fr-FR"/>
        </w:rPr>
        <w:t>g)</w:t>
      </w:r>
      <w:r w:rsidRPr="00BA19FB">
        <w:rPr>
          <w:lang w:val="fr-FR"/>
        </w:rPr>
        <w:tab/>
      </w:r>
      <w:r w:rsidR="009A4EAC" w:rsidRPr="00BA19FB">
        <w:rPr>
          <w:lang w:val="fr-FR"/>
        </w:rPr>
        <w:t xml:space="preserve">la première manifestation </w:t>
      </w:r>
      <w:r w:rsidR="00264648" w:rsidRPr="00BA19FB">
        <w:rPr>
          <w:lang w:val="fr-FR"/>
        </w:rPr>
        <w:t>"</w:t>
      </w:r>
      <w:r w:rsidR="009A4EAC" w:rsidRPr="00BA19FB">
        <w:rPr>
          <w:lang w:val="fr-FR"/>
        </w:rPr>
        <w:t>Think-a-thon</w:t>
      </w:r>
      <w:r w:rsidR="00264648" w:rsidRPr="00BA19FB">
        <w:rPr>
          <w:lang w:val="fr-FR"/>
        </w:rPr>
        <w:t>"</w:t>
      </w:r>
      <w:r w:rsidR="009A4EAC" w:rsidRPr="00BA19FB">
        <w:rPr>
          <w:lang w:val="fr-FR"/>
        </w:rPr>
        <w:t xml:space="preserve"> des Nations Unies qui a été officiellement lancée lors de la séance plénière d'ouverture du quatrième Forum de l'UIT sur le métavers, organisée en mars 2024 par le Directeur du Bureau de la normalisation des télécommunications (TSB), et qui </w:t>
      </w:r>
      <w:r w:rsidR="00811651" w:rsidRPr="00BA19FB">
        <w:rPr>
          <w:lang w:val="fr-FR"/>
        </w:rPr>
        <w:t>vise à mobiliser</w:t>
      </w:r>
      <w:r w:rsidR="009A4EAC" w:rsidRPr="00BA19FB">
        <w:rPr>
          <w:lang w:val="fr-FR"/>
        </w:rPr>
        <w:t xml:space="preserve"> la participation de jeunes et </w:t>
      </w:r>
      <w:r w:rsidR="00811651" w:rsidRPr="00BA19FB">
        <w:rPr>
          <w:lang w:val="fr-FR"/>
        </w:rPr>
        <w:t>d'universitaires</w:t>
      </w:r>
      <w:r w:rsidR="009A4EAC" w:rsidRPr="00BA19FB">
        <w:rPr>
          <w:lang w:val="fr-FR"/>
        </w:rPr>
        <w:t xml:space="preserve"> sur le thème </w:t>
      </w:r>
      <w:r w:rsidR="00811651" w:rsidRPr="00BA19FB">
        <w:rPr>
          <w:lang w:val="fr-FR"/>
        </w:rPr>
        <w:t>"</w:t>
      </w:r>
      <w:r w:rsidR="009A4EAC" w:rsidRPr="00BA19FB">
        <w:rPr>
          <w:lang w:val="fr-FR"/>
        </w:rPr>
        <w:t xml:space="preserve">Les mondes virtuels révolutionnent les villes et les </w:t>
      </w:r>
      <w:r w:rsidR="00811651" w:rsidRPr="00BA19FB">
        <w:rPr>
          <w:lang w:val="fr-FR"/>
        </w:rPr>
        <w:t>communautés</w:t>
      </w:r>
      <w:r w:rsidR="009A4EAC" w:rsidRPr="00BA19FB">
        <w:rPr>
          <w:lang w:val="fr-FR"/>
        </w:rPr>
        <w:t xml:space="preserve"> intelligentes et durables", </w:t>
      </w:r>
      <w:r w:rsidR="00811651" w:rsidRPr="00BA19FB">
        <w:rPr>
          <w:lang w:val="fr-FR"/>
        </w:rPr>
        <w:t>en coordination avec</w:t>
      </w:r>
      <w:r w:rsidR="009A4EAC" w:rsidRPr="00BA19FB">
        <w:rPr>
          <w:lang w:val="fr-FR"/>
        </w:rPr>
        <w:t xml:space="preserve"> l'Union internationale des télécommunications (UIT), le Centre international </w:t>
      </w:r>
      <w:r w:rsidR="00811651" w:rsidRPr="00BA19FB">
        <w:rPr>
          <w:lang w:val="fr-FR"/>
        </w:rPr>
        <w:t xml:space="preserve">de calcul </w:t>
      </w:r>
      <w:r w:rsidR="009A4EAC" w:rsidRPr="00BA19FB">
        <w:rPr>
          <w:lang w:val="fr-FR"/>
        </w:rPr>
        <w:t>des Nations</w:t>
      </w:r>
      <w:r w:rsidR="00BA19FB" w:rsidRPr="00BA19FB">
        <w:rPr>
          <w:lang w:val="fr-FR"/>
        </w:rPr>
        <w:t> </w:t>
      </w:r>
      <w:r w:rsidR="009A4EAC" w:rsidRPr="00BA19FB">
        <w:rPr>
          <w:lang w:val="fr-FR"/>
        </w:rPr>
        <w:t>Unies (UNICC), l'Organisation des Nations Unies pour l'alimentation et l'agriculture (FAO) et l'Agence internationale de l'énergie atomique (AIEA)</w:t>
      </w:r>
      <w:r w:rsidRPr="00BA19FB">
        <w:rPr>
          <w:lang w:val="fr-FR"/>
        </w:rPr>
        <w:t>,</w:t>
      </w:r>
    </w:p>
    <w:p w14:paraId="75A8412F" w14:textId="698A3FF5" w:rsidR="00AB07D5" w:rsidRPr="00BA19FB" w:rsidRDefault="00AB07D5" w:rsidP="002765DF">
      <w:pPr>
        <w:pStyle w:val="Call"/>
        <w:rPr>
          <w:lang w:val="fr-FR"/>
        </w:rPr>
      </w:pPr>
      <w:r w:rsidRPr="00BA19FB">
        <w:rPr>
          <w:lang w:val="fr-FR"/>
        </w:rPr>
        <w:t>considérant</w:t>
      </w:r>
    </w:p>
    <w:p w14:paraId="0978FE97" w14:textId="17719A19" w:rsidR="00AB07D5" w:rsidRPr="00BA19FB" w:rsidRDefault="00AB07D5" w:rsidP="002765DF">
      <w:pPr>
        <w:rPr>
          <w:lang w:val="fr-FR"/>
        </w:rPr>
      </w:pPr>
      <w:r w:rsidRPr="00BA19FB">
        <w:rPr>
          <w:i/>
          <w:iCs/>
          <w:lang w:val="fr-FR"/>
        </w:rPr>
        <w:t>a)</w:t>
      </w:r>
      <w:r w:rsidRPr="00BA19FB">
        <w:rPr>
          <w:lang w:val="fr-FR"/>
        </w:rPr>
        <w:tab/>
        <w:t xml:space="preserve">l'importance </w:t>
      </w:r>
      <w:r w:rsidR="000A0838" w:rsidRPr="00BA19FB">
        <w:rPr>
          <w:lang w:val="fr-FR"/>
        </w:rPr>
        <w:t>que revêt</w:t>
      </w:r>
      <w:r w:rsidRPr="00BA19FB">
        <w:rPr>
          <w:lang w:val="fr-FR"/>
        </w:rPr>
        <w:t xml:space="preserve"> l'Internet </w:t>
      </w:r>
      <w:r w:rsidR="000A0838" w:rsidRPr="00BA19FB">
        <w:rPr>
          <w:lang w:val="fr-FR"/>
        </w:rPr>
        <w:t>au service de</w:t>
      </w:r>
      <w:r w:rsidRPr="00BA19FB">
        <w:rPr>
          <w:lang w:val="fr-FR"/>
        </w:rPr>
        <w:t xml:space="preserve"> la réalisation du Programme de développement durable à l'horizon 2030, en particulier en ce qui concerne l'Objectif de développement durable 11 (ODD</w:t>
      </w:r>
      <w:r w:rsidR="00BA19FB" w:rsidRPr="00BA19FB">
        <w:rPr>
          <w:lang w:val="fr-FR"/>
        </w:rPr>
        <w:t xml:space="preserve"> </w:t>
      </w:r>
      <w:r w:rsidRPr="00BA19FB">
        <w:rPr>
          <w:lang w:val="fr-FR"/>
        </w:rPr>
        <w:t xml:space="preserve">11), </w:t>
      </w:r>
      <w:r w:rsidR="000A0838" w:rsidRPr="00BA19FB">
        <w:rPr>
          <w:lang w:val="fr-FR"/>
        </w:rPr>
        <w:t>(</w:t>
      </w:r>
      <w:r w:rsidRPr="00BA19FB">
        <w:rPr>
          <w:lang w:val="fr-FR"/>
        </w:rPr>
        <w:t>faire en sorte que les villes et les établissements humains soient ouverts à tous, sûrs, résilients et durables</w:t>
      </w:r>
      <w:r w:rsidR="000A0838" w:rsidRPr="00BA19FB">
        <w:rPr>
          <w:lang w:val="fr-FR"/>
        </w:rPr>
        <w:t>)</w:t>
      </w:r>
      <w:r w:rsidRPr="00BA19FB">
        <w:rPr>
          <w:lang w:val="fr-FR"/>
        </w:rPr>
        <w:t>;</w:t>
      </w:r>
    </w:p>
    <w:p w14:paraId="2B27009F" w14:textId="580E8181" w:rsidR="00AB07D5" w:rsidRPr="00BA19FB" w:rsidRDefault="00AB07D5" w:rsidP="002765DF">
      <w:pPr>
        <w:rPr>
          <w:lang w:val="fr-FR"/>
        </w:rPr>
      </w:pPr>
      <w:r w:rsidRPr="00BA19FB">
        <w:rPr>
          <w:i/>
          <w:iCs/>
          <w:lang w:val="fr-FR"/>
        </w:rPr>
        <w:t>b)</w:t>
      </w:r>
      <w:r w:rsidRPr="00BA19FB">
        <w:rPr>
          <w:lang w:val="fr-FR"/>
        </w:rPr>
        <w:tab/>
      </w:r>
      <w:r w:rsidR="009A4EAC" w:rsidRPr="00BA19FB">
        <w:rPr>
          <w:lang w:val="fr-FR"/>
        </w:rPr>
        <w:t xml:space="preserve">que le métavers, conjugué aux nouvelles tendances observées </w:t>
      </w:r>
      <w:r w:rsidR="006B00D8" w:rsidRPr="00BA19FB">
        <w:rPr>
          <w:lang w:val="fr-FR"/>
        </w:rPr>
        <w:t>dans le cadre</w:t>
      </w:r>
      <w:r w:rsidR="009A4EAC" w:rsidRPr="00BA19FB">
        <w:rPr>
          <w:lang w:val="fr-FR"/>
        </w:rPr>
        <w:t xml:space="preserve"> d'autres technologies par rapport aux technologies émergentes, entraîne un changement de paradigme dans la façon dont les gens vivent, et que ce changement a des incidences considérables sur notre communauté, </w:t>
      </w:r>
      <w:r w:rsidR="006B00D8" w:rsidRPr="00BA19FB">
        <w:rPr>
          <w:lang w:val="fr-FR"/>
        </w:rPr>
        <w:t>portant avec lui</w:t>
      </w:r>
      <w:r w:rsidR="009A4EAC" w:rsidRPr="00BA19FB">
        <w:rPr>
          <w:lang w:val="fr-FR"/>
        </w:rPr>
        <w:t xml:space="preserve"> de nouvelles expériences améliorées </w:t>
      </w:r>
      <w:r w:rsidR="006B00D8" w:rsidRPr="00BA19FB">
        <w:rPr>
          <w:lang w:val="fr-FR"/>
        </w:rPr>
        <w:t>qui s'affranchissent des frontières</w:t>
      </w:r>
      <w:r w:rsidRPr="00BA19FB">
        <w:rPr>
          <w:lang w:val="fr-FR"/>
        </w:rPr>
        <w:t>;</w:t>
      </w:r>
    </w:p>
    <w:p w14:paraId="124F9FD1" w14:textId="7E560A87" w:rsidR="00AB07D5" w:rsidRPr="00BA19FB" w:rsidRDefault="00AB07D5" w:rsidP="002765DF">
      <w:pPr>
        <w:rPr>
          <w:lang w:val="fr-FR"/>
        </w:rPr>
      </w:pPr>
      <w:r w:rsidRPr="00BA19FB">
        <w:rPr>
          <w:i/>
          <w:iCs/>
          <w:lang w:val="fr-FR"/>
        </w:rPr>
        <w:lastRenderedPageBreak/>
        <w:t>c)</w:t>
      </w:r>
      <w:r w:rsidRPr="00BA19FB">
        <w:rPr>
          <w:lang w:val="fr-FR"/>
        </w:rPr>
        <w:tab/>
      </w:r>
      <w:r w:rsidR="009A4EAC" w:rsidRPr="00BA19FB">
        <w:rPr>
          <w:lang w:val="fr-FR"/>
        </w:rPr>
        <w:t xml:space="preserve">que le métavers </w:t>
      </w:r>
      <w:r w:rsidR="006B00D8" w:rsidRPr="00BA19FB">
        <w:rPr>
          <w:lang w:val="fr-FR"/>
        </w:rPr>
        <w:t>fait</w:t>
      </w:r>
      <w:r w:rsidR="009A4EAC" w:rsidRPr="00BA19FB">
        <w:rPr>
          <w:lang w:val="fr-FR"/>
        </w:rPr>
        <w:t xml:space="preserve"> rapidement </w:t>
      </w:r>
      <w:r w:rsidR="006B00D8" w:rsidRPr="00BA19FB">
        <w:rPr>
          <w:lang w:val="fr-FR"/>
        </w:rPr>
        <w:t xml:space="preserve">disparaître </w:t>
      </w:r>
      <w:r w:rsidR="009A4EAC" w:rsidRPr="00BA19FB">
        <w:rPr>
          <w:lang w:val="fr-FR"/>
        </w:rPr>
        <w:t>les frontières entre le monde physique et le monde numérique, offrant des expériences immersives qui mêlent le monde virtuel et le monde rée</w:t>
      </w:r>
      <w:r w:rsidR="006B00D8" w:rsidRPr="00BA19FB">
        <w:rPr>
          <w:lang w:val="fr-FR"/>
        </w:rPr>
        <w:t>l et que c</w:t>
      </w:r>
      <w:r w:rsidR="009A4EAC" w:rsidRPr="00BA19FB">
        <w:rPr>
          <w:lang w:val="fr-FR"/>
        </w:rPr>
        <w:t xml:space="preserve">ette convergence modifie notre quotidien et nos </w:t>
      </w:r>
      <w:r w:rsidR="006B00D8" w:rsidRPr="00BA19FB">
        <w:rPr>
          <w:lang w:val="fr-FR"/>
        </w:rPr>
        <w:t>environnement</w:t>
      </w:r>
      <w:r w:rsidR="009A4EAC" w:rsidRPr="00BA19FB">
        <w:rPr>
          <w:lang w:val="fr-FR"/>
        </w:rPr>
        <w:t xml:space="preserve"> professionnels et est appelée à devenir le pilier des futures applications des télécommunications et des TIC qui révolutionneront nos sociétés et nos industries sur les plans économique, social et culturel</w:t>
      </w:r>
      <w:r w:rsidRPr="00BA19FB">
        <w:rPr>
          <w:lang w:val="fr-FR"/>
        </w:rPr>
        <w:t>;</w:t>
      </w:r>
    </w:p>
    <w:p w14:paraId="77C49868" w14:textId="505F3879" w:rsidR="00AB07D5" w:rsidRPr="00BA19FB" w:rsidRDefault="00AB07D5" w:rsidP="002765DF">
      <w:pPr>
        <w:rPr>
          <w:lang w:val="fr-FR"/>
        </w:rPr>
      </w:pPr>
      <w:r w:rsidRPr="00BA19FB">
        <w:rPr>
          <w:i/>
          <w:iCs/>
          <w:lang w:val="fr-FR"/>
        </w:rPr>
        <w:t>d)</w:t>
      </w:r>
      <w:r w:rsidRPr="00BA19FB">
        <w:rPr>
          <w:lang w:val="fr-FR"/>
        </w:rPr>
        <w:tab/>
      </w:r>
      <w:r w:rsidR="009A4EAC" w:rsidRPr="00BA19FB">
        <w:rPr>
          <w:lang w:val="fr-FR"/>
        </w:rPr>
        <w:t xml:space="preserve">que les problèmes liés à </w:t>
      </w:r>
      <w:r w:rsidR="00C1428B" w:rsidRPr="00BA19FB">
        <w:rPr>
          <w:lang w:val="fr-FR"/>
        </w:rPr>
        <w:t>un défaut de</w:t>
      </w:r>
      <w:r w:rsidR="009A4EAC" w:rsidRPr="00BA19FB">
        <w:rPr>
          <w:lang w:val="fr-FR"/>
        </w:rPr>
        <w:t xml:space="preserve"> compréhension</w:t>
      </w:r>
      <w:r w:rsidR="00C1428B" w:rsidRPr="00BA19FB">
        <w:rPr>
          <w:lang w:val="fr-FR"/>
        </w:rPr>
        <w:t xml:space="preserve"> homogène</w:t>
      </w:r>
      <w:r w:rsidR="009A4EAC" w:rsidRPr="00BA19FB">
        <w:rPr>
          <w:lang w:val="fr-FR"/>
        </w:rPr>
        <w:t xml:space="preserve">, </w:t>
      </w:r>
      <w:r w:rsidR="00C1428B" w:rsidRPr="00BA19FB">
        <w:rPr>
          <w:lang w:val="fr-FR"/>
        </w:rPr>
        <w:t xml:space="preserve">à l'absence de normalisation des </w:t>
      </w:r>
      <w:r w:rsidR="009A4EAC" w:rsidRPr="00BA19FB">
        <w:rPr>
          <w:lang w:val="fr-FR"/>
        </w:rPr>
        <w:t xml:space="preserve">applications </w:t>
      </w:r>
      <w:r w:rsidR="00C1428B" w:rsidRPr="00BA19FB">
        <w:rPr>
          <w:lang w:val="fr-FR"/>
        </w:rPr>
        <w:t xml:space="preserve">et </w:t>
      </w:r>
      <w:r w:rsidR="009A4EAC" w:rsidRPr="00BA19FB">
        <w:rPr>
          <w:lang w:val="fr-FR"/>
        </w:rPr>
        <w:t xml:space="preserve">aux questions éthiques importantes entravent le développement du métavers et </w:t>
      </w:r>
      <w:r w:rsidR="00C1428B" w:rsidRPr="00BA19FB">
        <w:rPr>
          <w:lang w:val="fr-FR"/>
        </w:rPr>
        <w:t xml:space="preserve">que </w:t>
      </w:r>
      <w:r w:rsidR="009A4EAC" w:rsidRPr="00BA19FB">
        <w:rPr>
          <w:lang w:val="fr-FR"/>
        </w:rPr>
        <w:t xml:space="preserve">la normalisation du métavers </w:t>
      </w:r>
      <w:r w:rsidR="00C1428B" w:rsidRPr="00BA19FB">
        <w:rPr>
          <w:lang w:val="fr-FR"/>
        </w:rPr>
        <w:t>joue un rôle essentiel</w:t>
      </w:r>
      <w:r w:rsidR="009A4EAC" w:rsidRPr="00BA19FB">
        <w:rPr>
          <w:lang w:val="fr-FR"/>
        </w:rPr>
        <w:t xml:space="preserve"> pour favoriser le développement harmonieux d</w:t>
      </w:r>
      <w:r w:rsidR="00C1428B" w:rsidRPr="00BA19FB">
        <w:rPr>
          <w:lang w:val="fr-FR"/>
        </w:rPr>
        <w:t>e ce</w:t>
      </w:r>
      <w:r w:rsidR="009A4EAC" w:rsidRPr="00BA19FB">
        <w:rPr>
          <w:lang w:val="fr-FR"/>
        </w:rPr>
        <w:t xml:space="preserve"> secteur</w:t>
      </w:r>
      <w:r w:rsidRPr="00BA19FB">
        <w:rPr>
          <w:lang w:val="fr-FR"/>
        </w:rPr>
        <w:t>;</w:t>
      </w:r>
    </w:p>
    <w:p w14:paraId="47ABBE7A" w14:textId="5B0F900C" w:rsidR="00AB07D5" w:rsidRPr="00BA19FB" w:rsidRDefault="00AB07D5" w:rsidP="002765DF">
      <w:pPr>
        <w:rPr>
          <w:lang w:val="fr-FR"/>
        </w:rPr>
      </w:pPr>
      <w:r w:rsidRPr="00BA19FB">
        <w:rPr>
          <w:i/>
          <w:iCs/>
          <w:lang w:val="fr-FR"/>
        </w:rPr>
        <w:t>e)</w:t>
      </w:r>
      <w:r w:rsidRPr="00BA19FB">
        <w:rPr>
          <w:lang w:val="fr-FR"/>
        </w:rPr>
        <w:tab/>
      </w:r>
      <w:r w:rsidR="009A4EAC" w:rsidRPr="00BA19FB">
        <w:rPr>
          <w:lang w:val="fr-FR"/>
        </w:rPr>
        <w:t xml:space="preserve">que divers secteurs industriels, notamment l'énergie, les transports, les soins de santé et l'agriculture, collaborent en vue de mettre au point des applications et des services </w:t>
      </w:r>
      <w:r w:rsidR="00C1428B" w:rsidRPr="00BA19FB">
        <w:rPr>
          <w:lang w:val="fr-FR"/>
        </w:rPr>
        <w:t>fondés sur l'Internet des objets (</w:t>
      </w:r>
      <w:r w:rsidR="009A4EAC" w:rsidRPr="00BA19FB">
        <w:rPr>
          <w:lang w:val="fr-FR"/>
        </w:rPr>
        <w:t>IoT</w:t>
      </w:r>
      <w:r w:rsidR="00C1428B" w:rsidRPr="00BA19FB">
        <w:rPr>
          <w:lang w:val="fr-FR"/>
        </w:rPr>
        <w:t>)</w:t>
      </w:r>
      <w:r w:rsidR="009A4EAC" w:rsidRPr="00BA19FB">
        <w:rPr>
          <w:lang w:val="fr-FR"/>
        </w:rPr>
        <w:t xml:space="preserve"> et </w:t>
      </w:r>
      <w:r w:rsidR="00C1428B" w:rsidRPr="00BA19FB">
        <w:rPr>
          <w:lang w:val="fr-FR"/>
        </w:rPr>
        <w:t>les villes et les communautés intelligentes (</w:t>
      </w:r>
      <w:r w:rsidR="009A4EAC" w:rsidRPr="00BA19FB">
        <w:rPr>
          <w:lang w:val="fr-FR"/>
        </w:rPr>
        <w:t>SC&amp;C</w:t>
      </w:r>
      <w:r w:rsidR="00C1428B" w:rsidRPr="00BA19FB">
        <w:rPr>
          <w:lang w:val="fr-FR"/>
        </w:rPr>
        <w:t>)</w:t>
      </w:r>
      <w:r w:rsidR="009A4EAC" w:rsidRPr="00BA19FB">
        <w:rPr>
          <w:lang w:val="fr-FR"/>
        </w:rPr>
        <w:t xml:space="preserve"> pour le métavers, </w:t>
      </w:r>
      <w:r w:rsidR="00C1428B" w:rsidRPr="00BA19FB">
        <w:rPr>
          <w:lang w:val="fr-FR"/>
        </w:rPr>
        <w:t>de façon à créer</w:t>
      </w:r>
      <w:r w:rsidR="009A4EAC" w:rsidRPr="00BA19FB">
        <w:rPr>
          <w:lang w:val="fr-FR"/>
        </w:rPr>
        <w:t xml:space="preserve"> ainsi des expériences numériques immersives et interconnectées dans tous les secteurs verticaux</w:t>
      </w:r>
      <w:r w:rsidRPr="00BA19FB">
        <w:rPr>
          <w:lang w:val="fr-FR"/>
        </w:rPr>
        <w:t>;</w:t>
      </w:r>
    </w:p>
    <w:p w14:paraId="22B73473" w14:textId="5991919D" w:rsidR="00AB07D5" w:rsidRPr="00BA19FB" w:rsidRDefault="00AB07D5" w:rsidP="002765DF">
      <w:pPr>
        <w:rPr>
          <w:lang w:val="fr-FR"/>
        </w:rPr>
      </w:pPr>
      <w:r w:rsidRPr="00BA19FB">
        <w:rPr>
          <w:i/>
          <w:iCs/>
          <w:lang w:val="fr-FR"/>
        </w:rPr>
        <w:t>f)</w:t>
      </w:r>
      <w:r w:rsidRPr="00BA19FB">
        <w:rPr>
          <w:lang w:val="fr-FR"/>
        </w:rPr>
        <w:tab/>
        <w:t xml:space="preserve">que l'Internet </w:t>
      </w:r>
      <w:r w:rsidR="00C1428B" w:rsidRPr="00BA19FB">
        <w:rPr>
          <w:lang w:val="fr-FR"/>
        </w:rPr>
        <w:t>peut</w:t>
      </w:r>
      <w:r w:rsidRPr="00BA19FB">
        <w:rPr>
          <w:lang w:val="fr-FR"/>
        </w:rPr>
        <w:t xml:space="preserve"> être </w:t>
      </w:r>
      <w:r w:rsidR="00C1428B" w:rsidRPr="00BA19FB">
        <w:rPr>
          <w:lang w:val="fr-FR"/>
        </w:rPr>
        <w:t>un</w:t>
      </w:r>
      <w:r w:rsidRPr="00BA19FB">
        <w:rPr>
          <w:lang w:val="fr-FR"/>
        </w:rPr>
        <w:t xml:space="preserve"> moteur</w:t>
      </w:r>
      <w:r w:rsidR="00C1428B" w:rsidRPr="00BA19FB">
        <w:rPr>
          <w:lang w:val="fr-FR"/>
        </w:rPr>
        <w:t xml:space="preserve"> </w:t>
      </w:r>
      <w:r w:rsidRPr="00BA19FB">
        <w:rPr>
          <w:lang w:val="fr-FR"/>
        </w:rPr>
        <w:t>essentiel</w:t>
      </w:r>
      <w:r w:rsidR="00C1428B" w:rsidRPr="00BA19FB">
        <w:rPr>
          <w:lang w:val="fr-FR"/>
        </w:rPr>
        <w:t xml:space="preserve"> </w:t>
      </w:r>
      <w:r w:rsidRPr="00BA19FB">
        <w:rPr>
          <w:lang w:val="fr-FR"/>
        </w:rPr>
        <w:t>pour la société de l'information et offre la possibilité de transformer les infrastructures urbaines, en tirant parti</w:t>
      </w:r>
      <w:r w:rsidR="00C1428B" w:rsidRPr="00BA19FB">
        <w:rPr>
          <w:lang w:val="fr-FR"/>
        </w:rPr>
        <w:t>,</w:t>
      </w:r>
      <w:r w:rsidRPr="00BA19FB">
        <w:rPr>
          <w:lang w:val="fr-FR"/>
        </w:rPr>
        <w:t xml:space="preserve"> notamment</w:t>
      </w:r>
      <w:r w:rsidR="00C1428B" w:rsidRPr="00BA19FB">
        <w:rPr>
          <w:lang w:val="fr-FR"/>
        </w:rPr>
        <w:t>,</w:t>
      </w:r>
      <w:r w:rsidRPr="00BA19FB">
        <w:rPr>
          <w:lang w:val="fr-FR"/>
        </w:rPr>
        <w:t xml:space="preserve"> des gains d'efficacité liés aux bâtiments et aux systèmes de transport intelligents ainsi qu'à la gestion intelligente de l'eau qui, ensemble, permettent d'offrir des services dans l'intérêt des utilisateurs</w:t>
      </w:r>
      <w:r w:rsidR="00C1428B" w:rsidRPr="00BA19FB">
        <w:rPr>
          <w:lang w:val="fr-FR"/>
        </w:rPr>
        <w:t xml:space="preserve"> sur la base de l'infrastructure Internet et du développement futur de l'Internet de prochaine génération</w:t>
      </w:r>
      <w:r w:rsidRPr="00BA19FB">
        <w:rPr>
          <w:lang w:val="fr-FR"/>
        </w:rPr>
        <w:t>;</w:t>
      </w:r>
    </w:p>
    <w:p w14:paraId="69E3FF41" w14:textId="2D83EDA7" w:rsidR="00AB07D5" w:rsidRPr="00BA19FB" w:rsidRDefault="00AB07D5" w:rsidP="002765DF">
      <w:pPr>
        <w:rPr>
          <w:lang w:val="fr-FR"/>
        </w:rPr>
      </w:pPr>
      <w:r w:rsidRPr="00BA19FB">
        <w:rPr>
          <w:i/>
          <w:iCs/>
          <w:lang w:val="fr-FR"/>
        </w:rPr>
        <w:t>g)</w:t>
      </w:r>
      <w:r w:rsidRPr="00BA19FB">
        <w:rPr>
          <w:lang w:val="fr-FR"/>
        </w:rPr>
        <w:tab/>
      </w:r>
      <w:r w:rsidR="009A4EAC" w:rsidRPr="00BA19FB">
        <w:rPr>
          <w:lang w:val="fr-FR"/>
        </w:rPr>
        <w:t>que les menaces existantes en matière de cybersécurité devraient évoluer dans le métavers et qu'il est nécessaire de les combattre efficacement</w:t>
      </w:r>
      <w:r w:rsidRPr="00BA19FB">
        <w:rPr>
          <w:lang w:val="fr-FR"/>
        </w:rPr>
        <w:t>;</w:t>
      </w:r>
    </w:p>
    <w:p w14:paraId="6AC4611D" w14:textId="4E3BFD17" w:rsidR="00AB07D5" w:rsidRPr="00BA19FB" w:rsidRDefault="00AB07D5" w:rsidP="002765DF">
      <w:pPr>
        <w:rPr>
          <w:lang w:val="fr-FR"/>
        </w:rPr>
      </w:pPr>
      <w:r w:rsidRPr="00BA19FB">
        <w:rPr>
          <w:i/>
          <w:iCs/>
          <w:lang w:val="fr-FR"/>
        </w:rPr>
        <w:t>h)</w:t>
      </w:r>
      <w:r w:rsidRPr="00BA19FB">
        <w:rPr>
          <w:lang w:val="fr-FR"/>
        </w:rPr>
        <w:tab/>
      </w:r>
      <w:r w:rsidR="009A4EAC" w:rsidRPr="00BA19FB">
        <w:rPr>
          <w:lang w:val="fr-FR"/>
        </w:rPr>
        <w:t>que la technologie du métavers apporte des avantages importants à la société et qu'il est nécessaire de créer un métavers équitable et inclusif</w:t>
      </w:r>
      <w:r w:rsidRPr="00BA19FB">
        <w:rPr>
          <w:lang w:val="fr-FR"/>
        </w:rPr>
        <w:t>;</w:t>
      </w:r>
    </w:p>
    <w:p w14:paraId="2B6E75D9" w14:textId="561B3010" w:rsidR="00AB07D5" w:rsidRPr="00BA19FB" w:rsidRDefault="00AB07D5" w:rsidP="002765DF">
      <w:pPr>
        <w:rPr>
          <w:lang w:val="fr-FR"/>
        </w:rPr>
      </w:pPr>
      <w:r w:rsidRPr="00BA19FB">
        <w:rPr>
          <w:i/>
          <w:iCs/>
          <w:lang w:val="fr-FR"/>
        </w:rPr>
        <w:t>i)</w:t>
      </w:r>
      <w:r w:rsidRPr="00BA19FB">
        <w:rPr>
          <w:lang w:val="fr-FR"/>
        </w:rPr>
        <w:tab/>
      </w:r>
      <w:r w:rsidR="009A4EAC" w:rsidRPr="00BA19FB">
        <w:rPr>
          <w:lang w:val="fr-FR"/>
        </w:rPr>
        <w:t xml:space="preserve">que la technologie du métavers permet de créer un univers numérique immersif dans lequel les personnes peuvent interagir, travailler et se divertir, et qu'en conséquence, de grandes quantités de données personnelles sont générées et échangées entre les plates-formes du métavers, ce qui pose des problèmes importants en matière de protection des données </w:t>
      </w:r>
      <w:r w:rsidR="00C1428B" w:rsidRPr="00BA19FB">
        <w:rPr>
          <w:lang w:val="fr-FR"/>
        </w:rPr>
        <w:t>et de respect de</w:t>
      </w:r>
      <w:r w:rsidR="009A4EAC" w:rsidRPr="00BA19FB">
        <w:rPr>
          <w:lang w:val="fr-FR"/>
        </w:rPr>
        <w:t xml:space="preserve"> la vie privée</w:t>
      </w:r>
      <w:r w:rsidRPr="00BA19FB">
        <w:rPr>
          <w:lang w:val="fr-FR"/>
        </w:rPr>
        <w:t>,</w:t>
      </w:r>
    </w:p>
    <w:p w14:paraId="3DABB7E9" w14:textId="01D30774" w:rsidR="00AB07D5" w:rsidRPr="00BA19FB" w:rsidRDefault="00AB07D5" w:rsidP="002765DF">
      <w:pPr>
        <w:pStyle w:val="Call"/>
        <w:rPr>
          <w:lang w:val="fr-FR"/>
        </w:rPr>
      </w:pPr>
      <w:r w:rsidRPr="00BA19FB">
        <w:rPr>
          <w:lang w:val="fr-FR"/>
        </w:rPr>
        <w:t>notant</w:t>
      </w:r>
    </w:p>
    <w:p w14:paraId="6C019468" w14:textId="62B2C302" w:rsidR="00AB07D5" w:rsidRPr="00BA19FB" w:rsidRDefault="00AB07D5" w:rsidP="002765DF">
      <w:pPr>
        <w:rPr>
          <w:lang w:val="fr-FR"/>
        </w:rPr>
      </w:pPr>
      <w:r w:rsidRPr="00BA19FB">
        <w:rPr>
          <w:i/>
          <w:iCs/>
          <w:lang w:val="fr-FR"/>
        </w:rPr>
        <w:t>a)</w:t>
      </w:r>
      <w:r w:rsidRPr="00BA19FB">
        <w:rPr>
          <w:lang w:val="fr-FR"/>
        </w:rPr>
        <w:tab/>
        <w:t xml:space="preserve">que les États Membres de l'UIT ont identifié d'importantes responsabilités politiques </w:t>
      </w:r>
      <w:r w:rsidR="00622DF7" w:rsidRPr="00BA19FB">
        <w:rPr>
          <w:lang w:val="fr-FR"/>
        </w:rPr>
        <w:t xml:space="preserve">au </w:t>
      </w:r>
      <w:r w:rsidRPr="00BA19FB">
        <w:rPr>
          <w:lang w:val="fr-FR"/>
        </w:rPr>
        <w:t xml:space="preserve">Chapitre VI de la Constitution de l'UIT </w:t>
      </w:r>
      <w:r w:rsidR="00622DF7" w:rsidRPr="00BA19FB">
        <w:rPr>
          <w:lang w:val="fr-FR"/>
        </w:rPr>
        <w:t xml:space="preserve">(articles 33 à 43) </w:t>
      </w:r>
      <w:r w:rsidRPr="00BA19FB">
        <w:rPr>
          <w:lang w:val="fr-FR"/>
        </w:rPr>
        <w:t xml:space="preserve">et </w:t>
      </w:r>
      <w:r w:rsidR="00622DF7" w:rsidRPr="00BA19FB">
        <w:rPr>
          <w:lang w:val="fr-FR"/>
        </w:rPr>
        <w:t xml:space="preserve">au </w:t>
      </w:r>
      <w:r w:rsidRPr="00BA19FB">
        <w:rPr>
          <w:lang w:val="fr-FR"/>
        </w:rPr>
        <w:t xml:space="preserve">Chapitre V de la Convention </w:t>
      </w:r>
      <w:r w:rsidR="00622DF7" w:rsidRPr="00BA19FB">
        <w:rPr>
          <w:lang w:val="fr-FR"/>
        </w:rPr>
        <w:t>(articles</w:t>
      </w:r>
      <w:r w:rsidR="00264648" w:rsidRPr="00BA19FB">
        <w:rPr>
          <w:lang w:val="fr-FR"/>
        </w:rPr>
        <w:t> </w:t>
      </w:r>
      <w:r w:rsidR="00622DF7" w:rsidRPr="00BA19FB">
        <w:rPr>
          <w:lang w:val="fr-FR"/>
        </w:rPr>
        <w:t xml:space="preserve">36 à 40) </w:t>
      </w:r>
      <w:r w:rsidRPr="00BA19FB">
        <w:rPr>
          <w:lang w:val="fr-FR"/>
        </w:rPr>
        <w:t>ainsi que dans des résolutions pertinentes de la Conférence de plénipotentiaires</w:t>
      </w:r>
      <w:r w:rsidR="00622DF7" w:rsidRPr="00BA19FB">
        <w:rPr>
          <w:lang w:val="fr-FR"/>
        </w:rPr>
        <w:t xml:space="preserve">, qui </w:t>
      </w:r>
      <w:r w:rsidR="0089455E" w:rsidRPr="00BA19FB">
        <w:rPr>
          <w:lang w:val="fr-FR"/>
        </w:rPr>
        <w:t>contiennent</w:t>
      </w:r>
      <w:r w:rsidR="00622DF7" w:rsidRPr="00BA19FB">
        <w:rPr>
          <w:lang w:val="fr-FR"/>
        </w:rPr>
        <w:t xml:space="preserve"> également des dispositions en vue d'une proposition de nouvelle résolution</w:t>
      </w:r>
      <w:r w:rsidRPr="00BA19FB">
        <w:rPr>
          <w:lang w:val="fr-FR"/>
        </w:rPr>
        <w:t>;</w:t>
      </w:r>
    </w:p>
    <w:p w14:paraId="1481DDC0" w14:textId="3CC837B3" w:rsidR="00AB07D5" w:rsidRPr="00BA19FB" w:rsidRDefault="00AB07D5" w:rsidP="002765DF">
      <w:pPr>
        <w:rPr>
          <w:lang w:val="fr-FR"/>
        </w:rPr>
      </w:pPr>
      <w:r w:rsidRPr="00BA19FB">
        <w:rPr>
          <w:i/>
          <w:iCs/>
          <w:lang w:val="fr-FR"/>
        </w:rPr>
        <w:t>b)</w:t>
      </w:r>
      <w:r w:rsidRPr="00BA19FB">
        <w:rPr>
          <w:lang w:val="fr-FR"/>
        </w:rPr>
        <w:tab/>
        <w:t>que le Règlement des télécommunications internationales décrit plus en détail les obligations des États Membres en matière de politique et de réglementation;</w:t>
      </w:r>
    </w:p>
    <w:p w14:paraId="7F6F8EE7" w14:textId="77777777" w:rsidR="00AB07D5" w:rsidRPr="00BA19FB" w:rsidRDefault="00AB07D5" w:rsidP="002765DF">
      <w:pPr>
        <w:rPr>
          <w:lang w:val="fr-FR"/>
        </w:rPr>
      </w:pPr>
      <w:r w:rsidRPr="00BA19FB">
        <w:rPr>
          <w:i/>
          <w:iCs/>
          <w:lang w:val="fr-FR"/>
        </w:rPr>
        <w:t>c)</w:t>
      </w:r>
      <w:r w:rsidRPr="00BA19FB">
        <w:rPr>
          <w:lang w:val="fr-FR"/>
        </w:rPr>
        <w:tab/>
        <w:t>que, selon le numéro 191C de la Convention, l'Assemblée mondiale de normalisation des télécommunications (AMNT) peut confier des questions relevant de son domaine de compétence au Groupe consultatif de la normalisation des télécommunications (GCNT) en indiquant les mesures à prendre concernant ces questions,</w:t>
      </w:r>
    </w:p>
    <w:p w14:paraId="17D19A1A" w14:textId="4D37140A" w:rsidR="00AB07D5" w:rsidRPr="00BA19FB" w:rsidRDefault="00AB07D5" w:rsidP="002765DF">
      <w:pPr>
        <w:pStyle w:val="Call"/>
        <w:rPr>
          <w:lang w:val="fr-FR"/>
        </w:rPr>
      </w:pPr>
      <w:r w:rsidRPr="00BA19FB">
        <w:rPr>
          <w:lang w:val="fr-FR"/>
        </w:rPr>
        <w:t>décide</w:t>
      </w:r>
    </w:p>
    <w:p w14:paraId="05C971DC" w14:textId="27728500" w:rsidR="009A4EAC" w:rsidRPr="00BA19FB" w:rsidRDefault="00AB07D5" w:rsidP="002765DF">
      <w:pPr>
        <w:rPr>
          <w:lang w:val="fr-FR"/>
        </w:rPr>
      </w:pPr>
      <w:r w:rsidRPr="00BA19FB">
        <w:rPr>
          <w:i/>
          <w:iCs/>
          <w:lang w:val="fr-FR"/>
        </w:rPr>
        <w:t>a)</w:t>
      </w:r>
      <w:r w:rsidRPr="00BA19FB">
        <w:rPr>
          <w:lang w:val="fr-FR"/>
        </w:rPr>
        <w:tab/>
      </w:r>
      <w:r w:rsidR="009A4EAC" w:rsidRPr="00BA19FB">
        <w:rPr>
          <w:lang w:val="fr-FR"/>
        </w:rPr>
        <w:t>de promouvoir et de renforcer les travaux de normalisation d</w:t>
      </w:r>
      <w:r w:rsidR="002B448E" w:rsidRPr="00BA19FB">
        <w:rPr>
          <w:lang w:val="fr-FR"/>
        </w:rPr>
        <w:t>es commissions d'études de</w:t>
      </w:r>
      <w:r w:rsidR="009A4EAC" w:rsidRPr="00BA19FB">
        <w:rPr>
          <w:lang w:val="fr-FR"/>
        </w:rPr>
        <w:t xml:space="preserve"> l'UIT-T relatifs aux technologies</w:t>
      </w:r>
      <w:r w:rsidR="005B0ADC" w:rsidRPr="00BA19FB">
        <w:rPr>
          <w:lang w:val="fr-FR"/>
        </w:rPr>
        <w:t xml:space="preserve"> de base</w:t>
      </w:r>
      <w:r w:rsidR="009A4EAC" w:rsidRPr="00BA19FB">
        <w:rPr>
          <w:lang w:val="fr-FR"/>
        </w:rPr>
        <w:t xml:space="preserve">, aux systèmes, aux applications, aux services, aux protocoles, aux </w:t>
      </w:r>
      <w:r w:rsidR="002B448E" w:rsidRPr="00BA19FB">
        <w:rPr>
          <w:lang w:val="fr-FR"/>
        </w:rPr>
        <w:t>fonctionnalités</w:t>
      </w:r>
      <w:r w:rsidR="009A4EAC" w:rsidRPr="00BA19FB">
        <w:rPr>
          <w:lang w:val="fr-FR"/>
        </w:rPr>
        <w:t xml:space="preserve"> de sécurité, à l'accessibilité et à la durabilité du métavers, compte tenu des exigences récentes du marché</w:t>
      </w:r>
      <w:r w:rsidR="005B0ADC" w:rsidRPr="00BA19FB">
        <w:rPr>
          <w:lang w:val="fr-FR"/>
        </w:rPr>
        <w:t>,</w:t>
      </w:r>
      <w:r w:rsidR="009A4EAC" w:rsidRPr="00BA19FB">
        <w:rPr>
          <w:lang w:val="fr-FR"/>
        </w:rPr>
        <w:t xml:space="preserve"> en vue d'améliorer la valeur des produits de UIT-T, tels que les recommandations, les rapports techniques et les lignes directrices;</w:t>
      </w:r>
    </w:p>
    <w:p w14:paraId="1C21C882" w14:textId="16AE28E0" w:rsidR="009A4EAC" w:rsidRPr="00BA19FB" w:rsidRDefault="009A4EAC" w:rsidP="002765DF">
      <w:pPr>
        <w:rPr>
          <w:lang w:val="fr-FR"/>
        </w:rPr>
      </w:pPr>
      <w:r w:rsidRPr="00BA19FB">
        <w:rPr>
          <w:i/>
          <w:iCs/>
          <w:lang w:val="fr-FR"/>
        </w:rPr>
        <w:lastRenderedPageBreak/>
        <w:t>b)</w:t>
      </w:r>
      <w:r w:rsidRPr="00BA19FB">
        <w:rPr>
          <w:i/>
          <w:iCs/>
          <w:lang w:val="fr-FR"/>
        </w:rPr>
        <w:tab/>
      </w:r>
      <w:r w:rsidRPr="00BA19FB">
        <w:rPr>
          <w:lang w:val="fr-FR"/>
        </w:rPr>
        <w:t>de créer une Activité conjointe de coordination sur le métavers (JCA-MV) chargée de diriger une initiative mondiale sur le métavers et de recenser les lacunes</w:t>
      </w:r>
      <w:r w:rsidR="005B0ADC" w:rsidRPr="00BA19FB">
        <w:rPr>
          <w:lang w:val="fr-FR"/>
        </w:rPr>
        <w:t>,</w:t>
      </w:r>
      <w:r w:rsidRPr="00BA19FB">
        <w:rPr>
          <w:lang w:val="fr-FR"/>
        </w:rPr>
        <w:t xml:space="preserve"> afin </w:t>
      </w:r>
      <w:r w:rsidR="005B0ADC" w:rsidRPr="00BA19FB">
        <w:rPr>
          <w:lang w:val="fr-FR"/>
        </w:rPr>
        <w:t>de mener à bien d</w:t>
      </w:r>
      <w:r w:rsidRPr="00BA19FB">
        <w:rPr>
          <w:lang w:val="fr-FR"/>
        </w:rPr>
        <w:t xml:space="preserve">es activités de normalisation </w:t>
      </w:r>
      <w:r w:rsidR="005B0ADC" w:rsidRPr="00BA19FB">
        <w:rPr>
          <w:lang w:val="fr-FR"/>
        </w:rPr>
        <w:t xml:space="preserve">dans le cadre des </w:t>
      </w:r>
      <w:r w:rsidRPr="00BA19FB">
        <w:rPr>
          <w:lang w:val="fr-FR"/>
        </w:rPr>
        <w:t xml:space="preserve">commissions d'études compétentes ou </w:t>
      </w:r>
      <w:r w:rsidR="005B0ADC" w:rsidRPr="00BA19FB">
        <w:rPr>
          <w:lang w:val="fr-FR"/>
        </w:rPr>
        <w:t>du</w:t>
      </w:r>
      <w:r w:rsidRPr="00BA19FB">
        <w:rPr>
          <w:lang w:val="fr-FR"/>
        </w:rPr>
        <w:t xml:space="preserve"> GCNT, </w:t>
      </w:r>
      <w:r w:rsidR="005B0ADC" w:rsidRPr="00BA19FB">
        <w:rPr>
          <w:lang w:val="fr-FR"/>
        </w:rPr>
        <w:t xml:space="preserve">de façon à </w:t>
      </w:r>
      <w:r w:rsidRPr="00BA19FB">
        <w:rPr>
          <w:lang w:val="fr-FR"/>
        </w:rPr>
        <w:t xml:space="preserve">coordonner les travaux de normalisation pertinents de chaque </w:t>
      </w:r>
      <w:r w:rsidR="005B0ADC" w:rsidRPr="00BA19FB">
        <w:rPr>
          <w:lang w:val="fr-FR"/>
        </w:rPr>
        <w:t>commission d'études de l'</w:t>
      </w:r>
      <w:r w:rsidRPr="00BA19FB">
        <w:rPr>
          <w:lang w:val="fr-FR"/>
        </w:rPr>
        <w:t xml:space="preserve">UIT-T et </w:t>
      </w:r>
      <w:r w:rsidR="005B0ADC" w:rsidRPr="00BA19FB">
        <w:rPr>
          <w:lang w:val="fr-FR"/>
        </w:rPr>
        <w:t xml:space="preserve">à </w:t>
      </w:r>
      <w:r w:rsidRPr="00BA19FB">
        <w:rPr>
          <w:lang w:val="fr-FR"/>
        </w:rPr>
        <w:t>collaborer avec les organismes de normalisation concernés et les parties concernées extérieures à UIT-T;</w:t>
      </w:r>
    </w:p>
    <w:p w14:paraId="5715F6EC" w14:textId="4830770A" w:rsidR="009A4EAC" w:rsidRPr="00BA19FB" w:rsidRDefault="009A4EAC" w:rsidP="002765DF">
      <w:pPr>
        <w:rPr>
          <w:lang w:val="fr-FR"/>
        </w:rPr>
      </w:pPr>
      <w:r w:rsidRPr="00BA19FB">
        <w:rPr>
          <w:i/>
          <w:iCs/>
          <w:lang w:val="fr-FR"/>
        </w:rPr>
        <w:t>c)</w:t>
      </w:r>
      <w:r w:rsidRPr="00BA19FB">
        <w:rPr>
          <w:i/>
          <w:iCs/>
          <w:lang w:val="fr-FR"/>
        </w:rPr>
        <w:tab/>
      </w:r>
      <w:r w:rsidRPr="00BA19FB">
        <w:rPr>
          <w:lang w:val="fr-FR"/>
        </w:rPr>
        <w:t xml:space="preserve">d'organiser des ateliers de l'UIT et de diffuser les progrès et les résultats des travaux des commissions d'études de l'UIT-T </w:t>
      </w:r>
      <w:r w:rsidR="00EE50F4" w:rsidRPr="00BA19FB">
        <w:rPr>
          <w:lang w:val="fr-FR"/>
        </w:rPr>
        <w:t>chargées de la</w:t>
      </w:r>
      <w:r w:rsidRPr="00BA19FB">
        <w:rPr>
          <w:lang w:val="fr-FR"/>
        </w:rPr>
        <w:t xml:space="preserve"> normalisation du métavers avant la prochaine</w:t>
      </w:r>
      <w:r w:rsidR="00BA19FB" w:rsidRPr="00BA19FB">
        <w:rPr>
          <w:lang w:val="fr-FR"/>
        </w:rPr>
        <w:t xml:space="preserve"> </w:t>
      </w:r>
      <w:r w:rsidRPr="00BA19FB">
        <w:rPr>
          <w:lang w:val="fr-FR"/>
        </w:rPr>
        <w:t xml:space="preserve">AMNT, et de favoriser la collaboration avec les associations du secteur, les consortiums et les forums </w:t>
      </w:r>
      <w:r w:rsidR="00EE50F4" w:rsidRPr="00BA19FB">
        <w:rPr>
          <w:lang w:val="fr-FR"/>
        </w:rPr>
        <w:t>traitant</w:t>
      </w:r>
      <w:r w:rsidRPr="00BA19FB">
        <w:rPr>
          <w:lang w:val="fr-FR"/>
        </w:rPr>
        <w:t xml:space="preserve"> des systèmes, applications et services du métavers;</w:t>
      </w:r>
    </w:p>
    <w:p w14:paraId="00AE9175" w14:textId="73197ED4" w:rsidR="009A4EAC" w:rsidRPr="00BA19FB" w:rsidRDefault="009A4EAC" w:rsidP="002765DF">
      <w:pPr>
        <w:rPr>
          <w:lang w:val="fr-FR"/>
        </w:rPr>
      </w:pPr>
      <w:r w:rsidRPr="00BA19FB">
        <w:rPr>
          <w:i/>
          <w:iCs/>
          <w:lang w:val="fr-FR"/>
        </w:rPr>
        <w:t>d)</w:t>
      </w:r>
      <w:r w:rsidRPr="00BA19FB">
        <w:rPr>
          <w:i/>
          <w:iCs/>
          <w:lang w:val="fr-FR"/>
        </w:rPr>
        <w:tab/>
      </w:r>
      <w:r w:rsidRPr="00BA19FB">
        <w:rPr>
          <w:lang w:val="fr-FR"/>
        </w:rPr>
        <w:t xml:space="preserve">de favoriser une collaboration constante avec des organisations internationales de normalisation, des forums du secteur et les organisations concernées dans le cadre de projets et d'initiatives mondiaux, </w:t>
      </w:r>
      <w:r w:rsidR="000A10E6" w:rsidRPr="00BA19FB">
        <w:rPr>
          <w:lang w:val="fr-FR"/>
        </w:rPr>
        <w:t>dans le but d'accélérer</w:t>
      </w:r>
      <w:r w:rsidRPr="00BA19FB">
        <w:rPr>
          <w:lang w:val="fr-FR"/>
        </w:rPr>
        <w:t xml:space="preserve"> l'élaboration de normes et de rapports internationaux sur les télécommunications qui garantissent une interopérabilité transparente des technologies du métavers </w:t>
      </w:r>
      <w:r w:rsidR="000A10E6" w:rsidRPr="00BA19FB">
        <w:rPr>
          <w:lang w:val="fr-FR"/>
        </w:rPr>
        <w:t xml:space="preserve">et d'éviter </w:t>
      </w:r>
      <w:r w:rsidR="0089455E" w:rsidRPr="00BA19FB">
        <w:rPr>
          <w:lang w:val="fr-FR"/>
        </w:rPr>
        <w:t>les doubles emplois</w:t>
      </w:r>
      <w:r w:rsidR="000A10E6" w:rsidRPr="00BA19FB">
        <w:rPr>
          <w:lang w:val="fr-FR"/>
        </w:rPr>
        <w:t xml:space="preserve"> dans le cadre </w:t>
      </w:r>
      <w:r w:rsidRPr="00BA19FB">
        <w:rPr>
          <w:lang w:val="fr-FR"/>
        </w:rPr>
        <w:t>des travaux sur le métavers;</w:t>
      </w:r>
    </w:p>
    <w:p w14:paraId="440EE130" w14:textId="34237351" w:rsidR="009A4EAC" w:rsidRPr="00BA19FB" w:rsidRDefault="009A4EAC" w:rsidP="002765DF">
      <w:pPr>
        <w:rPr>
          <w:lang w:val="fr-FR"/>
        </w:rPr>
      </w:pPr>
      <w:r w:rsidRPr="00BA19FB">
        <w:rPr>
          <w:i/>
          <w:iCs/>
          <w:lang w:val="fr-FR"/>
        </w:rPr>
        <w:t>e)</w:t>
      </w:r>
      <w:r w:rsidRPr="00BA19FB">
        <w:rPr>
          <w:i/>
          <w:iCs/>
          <w:lang w:val="fr-FR"/>
        </w:rPr>
        <w:tab/>
      </w:r>
      <w:r w:rsidRPr="00BA19FB">
        <w:rPr>
          <w:lang w:val="fr-FR"/>
        </w:rPr>
        <w:t xml:space="preserve">de prendre les mesures nécessaires pour parvenir à une compréhension globale des menaces et d'encourager la coopération entre les gouvernements et le secteur privé, afin de mettre en place un environnement du métavers </w:t>
      </w:r>
      <w:r w:rsidR="000A10E6" w:rsidRPr="00BA19FB">
        <w:rPr>
          <w:lang w:val="fr-FR"/>
        </w:rPr>
        <w:t xml:space="preserve">qui soit </w:t>
      </w:r>
      <w:r w:rsidRPr="00BA19FB">
        <w:rPr>
          <w:lang w:val="fr-FR"/>
        </w:rPr>
        <w:t>sûr</w:t>
      </w:r>
      <w:r w:rsidR="000A10E6" w:rsidRPr="00BA19FB">
        <w:rPr>
          <w:lang w:val="fr-FR"/>
        </w:rPr>
        <w:t>,</w:t>
      </w:r>
      <w:r w:rsidRPr="00BA19FB">
        <w:rPr>
          <w:lang w:val="fr-FR"/>
        </w:rPr>
        <w:t xml:space="preserve"> sécurisé </w:t>
      </w:r>
      <w:r w:rsidR="000A10E6" w:rsidRPr="00BA19FB">
        <w:rPr>
          <w:lang w:val="fr-FR"/>
        </w:rPr>
        <w:t xml:space="preserve">et </w:t>
      </w:r>
      <w:r w:rsidRPr="00BA19FB">
        <w:rPr>
          <w:lang w:val="fr-FR"/>
        </w:rPr>
        <w:t>axé</w:t>
      </w:r>
      <w:r w:rsidR="000A10E6" w:rsidRPr="00BA19FB">
        <w:rPr>
          <w:lang w:val="fr-FR"/>
        </w:rPr>
        <w:t xml:space="preserve"> </w:t>
      </w:r>
      <w:r w:rsidRPr="00BA19FB">
        <w:rPr>
          <w:lang w:val="fr-FR"/>
        </w:rPr>
        <w:t>sur le bien-être des utilisateurs;</w:t>
      </w:r>
    </w:p>
    <w:p w14:paraId="09E1C44F" w14:textId="4F0BBE45" w:rsidR="009A4EAC" w:rsidRPr="00BA19FB" w:rsidRDefault="009A4EAC" w:rsidP="002765DF">
      <w:pPr>
        <w:rPr>
          <w:lang w:val="fr-FR"/>
        </w:rPr>
      </w:pPr>
      <w:r w:rsidRPr="00BA19FB">
        <w:rPr>
          <w:i/>
          <w:iCs/>
          <w:lang w:val="fr-FR"/>
        </w:rPr>
        <w:t>f)</w:t>
      </w:r>
      <w:r w:rsidRPr="00BA19FB">
        <w:rPr>
          <w:i/>
          <w:iCs/>
          <w:lang w:val="fr-FR"/>
        </w:rPr>
        <w:tab/>
      </w:r>
      <w:r w:rsidRPr="00BA19FB">
        <w:rPr>
          <w:lang w:val="fr-FR"/>
        </w:rPr>
        <w:t xml:space="preserve">à adopter le métavers, en reconnaissant son potentiel </w:t>
      </w:r>
      <w:r w:rsidR="000A10E6" w:rsidRPr="00BA19FB">
        <w:rPr>
          <w:lang w:val="fr-FR"/>
        </w:rPr>
        <w:t>pour la</w:t>
      </w:r>
      <w:r w:rsidRPr="00BA19FB">
        <w:rPr>
          <w:lang w:val="fr-FR"/>
        </w:rPr>
        <w:t xml:space="preserve"> croissance économique, </w:t>
      </w:r>
      <w:r w:rsidR="000A10E6" w:rsidRPr="00BA19FB">
        <w:rPr>
          <w:lang w:val="fr-FR"/>
        </w:rPr>
        <w:t>le</w:t>
      </w:r>
      <w:r w:rsidRPr="00BA19FB">
        <w:rPr>
          <w:lang w:val="fr-FR"/>
        </w:rPr>
        <w:t xml:space="preserve"> progrès technologique et </w:t>
      </w:r>
      <w:r w:rsidR="000A10E6" w:rsidRPr="00BA19FB">
        <w:rPr>
          <w:lang w:val="fr-FR"/>
        </w:rPr>
        <w:t>la</w:t>
      </w:r>
      <w:r w:rsidRPr="00BA19FB">
        <w:rPr>
          <w:lang w:val="fr-FR"/>
        </w:rPr>
        <w:t xml:space="preserve"> transformation de la société;</w:t>
      </w:r>
    </w:p>
    <w:p w14:paraId="5229DBFF" w14:textId="48F37C66" w:rsidR="00AB07D5" w:rsidRPr="00BA19FB" w:rsidRDefault="009A4EAC" w:rsidP="002765DF">
      <w:pPr>
        <w:rPr>
          <w:lang w:val="fr-FR"/>
        </w:rPr>
      </w:pPr>
      <w:r w:rsidRPr="00BA19FB">
        <w:rPr>
          <w:i/>
          <w:iCs/>
          <w:lang w:val="fr-FR"/>
        </w:rPr>
        <w:t>g)</w:t>
      </w:r>
      <w:r w:rsidRPr="00BA19FB">
        <w:rPr>
          <w:i/>
          <w:iCs/>
          <w:lang w:val="fr-FR"/>
        </w:rPr>
        <w:tab/>
      </w:r>
      <w:r w:rsidRPr="00BA19FB">
        <w:rPr>
          <w:lang w:val="fr-FR"/>
        </w:rPr>
        <w:t xml:space="preserve">de garantir la confidentialité des données sur les plates-formes du métavers au moyen de technologies </w:t>
      </w:r>
      <w:r w:rsidR="000A10E6" w:rsidRPr="00BA19FB">
        <w:rPr>
          <w:lang w:val="fr-FR"/>
        </w:rPr>
        <w:t>visant à renforcer</w:t>
      </w:r>
      <w:r w:rsidRPr="00BA19FB">
        <w:rPr>
          <w:lang w:val="fr-FR"/>
        </w:rPr>
        <w:t xml:space="preserve"> la confidentialité</w:t>
      </w:r>
      <w:r w:rsidR="000A10E6" w:rsidRPr="00BA19FB">
        <w:rPr>
          <w:lang w:val="fr-FR"/>
        </w:rPr>
        <w:t>,</w:t>
      </w:r>
      <w:r w:rsidRPr="00BA19FB">
        <w:rPr>
          <w:lang w:val="fr-FR"/>
        </w:rPr>
        <w:t xml:space="preserve"> qui permettront aux utilisateurs de garder le contrôle de leurs données personnelles, même au sein de domaines virtuels,</w:t>
      </w:r>
    </w:p>
    <w:p w14:paraId="7348223A" w14:textId="21AA09EF" w:rsidR="00AB07D5" w:rsidRPr="00BA19FB" w:rsidRDefault="00AB07D5" w:rsidP="002765DF">
      <w:pPr>
        <w:pStyle w:val="Call"/>
        <w:rPr>
          <w:lang w:val="fr-FR"/>
        </w:rPr>
      </w:pPr>
      <w:r w:rsidRPr="00BA19FB">
        <w:rPr>
          <w:lang w:val="fr-FR"/>
        </w:rPr>
        <w:t>invite les États Membres</w:t>
      </w:r>
    </w:p>
    <w:p w14:paraId="14616A85" w14:textId="158C83A6" w:rsidR="00AB07D5" w:rsidRPr="00BA19FB" w:rsidRDefault="00AB07D5" w:rsidP="002765DF">
      <w:pPr>
        <w:rPr>
          <w:lang w:val="fr-FR"/>
        </w:rPr>
      </w:pPr>
      <w:r w:rsidRPr="00BA19FB">
        <w:rPr>
          <w:i/>
          <w:iCs/>
          <w:lang w:val="fr-FR"/>
        </w:rPr>
        <w:t>a)</w:t>
      </w:r>
      <w:r w:rsidRPr="00BA19FB">
        <w:rPr>
          <w:lang w:val="fr-FR"/>
        </w:rPr>
        <w:tab/>
      </w:r>
      <w:r w:rsidR="009A4EAC" w:rsidRPr="00BA19FB">
        <w:rPr>
          <w:lang w:val="fr-FR"/>
        </w:rPr>
        <w:t xml:space="preserve">à soumettre des contributions et à continuer de participer activement aux travaux de toutes les commissions d'études de l'UIT-T, en particulier de celles qui </w:t>
      </w:r>
      <w:r w:rsidR="000A10E6" w:rsidRPr="00BA19FB">
        <w:rPr>
          <w:lang w:val="fr-FR"/>
        </w:rPr>
        <w:t>promeuvent</w:t>
      </w:r>
      <w:r w:rsidR="009A4EAC" w:rsidRPr="00BA19FB">
        <w:rPr>
          <w:lang w:val="fr-FR"/>
        </w:rPr>
        <w:t xml:space="preserve"> le métavers</w:t>
      </w:r>
      <w:r w:rsidR="000A10E6" w:rsidRPr="00BA19FB">
        <w:rPr>
          <w:lang w:val="fr-FR"/>
        </w:rPr>
        <w:t>, à savoir la C</w:t>
      </w:r>
      <w:r w:rsidR="009A4EAC" w:rsidRPr="00BA19FB">
        <w:rPr>
          <w:lang w:val="fr-FR"/>
        </w:rPr>
        <w:t>ommission d'études 20</w:t>
      </w:r>
      <w:r w:rsidR="000A10E6" w:rsidRPr="00BA19FB">
        <w:rPr>
          <w:lang w:val="fr-FR"/>
        </w:rPr>
        <w:t xml:space="preserve">, la </w:t>
      </w:r>
      <w:r w:rsidR="009A4EAC" w:rsidRPr="00BA19FB">
        <w:rPr>
          <w:lang w:val="fr-FR"/>
        </w:rPr>
        <w:t>Commission d'études 17</w:t>
      </w:r>
      <w:r w:rsidR="000A10E6" w:rsidRPr="00BA19FB">
        <w:rPr>
          <w:lang w:val="fr-FR"/>
        </w:rPr>
        <w:t xml:space="preserve">, la </w:t>
      </w:r>
      <w:r w:rsidR="009A4EAC" w:rsidRPr="00BA19FB">
        <w:rPr>
          <w:lang w:val="fr-FR"/>
        </w:rPr>
        <w:t>Commission d'études 16</w:t>
      </w:r>
      <w:r w:rsidR="000A10E6" w:rsidRPr="00BA19FB">
        <w:rPr>
          <w:lang w:val="fr-FR"/>
        </w:rPr>
        <w:t xml:space="preserve">, la </w:t>
      </w:r>
      <w:r w:rsidR="009A4EAC" w:rsidRPr="00BA19FB">
        <w:rPr>
          <w:lang w:val="fr-FR"/>
        </w:rPr>
        <w:t>Commission d'études 11</w:t>
      </w:r>
      <w:r w:rsidR="000A10E6" w:rsidRPr="00BA19FB">
        <w:rPr>
          <w:lang w:val="fr-FR"/>
        </w:rPr>
        <w:t>, la</w:t>
      </w:r>
      <w:r w:rsidR="009A4EAC" w:rsidRPr="00BA19FB">
        <w:rPr>
          <w:lang w:val="fr-FR"/>
        </w:rPr>
        <w:t xml:space="preserve"> Commission d'études 13</w:t>
      </w:r>
      <w:r w:rsidR="000A10E6" w:rsidRPr="00BA19FB">
        <w:rPr>
          <w:lang w:val="fr-FR"/>
        </w:rPr>
        <w:t xml:space="preserve">, la </w:t>
      </w:r>
      <w:r w:rsidR="009A4EAC" w:rsidRPr="00BA19FB">
        <w:rPr>
          <w:lang w:val="fr-FR"/>
        </w:rPr>
        <w:t>Commission d'études 3 et</w:t>
      </w:r>
      <w:r w:rsidR="000A10E6" w:rsidRPr="00BA19FB">
        <w:rPr>
          <w:lang w:val="fr-FR"/>
        </w:rPr>
        <w:t xml:space="preserve"> une</w:t>
      </w:r>
      <w:r w:rsidR="009A4EAC" w:rsidRPr="00BA19FB">
        <w:rPr>
          <w:lang w:val="fr-FR"/>
        </w:rPr>
        <w:t xml:space="preserve"> nouvelle Commission d'études sur le métavers</w:t>
      </w:r>
      <w:r w:rsidRPr="00BA19FB">
        <w:rPr>
          <w:lang w:val="fr-FR"/>
        </w:rPr>
        <w:t>;</w:t>
      </w:r>
    </w:p>
    <w:p w14:paraId="78403D6A" w14:textId="6DC2EC27" w:rsidR="00AB07D5" w:rsidRPr="00BA19FB" w:rsidRDefault="00AB07D5" w:rsidP="002765DF">
      <w:pPr>
        <w:rPr>
          <w:lang w:val="fr-FR"/>
        </w:rPr>
      </w:pPr>
      <w:r w:rsidRPr="00BA19FB">
        <w:rPr>
          <w:i/>
          <w:iCs/>
          <w:lang w:val="fr-FR"/>
        </w:rPr>
        <w:t>b)</w:t>
      </w:r>
      <w:r w:rsidRPr="00BA19FB">
        <w:rPr>
          <w:lang w:val="fr-FR"/>
        </w:rPr>
        <w:tab/>
      </w:r>
      <w:r w:rsidR="000A10E6" w:rsidRPr="00BA19FB">
        <w:rPr>
          <w:lang w:val="fr-FR"/>
        </w:rPr>
        <w:t xml:space="preserve">à </w:t>
      </w:r>
      <w:r w:rsidR="009A4EAC" w:rsidRPr="00BA19FB">
        <w:rPr>
          <w:lang w:val="fr-FR"/>
        </w:rPr>
        <w:t xml:space="preserve">élaborer des plans directeurs et </w:t>
      </w:r>
      <w:r w:rsidR="000A10E6" w:rsidRPr="00BA19FB">
        <w:rPr>
          <w:lang w:val="fr-FR"/>
        </w:rPr>
        <w:t xml:space="preserve">à </w:t>
      </w:r>
      <w:r w:rsidR="009A4EAC" w:rsidRPr="00BA19FB">
        <w:rPr>
          <w:lang w:val="fr-FR"/>
        </w:rPr>
        <w:t>échanger des cas d'utilisation et de</w:t>
      </w:r>
      <w:r w:rsidR="000A10E6" w:rsidRPr="00BA19FB">
        <w:rPr>
          <w:lang w:val="fr-FR"/>
        </w:rPr>
        <w:t>s</w:t>
      </w:r>
      <w:r w:rsidR="009A4EAC" w:rsidRPr="00BA19FB">
        <w:rPr>
          <w:lang w:val="fr-FR"/>
        </w:rPr>
        <w:t xml:space="preserve"> bonnes pratiques, afin de promouvoir le métavers et </w:t>
      </w:r>
      <w:r w:rsidR="000A10E6" w:rsidRPr="00BA19FB">
        <w:rPr>
          <w:lang w:val="fr-FR"/>
        </w:rPr>
        <w:t>de favoriser</w:t>
      </w:r>
      <w:r w:rsidR="009A4EAC" w:rsidRPr="00BA19FB">
        <w:rPr>
          <w:lang w:val="fr-FR"/>
        </w:rPr>
        <w:t xml:space="preserve"> le développement social et la croissance économique, </w:t>
      </w:r>
      <w:r w:rsidR="000A10E6" w:rsidRPr="00BA19FB">
        <w:rPr>
          <w:lang w:val="fr-FR"/>
        </w:rPr>
        <w:t>dans le but</w:t>
      </w:r>
      <w:r w:rsidR="009A4EAC" w:rsidRPr="00BA19FB">
        <w:rPr>
          <w:lang w:val="fr-FR"/>
        </w:rPr>
        <w:t xml:space="preserve"> d'atteindre les Objectifs de développement durable (ODD)</w:t>
      </w:r>
      <w:r w:rsidRPr="00BA19FB">
        <w:rPr>
          <w:lang w:val="fr-FR"/>
        </w:rPr>
        <w:t>;</w:t>
      </w:r>
    </w:p>
    <w:p w14:paraId="53810830" w14:textId="6BC7388B" w:rsidR="00AB07D5" w:rsidRPr="00BA19FB" w:rsidRDefault="00AB07D5" w:rsidP="002765DF">
      <w:pPr>
        <w:rPr>
          <w:lang w:val="fr-FR"/>
        </w:rPr>
      </w:pPr>
      <w:r w:rsidRPr="00BA19FB">
        <w:rPr>
          <w:i/>
          <w:iCs/>
          <w:lang w:val="fr-FR"/>
        </w:rPr>
        <w:t>c)</w:t>
      </w:r>
      <w:r w:rsidRPr="00BA19FB">
        <w:rPr>
          <w:lang w:val="fr-FR"/>
        </w:rPr>
        <w:tab/>
      </w:r>
      <w:r w:rsidR="009A4EAC" w:rsidRPr="00BA19FB">
        <w:rPr>
          <w:lang w:val="fr-FR"/>
        </w:rPr>
        <w:t>à coopérer et à échanger des données d'expérience et des connaissances dans ce domaine</w:t>
      </w:r>
      <w:r w:rsidRPr="00BA19FB">
        <w:rPr>
          <w:lang w:val="fr-FR"/>
        </w:rPr>
        <w:t>;</w:t>
      </w:r>
    </w:p>
    <w:p w14:paraId="1823FCDF" w14:textId="662453E5" w:rsidR="00AB07D5" w:rsidRPr="00BA19FB" w:rsidRDefault="00AB07D5" w:rsidP="002765DF">
      <w:pPr>
        <w:rPr>
          <w:lang w:val="fr-FR"/>
        </w:rPr>
      </w:pPr>
      <w:r w:rsidRPr="00BA19FB">
        <w:rPr>
          <w:i/>
          <w:iCs/>
          <w:lang w:val="fr-FR"/>
        </w:rPr>
        <w:t>d)</w:t>
      </w:r>
      <w:r w:rsidRPr="00BA19FB">
        <w:rPr>
          <w:lang w:val="fr-FR"/>
        </w:rPr>
        <w:tab/>
      </w:r>
      <w:r w:rsidR="009A4EAC" w:rsidRPr="00BA19FB">
        <w:rPr>
          <w:lang w:val="fr-FR"/>
        </w:rPr>
        <w:t>à contribuer activement aux travaux de normalisation relatifs au métavers et à participer aux activités pertinentes de l'UIT-T, de l'UIT-R et de l'UIT-D, selon le cas</w:t>
      </w:r>
      <w:r w:rsidRPr="00BA19FB">
        <w:rPr>
          <w:lang w:val="fr-FR"/>
        </w:rPr>
        <w:t>.</w:t>
      </w:r>
    </w:p>
    <w:p w14:paraId="629D8DF0" w14:textId="77777777" w:rsidR="00AB07D5" w:rsidRPr="00BA19FB" w:rsidRDefault="00AB07D5" w:rsidP="002765DF">
      <w:pPr>
        <w:pStyle w:val="Reasons"/>
        <w:rPr>
          <w:lang w:val="fr-FR"/>
        </w:rPr>
      </w:pPr>
    </w:p>
    <w:p w14:paraId="515B2BE5" w14:textId="77777777" w:rsidR="00AB07D5" w:rsidRPr="00BA19FB" w:rsidRDefault="00AB07D5" w:rsidP="002765DF">
      <w:pPr>
        <w:jc w:val="center"/>
        <w:rPr>
          <w:lang w:val="fr-FR"/>
        </w:rPr>
      </w:pPr>
      <w:r w:rsidRPr="00BA19FB">
        <w:rPr>
          <w:lang w:val="fr-FR"/>
        </w:rPr>
        <w:t>______________</w:t>
      </w:r>
    </w:p>
    <w:sectPr w:rsidR="00AB07D5" w:rsidRPr="00BA19FB">
      <w:headerReference w:type="default" r:id="rId15"/>
      <w:footerReference w:type="even"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07CB" w14:textId="77777777" w:rsidR="00C362A7" w:rsidRDefault="00C362A7">
      <w:r>
        <w:separator/>
      </w:r>
    </w:p>
  </w:endnote>
  <w:endnote w:type="continuationSeparator" w:id="0">
    <w:p w14:paraId="644A1001" w14:textId="77777777" w:rsidR="00C362A7" w:rsidRDefault="00C362A7">
      <w:r>
        <w:continuationSeparator/>
      </w:r>
    </w:p>
  </w:endnote>
  <w:endnote w:type="continuationNotice" w:id="1">
    <w:p w14:paraId="3DE2F197"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127C" w14:textId="77777777" w:rsidR="009D4900" w:rsidRDefault="009D4900">
    <w:pPr>
      <w:framePr w:wrap="around" w:vAnchor="text" w:hAnchor="margin" w:xAlign="right" w:y="1"/>
    </w:pPr>
    <w:r>
      <w:fldChar w:fldCharType="begin"/>
    </w:r>
    <w:r>
      <w:instrText xml:space="preserve">PAGE  </w:instrText>
    </w:r>
    <w:r>
      <w:fldChar w:fldCharType="end"/>
    </w:r>
  </w:p>
  <w:p w14:paraId="3D3FE3C2" w14:textId="18EEDF6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A19FB">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5457" w14:textId="77777777" w:rsidR="00C362A7" w:rsidRDefault="00C362A7">
      <w:r>
        <w:rPr>
          <w:b/>
        </w:rPr>
        <w:t>_______________</w:t>
      </w:r>
    </w:p>
  </w:footnote>
  <w:footnote w:type="continuationSeparator" w:id="0">
    <w:p w14:paraId="03E25515"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C914"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36613733">
    <w:abstractNumId w:val="8"/>
  </w:num>
  <w:num w:numId="2" w16cid:durableId="11791273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17047231">
    <w:abstractNumId w:val="9"/>
  </w:num>
  <w:num w:numId="4" w16cid:durableId="435177536">
    <w:abstractNumId w:val="7"/>
  </w:num>
  <w:num w:numId="5" w16cid:durableId="1272737512">
    <w:abstractNumId w:val="6"/>
  </w:num>
  <w:num w:numId="6" w16cid:durableId="1108083697">
    <w:abstractNumId w:val="5"/>
  </w:num>
  <w:num w:numId="7" w16cid:durableId="1580362242">
    <w:abstractNumId w:val="4"/>
  </w:num>
  <w:num w:numId="8" w16cid:durableId="168834982">
    <w:abstractNumId w:val="3"/>
  </w:num>
  <w:num w:numId="9" w16cid:durableId="1414429125">
    <w:abstractNumId w:val="2"/>
  </w:num>
  <w:num w:numId="10" w16cid:durableId="596451397">
    <w:abstractNumId w:val="1"/>
  </w:num>
  <w:num w:numId="11" w16cid:durableId="2058506632">
    <w:abstractNumId w:val="0"/>
  </w:num>
  <w:num w:numId="12" w16cid:durableId="1707295813">
    <w:abstractNumId w:val="12"/>
  </w:num>
  <w:num w:numId="13" w16cid:durableId="1979725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0838"/>
    <w:rsid w:val="000A10E6"/>
    <w:rsid w:val="000A4F50"/>
    <w:rsid w:val="000D0578"/>
    <w:rsid w:val="000D708A"/>
    <w:rsid w:val="000F57C3"/>
    <w:rsid w:val="000F73FF"/>
    <w:rsid w:val="001043FF"/>
    <w:rsid w:val="001059D5"/>
    <w:rsid w:val="00114CF7"/>
    <w:rsid w:val="00123B68"/>
    <w:rsid w:val="001243B8"/>
    <w:rsid w:val="00126F2E"/>
    <w:rsid w:val="001301F4"/>
    <w:rsid w:val="00130789"/>
    <w:rsid w:val="0013352F"/>
    <w:rsid w:val="00134A42"/>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5EF4"/>
    <w:rsid w:val="00227927"/>
    <w:rsid w:val="00236EBA"/>
    <w:rsid w:val="00245127"/>
    <w:rsid w:val="00246525"/>
    <w:rsid w:val="00250AF4"/>
    <w:rsid w:val="00260B50"/>
    <w:rsid w:val="00263BE8"/>
    <w:rsid w:val="00264648"/>
    <w:rsid w:val="00267BFB"/>
    <w:rsid w:val="0027050E"/>
    <w:rsid w:val="00271316"/>
    <w:rsid w:val="002729A5"/>
    <w:rsid w:val="002765DF"/>
    <w:rsid w:val="00290F83"/>
    <w:rsid w:val="002931F4"/>
    <w:rsid w:val="00293F9A"/>
    <w:rsid w:val="002957A7"/>
    <w:rsid w:val="002A1D23"/>
    <w:rsid w:val="002A5392"/>
    <w:rsid w:val="002B100E"/>
    <w:rsid w:val="002B448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1ADB"/>
    <w:rsid w:val="00384088"/>
    <w:rsid w:val="003879F0"/>
    <w:rsid w:val="0039169B"/>
    <w:rsid w:val="00394470"/>
    <w:rsid w:val="003A7F8C"/>
    <w:rsid w:val="003B09A1"/>
    <w:rsid w:val="003B532E"/>
    <w:rsid w:val="003C33B7"/>
    <w:rsid w:val="003C6A49"/>
    <w:rsid w:val="003D0F8B"/>
    <w:rsid w:val="003D7C80"/>
    <w:rsid w:val="003F020A"/>
    <w:rsid w:val="0041348E"/>
    <w:rsid w:val="004142ED"/>
    <w:rsid w:val="0042097B"/>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D7630"/>
    <w:rsid w:val="004E05BE"/>
    <w:rsid w:val="004E1DB7"/>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B0ADC"/>
    <w:rsid w:val="005C099A"/>
    <w:rsid w:val="005C31A5"/>
    <w:rsid w:val="005D431B"/>
    <w:rsid w:val="005E10C9"/>
    <w:rsid w:val="005E61DD"/>
    <w:rsid w:val="006023DF"/>
    <w:rsid w:val="00602F64"/>
    <w:rsid w:val="00622829"/>
    <w:rsid w:val="00622DF7"/>
    <w:rsid w:val="00623F15"/>
    <w:rsid w:val="006256C0"/>
    <w:rsid w:val="00643684"/>
    <w:rsid w:val="00657CDA"/>
    <w:rsid w:val="00657DE0"/>
    <w:rsid w:val="00662579"/>
    <w:rsid w:val="006714A3"/>
    <w:rsid w:val="0067500B"/>
    <w:rsid w:val="006763BF"/>
    <w:rsid w:val="00685313"/>
    <w:rsid w:val="0069276B"/>
    <w:rsid w:val="00692833"/>
    <w:rsid w:val="006A0D14"/>
    <w:rsid w:val="006A6E9B"/>
    <w:rsid w:val="006A72A4"/>
    <w:rsid w:val="006B00D8"/>
    <w:rsid w:val="006B7C2A"/>
    <w:rsid w:val="006C23DA"/>
    <w:rsid w:val="006D4032"/>
    <w:rsid w:val="006E2F6C"/>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D7C90"/>
    <w:rsid w:val="007E51BA"/>
    <w:rsid w:val="007E66EA"/>
    <w:rsid w:val="007F3C67"/>
    <w:rsid w:val="007F4179"/>
    <w:rsid w:val="007F6D49"/>
    <w:rsid w:val="00800972"/>
    <w:rsid w:val="00804475"/>
    <w:rsid w:val="00811633"/>
    <w:rsid w:val="00811651"/>
    <w:rsid w:val="00822B56"/>
    <w:rsid w:val="00840F52"/>
    <w:rsid w:val="008508D8"/>
    <w:rsid w:val="00850EEE"/>
    <w:rsid w:val="00854D8D"/>
    <w:rsid w:val="00864CD2"/>
    <w:rsid w:val="00872FC8"/>
    <w:rsid w:val="00874789"/>
    <w:rsid w:val="008777B8"/>
    <w:rsid w:val="008845D0"/>
    <w:rsid w:val="0089455E"/>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4EA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07D5"/>
    <w:rsid w:val="00AB416A"/>
    <w:rsid w:val="00AB6A82"/>
    <w:rsid w:val="00AB7C5F"/>
    <w:rsid w:val="00AC30A6"/>
    <w:rsid w:val="00AC5B55"/>
    <w:rsid w:val="00AE0E1B"/>
    <w:rsid w:val="00AF5D04"/>
    <w:rsid w:val="00B067BF"/>
    <w:rsid w:val="00B305D7"/>
    <w:rsid w:val="00B52796"/>
    <w:rsid w:val="00B529AD"/>
    <w:rsid w:val="00B6324B"/>
    <w:rsid w:val="00B639E9"/>
    <w:rsid w:val="00B66385"/>
    <w:rsid w:val="00B66C2B"/>
    <w:rsid w:val="00B817CD"/>
    <w:rsid w:val="00B94AD0"/>
    <w:rsid w:val="00BA19FB"/>
    <w:rsid w:val="00BA5265"/>
    <w:rsid w:val="00BB3A95"/>
    <w:rsid w:val="00BB6222"/>
    <w:rsid w:val="00BC053B"/>
    <w:rsid w:val="00BC2FB6"/>
    <w:rsid w:val="00BC7D84"/>
    <w:rsid w:val="00BE28FB"/>
    <w:rsid w:val="00BF490E"/>
    <w:rsid w:val="00C0018F"/>
    <w:rsid w:val="00C0539A"/>
    <w:rsid w:val="00C120F4"/>
    <w:rsid w:val="00C1428B"/>
    <w:rsid w:val="00C16A5A"/>
    <w:rsid w:val="00C20466"/>
    <w:rsid w:val="00C20FF7"/>
    <w:rsid w:val="00C214ED"/>
    <w:rsid w:val="00C217DB"/>
    <w:rsid w:val="00C234E6"/>
    <w:rsid w:val="00C30155"/>
    <w:rsid w:val="00C324A8"/>
    <w:rsid w:val="00C34489"/>
    <w:rsid w:val="00C35338"/>
    <w:rsid w:val="00C362A7"/>
    <w:rsid w:val="00C479FD"/>
    <w:rsid w:val="00C50EF4"/>
    <w:rsid w:val="00C54517"/>
    <w:rsid w:val="00C64CD8"/>
    <w:rsid w:val="00C701BF"/>
    <w:rsid w:val="00C71FE3"/>
    <w:rsid w:val="00C72D5C"/>
    <w:rsid w:val="00C77E1A"/>
    <w:rsid w:val="00C92000"/>
    <w:rsid w:val="00C97C68"/>
    <w:rsid w:val="00CA1A47"/>
    <w:rsid w:val="00CC247A"/>
    <w:rsid w:val="00CC7DAF"/>
    <w:rsid w:val="00CD70EF"/>
    <w:rsid w:val="00CD7CC4"/>
    <w:rsid w:val="00CE388F"/>
    <w:rsid w:val="00CE5E47"/>
    <w:rsid w:val="00CF020F"/>
    <w:rsid w:val="00CF1E9D"/>
    <w:rsid w:val="00CF2B5B"/>
    <w:rsid w:val="00D055D3"/>
    <w:rsid w:val="00D123E9"/>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6B8E"/>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50F4"/>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496F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paragraph" w:customStyle="1" w:styleId="Vcall">
    <w:name w:val="Vcall"/>
    <w:basedOn w:val="Normal"/>
    <w:rsid w:val="00AB07D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3c9f76c-aa09-4d3a-99ab-402d65d7c0d8">DPM</DPM_x0020_Author>
    <DPM_x0020_File_x0020_name xmlns="e3c9f76c-aa09-4d3a-99ab-402d65d7c0d8">T22-WTSA.24-C-0035!A37!MSW-F</DPM_x0020_File_x0020_name>
    <DPM_x0020_Version xmlns="e3c9f76c-aa09-4d3a-99ab-402d65d7c0d8">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3c9f76c-aa09-4d3a-99ab-402d65d7c0d8" targetNamespace="http://schemas.microsoft.com/office/2006/metadata/properties" ma:root="true" ma:fieldsID="d41af5c836d734370eb92e7ee5f83852" ns2:_="" ns3:_="">
    <xsd:import namespace="996b2e75-67fd-4955-a3b0-5ab9934cb50b"/>
    <xsd:import namespace="e3c9f76c-aa09-4d3a-99ab-402d65d7c0d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3c9f76c-aa09-4d3a-99ab-402d65d7c0d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f76c-aa09-4d3a-99ab-402d65d7c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3c9f76c-aa09-4d3a-99ab-402d65d7c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1751</Words>
  <Characters>10272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T22-WTSA.24-C-0035!A37!MSW-F</vt:lpstr>
    </vt:vector>
  </TitlesOfParts>
  <Manager>General Secretariat - Pool</Manager>
  <Company>International Telecommunication Union (ITU)</Company>
  <LinksUpToDate>false</LinksUpToDate>
  <CharactersWithSpaces>12000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2024-09-23T13:14:00Z</dcterms:created>
  <dcterms:modified xsi:type="dcterms:W3CDTF">2024-09-23T13:57:00Z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