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6952336" w14:textId="77777777" w:rsidTr="00DE1F2F">
        <w:trPr>
          <w:cantSplit/>
          <w:trHeight w:val="1132"/>
        </w:trPr>
        <w:tc>
          <w:tcPr>
            <w:tcW w:w="1290" w:type="dxa"/>
            <w:vAlign w:val="center"/>
          </w:tcPr>
          <w:p w14:paraId="6ECFDEC0" w14:textId="77777777" w:rsidR="00D2023F" w:rsidRPr="0077349A" w:rsidRDefault="0018215C" w:rsidP="00C30155">
            <w:pPr>
              <w:spacing w:before="0"/>
            </w:pPr>
            <w:r w:rsidRPr="0077349A">
              <w:rPr>
                <w:noProof/>
              </w:rPr>
              <w:drawing>
                <wp:inline distT="0" distB="0" distL="0" distR="0" wp14:anchorId="00A2A066" wp14:editId="79F0281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7A15D0B"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47B3B0C" w14:textId="77777777" w:rsidR="00D2023F" w:rsidRPr="0077349A" w:rsidRDefault="00D2023F" w:rsidP="00C30155">
            <w:pPr>
              <w:spacing w:before="0"/>
            </w:pPr>
            <w:r w:rsidRPr="0077349A">
              <w:rPr>
                <w:noProof/>
                <w:lang w:eastAsia="zh-CN"/>
              </w:rPr>
              <w:drawing>
                <wp:inline distT="0" distB="0" distL="0" distR="0" wp14:anchorId="0D3E0B2B" wp14:editId="203F1A5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F053279" w14:textId="77777777" w:rsidTr="00DE1F2F">
        <w:trPr>
          <w:cantSplit/>
        </w:trPr>
        <w:tc>
          <w:tcPr>
            <w:tcW w:w="9811" w:type="dxa"/>
            <w:gridSpan w:val="4"/>
            <w:tcBorders>
              <w:bottom w:val="single" w:sz="12" w:space="0" w:color="auto"/>
            </w:tcBorders>
          </w:tcPr>
          <w:p w14:paraId="62749F03" w14:textId="77777777" w:rsidR="00D2023F" w:rsidRPr="0077349A" w:rsidRDefault="00D2023F" w:rsidP="00C30155">
            <w:pPr>
              <w:spacing w:before="0"/>
            </w:pPr>
          </w:p>
        </w:tc>
      </w:tr>
      <w:tr w:rsidR="00931298" w:rsidRPr="002D0535" w14:paraId="6F4EE8DF" w14:textId="77777777" w:rsidTr="00DE1F2F">
        <w:trPr>
          <w:cantSplit/>
        </w:trPr>
        <w:tc>
          <w:tcPr>
            <w:tcW w:w="6237" w:type="dxa"/>
            <w:gridSpan w:val="2"/>
            <w:tcBorders>
              <w:top w:val="single" w:sz="12" w:space="0" w:color="auto"/>
            </w:tcBorders>
          </w:tcPr>
          <w:p w14:paraId="756E1383" w14:textId="77777777" w:rsidR="00931298" w:rsidRPr="002D0535" w:rsidRDefault="00931298" w:rsidP="00C30155">
            <w:pPr>
              <w:spacing w:before="0"/>
              <w:rPr>
                <w:sz w:val="20"/>
              </w:rPr>
            </w:pPr>
          </w:p>
        </w:tc>
        <w:tc>
          <w:tcPr>
            <w:tcW w:w="3574" w:type="dxa"/>
            <w:gridSpan w:val="2"/>
          </w:tcPr>
          <w:p w14:paraId="1AEF7457" w14:textId="77777777" w:rsidR="00931298" w:rsidRPr="002D0535" w:rsidRDefault="00931298" w:rsidP="00C30155">
            <w:pPr>
              <w:spacing w:before="0"/>
              <w:rPr>
                <w:sz w:val="20"/>
              </w:rPr>
            </w:pPr>
          </w:p>
        </w:tc>
      </w:tr>
      <w:tr w:rsidR="00752D4D" w:rsidRPr="0077349A" w14:paraId="79E55DD6" w14:textId="77777777" w:rsidTr="00DE1F2F">
        <w:trPr>
          <w:cantSplit/>
        </w:trPr>
        <w:tc>
          <w:tcPr>
            <w:tcW w:w="6237" w:type="dxa"/>
            <w:gridSpan w:val="2"/>
          </w:tcPr>
          <w:p w14:paraId="4148A6DA" w14:textId="77777777" w:rsidR="00752D4D" w:rsidRPr="0077349A" w:rsidRDefault="00E83B2D" w:rsidP="00E83B2D">
            <w:pPr>
              <w:pStyle w:val="Committee"/>
            </w:pPr>
            <w:r w:rsidRPr="00E83B2D">
              <w:t>PLENARY MEETING</w:t>
            </w:r>
          </w:p>
        </w:tc>
        <w:tc>
          <w:tcPr>
            <w:tcW w:w="3574" w:type="dxa"/>
            <w:gridSpan w:val="2"/>
          </w:tcPr>
          <w:p w14:paraId="1B35CC25" w14:textId="77777777" w:rsidR="00752D4D" w:rsidRPr="0077349A" w:rsidRDefault="00E83B2D" w:rsidP="00A52D1A">
            <w:pPr>
              <w:pStyle w:val="Docnumber"/>
            </w:pPr>
            <w:r>
              <w:t>Addendum 37 to</w:t>
            </w:r>
            <w:r>
              <w:br/>
              <w:t>Document 35</w:t>
            </w:r>
            <w:r w:rsidRPr="0056747D">
              <w:t>-</w:t>
            </w:r>
            <w:r w:rsidRPr="003251EA">
              <w:t>E</w:t>
            </w:r>
          </w:p>
        </w:tc>
      </w:tr>
      <w:tr w:rsidR="00931298" w:rsidRPr="0077349A" w14:paraId="5B03B20B" w14:textId="77777777" w:rsidTr="00DE1F2F">
        <w:trPr>
          <w:cantSplit/>
        </w:trPr>
        <w:tc>
          <w:tcPr>
            <w:tcW w:w="6237" w:type="dxa"/>
            <w:gridSpan w:val="2"/>
          </w:tcPr>
          <w:p w14:paraId="6F4DD5FF" w14:textId="77777777" w:rsidR="00931298" w:rsidRPr="002D0535" w:rsidRDefault="00931298" w:rsidP="00C30155">
            <w:pPr>
              <w:spacing w:before="0"/>
              <w:rPr>
                <w:sz w:val="20"/>
              </w:rPr>
            </w:pPr>
          </w:p>
        </w:tc>
        <w:tc>
          <w:tcPr>
            <w:tcW w:w="3574" w:type="dxa"/>
            <w:gridSpan w:val="2"/>
          </w:tcPr>
          <w:p w14:paraId="18179033"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374546CB" w14:textId="77777777" w:rsidTr="00DE1F2F">
        <w:trPr>
          <w:cantSplit/>
        </w:trPr>
        <w:tc>
          <w:tcPr>
            <w:tcW w:w="6237" w:type="dxa"/>
            <w:gridSpan w:val="2"/>
          </w:tcPr>
          <w:p w14:paraId="37D22EB5" w14:textId="77777777" w:rsidR="00931298" w:rsidRPr="002D0535" w:rsidRDefault="00931298" w:rsidP="00C30155">
            <w:pPr>
              <w:spacing w:before="0"/>
              <w:rPr>
                <w:sz w:val="20"/>
              </w:rPr>
            </w:pPr>
          </w:p>
        </w:tc>
        <w:tc>
          <w:tcPr>
            <w:tcW w:w="3574" w:type="dxa"/>
            <w:gridSpan w:val="2"/>
          </w:tcPr>
          <w:p w14:paraId="1556A003"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6543F65" w14:textId="77777777" w:rsidTr="00DE1F2F">
        <w:trPr>
          <w:cantSplit/>
        </w:trPr>
        <w:tc>
          <w:tcPr>
            <w:tcW w:w="9811" w:type="dxa"/>
            <w:gridSpan w:val="4"/>
          </w:tcPr>
          <w:p w14:paraId="77B999F5" w14:textId="77777777" w:rsidR="00931298" w:rsidRPr="007D6EC2" w:rsidRDefault="00931298" w:rsidP="007D6EC2">
            <w:pPr>
              <w:spacing w:before="0"/>
              <w:rPr>
                <w:sz w:val="20"/>
              </w:rPr>
            </w:pPr>
          </w:p>
        </w:tc>
      </w:tr>
      <w:tr w:rsidR="00931298" w:rsidRPr="0077349A" w14:paraId="65C9C82F" w14:textId="77777777" w:rsidTr="00DE1F2F">
        <w:trPr>
          <w:cantSplit/>
        </w:trPr>
        <w:tc>
          <w:tcPr>
            <w:tcW w:w="9811" w:type="dxa"/>
            <w:gridSpan w:val="4"/>
          </w:tcPr>
          <w:p w14:paraId="0910D50B" w14:textId="77777777" w:rsidR="00931298" w:rsidRPr="0077349A" w:rsidRDefault="00E83B2D" w:rsidP="00C30155">
            <w:pPr>
              <w:pStyle w:val="Source"/>
            </w:pPr>
            <w:r>
              <w:t>African Telecommunication Union Administrations</w:t>
            </w:r>
          </w:p>
        </w:tc>
      </w:tr>
      <w:tr w:rsidR="00931298" w:rsidRPr="0077349A" w14:paraId="017FFCE0" w14:textId="77777777" w:rsidTr="00DE1F2F">
        <w:trPr>
          <w:cantSplit/>
        </w:trPr>
        <w:tc>
          <w:tcPr>
            <w:tcW w:w="9811" w:type="dxa"/>
            <w:gridSpan w:val="4"/>
          </w:tcPr>
          <w:p w14:paraId="09118DF7" w14:textId="0AA6D4D8" w:rsidR="00931298" w:rsidRPr="0077349A" w:rsidRDefault="00E83B2D" w:rsidP="00C30155">
            <w:pPr>
              <w:pStyle w:val="Title1"/>
            </w:pPr>
            <w:r>
              <w:t>D</w:t>
            </w:r>
            <w:r w:rsidR="002C3933">
              <w:t>RA</w:t>
            </w:r>
            <w:r>
              <w:t>ft New Resolution [</w:t>
            </w:r>
            <w:r w:rsidR="00256302">
              <w:t>ATU</w:t>
            </w:r>
            <w:r w:rsidR="00256302">
              <w:t>-</w:t>
            </w:r>
            <w:r>
              <w:t>MV] - Metaverse</w:t>
            </w:r>
          </w:p>
        </w:tc>
      </w:tr>
      <w:tr w:rsidR="00657CDA" w:rsidRPr="0077349A" w14:paraId="04A62F04" w14:textId="77777777" w:rsidTr="00DE1F2F">
        <w:trPr>
          <w:cantSplit/>
          <w:trHeight w:hRule="exact" w:val="240"/>
        </w:trPr>
        <w:tc>
          <w:tcPr>
            <w:tcW w:w="9811" w:type="dxa"/>
            <w:gridSpan w:val="4"/>
          </w:tcPr>
          <w:p w14:paraId="2614BD12" w14:textId="77777777" w:rsidR="00657CDA" w:rsidRPr="0077349A" w:rsidRDefault="00657CDA" w:rsidP="0078695E">
            <w:pPr>
              <w:pStyle w:val="Title2"/>
              <w:spacing w:before="0"/>
            </w:pPr>
          </w:p>
        </w:tc>
      </w:tr>
      <w:tr w:rsidR="00657CDA" w:rsidRPr="0077349A" w14:paraId="4E74267A" w14:textId="77777777" w:rsidTr="00DE1F2F">
        <w:trPr>
          <w:cantSplit/>
          <w:trHeight w:hRule="exact" w:val="240"/>
        </w:trPr>
        <w:tc>
          <w:tcPr>
            <w:tcW w:w="9811" w:type="dxa"/>
            <w:gridSpan w:val="4"/>
          </w:tcPr>
          <w:p w14:paraId="76665267" w14:textId="77777777" w:rsidR="00657CDA" w:rsidRPr="0077349A" w:rsidRDefault="00657CDA" w:rsidP="00293F9A">
            <w:pPr>
              <w:pStyle w:val="Agendaitem"/>
              <w:spacing w:before="0"/>
            </w:pPr>
          </w:p>
        </w:tc>
      </w:tr>
    </w:tbl>
    <w:p w14:paraId="58F4EB83"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FE587D3" w14:textId="77777777" w:rsidTr="005D46D1">
        <w:trPr>
          <w:cantSplit/>
        </w:trPr>
        <w:tc>
          <w:tcPr>
            <w:tcW w:w="1885" w:type="dxa"/>
          </w:tcPr>
          <w:p w14:paraId="46FBEE96" w14:textId="77777777" w:rsidR="00931298" w:rsidRPr="0077349A" w:rsidRDefault="00931298" w:rsidP="00C30155">
            <w:r w:rsidRPr="0077349A">
              <w:rPr>
                <w:b/>
                <w:bCs/>
              </w:rPr>
              <w:t>Abstract:</w:t>
            </w:r>
          </w:p>
        </w:tc>
        <w:tc>
          <w:tcPr>
            <w:tcW w:w="7754" w:type="dxa"/>
            <w:gridSpan w:val="2"/>
          </w:tcPr>
          <w:p w14:paraId="49FCBCD8" w14:textId="1A52ECDD" w:rsidR="00931298" w:rsidRPr="0077349A" w:rsidRDefault="002F5F38" w:rsidP="00C30155">
            <w:pPr>
              <w:pStyle w:val="Abstract"/>
              <w:rPr>
                <w:lang w:val="en-GB"/>
              </w:rPr>
            </w:pPr>
            <w:r>
              <w:rPr>
                <w:rFonts w:cs="Arabic Transparent"/>
                <w:bCs/>
                <w:szCs w:val="24"/>
              </w:rPr>
              <w:t>This Contribution contains a proposed</w:t>
            </w:r>
            <w:r w:rsidR="005D46D1" w:rsidRPr="0062213A">
              <w:rPr>
                <w:rFonts w:cs="Arabic Transparent"/>
                <w:bCs/>
                <w:szCs w:val="24"/>
              </w:rPr>
              <w:t xml:space="preserve"> new resolution </w:t>
            </w:r>
            <w:r w:rsidR="005D46D1">
              <w:rPr>
                <w:rFonts w:cs="Arabic Transparent"/>
                <w:bCs/>
                <w:szCs w:val="24"/>
              </w:rPr>
              <w:t xml:space="preserve">to </w:t>
            </w:r>
            <w:r w:rsidR="005D46D1" w:rsidRPr="00F25CBE">
              <w:rPr>
                <w:bCs/>
              </w:rPr>
              <w:t xml:space="preserve">establish a comprehensive technical/governance framework for the </w:t>
            </w:r>
            <w:r w:rsidRPr="00F25CBE">
              <w:rPr>
                <w:bCs/>
              </w:rPr>
              <w:t xml:space="preserve">Metaverse </w:t>
            </w:r>
            <w:r w:rsidR="005D46D1" w:rsidRPr="00F25CBE">
              <w:rPr>
                <w:bCs/>
              </w:rPr>
              <w:t>that ensures its responsible development, prioritizes user rights and security, and fosters international collaboration to prevent fragmentation and maximize benefits for all developed or developing nations.</w:t>
            </w:r>
          </w:p>
        </w:tc>
      </w:tr>
      <w:tr w:rsidR="005D46D1" w:rsidRPr="002C3933" w14:paraId="221F106E" w14:textId="77777777" w:rsidTr="005D46D1">
        <w:trPr>
          <w:cantSplit/>
        </w:trPr>
        <w:tc>
          <w:tcPr>
            <w:tcW w:w="1885" w:type="dxa"/>
          </w:tcPr>
          <w:p w14:paraId="2398B64B" w14:textId="77777777" w:rsidR="005D46D1" w:rsidRPr="0077349A" w:rsidRDefault="005D46D1" w:rsidP="005D46D1">
            <w:pPr>
              <w:rPr>
                <w:b/>
                <w:bCs/>
                <w:szCs w:val="24"/>
              </w:rPr>
            </w:pPr>
            <w:r w:rsidRPr="0077349A">
              <w:rPr>
                <w:b/>
                <w:bCs/>
                <w:szCs w:val="24"/>
              </w:rPr>
              <w:t>Contact:</w:t>
            </w:r>
          </w:p>
        </w:tc>
        <w:tc>
          <w:tcPr>
            <w:tcW w:w="3877" w:type="dxa"/>
          </w:tcPr>
          <w:p w14:paraId="67168D29" w14:textId="77777777" w:rsidR="005D46D1" w:rsidRDefault="005D46D1" w:rsidP="005D46D1">
            <w:pPr>
              <w:tabs>
                <w:tab w:val="clear" w:pos="1134"/>
                <w:tab w:val="clear" w:pos="1871"/>
                <w:tab w:val="clear" w:pos="2268"/>
                <w:tab w:val="left" w:pos="794"/>
              </w:tabs>
            </w:pPr>
            <w:r>
              <w:t>Isaac Boateng</w:t>
            </w:r>
          </w:p>
          <w:p w14:paraId="349632D7" w14:textId="6E87375A" w:rsidR="005D46D1" w:rsidRPr="0077349A" w:rsidRDefault="005D46D1" w:rsidP="005D46D1">
            <w:pPr>
              <w:spacing w:before="0"/>
            </w:pPr>
            <w:r>
              <w:t>African Telecommunications Union</w:t>
            </w:r>
          </w:p>
        </w:tc>
        <w:tc>
          <w:tcPr>
            <w:tcW w:w="3877" w:type="dxa"/>
          </w:tcPr>
          <w:p w14:paraId="0EE1991E" w14:textId="77777777" w:rsidR="005D46D1" w:rsidRDefault="005D46D1" w:rsidP="005D46D1">
            <w:pPr>
              <w:tabs>
                <w:tab w:val="clear" w:pos="1134"/>
                <w:tab w:val="clear" w:pos="1871"/>
                <w:tab w:val="clear" w:pos="2268"/>
                <w:tab w:val="left" w:pos="794"/>
              </w:tabs>
              <w:rPr>
                <w:lang w:val="fr-CH"/>
              </w:rPr>
            </w:pPr>
            <w:r w:rsidRPr="007347F7">
              <w:rPr>
                <w:lang w:val="fr-CH"/>
              </w:rPr>
              <w:t xml:space="preserve">E-mail: </w:t>
            </w:r>
            <w:hyperlink r:id="rId14" w:history="1">
              <w:r w:rsidRPr="00181E1D">
                <w:rPr>
                  <w:rStyle w:val="Hyperlink"/>
                  <w:lang w:val="fr-CH"/>
                </w:rPr>
                <w:t>i.boateng@atuuat.africa</w:t>
              </w:r>
            </w:hyperlink>
          </w:p>
          <w:p w14:paraId="0129228C" w14:textId="0E73E33F" w:rsidR="005D46D1" w:rsidRPr="005D46D1" w:rsidRDefault="005D46D1" w:rsidP="005D46D1">
            <w:pPr>
              <w:rPr>
                <w:lang w:val="fr-CH"/>
              </w:rPr>
            </w:pPr>
          </w:p>
        </w:tc>
      </w:tr>
    </w:tbl>
    <w:p w14:paraId="3692E50D" w14:textId="42FABB1E" w:rsidR="000644E1" w:rsidRDefault="005D46D1" w:rsidP="000644E1">
      <w:pPr>
        <w:pStyle w:val="Headingb"/>
        <w:rPr>
          <w:lang w:val="en-GB"/>
        </w:rPr>
      </w:pPr>
      <w:r w:rsidRPr="000644E1">
        <w:rPr>
          <w:lang w:val="en-GB"/>
        </w:rPr>
        <w:t>Introduction</w:t>
      </w:r>
    </w:p>
    <w:p w14:paraId="104A0BB7" w14:textId="4AFF2C22" w:rsidR="005D46D1" w:rsidRPr="000644E1" w:rsidRDefault="005D46D1" w:rsidP="000644E1">
      <w:pPr>
        <w:rPr>
          <w:b/>
        </w:rPr>
      </w:pPr>
      <w:r w:rsidRPr="000644E1">
        <w:t xml:space="preserve">The Metaverse offers a unique opportunity for ITU-T to cement its global leadership in standardization. Leveraging the accomplishments of the Focus Group on Metaverse (FG-MV), which yielded 52 deliverables, ITU-T must continue to spearhead the development of technical and governance frameworks for this emerging digital landscape. By prioritizing user rights, security, and ethical AI development, ITU-T can cultivate a </w:t>
      </w:r>
      <w:r w:rsidR="002F5F38" w:rsidRPr="000644E1">
        <w:t>Metaverse</w:t>
      </w:r>
      <w:r w:rsidRPr="000644E1">
        <w:t xml:space="preserve"> ecosystem that benefits all stakeholders. To achieve this, ongoing collaboration with other standards development organizations (SDOs) and UN bodies is crucial. This document proposes a new WTSA-24 resolution to reinforce ITU-T's role in </w:t>
      </w:r>
      <w:r w:rsidR="002F5F38" w:rsidRPr="000644E1">
        <w:t>Metaverse</w:t>
      </w:r>
      <w:r w:rsidRPr="000644E1">
        <w:t xml:space="preserve"> standardization and foster broader collaboration</w:t>
      </w:r>
      <w:r w:rsidR="002F5F38">
        <w:t>.</w:t>
      </w:r>
      <w:r w:rsidRPr="000644E1">
        <w:rPr>
          <w:b/>
        </w:rPr>
        <w:t xml:space="preserve"> </w:t>
      </w:r>
    </w:p>
    <w:p w14:paraId="1CE8C176" w14:textId="77777777" w:rsidR="000644E1" w:rsidRPr="00675DAD" w:rsidRDefault="005D46D1" w:rsidP="000644E1">
      <w:pPr>
        <w:pStyle w:val="Headingb"/>
        <w:rPr>
          <w:b w:val="0"/>
          <w:lang w:val="en-GB"/>
        </w:rPr>
      </w:pPr>
      <w:r w:rsidRPr="000644E1">
        <w:rPr>
          <w:lang w:val="en-GB"/>
        </w:rPr>
        <w:t>Proposal</w:t>
      </w:r>
    </w:p>
    <w:p w14:paraId="1675509E" w14:textId="3318ADF5" w:rsidR="005D46D1" w:rsidRPr="00EC0832" w:rsidRDefault="005D46D1" w:rsidP="000644E1">
      <w:pPr>
        <w:rPr>
          <w:b/>
        </w:rPr>
      </w:pPr>
      <w:r w:rsidRPr="00640A38">
        <w:t xml:space="preserve">The new resolution is to establish a comprehensive technical/governance framework for the </w:t>
      </w:r>
      <w:r w:rsidR="002F5F38" w:rsidRPr="00640A38">
        <w:t>Metaverse</w:t>
      </w:r>
      <w:r w:rsidRPr="00640A38">
        <w:t xml:space="preserve"> that ensures its responsible development, prioritizes user rights and security, and fosters international collaboration to prevent fragmentation and maximize benefits for all developed or developing nations</w:t>
      </w:r>
      <w:r w:rsidR="002F5F38">
        <w:t>.</w:t>
      </w:r>
    </w:p>
    <w:p w14:paraId="1CC60EF3" w14:textId="77777777" w:rsidR="00A52D1A" w:rsidRPr="005D46D1" w:rsidRDefault="00A52D1A" w:rsidP="00A52D1A"/>
    <w:p w14:paraId="75384E16" w14:textId="77777777" w:rsidR="009F4801" w:rsidRPr="005D46D1" w:rsidRDefault="009F4801">
      <w:pPr>
        <w:tabs>
          <w:tab w:val="clear" w:pos="1134"/>
          <w:tab w:val="clear" w:pos="1871"/>
          <w:tab w:val="clear" w:pos="2268"/>
        </w:tabs>
        <w:overflowPunct/>
        <w:autoSpaceDE/>
        <w:autoSpaceDN/>
        <w:adjustRightInd/>
        <w:spacing w:before="0"/>
        <w:textAlignment w:val="auto"/>
      </w:pPr>
      <w:r w:rsidRPr="005D46D1">
        <w:br w:type="page"/>
      </w:r>
    </w:p>
    <w:p w14:paraId="0C18A755" w14:textId="77777777" w:rsidR="00931298" w:rsidRPr="005D46D1" w:rsidRDefault="00931298" w:rsidP="00A52D1A"/>
    <w:p w14:paraId="28D81104" w14:textId="77777777" w:rsidR="00AD4DE7" w:rsidRDefault="005D46D1">
      <w:pPr>
        <w:pStyle w:val="Proposal"/>
      </w:pPr>
      <w:r>
        <w:t>ADD</w:t>
      </w:r>
      <w:r>
        <w:tab/>
        <w:t>ATU/35A37/1</w:t>
      </w:r>
    </w:p>
    <w:p w14:paraId="04968B68" w14:textId="6491ED9F" w:rsidR="005D46D1" w:rsidRDefault="005D46D1" w:rsidP="005D46D1">
      <w:pPr>
        <w:pStyle w:val="ResNo"/>
      </w:pPr>
      <w:r>
        <w:t>DRAFT NEW RESOLUTION [</w:t>
      </w:r>
      <w:r w:rsidR="00256302">
        <w:t>ATU-MV</w:t>
      </w:r>
      <w:r>
        <w:t>]</w:t>
      </w:r>
      <w:r w:rsidR="00E13791">
        <w:t xml:space="preserve"> (New Delhi, 2024)</w:t>
      </w:r>
    </w:p>
    <w:p w14:paraId="1E6EB71A" w14:textId="77777777" w:rsidR="005D46D1" w:rsidRDefault="005D46D1" w:rsidP="005D46D1">
      <w:pPr>
        <w:pStyle w:val="Restitle"/>
      </w:pPr>
      <w:r w:rsidRPr="00EC0832">
        <w:rPr>
          <w:lang w:val="en-US"/>
        </w:rPr>
        <w:t>Metaverse</w:t>
      </w:r>
    </w:p>
    <w:p w14:paraId="18731B44" w14:textId="77777777" w:rsidR="005D46D1" w:rsidRPr="0082086B" w:rsidRDefault="005D46D1" w:rsidP="005D46D1">
      <w:pPr>
        <w:pStyle w:val="Resref"/>
      </w:pPr>
      <w:r>
        <w:t>(New Delhi, 2024)</w:t>
      </w:r>
    </w:p>
    <w:p w14:paraId="12E9C9BC" w14:textId="77777777" w:rsidR="005D46D1" w:rsidRDefault="005D46D1" w:rsidP="005D46D1">
      <w:pPr>
        <w:pStyle w:val="Normalaftertitle"/>
      </w:pPr>
      <w:r w:rsidRPr="00D60062">
        <w:t>The World Telecommunication Standardization Assembly (New Delhi, 2024),</w:t>
      </w:r>
    </w:p>
    <w:p w14:paraId="2DECF675" w14:textId="77777777" w:rsidR="005D46D1" w:rsidRPr="00CA5287" w:rsidRDefault="005D46D1" w:rsidP="000644E1">
      <w:pPr>
        <w:pStyle w:val="Call"/>
      </w:pPr>
      <w:r w:rsidRPr="00CA5287">
        <w:t>recognizing</w:t>
      </w:r>
    </w:p>
    <w:p w14:paraId="76B7B314" w14:textId="726BF4CD" w:rsidR="005D46D1" w:rsidRPr="00CA5287" w:rsidRDefault="005D46D1" w:rsidP="005D46D1">
      <w:pPr>
        <w:rPr>
          <w:bCs/>
          <w:lang w:val="en-US"/>
        </w:rPr>
      </w:pPr>
      <w:r w:rsidRPr="000644E1">
        <w:rPr>
          <w:bCs/>
        </w:rPr>
        <w:t>a)</w:t>
      </w:r>
      <w:r w:rsidR="000644E1">
        <w:rPr>
          <w:bCs/>
        </w:rPr>
        <w:tab/>
      </w:r>
      <w:r w:rsidRPr="00CA5287">
        <w:rPr>
          <w:bCs/>
          <w:lang w:val="en-US"/>
        </w:rPr>
        <w:t xml:space="preserve">that </w:t>
      </w:r>
      <w:r>
        <w:rPr>
          <w:bCs/>
          <w:lang w:val="en-US"/>
        </w:rPr>
        <w:t xml:space="preserve">IRTF and </w:t>
      </w:r>
      <w:r w:rsidRPr="00CA5287">
        <w:rPr>
          <w:bCs/>
          <w:lang w:val="en-US"/>
        </w:rPr>
        <w:t>IETF and other industry forums, standards-development organizations (SDOs) and partnership projects are developing technical specifications for the Internet, based on specific scopes;</w:t>
      </w:r>
    </w:p>
    <w:p w14:paraId="005DF889" w14:textId="0953F7CF" w:rsidR="005D46D1" w:rsidRPr="00CA5287" w:rsidRDefault="005D46D1" w:rsidP="005D46D1">
      <w:pPr>
        <w:rPr>
          <w:bCs/>
          <w:lang w:val="en-US"/>
        </w:rPr>
      </w:pPr>
      <w:r w:rsidRPr="000644E1">
        <w:rPr>
          <w:bCs/>
          <w:i/>
          <w:iCs/>
          <w:lang w:val="en-US"/>
        </w:rPr>
        <w:t>b)</w:t>
      </w:r>
      <w:r w:rsidR="000644E1">
        <w:rPr>
          <w:bCs/>
          <w:lang w:val="en-US"/>
        </w:rPr>
        <w:tab/>
      </w:r>
      <w:r w:rsidRPr="00CA5287">
        <w:rPr>
          <w:bCs/>
          <w:lang w:val="en-US"/>
        </w:rPr>
        <w:t>the role of the ITU Radiocommunication Sector (ITU-R) in conducting studies on the technical and operational aspects of radio networks and systems for digital technologies;</w:t>
      </w:r>
    </w:p>
    <w:p w14:paraId="30145365" w14:textId="17BBB019" w:rsidR="005D46D1" w:rsidRPr="00CA5287" w:rsidRDefault="005D46D1" w:rsidP="005D46D1">
      <w:pPr>
        <w:rPr>
          <w:bCs/>
          <w:lang w:val="en-US"/>
        </w:rPr>
      </w:pPr>
      <w:r w:rsidRPr="000644E1">
        <w:rPr>
          <w:bCs/>
          <w:i/>
          <w:iCs/>
          <w:lang w:val="en-US"/>
        </w:rPr>
        <w:t>c)</w:t>
      </w:r>
      <w:r w:rsidR="000644E1">
        <w:rPr>
          <w:bCs/>
          <w:lang w:val="en-US"/>
        </w:rPr>
        <w:tab/>
      </w:r>
      <w:r w:rsidRPr="00CA5287">
        <w:rPr>
          <w:bCs/>
          <w:lang w:val="en-US"/>
        </w:rPr>
        <w:t>the role of the ITU Telecommunication Development Sector (ITU-D) in encouraging telecommunication/information and communication technology (ICT) development at the global level, and in particular the relevant work carried out by ITU-D study groups</w:t>
      </w:r>
      <w:r w:rsidR="000644E1">
        <w:rPr>
          <w:bCs/>
          <w:lang w:val="en-US"/>
        </w:rPr>
        <w:t>;</w:t>
      </w:r>
    </w:p>
    <w:p w14:paraId="16D0294E" w14:textId="538F0324" w:rsidR="005D46D1" w:rsidRPr="00CA5287" w:rsidRDefault="005D46D1" w:rsidP="005D46D1">
      <w:pPr>
        <w:rPr>
          <w:bCs/>
          <w:lang w:val="en-US"/>
        </w:rPr>
      </w:pPr>
      <w:r w:rsidRPr="000644E1">
        <w:rPr>
          <w:bCs/>
          <w:i/>
          <w:iCs/>
          <w:lang w:val="en-US"/>
        </w:rPr>
        <w:t>d)</w:t>
      </w:r>
      <w:r w:rsidRPr="00CA5287">
        <w:rPr>
          <w:bCs/>
          <w:lang w:val="en-US"/>
        </w:rPr>
        <w:tab/>
        <w:t>the tasks executed by the International Telecommunication Union Focus Grou</w:t>
      </w:r>
      <w:r w:rsidR="002F5F38">
        <w:rPr>
          <w:bCs/>
          <w:lang w:val="en-US"/>
        </w:rPr>
        <w:t>p</w:t>
      </w:r>
      <w:r w:rsidRPr="00CA5287">
        <w:rPr>
          <w:bCs/>
          <w:lang w:val="en-US"/>
        </w:rPr>
        <w:t xml:space="preserve"> on Metaverse based on 52</w:t>
      </w:r>
      <w:r>
        <w:rPr>
          <w:bCs/>
          <w:lang w:val="en-US"/>
        </w:rPr>
        <w:t xml:space="preserve"> deliverables</w:t>
      </w:r>
      <w:r w:rsidRPr="00CA5287">
        <w:rPr>
          <w:bCs/>
          <w:lang w:val="en-US"/>
        </w:rPr>
        <w:t xml:space="preserve"> </w:t>
      </w:r>
      <w:r>
        <w:rPr>
          <w:bCs/>
          <w:lang w:val="en-US"/>
        </w:rPr>
        <w:t xml:space="preserve">enumerated </w:t>
      </w:r>
      <w:r w:rsidRPr="00CA5287">
        <w:rPr>
          <w:bCs/>
          <w:lang w:val="en-US"/>
        </w:rPr>
        <w:t>as the output of the pre-standardization activities;</w:t>
      </w:r>
    </w:p>
    <w:p w14:paraId="4ACD4E82" w14:textId="6DAFE797" w:rsidR="005D46D1" w:rsidRPr="00CA5287" w:rsidRDefault="005D46D1" w:rsidP="005D46D1">
      <w:pPr>
        <w:rPr>
          <w:bCs/>
          <w:lang w:val="en-US"/>
        </w:rPr>
      </w:pPr>
      <w:r w:rsidRPr="000644E1">
        <w:rPr>
          <w:bCs/>
          <w:i/>
          <w:iCs/>
          <w:lang w:val="en-US"/>
        </w:rPr>
        <w:t>e)</w:t>
      </w:r>
      <w:r w:rsidRPr="00CA5287">
        <w:rPr>
          <w:bCs/>
          <w:lang w:val="en-US"/>
        </w:rPr>
        <w:tab/>
        <w:t xml:space="preserve">the research studies conducted by relevant </w:t>
      </w:r>
      <w:r w:rsidR="002F5F38" w:rsidRPr="00CA5287">
        <w:rPr>
          <w:bCs/>
          <w:lang w:val="en-US"/>
        </w:rPr>
        <w:t xml:space="preserve">study groups </w:t>
      </w:r>
      <w:r w:rsidRPr="00CA5287">
        <w:rPr>
          <w:bCs/>
          <w:lang w:val="en-US"/>
        </w:rPr>
        <w:t xml:space="preserve">of the International Telecommunications Union on topics related to </w:t>
      </w:r>
      <w:r w:rsidR="002F5F38" w:rsidRPr="00CA5287">
        <w:rPr>
          <w:bCs/>
          <w:lang w:val="en-US"/>
        </w:rPr>
        <w:t>Metaverse</w:t>
      </w:r>
      <w:r w:rsidRPr="00CA5287">
        <w:rPr>
          <w:bCs/>
          <w:lang w:val="en-US"/>
        </w:rPr>
        <w:t>;</w:t>
      </w:r>
    </w:p>
    <w:p w14:paraId="41499B68" w14:textId="4C2A7DF1" w:rsidR="005D46D1" w:rsidRPr="00CA5287" w:rsidRDefault="005D46D1" w:rsidP="005D46D1">
      <w:pPr>
        <w:rPr>
          <w:bCs/>
          <w:lang w:val="en-US"/>
        </w:rPr>
      </w:pPr>
      <w:r w:rsidRPr="000644E1">
        <w:rPr>
          <w:bCs/>
          <w:i/>
          <w:iCs/>
          <w:lang w:val="en-US"/>
        </w:rPr>
        <w:t>f)</w:t>
      </w:r>
      <w:r w:rsidRPr="00CA5287">
        <w:rPr>
          <w:bCs/>
          <w:lang w:val="en-US"/>
        </w:rPr>
        <w:tab/>
        <w:t xml:space="preserve">that the ITU Forum on </w:t>
      </w:r>
      <w:r w:rsidR="002F5F38" w:rsidRPr="00CA5287">
        <w:rPr>
          <w:bCs/>
          <w:lang w:val="en-US"/>
        </w:rPr>
        <w:t xml:space="preserve">Metaverse </w:t>
      </w:r>
      <w:r w:rsidRPr="00CA5287">
        <w:rPr>
          <w:bCs/>
          <w:lang w:val="en-US"/>
        </w:rPr>
        <w:t>provides a dynamic space for exploring and discussing the groundbreaking work of the ITU FG-MV, which was held five times during the FG</w:t>
      </w:r>
      <w:r w:rsidR="002F5F38">
        <w:rPr>
          <w:bCs/>
          <w:lang w:val="en-US"/>
        </w:rPr>
        <w:noBreakHyphen/>
      </w:r>
      <w:r w:rsidRPr="00CA5287">
        <w:rPr>
          <w:bCs/>
          <w:lang w:val="en-US"/>
        </w:rPr>
        <w:t>MV lifetime, from December 2022 to June 2024;</w:t>
      </w:r>
    </w:p>
    <w:p w14:paraId="6B29F712" w14:textId="744FE389" w:rsidR="005D46D1" w:rsidRPr="00845A00" w:rsidRDefault="005D46D1" w:rsidP="000644E1">
      <w:pPr>
        <w:rPr>
          <w:bCs/>
          <w:lang w:val="en-US"/>
        </w:rPr>
      </w:pPr>
      <w:r w:rsidRPr="000644E1">
        <w:rPr>
          <w:bCs/>
          <w:i/>
          <w:iCs/>
          <w:lang w:val="en-US"/>
        </w:rPr>
        <w:t>g)</w:t>
      </w:r>
      <w:r w:rsidRPr="00CA5287">
        <w:rPr>
          <w:bCs/>
          <w:lang w:val="en-US"/>
        </w:rPr>
        <w:tab/>
        <w:t xml:space="preserve">the first ‘UN Think-a-thon’ event that has been officially launched at the opening plenary of the </w:t>
      </w:r>
      <w:r w:rsidR="002F5F38">
        <w:rPr>
          <w:bCs/>
          <w:lang w:val="en-US"/>
        </w:rPr>
        <w:t>fourth</w:t>
      </w:r>
      <w:r w:rsidRPr="00CA5287">
        <w:rPr>
          <w:bCs/>
          <w:lang w:val="en-US"/>
        </w:rPr>
        <w:t xml:space="preserve"> ITU Forum on </w:t>
      </w:r>
      <w:r w:rsidR="002F5F38" w:rsidRPr="00CA5287">
        <w:rPr>
          <w:bCs/>
          <w:lang w:val="en-US"/>
        </w:rPr>
        <w:t xml:space="preserve">Metaverse </w:t>
      </w:r>
      <w:r w:rsidRPr="00CA5287">
        <w:rPr>
          <w:bCs/>
          <w:lang w:val="en-US"/>
        </w:rPr>
        <w:t xml:space="preserve">held in March 2024 by the Director of the Telecommunication Standardization Bureau (TSB), and it involves the participation of youth and universities on the topic of “Virtual Worlds Revolutionizing Smart Sustainable Cities &amp; Communities”, coordinated by the International Telecommunication Union (ITU), </w:t>
      </w:r>
      <w:r w:rsidRPr="00E4168C">
        <w:rPr>
          <w:bCs/>
          <w:lang w:val="en-US"/>
        </w:rPr>
        <w:t xml:space="preserve">United Nations International Computing Centre </w:t>
      </w:r>
      <w:r>
        <w:rPr>
          <w:bCs/>
          <w:lang w:val="en-US"/>
        </w:rPr>
        <w:t>(</w:t>
      </w:r>
      <w:r w:rsidRPr="00CA5287">
        <w:rPr>
          <w:bCs/>
          <w:lang w:val="en-US"/>
        </w:rPr>
        <w:t>UNICC</w:t>
      </w:r>
      <w:r>
        <w:rPr>
          <w:bCs/>
          <w:lang w:val="en-US"/>
        </w:rPr>
        <w:t>)</w:t>
      </w:r>
      <w:r w:rsidRPr="00CA5287">
        <w:rPr>
          <w:bCs/>
          <w:lang w:val="en-US"/>
        </w:rPr>
        <w:t xml:space="preserve">, </w:t>
      </w:r>
      <w:r>
        <w:rPr>
          <w:bCs/>
          <w:lang w:val="en-US"/>
        </w:rPr>
        <w:t>Food and Agricultural Organization of United Nations (</w:t>
      </w:r>
      <w:r w:rsidRPr="00CA5287">
        <w:rPr>
          <w:bCs/>
          <w:lang w:val="en-US"/>
        </w:rPr>
        <w:t>FAO</w:t>
      </w:r>
      <w:r>
        <w:rPr>
          <w:bCs/>
          <w:lang w:val="en-US"/>
        </w:rPr>
        <w:t>)</w:t>
      </w:r>
      <w:r w:rsidRPr="00CA5287">
        <w:rPr>
          <w:bCs/>
          <w:lang w:val="en-US"/>
        </w:rPr>
        <w:t xml:space="preserve"> and International Atomic Energy Agency (IAEA)</w:t>
      </w:r>
      <w:r w:rsidR="000644E1">
        <w:rPr>
          <w:bCs/>
          <w:lang w:val="en-US"/>
        </w:rPr>
        <w:t>,</w:t>
      </w:r>
    </w:p>
    <w:p w14:paraId="43F8608E" w14:textId="649416C6" w:rsidR="005D46D1" w:rsidRPr="00CA5287" w:rsidRDefault="005D46D1" w:rsidP="000644E1">
      <w:pPr>
        <w:pStyle w:val="Call"/>
      </w:pPr>
      <w:r w:rsidRPr="00CA5287">
        <w:t>considerin</w:t>
      </w:r>
      <w:r w:rsidR="000644E1">
        <w:t>g</w:t>
      </w:r>
    </w:p>
    <w:p w14:paraId="2A9CFA88" w14:textId="0E49BB4F" w:rsidR="005D46D1" w:rsidRPr="00CA5287" w:rsidRDefault="000644E1" w:rsidP="000644E1">
      <w:pPr>
        <w:rPr>
          <w:lang w:val="en-US"/>
        </w:rPr>
      </w:pPr>
      <w:r w:rsidRPr="000644E1">
        <w:rPr>
          <w:i/>
          <w:iCs/>
          <w:lang w:val="en-US"/>
        </w:rPr>
        <w:t>a)</w:t>
      </w:r>
      <w:r>
        <w:rPr>
          <w:lang w:val="en-US"/>
        </w:rPr>
        <w:tab/>
      </w:r>
      <w:r w:rsidR="005D46D1" w:rsidRPr="00CA5287">
        <w:rPr>
          <w:lang w:val="en-US"/>
        </w:rPr>
        <w:t>that the importance of the Internet in contributing to achievement of the 2030 Agenda for Sustainable Development, in particular recalling Sustainable Development Goal 11 (SDG 11) (Make cities and human settlements inclusive, safe, resilient and sustainable);</w:t>
      </w:r>
    </w:p>
    <w:p w14:paraId="6344102A" w14:textId="40C413D9" w:rsidR="005D46D1" w:rsidRPr="00CA5287" w:rsidRDefault="000644E1" w:rsidP="000644E1">
      <w:pPr>
        <w:rPr>
          <w:lang w:val="en-US"/>
        </w:rPr>
      </w:pPr>
      <w:r w:rsidRPr="000644E1">
        <w:rPr>
          <w:i/>
          <w:iCs/>
          <w:lang w:val="en-US"/>
        </w:rPr>
        <w:t>b)</w:t>
      </w:r>
      <w:r>
        <w:rPr>
          <w:lang w:val="en-US"/>
        </w:rPr>
        <w:tab/>
      </w:r>
      <w:r w:rsidR="005D46D1" w:rsidRPr="00CA5287">
        <w:rPr>
          <w:lang w:val="en-US"/>
        </w:rPr>
        <w:t xml:space="preserve">that </w:t>
      </w:r>
      <w:r w:rsidR="002F5F38" w:rsidRPr="00CA5287">
        <w:rPr>
          <w:lang w:val="en-US"/>
        </w:rPr>
        <w:t>Metaverse</w:t>
      </w:r>
      <w:r w:rsidR="005D46D1" w:rsidRPr="00CA5287">
        <w:rPr>
          <w:lang w:val="en-US"/>
        </w:rPr>
        <w:t>, together with new trends in other technologies vis-à-vis emerging technologies, is creating a paradigm shift in the way people live and this shift is having a tremendous impact on our community bringing new borderless and improved experiences;</w:t>
      </w:r>
    </w:p>
    <w:p w14:paraId="452D1684" w14:textId="7F112ED8" w:rsidR="005D46D1" w:rsidRPr="00CA5287" w:rsidRDefault="000644E1" w:rsidP="000644E1">
      <w:pPr>
        <w:rPr>
          <w:lang w:val="en-US"/>
        </w:rPr>
      </w:pPr>
      <w:r w:rsidRPr="000644E1">
        <w:rPr>
          <w:i/>
          <w:iCs/>
          <w:lang w:val="en-US"/>
        </w:rPr>
        <w:t>c)</w:t>
      </w:r>
      <w:r>
        <w:rPr>
          <w:lang w:val="en-US"/>
        </w:rPr>
        <w:tab/>
      </w:r>
      <w:r w:rsidR="005D46D1" w:rsidRPr="00CA5287">
        <w:rPr>
          <w:lang w:val="en-US"/>
        </w:rPr>
        <w:t>that t</w:t>
      </w:r>
      <w:r w:rsidR="005D46D1" w:rsidRPr="00CA5287">
        <w:t xml:space="preserve">he </w:t>
      </w:r>
      <w:r w:rsidR="002F5F38" w:rsidRPr="00CA5287">
        <w:t>Metaverse</w:t>
      </w:r>
      <w:r w:rsidR="005D46D1" w:rsidRPr="00CA5287">
        <w:t xml:space="preserve"> is rapidly eroding the boundaries between the physical and digital realms, delivering immersive experiences that blend the virtual and real worlds. This convergence is changing our daily lives, professional landscapes, and is poised to be the mainstay of future </w:t>
      </w:r>
      <w:r w:rsidR="005D46D1" w:rsidRPr="00CA5287">
        <w:lastRenderedPageBreak/>
        <w:t>telecommunications and ICT, applications revolutionizing our societies and industries economically, socially, and culturally;</w:t>
      </w:r>
    </w:p>
    <w:p w14:paraId="6DC59812" w14:textId="5D271744" w:rsidR="005D46D1" w:rsidRPr="00CA5287" w:rsidRDefault="000644E1" w:rsidP="000644E1">
      <w:pPr>
        <w:rPr>
          <w:lang w:val="en-US"/>
        </w:rPr>
      </w:pPr>
      <w:r w:rsidRPr="000644E1">
        <w:rPr>
          <w:i/>
          <w:iCs/>
          <w:lang w:val="en-US"/>
        </w:rPr>
        <w:t>d)</w:t>
      </w:r>
      <w:r>
        <w:rPr>
          <w:lang w:val="en-US"/>
        </w:rPr>
        <w:tab/>
      </w:r>
      <w:r w:rsidR="005D46D1" w:rsidRPr="00CA5287">
        <w:rPr>
          <w:lang w:val="en-US"/>
        </w:rPr>
        <w:t xml:space="preserve">that the challenges of inconsistent understanding, non-standardized applications, and prominent ethical issues hinder the development of </w:t>
      </w:r>
      <w:r w:rsidR="002F5F38" w:rsidRPr="00CA5287">
        <w:rPr>
          <w:lang w:val="en-US"/>
        </w:rPr>
        <w:t>Metaverse</w:t>
      </w:r>
      <w:r w:rsidR="005D46D1" w:rsidRPr="00CA5287">
        <w:rPr>
          <w:lang w:val="en-US"/>
        </w:rPr>
        <w:t xml:space="preserve"> and </w:t>
      </w:r>
      <w:r w:rsidR="002F5F38" w:rsidRPr="00CA5287">
        <w:rPr>
          <w:lang w:val="en-US"/>
        </w:rPr>
        <w:t>Metaverse</w:t>
      </w:r>
      <w:r w:rsidR="005D46D1" w:rsidRPr="00CA5287">
        <w:rPr>
          <w:lang w:val="en-US"/>
        </w:rPr>
        <w:t xml:space="preserve"> standardization are essential to foster the healthy development of </w:t>
      </w:r>
      <w:r w:rsidR="002F5F38" w:rsidRPr="00CA5287">
        <w:rPr>
          <w:lang w:val="en-US"/>
        </w:rPr>
        <w:t>Metaverse</w:t>
      </w:r>
      <w:r w:rsidR="005D46D1" w:rsidRPr="00CA5287">
        <w:rPr>
          <w:lang w:val="en-US"/>
        </w:rPr>
        <w:t xml:space="preserve"> industry;</w:t>
      </w:r>
    </w:p>
    <w:p w14:paraId="5067EDBD" w14:textId="4F3E9CD8" w:rsidR="005D46D1" w:rsidRPr="00CA5287" w:rsidRDefault="002F5F38" w:rsidP="000644E1">
      <w:pPr>
        <w:rPr>
          <w:lang w:val="en-US"/>
        </w:rPr>
      </w:pPr>
      <w:r>
        <w:rPr>
          <w:i/>
          <w:iCs/>
          <w:lang w:val="en-US"/>
        </w:rPr>
        <w:t>e</w:t>
      </w:r>
      <w:r w:rsidR="000644E1" w:rsidRPr="000644E1">
        <w:rPr>
          <w:i/>
          <w:iCs/>
          <w:lang w:val="en-US"/>
        </w:rPr>
        <w:t>)</w:t>
      </w:r>
      <w:r w:rsidR="000644E1">
        <w:rPr>
          <w:lang w:val="en-US"/>
        </w:rPr>
        <w:tab/>
      </w:r>
      <w:r w:rsidR="005D46D1" w:rsidRPr="00CA5287">
        <w:rPr>
          <w:lang w:val="en-US"/>
        </w:rPr>
        <w:t xml:space="preserve">that </w:t>
      </w:r>
      <w:r w:rsidR="005D46D1" w:rsidRPr="00CA5287">
        <w:t xml:space="preserve">various industrial sectors, including energy, transportation, healthcare, and agriculture, are collaborating to develop IoT and SC&amp;C applications and services for the </w:t>
      </w:r>
      <w:r w:rsidRPr="00CA5287">
        <w:t>Metaverse</w:t>
      </w:r>
      <w:r w:rsidR="005D46D1" w:rsidRPr="00CA5287">
        <w:t>, creating immersive and interconnected digital experiences across verticals;</w:t>
      </w:r>
    </w:p>
    <w:p w14:paraId="3E184799" w14:textId="62709564" w:rsidR="005D46D1" w:rsidRDefault="002F5F38" w:rsidP="000644E1">
      <w:pPr>
        <w:rPr>
          <w:lang w:val="en-US"/>
        </w:rPr>
      </w:pPr>
      <w:r>
        <w:rPr>
          <w:i/>
          <w:iCs/>
          <w:lang w:val="en-US"/>
        </w:rPr>
        <w:t>f</w:t>
      </w:r>
      <w:r w:rsidR="000644E1" w:rsidRPr="000644E1">
        <w:rPr>
          <w:i/>
          <w:iCs/>
          <w:lang w:val="en-US"/>
        </w:rPr>
        <w:t>)</w:t>
      </w:r>
      <w:r w:rsidR="000644E1">
        <w:rPr>
          <w:lang w:val="en-US"/>
        </w:rPr>
        <w:tab/>
      </w:r>
      <w:r w:rsidR="005D46D1" w:rsidRPr="00CA5287">
        <w:rPr>
          <w:lang w:val="en-US"/>
        </w:rPr>
        <w:t>that the Internet can be the key enabler for the information society and can offer the opportunity to transform the urban infrastructure, taking advantage, among other things, of the efficiencies of smart buildings and transport systems, and smart water management, working together with services for the benefit of users based on the Internet infrastructure and future development of the next generation of the Internet;</w:t>
      </w:r>
    </w:p>
    <w:p w14:paraId="447F8D8D" w14:textId="17095C71" w:rsidR="005D46D1" w:rsidRPr="00164693" w:rsidRDefault="002F5F38" w:rsidP="000644E1">
      <w:pPr>
        <w:rPr>
          <w:lang w:val="en-US"/>
        </w:rPr>
      </w:pPr>
      <w:r>
        <w:rPr>
          <w:i/>
          <w:iCs/>
          <w:color w:val="000000" w:themeColor="text1"/>
          <w:lang w:val="en-US"/>
        </w:rPr>
        <w:t>g</w:t>
      </w:r>
      <w:r w:rsidR="000644E1" w:rsidRPr="000644E1">
        <w:rPr>
          <w:i/>
          <w:iCs/>
          <w:color w:val="000000" w:themeColor="text1"/>
          <w:lang w:val="en-US"/>
        </w:rPr>
        <w:t>)</w:t>
      </w:r>
      <w:r w:rsidR="000644E1">
        <w:rPr>
          <w:color w:val="000000" w:themeColor="text1"/>
          <w:lang w:val="en-US"/>
        </w:rPr>
        <w:tab/>
      </w:r>
      <w:r w:rsidR="005D46D1" w:rsidRPr="00164693">
        <w:rPr>
          <w:color w:val="000000" w:themeColor="text1"/>
          <w:lang w:val="en-US"/>
        </w:rPr>
        <w:t xml:space="preserve">that the existing cybersecurity threats are expected to evolve in the </w:t>
      </w:r>
      <w:r w:rsidRPr="00164693">
        <w:rPr>
          <w:color w:val="000000" w:themeColor="text1"/>
          <w:lang w:val="en-US"/>
        </w:rPr>
        <w:t>Metaverse</w:t>
      </w:r>
      <w:r w:rsidR="005D46D1" w:rsidRPr="00164693">
        <w:rPr>
          <w:color w:val="000000" w:themeColor="text1"/>
          <w:lang w:val="en-US"/>
        </w:rPr>
        <w:t xml:space="preserve"> and </w:t>
      </w:r>
      <w:r>
        <w:rPr>
          <w:color w:val="000000" w:themeColor="text1"/>
          <w:lang w:val="en-US"/>
        </w:rPr>
        <w:t>that there is a</w:t>
      </w:r>
      <w:r w:rsidR="005D46D1" w:rsidRPr="00164693">
        <w:rPr>
          <w:color w:val="000000" w:themeColor="text1"/>
          <w:lang w:val="en-US"/>
        </w:rPr>
        <w:t xml:space="preserve"> need to address these threats effectively</w:t>
      </w:r>
      <w:r w:rsidR="005D46D1" w:rsidRPr="00E45B76">
        <w:rPr>
          <w:color w:val="000000" w:themeColor="text1"/>
          <w:lang w:val="en-US"/>
        </w:rPr>
        <w:t>;</w:t>
      </w:r>
    </w:p>
    <w:p w14:paraId="6C66334F" w14:textId="243FA7CA" w:rsidR="005D46D1" w:rsidRPr="00164693" w:rsidRDefault="002F5F38" w:rsidP="000644E1">
      <w:pPr>
        <w:rPr>
          <w:lang w:val="en-US"/>
        </w:rPr>
      </w:pPr>
      <w:r>
        <w:rPr>
          <w:i/>
          <w:iCs/>
          <w:color w:val="000000" w:themeColor="text1"/>
          <w:lang w:val="en-US"/>
        </w:rPr>
        <w:t>h</w:t>
      </w:r>
      <w:r w:rsidR="000644E1" w:rsidRPr="000644E1">
        <w:rPr>
          <w:i/>
          <w:iCs/>
          <w:color w:val="000000" w:themeColor="text1"/>
          <w:lang w:val="en-US"/>
        </w:rPr>
        <w:t>)</w:t>
      </w:r>
      <w:r w:rsidR="000644E1">
        <w:rPr>
          <w:color w:val="000000" w:themeColor="text1"/>
          <w:lang w:val="en-US"/>
        </w:rPr>
        <w:tab/>
      </w:r>
      <w:r w:rsidR="005D46D1" w:rsidRPr="00164693">
        <w:rPr>
          <w:color w:val="000000" w:themeColor="text1"/>
          <w:lang w:val="en-US"/>
        </w:rPr>
        <w:t xml:space="preserve">that the </w:t>
      </w:r>
      <w:r w:rsidRPr="00164693">
        <w:rPr>
          <w:color w:val="000000" w:themeColor="text1"/>
          <w:lang w:val="en-US"/>
        </w:rPr>
        <w:t>Metaverse</w:t>
      </w:r>
      <w:r w:rsidR="005D46D1" w:rsidRPr="00164693">
        <w:rPr>
          <w:color w:val="000000" w:themeColor="text1"/>
          <w:lang w:val="en-US"/>
        </w:rPr>
        <w:t xml:space="preserve"> technology is bringing significant benefits to society and the need to develop a </w:t>
      </w:r>
      <w:r w:rsidRPr="00164693">
        <w:rPr>
          <w:color w:val="000000" w:themeColor="text1"/>
          <w:lang w:val="en-US"/>
        </w:rPr>
        <w:t>Metaverse</w:t>
      </w:r>
      <w:r w:rsidR="005D46D1" w:rsidRPr="00164693">
        <w:rPr>
          <w:color w:val="000000" w:themeColor="text1"/>
          <w:lang w:val="en-US"/>
        </w:rPr>
        <w:t xml:space="preserve"> that is equitable and inclusive</w:t>
      </w:r>
      <w:r w:rsidR="005D46D1" w:rsidRPr="00E45B76">
        <w:rPr>
          <w:color w:val="000000" w:themeColor="text1"/>
          <w:lang w:val="en-US"/>
        </w:rPr>
        <w:t>;</w:t>
      </w:r>
    </w:p>
    <w:p w14:paraId="27CB5CC8" w14:textId="7A67E706" w:rsidR="005D46D1" w:rsidRPr="00E45B76" w:rsidRDefault="002F5F38" w:rsidP="000644E1">
      <w:pPr>
        <w:rPr>
          <w:lang w:val="en-US"/>
        </w:rPr>
      </w:pPr>
      <w:r>
        <w:rPr>
          <w:i/>
          <w:iCs/>
          <w:color w:val="000000" w:themeColor="text1"/>
          <w:lang w:val="en-US"/>
        </w:rPr>
        <w:t>i</w:t>
      </w:r>
      <w:r w:rsidR="000644E1" w:rsidRPr="000644E1">
        <w:rPr>
          <w:i/>
          <w:iCs/>
          <w:color w:val="000000" w:themeColor="text1"/>
          <w:lang w:val="en-US"/>
        </w:rPr>
        <w:t>)</w:t>
      </w:r>
      <w:r w:rsidR="000644E1">
        <w:rPr>
          <w:color w:val="000000" w:themeColor="text1"/>
          <w:lang w:val="en-US"/>
        </w:rPr>
        <w:tab/>
      </w:r>
      <w:r w:rsidR="005D46D1" w:rsidRPr="00164693">
        <w:rPr>
          <w:color w:val="000000" w:themeColor="text1"/>
          <w:lang w:val="en-US"/>
        </w:rPr>
        <w:t xml:space="preserve">that </w:t>
      </w:r>
      <w:r w:rsidRPr="00164693">
        <w:rPr>
          <w:color w:val="000000" w:themeColor="text1"/>
          <w:lang w:val="en-US"/>
        </w:rPr>
        <w:t>Metaverse</w:t>
      </w:r>
      <w:r w:rsidR="005D46D1" w:rsidRPr="00164693">
        <w:rPr>
          <w:color w:val="000000" w:themeColor="text1"/>
          <w:lang w:val="en-US"/>
        </w:rPr>
        <w:t xml:space="preserve"> technology enables an immersive digital universe where people can interact, work and play</w:t>
      </w:r>
      <w:r>
        <w:rPr>
          <w:color w:val="000000" w:themeColor="text1"/>
          <w:lang w:val="en-US"/>
        </w:rPr>
        <w:t>, and c</w:t>
      </w:r>
      <w:r w:rsidR="005D46D1" w:rsidRPr="00164693">
        <w:rPr>
          <w:color w:val="000000" w:themeColor="text1"/>
          <w:lang w:val="en-US"/>
        </w:rPr>
        <w:t xml:space="preserve">onsequently, vast quantities of personal data are generated and exchanged among the </w:t>
      </w:r>
      <w:r w:rsidRPr="00164693">
        <w:rPr>
          <w:color w:val="000000" w:themeColor="text1"/>
          <w:lang w:val="en-US"/>
        </w:rPr>
        <w:t>Metaverse</w:t>
      </w:r>
      <w:r w:rsidR="005D46D1" w:rsidRPr="00164693">
        <w:rPr>
          <w:color w:val="000000" w:themeColor="text1"/>
          <w:lang w:val="en-US"/>
        </w:rPr>
        <w:t xml:space="preserve"> platforms posing significant privacy related challenges on data protection issues</w:t>
      </w:r>
      <w:r w:rsidR="000644E1">
        <w:rPr>
          <w:color w:val="000000" w:themeColor="text1"/>
          <w:lang w:val="en-US"/>
        </w:rPr>
        <w:t>,</w:t>
      </w:r>
    </w:p>
    <w:p w14:paraId="550D9DE2" w14:textId="6707BC52" w:rsidR="005D46D1" w:rsidRPr="00CA5287" w:rsidRDefault="005D46D1" w:rsidP="00675DAD">
      <w:pPr>
        <w:pStyle w:val="Call"/>
      </w:pPr>
      <w:r>
        <w:t>n</w:t>
      </w:r>
      <w:r w:rsidRPr="00CA5287">
        <w:t>oting</w:t>
      </w:r>
    </w:p>
    <w:p w14:paraId="066ED613" w14:textId="599AAC31" w:rsidR="005D46D1" w:rsidRPr="00CA5287" w:rsidRDefault="00675DAD" w:rsidP="00675DAD">
      <w:r w:rsidRPr="00675DAD">
        <w:rPr>
          <w:i/>
          <w:iCs/>
        </w:rPr>
        <w:t>a)</w:t>
      </w:r>
      <w:r>
        <w:tab/>
      </w:r>
      <w:r w:rsidR="005D46D1" w:rsidRPr="00CA5287">
        <w:t>that the ITU Member States have identified significant policy responsibilities in Chapter VI of the ITU Constitution (Articles 33</w:t>
      </w:r>
      <w:r w:rsidR="005D46D1" w:rsidRPr="00CA5287">
        <w:noBreakHyphen/>
        <w:t>43) and in Chapter V of the Convention (Articles 36</w:t>
      </w:r>
      <w:r w:rsidR="005D46D1" w:rsidRPr="00CA5287">
        <w:noBreakHyphen/>
        <w:t xml:space="preserve">40), and in relevant resolutions of </w:t>
      </w:r>
      <w:r w:rsidR="002F5F38" w:rsidRPr="00CA5287">
        <w:t>Plenipotentiary Conferences</w:t>
      </w:r>
      <w:r w:rsidR="004313C6">
        <w:t>,</w:t>
      </w:r>
      <w:r w:rsidR="002F5F38" w:rsidRPr="00CA5287">
        <w:t xml:space="preserve"> </w:t>
      </w:r>
      <w:r w:rsidR="005D46D1" w:rsidRPr="00CA5287">
        <w:t xml:space="preserve">which also made provision for the proposal of </w:t>
      </w:r>
      <w:r w:rsidR="004313C6">
        <w:t xml:space="preserve">a </w:t>
      </w:r>
      <w:r w:rsidR="004313C6" w:rsidRPr="00CA5287">
        <w:t>new resolution</w:t>
      </w:r>
      <w:r w:rsidR="005D46D1" w:rsidRPr="00CA5287">
        <w:t>;</w:t>
      </w:r>
    </w:p>
    <w:p w14:paraId="65174AC0" w14:textId="17F68FFC" w:rsidR="005D46D1" w:rsidRPr="00CA5287" w:rsidRDefault="00675DAD" w:rsidP="00675DAD">
      <w:r w:rsidRPr="00675DAD">
        <w:rPr>
          <w:i/>
          <w:iCs/>
        </w:rPr>
        <w:t>b)</w:t>
      </w:r>
      <w:r>
        <w:tab/>
      </w:r>
      <w:r w:rsidR="005D46D1" w:rsidRPr="00CA5287">
        <w:t xml:space="preserve">that the International Telecommunication Regulations further describe policy and regulatory obligations incumbent upon Member States; </w:t>
      </w:r>
    </w:p>
    <w:p w14:paraId="499B9C43" w14:textId="38A45BA6" w:rsidR="005D46D1" w:rsidRPr="00CA5287" w:rsidRDefault="00675DAD" w:rsidP="00675DAD">
      <w:r w:rsidRPr="00675DAD">
        <w:rPr>
          <w:i/>
          <w:iCs/>
        </w:rPr>
        <w:t>c)</w:t>
      </w:r>
      <w:r>
        <w:tab/>
      </w:r>
      <w:r w:rsidR="005D46D1" w:rsidRPr="00CA5287">
        <w:t>that No. 191C of the Convention empowers the World Telecommunication Standardization Assembly (WTSA) to assign matters within its competence to the Telecommunication Standardization Advisory Group (TSAG), indicating the action required on those matters,</w:t>
      </w:r>
    </w:p>
    <w:p w14:paraId="6C2E0882" w14:textId="77777777" w:rsidR="005D46D1" w:rsidRPr="00CA5287" w:rsidRDefault="005D46D1" w:rsidP="00675DAD">
      <w:pPr>
        <w:pStyle w:val="Call"/>
      </w:pPr>
      <w:r w:rsidRPr="00CA5287">
        <w:t>resolves</w:t>
      </w:r>
    </w:p>
    <w:p w14:paraId="3D0943CF" w14:textId="47363AF2" w:rsidR="005D46D1" w:rsidRPr="00CA5287" w:rsidRDefault="00675DAD" w:rsidP="00675DAD">
      <w:pPr>
        <w:rPr>
          <w:lang w:val="en-US"/>
        </w:rPr>
      </w:pPr>
      <w:r w:rsidRPr="00675DAD">
        <w:rPr>
          <w:i/>
          <w:iCs/>
          <w:lang w:val="en-US"/>
        </w:rPr>
        <w:t>a)</w:t>
      </w:r>
      <w:r>
        <w:rPr>
          <w:lang w:val="en-US"/>
        </w:rPr>
        <w:tab/>
      </w:r>
      <w:r w:rsidR="005D46D1" w:rsidRPr="00CA5287">
        <w:rPr>
          <w:lang w:val="en-US"/>
        </w:rPr>
        <w:t xml:space="preserve">to promote and strengthen the ITU-T SG’s standardization work related to enabling technologies, systems, applications, services, protocols, security features, accessibility and sustainability for </w:t>
      </w:r>
      <w:r w:rsidR="002F5F38" w:rsidRPr="00CA5287">
        <w:rPr>
          <w:lang w:val="en-US"/>
        </w:rPr>
        <w:t>Metaverse</w:t>
      </w:r>
      <w:r w:rsidR="005D46D1" w:rsidRPr="00CA5287">
        <w:rPr>
          <w:lang w:val="en-US"/>
        </w:rPr>
        <w:t>, considering recent market requirements to provide enhanced value of ITU-T deliverables such as Recommendations, technical reports, and guidelines;</w:t>
      </w:r>
    </w:p>
    <w:p w14:paraId="277B3B49" w14:textId="512517EB" w:rsidR="005D46D1" w:rsidRPr="00CA5287" w:rsidRDefault="00675DAD" w:rsidP="00675DAD">
      <w:pPr>
        <w:rPr>
          <w:lang w:val="en-US"/>
        </w:rPr>
      </w:pPr>
      <w:r w:rsidRPr="00675DAD">
        <w:rPr>
          <w:i/>
          <w:iCs/>
          <w:lang w:val="en-US"/>
        </w:rPr>
        <w:t>b)</w:t>
      </w:r>
      <w:r>
        <w:rPr>
          <w:lang w:val="en-US"/>
        </w:rPr>
        <w:tab/>
      </w:r>
      <w:r w:rsidR="005D46D1" w:rsidRPr="00CA5287">
        <w:rPr>
          <w:lang w:val="en-US"/>
        </w:rPr>
        <w:t>to establish a</w:t>
      </w:r>
      <w:r w:rsidR="005D46D1">
        <w:rPr>
          <w:lang w:val="en-US"/>
        </w:rPr>
        <w:t xml:space="preserve"> Joint Coordination Activity</w:t>
      </w:r>
      <w:r w:rsidR="004313C6">
        <w:rPr>
          <w:lang w:val="en-US"/>
        </w:rPr>
        <w:t xml:space="preserve"> </w:t>
      </w:r>
      <w:r w:rsidR="005D46D1" w:rsidRPr="00CA5287">
        <w:rPr>
          <w:lang w:val="en-US"/>
        </w:rPr>
        <w:t>-</w:t>
      </w:r>
      <w:r w:rsidR="004313C6">
        <w:rPr>
          <w:lang w:val="en-US"/>
        </w:rPr>
        <w:t xml:space="preserve"> </w:t>
      </w:r>
      <w:r w:rsidR="005D46D1">
        <w:rPr>
          <w:lang w:val="en-US"/>
        </w:rPr>
        <w:t>M</w:t>
      </w:r>
      <w:r w:rsidR="005D46D1" w:rsidRPr="00CA5287">
        <w:rPr>
          <w:lang w:val="en-US"/>
        </w:rPr>
        <w:t xml:space="preserve">etaverse (JCA-MV) to lead global initiative on </w:t>
      </w:r>
      <w:r w:rsidR="002F5F38" w:rsidRPr="00CA5287">
        <w:rPr>
          <w:lang w:val="en-US"/>
        </w:rPr>
        <w:t>Metaverse</w:t>
      </w:r>
      <w:r w:rsidR="005D46D1" w:rsidRPr="00CA5287">
        <w:rPr>
          <w:lang w:val="en-US"/>
        </w:rPr>
        <w:t xml:space="preserve"> and identify gaps for the purpose of having standardization activities under relevant </w:t>
      </w:r>
      <w:r w:rsidR="004313C6" w:rsidRPr="00CA5287">
        <w:rPr>
          <w:lang w:val="en-US"/>
        </w:rPr>
        <w:t>study groups</w:t>
      </w:r>
      <w:r w:rsidR="004313C6">
        <w:rPr>
          <w:lang w:val="en-US"/>
        </w:rPr>
        <w:t xml:space="preserve"> </w:t>
      </w:r>
      <w:r w:rsidR="005D46D1" w:rsidRPr="00CA5287">
        <w:rPr>
          <w:lang w:val="en-US"/>
        </w:rPr>
        <w:t>or Telecommunication Standardization Advisory Group (TSAG) to coordinate the relevant standardization work of each ITU-T SG and collaborate with related SDOs and relevant parties outside ITU-T;</w:t>
      </w:r>
    </w:p>
    <w:p w14:paraId="3D9E2641" w14:textId="7DF27793" w:rsidR="005D46D1" w:rsidRPr="00CA5287" w:rsidRDefault="00675DAD" w:rsidP="00675DAD">
      <w:pPr>
        <w:rPr>
          <w:lang w:val="en-US"/>
        </w:rPr>
      </w:pPr>
      <w:r w:rsidRPr="00675DAD">
        <w:rPr>
          <w:i/>
          <w:iCs/>
        </w:rPr>
        <w:t>c)</w:t>
      </w:r>
      <w:r>
        <w:tab/>
      </w:r>
      <w:r w:rsidR="005D46D1" w:rsidRPr="00CA5287">
        <w:t xml:space="preserve">to organize ITU workshops and disseminate progress and achievements of ITU-T </w:t>
      </w:r>
      <w:r w:rsidR="004313C6" w:rsidRPr="00CA5287">
        <w:t>study groups involv</w:t>
      </w:r>
      <w:r w:rsidR="005D46D1" w:rsidRPr="00CA5287">
        <w:t xml:space="preserve">ed in </w:t>
      </w:r>
      <w:r w:rsidR="002F5F38" w:rsidRPr="00CA5287">
        <w:t>Metaverse</w:t>
      </w:r>
      <w:r w:rsidR="005D46D1" w:rsidRPr="00CA5287">
        <w:t xml:space="preserve"> standardization prior to the next World Telecommunications </w:t>
      </w:r>
      <w:r w:rsidR="005D46D1" w:rsidRPr="00CA5287">
        <w:lastRenderedPageBreak/>
        <w:t>Standardization Assembly (WTSA), and to foster collaboration with industry associations, consortia, and for</w:t>
      </w:r>
      <w:r w:rsidR="004313C6">
        <w:t>ums</w:t>
      </w:r>
      <w:r w:rsidR="005D46D1" w:rsidRPr="00CA5287">
        <w:t xml:space="preserve"> involved in Metaverse systems, applications, and services;</w:t>
      </w:r>
    </w:p>
    <w:p w14:paraId="772E5112" w14:textId="02356D38" w:rsidR="005D46D1" w:rsidRDefault="00675DAD" w:rsidP="00675DAD">
      <w:pPr>
        <w:rPr>
          <w:lang w:val="en-US"/>
        </w:rPr>
      </w:pPr>
      <w:r w:rsidRPr="00675DAD">
        <w:rPr>
          <w:i/>
          <w:iCs/>
          <w:lang w:val="en-US"/>
        </w:rPr>
        <w:t>d)</w:t>
      </w:r>
      <w:r>
        <w:rPr>
          <w:lang w:val="en-US"/>
        </w:rPr>
        <w:tab/>
      </w:r>
      <w:r w:rsidR="005D46D1">
        <w:rPr>
          <w:lang w:val="en-US"/>
        </w:rPr>
        <w:t>t</w:t>
      </w:r>
      <w:r w:rsidR="005D46D1" w:rsidRPr="00CA5287">
        <w:rPr>
          <w:lang w:val="en-US"/>
        </w:rPr>
        <w:t>o foster continued collaboration with international SDOs, industry forums, and relevant organizations in global projects and initiatives</w:t>
      </w:r>
      <w:r w:rsidR="004313C6">
        <w:rPr>
          <w:lang w:val="en-US"/>
        </w:rPr>
        <w:t>, t</w:t>
      </w:r>
      <w:r w:rsidR="005D46D1" w:rsidRPr="00CA5287">
        <w:rPr>
          <w:lang w:val="en-US"/>
        </w:rPr>
        <w:t xml:space="preserve">his collaboration aims to accelerate the development of international telecommunication standards and reports that ensure seamless interoperability of </w:t>
      </w:r>
      <w:r w:rsidR="002F5F38" w:rsidRPr="00CA5287">
        <w:rPr>
          <w:lang w:val="en-US"/>
        </w:rPr>
        <w:t>Metaverse</w:t>
      </w:r>
      <w:r w:rsidR="005D46D1" w:rsidRPr="00CA5287">
        <w:rPr>
          <w:lang w:val="en-US"/>
        </w:rPr>
        <w:t xml:space="preserve"> technologies as well as prevent duplication on works on </w:t>
      </w:r>
      <w:r w:rsidR="002F5F38" w:rsidRPr="00CA5287">
        <w:rPr>
          <w:lang w:val="en-US"/>
        </w:rPr>
        <w:t>Metaverse</w:t>
      </w:r>
      <w:r w:rsidR="005D46D1" w:rsidRPr="00CA5287">
        <w:rPr>
          <w:lang w:val="en-US"/>
        </w:rPr>
        <w:t>;</w:t>
      </w:r>
    </w:p>
    <w:p w14:paraId="46E907FD" w14:textId="18F46026" w:rsidR="005D46D1" w:rsidRPr="00164693" w:rsidRDefault="00675DAD" w:rsidP="00675DAD">
      <w:pPr>
        <w:rPr>
          <w:rFonts w:eastAsiaTheme="minorHAnsi"/>
          <w:lang w:val="en-US"/>
        </w:rPr>
      </w:pPr>
      <w:r w:rsidRPr="00675DAD">
        <w:rPr>
          <w:i/>
        </w:rPr>
        <w:t>e)</w:t>
      </w:r>
      <w:r>
        <w:rPr>
          <w:iCs/>
        </w:rPr>
        <w:tab/>
      </w:r>
      <w:r w:rsidR="005D46D1" w:rsidRPr="00164693">
        <w:rPr>
          <w:iCs/>
        </w:rPr>
        <w:t xml:space="preserve">to take necessary steps to achieve a comprehensive understanding of threats and foster cooperation between governments and industry to develop a safe and secure </w:t>
      </w:r>
      <w:r w:rsidR="002F5F38" w:rsidRPr="00164693">
        <w:rPr>
          <w:iCs/>
        </w:rPr>
        <w:t>Metaverse</w:t>
      </w:r>
      <w:r w:rsidR="005D46D1" w:rsidRPr="00164693">
        <w:rPr>
          <w:iCs/>
        </w:rPr>
        <w:t xml:space="preserve"> environment</w:t>
      </w:r>
      <w:r w:rsidR="005D46D1" w:rsidRPr="00164693">
        <w:rPr>
          <w:rFonts w:eastAsia="Calibri"/>
          <w:color w:val="000000"/>
        </w:rPr>
        <w:t xml:space="preserve"> that focuses on the well-being of users;</w:t>
      </w:r>
    </w:p>
    <w:p w14:paraId="74E456D7" w14:textId="506F36B6" w:rsidR="005D46D1" w:rsidRPr="00164693" w:rsidRDefault="00675DAD" w:rsidP="00675DAD">
      <w:pPr>
        <w:rPr>
          <w:sz w:val="22"/>
          <w:szCs w:val="22"/>
          <w:lang w:val="en-US"/>
        </w:rPr>
      </w:pPr>
      <w:r w:rsidRPr="00675DAD">
        <w:rPr>
          <w:i/>
          <w:szCs w:val="24"/>
        </w:rPr>
        <w:t>f)</w:t>
      </w:r>
      <w:r>
        <w:rPr>
          <w:iCs/>
          <w:szCs w:val="24"/>
        </w:rPr>
        <w:tab/>
      </w:r>
      <w:r w:rsidR="005D46D1" w:rsidRPr="00164693">
        <w:rPr>
          <w:iCs/>
          <w:szCs w:val="24"/>
        </w:rPr>
        <w:t xml:space="preserve">to embrace the </w:t>
      </w:r>
      <w:r w:rsidR="002F5F38" w:rsidRPr="00164693">
        <w:rPr>
          <w:iCs/>
          <w:szCs w:val="24"/>
        </w:rPr>
        <w:t>Metaverse</w:t>
      </w:r>
      <w:r w:rsidR="005D46D1" w:rsidRPr="00164693">
        <w:rPr>
          <w:iCs/>
          <w:szCs w:val="24"/>
        </w:rPr>
        <w:t>, recognising its potential for economic growth, technological advancement, and societal transformation;</w:t>
      </w:r>
    </w:p>
    <w:p w14:paraId="76E45F74" w14:textId="7D20488C" w:rsidR="005D46D1" w:rsidRPr="00E45B76" w:rsidRDefault="00675DAD" w:rsidP="00675DAD">
      <w:pPr>
        <w:rPr>
          <w:lang w:val="en-US"/>
        </w:rPr>
      </w:pPr>
      <w:r w:rsidRPr="00675DAD">
        <w:rPr>
          <w:i/>
          <w:szCs w:val="24"/>
        </w:rPr>
        <w:t>g)</w:t>
      </w:r>
      <w:r>
        <w:rPr>
          <w:iCs/>
          <w:szCs w:val="24"/>
        </w:rPr>
        <w:tab/>
      </w:r>
      <w:r w:rsidR="005D46D1" w:rsidRPr="00164693">
        <w:rPr>
          <w:iCs/>
          <w:szCs w:val="24"/>
        </w:rPr>
        <w:t xml:space="preserve">to ensure data privacy in </w:t>
      </w:r>
      <w:r w:rsidR="002F5F38" w:rsidRPr="00164693">
        <w:rPr>
          <w:iCs/>
          <w:szCs w:val="24"/>
        </w:rPr>
        <w:t>Metaverse</w:t>
      </w:r>
      <w:r w:rsidR="005D46D1" w:rsidRPr="00164693">
        <w:rPr>
          <w:iCs/>
          <w:szCs w:val="24"/>
        </w:rPr>
        <w:t xml:space="preserve"> platforms by means of privacy-enhancing technologies that will empower users to maintain control over their personal data, even within virtual realms</w:t>
      </w:r>
      <w:r>
        <w:rPr>
          <w:iCs/>
          <w:szCs w:val="24"/>
        </w:rPr>
        <w:t>,</w:t>
      </w:r>
    </w:p>
    <w:p w14:paraId="48A05B11" w14:textId="77777777" w:rsidR="005D46D1" w:rsidRPr="00CA5287" w:rsidRDefault="005D46D1" w:rsidP="00675DAD">
      <w:pPr>
        <w:pStyle w:val="Call"/>
        <w:rPr>
          <w:lang w:val="en-US"/>
        </w:rPr>
      </w:pPr>
      <w:r w:rsidRPr="00CA5287">
        <w:rPr>
          <w:lang w:val="en-US"/>
        </w:rPr>
        <w:t>invites Member States</w:t>
      </w:r>
    </w:p>
    <w:p w14:paraId="4AD268F3" w14:textId="737CFD2B" w:rsidR="005D46D1" w:rsidRPr="00CA5287" w:rsidRDefault="00470966" w:rsidP="00470966">
      <w:pPr>
        <w:rPr>
          <w:lang w:val="en-US"/>
        </w:rPr>
      </w:pPr>
      <w:r w:rsidRPr="00470966">
        <w:rPr>
          <w:i/>
          <w:iCs/>
          <w:lang w:val="en-US"/>
        </w:rPr>
        <w:t>a)</w:t>
      </w:r>
      <w:r>
        <w:rPr>
          <w:lang w:val="en-US"/>
        </w:rPr>
        <w:tab/>
      </w:r>
      <w:r w:rsidR="005D46D1" w:rsidRPr="00CA5287">
        <w:rPr>
          <w:lang w:val="en-US"/>
        </w:rPr>
        <w:t xml:space="preserve">to submit contributions and continue participating actively in the work of all ITU-T </w:t>
      </w:r>
      <w:r w:rsidR="004313C6" w:rsidRPr="00CA5287">
        <w:rPr>
          <w:lang w:val="en-US"/>
        </w:rPr>
        <w:t xml:space="preserve">study groups </w:t>
      </w:r>
      <w:r w:rsidR="005D46D1" w:rsidRPr="00CA5287">
        <w:rPr>
          <w:lang w:val="en-US"/>
        </w:rPr>
        <w:t xml:space="preserve">especially the </w:t>
      </w:r>
      <w:r w:rsidR="004313C6" w:rsidRPr="00CA5287">
        <w:rPr>
          <w:lang w:val="en-US"/>
        </w:rPr>
        <w:t>s</w:t>
      </w:r>
      <w:r w:rsidR="004313C6">
        <w:rPr>
          <w:lang w:val="en-US"/>
        </w:rPr>
        <w:t xml:space="preserve">tudy groups that </w:t>
      </w:r>
      <w:r w:rsidR="005D46D1">
        <w:rPr>
          <w:lang w:val="en-US"/>
        </w:rPr>
        <w:t xml:space="preserve">are </w:t>
      </w:r>
      <w:r w:rsidR="005D46D1" w:rsidRPr="00CA5287">
        <w:rPr>
          <w:lang w:val="en-US"/>
        </w:rPr>
        <w:t xml:space="preserve">promoting </w:t>
      </w:r>
      <w:r w:rsidR="002F5F38" w:rsidRPr="00CA5287">
        <w:rPr>
          <w:lang w:val="en-US"/>
        </w:rPr>
        <w:t>Metaverse</w:t>
      </w:r>
      <w:r w:rsidR="005D46D1" w:rsidRPr="00CA5287">
        <w:rPr>
          <w:lang w:val="en-US"/>
        </w:rPr>
        <w:t>: Study Group 20; Study Group 17; Study Group 16; Study Group 11; Study Group 13</w:t>
      </w:r>
      <w:r w:rsidR="005D46D1" w:rsidRPr="00164693">
        <w:rPr>
          <w:lang w:val="en-US"/>
        </w:rPr>
        <w:t>; Study Group 3</w:t>
      </w:r>
      <w:r w:rsidR="005D46D1" w:rsidRPr="00E45B76">
        <w:rPr>
          <w:lang w:val="en-US"/>
        </w:rPr>
        <w:t xml:space="preserve"> and</w:t>
      </w:r>
      <w:r w:rsidR="005D46D1" w:rsidRPr="00CA5287">
        <w:rPr>
          <w:lang w:val="en-US"/>
        </w:rPr>
        <w:t xml:space="preserve"> a new Study Group on </w:t>
      </w:r>
      <w:r w:rsidR="002F5F38" w:rsidRPr="00CA5287">
        <w:rPr>
          <w:lang w:val="en-US"/>
        </w:rPr>
        <w:t>METAVERSE</w:t>
      </w:r>
      <w:r w:rsidR="005D46D1" w:rsidRPr="00CA5287">
        <w:rPr>
          <w:lang w:val="en-US"/>
        </w:rPr>
        <w:t>;</w:t>
      </w:r>
    </w:p>
    <w:p w14:paraId="051120F3" w14:textId="2334E24B" w:rsidR="005D46D1" w:rsidRPr="00CA5287" w:rsidRDefault="00470966" w:rsidP="00470966">
      <w:pPr>
        <w:rPr>
          <w:lang w:val="en-US"/>
        </w:rPr>
      </w:pPr>
      <w:r w:rsidRPr="00470966">
        <w:rPr>
          <w:i/>
          <w:iCs/>
          <w:lang w:val="en-US"/>
        </w:rPr>
        <w:t>b)</w:t>
      </w:r>
      <w:r>
        <w:rPr>
          <w:lang w:val="en-US"/>
        </w:rPr>
        <w:tab/>
      </w:r>
      <w:r w:rsidR="005D46D1" w:rsidRPr="00CA5287">
        <w:rPr>
          <w:lang w:val="en-US"/>
        </w:rPr>
        <w:t xml:space="preserve">to develop master plans and exchange use cases and best practices in order to promote the </w:t>
      </w:r>
      <w:r w:rsidR="002F5F38" w:rsidRPr="00CA5287">
        <w:rPr>
          <w:lang w:val="en-US"/>
        </w:rPr>
        <w:t>Metaverse</w:t>
      </w:r>
      <w:r w:rsidR="005D46D1" w:rsidRPr="00CA5287">
        <w:rPr>
          <w:lang w:val="en-US"/>
        </w:rPr>
        <w:t xml:space="preserve"> and to promote social development and economic growth in order to achieve the S</w:t>
      </w:r>
      <w:r w:rsidR="005D46D1">
        <w:rPr>
          <w:lang w:val="en-US"/>
        </w:rPr>
        <w:t>ustainable Development Goals (S</w:t>
      </w:r>
      <w:r w:rsidR="005D46D1" w:rsidRPr="00CA5287">
        <w:rPr>
          <w:lang w:val="en-US"/>
        </w:rPr>
        <w:t>DGs</w:t>
      </w:r>
      <w:r w:rsidR="005D46D1">
        <w:rPr>
          <w:lang w:val="en-US"/>
        </w:rPr>
        <w:t>)</w:t>
      </w:r>
      <w:r w:rsidR="005D46D1" w:rsidRPr="00CA5287">
        <w:rPr>
          <w:lang w:val="en-US"/>
        </w:rPr>
        <w:t>;</w:t>
      </w:r>
    </w:p>
    <w:p w14:paraId="7D29C89D" w14:textId="7E03C8A4" w:rsidR="005D46D1" w:rsidRPr="00CA5287" w:rsidRDefault="00470966" w:rsidP="00470966">
      <w:pPr>
        <w:rPr>
          <w:lang w:val="en-US"/>
        </w:rPr>
      </w:pPr>
      <w:r w:rsidRPr="00470966">
        <w:rPr>
          <w:i/>
          <w:iCs/>
          <w:lang w:val="en-US"/>
        </w:rPr>
        <w:t>c)</w:t>
      </w:r>
      <w:r>
        <w:rPr>
          <w:lang w:val="en-US"/>
        </w:rPr>
        <w:tab/>
      </w:r>
      <w:r w:rsidR="005D46D1" w:rsidRPr="00CA5287">
        <w:rPr>
          <w:lang w:val="en-US"/>
        </w:rPr>
        <w:t>to cooperate and exchange experiences and knowledge related to this topic;</w:t>
      </w:r>
    </w:p>
    <w:p w14:paraId="47023408" w14:textId="09DA2ED1" w:rsidR="005D46D1" w:rsidRPr="00CA5287" w:rsidRDefault="00470966" w:rsidP="00470966">
      <w:r w:rsidRPr="00470966">
        <w:rPr>
          <w:i/>
          <w:iCs/>
        </w:rPr>
        <w:t>d)</w:t>
      </w:r>
      <w:r>
        <w:tab/>
      </w:r>
      <w:r w:rsidR="005D46D1" w:rsidRPr="00164693">
        <w:t>to actively contribute to Metaverse-related standardi</w:t>
      </w:r>
      <w:r w:rsidR="004313C6">
        <w:t>z</w:t>
      </w:r>
      <w:r w:rsidR="005D46D1" w:rsidRPr="00164693">
        <w:t>ation efforts and participate in relevant activities within ITU-T, ITU-R, and ITU-D as the case may be</w:t>
      </w:r>
      <w:r w:rsidR="008024C2">
        <w:t>.</w:t>
      </w:r>
    </w:p>
    <w:p w14:paraId="1D5071CA" w14:textId="77777777" w:rsidR="005D46D1" w:rsidRPr="0007760F" w:rsidRDefault="005D46D1" w:rsidP="00470966">
      <w:pPr>
        <w:pStyle w:val="Reasons"/>
        <w:rPr>
          <w:lang w:val="en-US"/>
        </w:rPr>
      </w:pPr>
    </w:p>
    <w:sectPr w:rsidR="005D46D1" w:rsidRPr="0007760F">
      <w:headerReference w:type="default" r:id="rId15"/>
      <w:footerReference w:type="even"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C0A73" w14:textId="77777777" w:rsidR="00D17682" w:rsidRDefault="00D17682">
      <w:r>
        <w:separator/>
      </w:r>
    </w:p>
  </w:endnote>
  <w:endnote w:type="continuationSeparator" w:id="0">
    <w:p w14:paraId="6596F727" w14:textId="77777777" w:rsidR="00D17682" w:rsidRDefault="00D17682">
      <w:r>
        <w:continuationSeparator/>
      </w:r>
    </w:p>
  </w:endnote>
  <w:endnote w:type="continuationNotice" w:id="1">
    <w:p w14:paraId="3B2BF49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F5E5" w14:textId="77777777" w:rsidR="009D4900" w:rsidRDefault="009D4900">
    <w:pPr>
      <w:framePr w:wrap="around" w:vAnchor="text" w:hAnchor="margin" w:xAlign="right" w:y="1"/>
    </w:pPr>
    <w:r>
      <w:fldChar w:fldCharType="begin"/>
    </w:r>
    <w:r>
      <w:instrText xml:space="preserve">PAGE  </w:instrText>
    </w:r>
    <w:r>
      <w:fldChar w:fldCharType="end"/>
    </w:r>
  </w:p>
  <w:p w14:paraId="5B5C0E5C" w14:textId="63099EF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56302">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6BDBB" w14:textId="77777777" w:rsidR="00D17682" w:rsidRDefault="00D17682">
      <w:r>
        <w:rPr>
          <w:b/>
        </w:rPr>
        <w:t>_______________</w:t>
      </w:r>
    </w:p>
  </w:footnote>
  <w:footnote w:type="continuationSeparator" w:id="0">
    <w:p w14:paraId="3462C250"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6130E"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12242"/>
    <w:multiLevelType w:val="hybridMultilevel"/>
    <w:tmpl w:val="9B323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16E9E"/>
    <w:multiLevelType w:val="hybridMultilevel"/>
    <w:tmpl w:val="D7E621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0C05FC"/>
    <w:multiLevelType w:val="hybridMultilevel"/>
    <w:tmpl w:val="93AA7FF6"/>
    <w:lvl w:ilvl="0" w:tplc="04090019">
      <w:start w:val="1"/>
      <w:numFmt w:val="lowerLetter"/>
      <w:lvlText w:val="%1."/>
      <w:lvlJc w:val="left"/>
      <w:pPr>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267149"/>
    <w:multiLevelType w:val="hybridMultilevel"/>
    <w:tmpl w:val="B256227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1BCF1592"/>
    <w:multiLevelType w:val="hybridMultilevel"/>
    <w:tmpl w:val="7CF2B3C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C814A6C"/>
    <w:multiLevelType w:val="hybridMultilevel"/>
    <w:tmpl w:val="A80C5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24086FD4"/>
    <w:multiLevelType w:val="hybridMultilevel"/>
    <w:tmpl w:val="367A62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2CBF5DB2"/>
    <w:multiLevelType w:val="hybridMultilevel"/>
    <w:tmpl w:val="5FBE8E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60519CD"/>
    <w:multiLevelType w:val="hybridMultilevel"/>
    <w:tmpl w:val="B768A79C"/>
    <w:lvl w:ilvl="0" w:tplc="A50A167E">
      <w:start w:val="1"/>
      <w:numFmt w:val="decimal"/>
      <w:lvlText w:val="%1"/>
      <w:lvlJc w:val="left"/>
      <w:pPr>
        <w:ind w:left="720" w:hanging="360"/>
      </w:pPr>
      <w:rPr>
        <w:rFonts w:asciiTheme="majorBidi" w:eastAsiaTheme="minorHAnsi" w:hAnsiTheme="majorBidi" w:cstheme="majorBid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576A4ED4"/>
    <w:multiLevelType w:val="hybridMultilevel"/>
    <w:tmpl w:val="B48CFCF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3EF5EEE"/>
    <w:multiLevelType w:val="hybridMultilevel"/>
    <w:tmpl w:val="11006E08"/>
    <w:lvl w:ilvl="0" w:tplc="94A0698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465781299">
    <w:abstractNumId w:val="8"/>
  </w:num>
  <w:num w:numId="2" w16cid:durableId="42430509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44527478">
    <w:abstractNumId w:val="9"/>
  </w:num>
  <w:num w:numId="4" w16cid:durableId="2004044498">
    <w:abstractNumId w:val="7"/>
  </w:num>
  <w:num w:numId="5" w16cid:durableId="1651515557">
    <w:abstractNumId w:val="6"/>
  </w:num>
  <w:num w:numId="6" w16cid:durableId="594745520">
    <w:abstractNumId w:val="5"/>
  </w:num>
  <w:num w:numId="7" w16cid:durableId="1068504626">
    <w:abstractNumId w:val="4"/>
  </w:num>
  <w:num w:numId="8" w16cid:durableId="2026053488">
    <w:abstractNumId w:val="3"/>
  </w:num>
  <w:num w:numId="9" w16cid:durableId="985400005">
    <w:abstractNumId w:val="2"/>
  </w:num>
  <w:num w:numId="10" w16cid:durableId="566577732">
    <w:abstractNumId w:val="1"/>
  </w:num>
  <w:num w:numId="11" w16cid:durableId="509875137">
    <w:abstractNumId w:val="0"/>
  </w:num>
  <w:num w:numId="12" w16cid:durableId="514461804">
    <w:abstractNumId w:val="18"/>
  </w:num>
  <w:num w:numId="13" w16cid:durableId="763959882">
    <w:abstractNumId w:val="11"/>
  </w:num>
  <w:num w:numId="14" w16cid:durableId="1659193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591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4632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503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09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260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928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596936">
    <w:abstractNumId w:val="14"/>
  </w:num>
  <w:num w:numId="22" w16cid:durableId="1292982534">
    <w:abstractNumId w:val="12"/>
  </w:num>
  <w:num w:numId="23" w16cid:durableId="1996059683">
    <w:abstractNumId w:val="13"/>
  </w:num>
  <w:num w:numId="24" w16cid:durableId="1851943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68A7"/>
    <w:rsid w:val="00051E39"/>
    <w:rsid w:val="000560D0"/>
    <w:rsid w:val="00062F05"/>
    <w:rsid w:val="00063D0B"/>
    <w:rsid w:val="00063EBE"/>
    <w:rsid w:val="000644E1"/>
    <w:rsid w:val="0006471F"/>
    <w:rsid w:val="00077239"/>
    <w:rsid w:val="000807E9"/>
    <w:rsid w:val="00086491"/>
    <w:rsid w:val="00091346"/>
    <w:rsid w:val="0009706C"/>
    <w:rsid w:val="000A07D5"/>
    <w:rsid w:val="000A4F50"/>
    <w:rsid w:val="000C7B8D"/>
    <w:rsid w:val="000D0578"/>
    <w:rsid w:val="000D5970"/>
    <w:rsid w:val="000D708A"/>
    <w:rsid w:val="000E28E2"/>
    <w:rsid w:val="000F57C3"/>
    <w:rsid w:val="000F73FF"/>
    <w:rsid w:val="001043FF"/>
    <w:rsid w:val="001049C9"/>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4E62"/>
    <w:rsid w:val="001E584A"/>
    <w:rsid w:val="001E6F73"/>
    <w:rsid w:val="002009EA"/>
    <w:rsid w:val="00202CA0"/>
    <w:rsid w:val="00216B6D"/>
    <w:rsid w:val="00236EBA"/>
    <w:rsid w:val="00245127"/>
    <w:rsid w:val="00246525"/>
    <w:rsid w:val="00250AF4"/>
    <w:rsid w:val="00256302"/>
    <w:rsid w:val="00260B50"/>
    <w:rsid w:val="00263BE8"/>
    <w:rsid w:val="0027050E"/>
    <w:rsid w:val="00271316"/>
    <w:rsid w:val="00290F83"/>
    <w:rsid w:val="002931F4"/>
    <w:rsid w:val="00293F9A"/>
    <w:rsid w:val="002957A7"/>
    <w:rsid w:val="002A1D23"/>
    <w:rsid w:val="002A5392"/>
    <w:rsid w:val="002B100E"/>
    <w:rsid w:val="002C3933"/>
    <w:rsid w:val="002C6531"/>
    <w:rsid w:val="002D0535"/>
    <w:rsid w:val="002D151C"/>
    <w:rsid w:val="002D58BE"/>
    <w:rsid w:val="002E3AEE"/>
    <w:rsid w:val="002E561F"/>
    <w:rsid w:val="002F2D0C"/>
    <w:rsid w:val="002F5F38"/>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13C6"/>
    <w:rsid w:val="004373CA"/>
    <w:rsid w:val="004420C9"/>
    <w:rsid w:val="00443CCE"/>
    <w:rsid w:val="00465799"/>
    <w:rsid w:val="00470966"/>
    <w:rsid w:val="00471EF9"/>
    <w:rsid w:val="00492075"/>
    <w:rsid w:val="004969AD"/>
    <w:rsid w:val="004A26C4"/>
    <w:rsid w:val="004B13CB"/>
    <w:rsid w:val="004B4AAE"/>
    <w:rsid w:val="004C6FBE"/>
    <w:rsid w:val="004D0453"/>
    <w:rsid w:val="004D0C87"/>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D46D1"/>
    <w:rsid w:val="005E10C9"/>
    <w:rsid w:val="005E61DD"/>
    <w:rsid w:val="006023DF"/>
    <w:rsid w:val="00602F64"/>
    <w:rsid w:val="00622829"/>
    <w:rsid w:val="00623F15"/>
    <w:rsid w:val="006256C0"/>
    <w:rsid w:val="00643684"/>
    <w:rsid w:val="00657CDA"/>
    <w:rsid w:val="00657DE0"/>
    <w:rsid w:val="006714A3"/>
    <w:rsid w:val="0067500B"/>
    <w:rsid w:val="00675DAD"/>
    <w:rsid w:val="006763BF"/>
    <w:rsid w:val="00685313"/>
    <w:rsid w:val="0069276B"/>
    <w:rsid w:val="00692833"/>
    <w:rsid w:val="006A0D14"/>
    <w:rsid w:val="006A6E9B"/>
    <w:rsid w:val="006A72A4"/>
    <w:rsid w:val="006B7C2A"/>
    <w:rsid w:val="006C23DA"/>
    <w:rsid w:val="006D0FA3"/>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24C2"/>
    <w:rsid w:val="00804475"/>
    <w:rsid w:val="00811633"/>
    <w:rsid w:val="00822334"/>
    <w:rsid w:val="00822B56"/>
    <w:rsid w:val="00840F52"/>
    <w:rsid w:val="008508D8"/>
    <w:rsid w:val="00850EEE"/>
    <w:rsid w:val="00864CD2"/>
    <w:rsid w:val="00872FC8"/>
    <w:rsid w:val="00873BE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441"/>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4DE7"/>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156F"/>
    <w:rsid w:val="00D54009"/>
    <w:rsid w:val="00D5651D"/>
    <w:rsid w:val="00D57A34"/>
    <w:rsid w:val="00D643B3"/>
    <w:rsid w:val="00D74898"/>
    <w:rsid w:val="00D801ED"/>
    <w:rsid w:val="00D87458"/>
    <w:rsid w:val="00D936BC"/>
    <w:rsid w:val="00D96530"/>
    <w:rsid w:val="00DA61CE"/>
    <w:rsid w:val="00DA7E2F"/>
    <w:rsid w:val="00DD441E"/>
    <w:rsid w:val="00DD44AF"/>
    <w:rsid w:val="00DE1F2F"/>
    <w:rsid w:val="00DE2AC3"/>
    <w:rsid w:val="00DE5692"/>
    <w:rsid w:val="00DE70B3"/>
    <w:rsid w:val="00DF3E19"/>
    <w:rsid w:val="00DF6908"/>
    <w:rsid w:val="00DF700D"/>
    <w:rsid w:val="00E0231F"/>
    <w:rsid w:val="00E03C94"/>
    <w:rsid w:val="00E1333B"/>
    <w:rsid w:val="00E13791"/>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D835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paragraph" w:customStyle="1" w:styleId="Volume">
    <w:name w:val="Volume"/>
    <w:basedOn w:val="ResNo"/>
    <w:rsid w:val="00D6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2e8400e5-eae8-4f10-8753-62a866653793">DPM</DPM_x0020_Author>
    <DPM_x0020_File_x0020_name xmlns="2e8400e5-eae8-4f10-8753-62a866653793">T22-WTSA.24-C-0035!A37!MSW-E</DPM_x0020_File_x0020_name>
    <DPM_x0020_Version xmlns="2e8400e5-eae8-4f10-8753-62a866653793">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e8400e5-eae8-4f10-8753-62a866653793" targetNamespace="http://schemas.microsoft.com/office/2006/metadata/properties" ma:root="true" ma:fieldsID="d41af5c836d734370eb92e7ee5f83852" ns2:_="" ns3:_="">
    <xsd:import namespace="996b2e75-67fd-4955-a3b0-5ab9934cb50b"/>
    <xsd:import namespace="2e8400e5-eae8-4f10-8753-62a86665379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e8400e5-eae8-4f10-8753-62a86665379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00e5-eae8-4f10-8753-62a866653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e8400e5-eae8-4f10-8753-62a866653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1334</Words>
  <Characters>8419</Characters>
  <Application>Microsoft Office Word</Application>
  <DocSecurity>0</DocSecurity>
  <Lines>366</Lines>
  <Paragraphs>286</Paragraphs>
  <ScaleCrop>false</ScaleCrop>
  <HeadingPairs>
    <vt:vector size="2" baseType="variant">
      <vt:variant>
        <vt:lpstr>Title</vt:lpstr>
      </vt:variant>
      <vt:variant>
        <vt:i4>1</vt:i4>
      </vt:variant>
    </vt:vector>
  </HeadingPairs>
  <TitlesOfParts>
    <vt:vector size="1" baseType="lpstr">
      <vt:lpstr>T22-WTSA.24-C-0035!A37!MSW-E</vt:lpstr>
    </vt:vector>
  </TitlesOfParts>
  <Manager>General Secretariat - Pool</Manager>
  <Company>International Telecommunication Union (ITU)</Company>
  <LinksUpToDate>false</LinksUpToDate>
  <CharactersWithSpaces>9467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T22-WTSA.24-C-0035!A37!MSW-E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9</cp:revision>
  <cp:lastPrinted>2016-06-06T07:49:00Z</cp:lastPrinted>
  <dcterms:created xsi:type="dcterms:W3CDTF">2024-09-17T14:59:00Z</dcterms:created>
  <dcterms:modified xsi:type="dcterms:W3CDTF">2024-09-20T13:50:00Z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