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90784F" w14:paraId="51062226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5F8848DF" w14:textId="77777777" w:rsidR="00D2023F" w:rsidRPr="0090784F" w:rsidRDefault="0018215C" w:rsidP="00C30155">
            <w:pPr>
              <w:spacing w:before="0"/>
            </w:pPr>
            <w:r w:rsidRPr="0090784F">
              <w:rPr>
                <w:noProof/>
              </w:rPr>
              <w:drawing>
                <wp:inline distT="0" distB="0" distL="0" distR="0" wp14:anchorId="19E50417" wp14:editId="01DAA107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A608DAC" w14:textId="77777777" w:rsidR="00D2023F" w:rsidRPr="0090784F" w:rsidRDefault="005B7B2D" w:rsidP="00E610A4">
            <w:pPr>
              <w:pStyle w:val="TopHeader"/>
              <w:spacing w:before="0"/>
            </w:pPr>
            <w:r w:rsidRPr="0090784F">
              <w:rPr>
                <w:szCs w:val="22"/>
              </w:rPr>
              <w:t xml:space="preserve">Всемирная ассамблея по стандартизации </w:t>
            </w:r>
            <w:r w:rsidRPr="0090784F">
              <w:rPr>
                <w:szCs w:val="22"/>
              </w:rPr>
              <w:br/>
              <w:t>электросвязи (ВАСЭ-24)</w:t>
            </w:r>
            <w:r w:rsidRPr="0090784F">
              <w:rPr>
                <w:szCs w:val="22"/>
              </w:rPr>
              <w:br/>
            </w:r>
            <w:r w:rsidRPr="0090784F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90784F">
              <w:rPr>
                <w:rFonts w:cstheme="minorHAnsi"/>
                <w:sz w:val="18"/>
                <w:szCs w:val="18"/>
              </w:rPr>
              <w:t>15</w:t>
            </w:r>
            <w:r w:rsidR="00461C79" w:rsidRPr="0090784F">
              <w:rPr>
                <w:sz w:val="16"/>
                <w:szCs w:val="16"/>
              </w:rPr>
              <w:t>−</w:t>
            </w:r>
            <w:r w:rsidRPr="0090784F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90784F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527C039" w14:textId="77777777" w:rsidR="00D2023F" w:rsidRPr="0090784F" w:rsidRDefault="00D2023F" w:rsidP="00C30155">
            <w:pPr>
              <w:spacing w:before="0"/>
            </w:pPr>
            <w:r w:rsidRPr="0090784F">
              <w:rPr>
                <w:noProof/>
                <w:lang w:eastAsia="zh-CN"/>
              </w:rPr>
              <w:drawing>
                <wp:inline distT="0" distB="0" distL="0" distR="0" wp14:anchorId="3B6045A3" wp14:editId="775C4B9D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90784F" w14:paraId="34495E4C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358E4AB" w14:textId="77777777" w:rsidR="00D2023F" w:rsidRPr="0090784F" w:rsidRDefault="00D2023F" w:rsidP="00C30155">
            <w:pPr>
              <w:spacing w:before="0"/>
            </w:pPr>
          </w:p>
        </w:tc>
      </w:tr>
      <w:tr w:rsidR="00931298" w:rsidRPr="0090784F" w14:paraId="2788A780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DB34BEB" w14:textId="77777777" w:rsidR="00931298" w:rsidRPr="0090784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2746D0E" w14:textId="77777777" w:rsidR="00931298" w:rsidRPr="0090784F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90784F" w14:paraId="773369D8" w14:textId="77777777" w:rsidTr="0068791E">
        <w:trPr>
          <w:cantSplit/>
        </w:trPr>
        <w:tc>
          <w:tcPr>
            <w:tcW w:w="6237" w:type="dxa"/>
            <w:gridSpan w:val="2"/>
          </w:tcPr>
          <w:p w14:paraId="408EA52E" w14:textId="77777777" w:rsidR="00752D4D" w:rsidRPr="0090784F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90784F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3B639AB8" w14:textId="77777777" w:rsidR="00752D4D" w:rsidRPr="0090784F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90784F">
              <w:rPr>
                <w:sz w:val="18"/>
                <w:szCs w:val="18"/>
              </w:rPr>
              <w:t>Дополнительный документ 36</w:t>
            </w:r>
            <w:r w:rsidRPr="0090784F">
              <w:rPr>
                <w:sz w:val="18"/>
                <w:szCs w:val="18"/>
              </w:rPr>
              <w:br/>
              <w:t>к Документу 35</w:t>
            </w:r>
            <w:r w:rsidR="00967E61" w:rsidRPr="0090784F">
              <w:rPr>
                <w:sz w:val="18"/>
                <w:szCs w:val="18"/>
              </w:rPr>
              <w:t>-</w:t>
            </w:r>
            <w:r w:rsidR="00986BCD" w:rsidRPr="0090784F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90784F" w14:paraId="75D15B19" w14:textId="77777777" w:rsidTr="0068791E">
        <w:trPr>
          <w:cantSplit/>
        </w:trPr>
        <w:tc>
          <w:tcPr>
            <w:tcW w:w="6237" w:type="dxa"/>
            <w:gridSpan w:val="2"/>
          </w:tcPr>
          <w:p w14:paraId="0A707DFB" w14:textId="77777777" w:rsidR="00931298" w:rsidRPr="0090784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89DB910" w14:textId="44698442" w:rsidR="00931298" w:rsidRPr="0090784F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90784F">
              <w:rPr>
                <w:sz w:val="18"/>
                <w:szCs w:val="18"/>
              </w:rPr>
              <w:t>13 сентября 2024</w:t>
            </w:r>
            <w:r w:rsidR="007349AB" w:rsidRPr="0090784F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90784F" w14:paraId="5B6805AA" w14:textId="77777777" w:rsidTr="0068791E">
        <w:trPr>
          <w:cantSplit/>
        </w:trPr>
        <w:tc>
          <w:tcPr>
            <w:tcW w:w="6237" w:type="dxa"/>
            <w:gridSpan w:val="2"/>
          </w:tcPr>
          <w:p w14:paraId="7BA0C870" w14:textId="77777777" w:rsidR="00931298" w:rsidRPr="0090784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236625A" w14:textId="77777777" w:rsidR="00931298" w:rsidRPr="0090784F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90784F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90784F" w14:paraId="73CD329B" w14:textId="77777777" w:rsidTr="0068791E">
        <w:trPr>
          <w:cantSplit/>
        </w:trPr>
        <w:tc>
          <w:tcPr>
            <w:tcW w:w="9811" w:type="dxa"/>
            <w:gridSpan w:val="4"/>
          </w:tcPr>
          <w:p w14:paraId="40AE24F9" w14:textId="77777777" w:rsidR="00931298" w:rsidRPr="0090784F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90784F" w14:paraId="0CC40BC1" w14:textId="77777777" w:rsidTr="0068791E">
        <w:trPr>
          <w:cantSplit/>
        </w:trPr>
        <w:tc>
          <w:tcPr>
            <w:tcW w:w="9811" w:type="dxa"/>
            <w:gridSpan w:val="4"/>
          </w:tcPr>
          <w:p w14:paraId="221B4F75" w14:textId="77777777" w:rsidR="00931298" w:rsidRPr="0090784F" w:rsidRDefault="00BE7C34" w:rsidP="00C30155">
            <w:pPr>
              <w:pStyle w:val="Source"/>
            </w:pPr>
            <w:r w:rsidRPr="0090784F">
              <w:t>Администрации Африканского союза электросвязи</w:t>
            </w:r>
          </w:p>
        </w:tc>
      </w:tr>
      <w:tr w:rsidR="00931298" w:rsidRPr="0090784F" w14:paraId="20FE54F7" w14:textId="77777777" w:rsidTr="0068791E">
        <w:trPr>
          <w:cantSplit/>
        </w:trPr>
        <w:tc>
          <w:tcPr>
            <w:tcW w:w="9811" w:type="dxa"/>
            <w:gridSpan w:val="4"/>
          </w:tcPr>
          <w:p w14:paraId="5803B331" w14:textId="156B4719" w:rsidR="00931298" w:rsidRPr="0090784F" w:rsidRDefault="00C40B57" w:rsidP="00C30155">
            <w:pPr>
              <w:pStyle w:val="Title1"/>
            </w:pPr>
            <w:r w:rsidRPr="0090784F">
              <w:t xml:space="preserve">Проект новой Резолюции </w:t>
            </w:r>
            <w:r w:rsidR="00B07808" w:rsidRPr="0090784F">
              <w:t>[</w:t>
            </w:r>
            <w:r w:rsidR="0031632F" w:rsidRPr="009B4224">
              <w:t>ATU</w:t>
            </w:r>
            <w:r w:rsidR="00DE76C7">
              <w:t>-</w:t>
            </w:r>
            <w:r w:rsidR="00DE76C7">
              <w:rPr>
                <w:lang w:val="en-US"/>
              </w:rPr>
              <w:t>SP</w:t>
            </w:r>
            <w:r w:rsidR="00B07808" w:rsidRPr="0090784F">
              <w:t>]</w:t>
            </w:r>
            <w:r w:rsidR="00BE7C34" w:rsidRPr="0090784F">
              <w:t xml:space="preserve"> </w:t>
            </w:r>
            <w:r w:rsidR="00C42F43" w:rsidRPr="0090784F">
              <w:t>−</w:t>
            </w:r>
            <w:r w:rsidR="00BE7C34" w:rsidRPr="0090784F">
              <w:t xml:space="preserve"> </w:t>
            </w:r>
            <w:r w:rsidRPr="0090784F">
              <w:t>Стратегическое планирование в Секторе стандартизации электросвязи МСЭ</w:t>
            </w:r>
          </w:p>
        </w:tc>
      </w:tr>
      <w:tr w:rsidR="00657CDA" w:rsidRPr="0090784F" w14:paraId="37947450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80E4C5D" w14:textId="77777777" w:rsidR="00657CDA" w:rsidRPr="0090784F" w:rsidRDefault="00657CDA" w:rsidP="00BE7C34">
            <w:pPr>
              <w:pStyle w:val="Title2"/>
              <w:spacing w:before="0"/>
            </w:pPr>
          </w:p>
        </w:tc>
      </w:tr>
      <w:tr w:rsidR="00657CDA" w:rsidRPr="0090784F" w14:paraId="68A88A11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53EE373" w14:textId="77777777" w:rsidR="00657CDA" w:rsidRPr="0090784F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24C59F78" w14:textId="77777777" w:rsidR="00931298" w:rsidRPr="0090784F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0784F" w14:paraId="33E61325" w14:textId="77777777" w:rsidTr="007349AB">
        <w:trPr>
          <w:cantSplit/>
        </w:trPr>
        <w:tc>
          <w:tcPr>
            <w:tcW w:w="1957" w:type="dxa"/>
          </w:tcPr>
          <w:p w14:paraId="4C838AA5" w14:textId="77777777" w:rsidR="00931298" w:rsidRPr="0090784F" w:rsidRDefault="00B357A0" w:rsidP="00E45467">
            <w:r w:rsidRPr="0090784F">
              <w:rPr>
                <w:b/>
                <w:bCs/>
                <w:szCs w:val="22"/>
              </w:rPr>
              <w:t>Резюме</w:t>
            </w:r>
            <w:r w:rsidRPr="0090784F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6D6AC3CA" w14:textId="1AA2FB64" w:rsidR="00931298" w:rsidRPr="0090784F" w:rsidRDefault="00C40B57" w:rsidP="00E45467">
            <w:pPr>
              <w:pStyle w:val="Abstract"/>
              <w:rPr>
                <w:lang w:val="ru-RU"/>
              </w:rPr>
            </w:pPr>
            <w:r w:rsidRPr="0090784F">
              <w:rPr>
                <w:rFonts w:cs="Arabic Transparent"/>
                <w:bCs/>
                <w:szCs w:val="24"/>
                <w:lang w:val="ru-RU"/>
              </w:rPr>
              <w:t>Проект новой Резолюции имеет целью внедрение стратегического планирования в Секторе МСЭ-Т, в том числе для исследовательских комиссий</w:t>
            </w:r>
            <w:r w:rsidR="007349AB" w:rsidRPr="0090784F">
              <w:rPr>
                <w:rFonts w:cs="Arabic Transparent"/>
                <w:bCs/>
                <w:szCs w:val="24"/>
                <w:lang w:val="ru-RU"/>
              </w:rPr>
              <w:t>.</w:t>
            </w:r>
          </w:p>
        </w:tc>
      </w:tr>
      <w:tr w:rsidR="00931298" w:rsidRPr="0090784F" w14:paraId="42944EF1" w14:textId="77777777" w:rsidTr="007349AB">
        <w:trPr>
          <w:cantSplit/>
        </w:trPr>
        <w:tc>
          <w:tcPr>
            <w:tcW w:w="1957" w:type="dxa"/>
          </w:tcPr>
          <w:p w14:paraId="1C794889" w14:textId="77777777" w:rsidR="00931298" w:rsidRPr="0090784F" w:rsidRDefault="00B357A0" w:rsidP="00E45467">
            <w:pPr>
              <w:rPr>
                <w:b/>
                <w:bCs/>
                <w:szCs w:val="24"/>
              </w:rPr>
            </w:pPr>
            <w:r w:rsidRPr="0090784F">
              <w:rPr>
                <w:b/>
                <w:bCs/>
              </w:rPr>
              <w:t>Для контактов</w:t>
            </w:r>
            <w:r w:rsidRPr="0090784F">
              <w:t>:</w:t>
            </w:r>
          </w:p>
        </w:tc>
        <w:tc>
          <w:tcPr>
            <w:tcW w:w="3805" w:type="dxa"/>
          </w:tcPr>
          <w:p w14:paraId="73E07E4B" w14:textId="18EBCEFE" w:rsidR="00FE5494" w:rsidRPr="0090784F" w:rsidRDefault="00C40B57" w:rsidP="00E45467">
            <w:r w:rsidRPr="0090784F">
              <w:t xml:space="preserve">Айзек Боатенг </w:t>
            </w:r>
            <w:r w:rsidR="007349AB" w:rsidRPr="0090784F">
              <w:t>(</w:t>
            </w:r>
            <w:proofErr w:type="spellStart"/>
            <w:r w:rsidR="007349AB" w:rsidRPr="0090784F">
              <w:t>Isaac</w:t>
            </w:r>
            <w:proofErr w:type="spellEnd"/>
            <w:r w:rsidR="007349AB" w:rsidRPr="0090784F">
              <w:t xml:space="preserve"> </w:t>
            </w:r>
            <w:proofErr w:type="spellStart"/>
            <w:r w:rsidR="007349AB" w:rsidRPr="0090784F">
              <w:t>Boateng</w:t>
            </w:r>
            <w:proofErr w:type="spellEnd"/>
            <w:r w:rsidR="007349AB" w:rsidRPr="0090784F">
              <w:t>)</w:t>
            </w:r>
            <w:r w:rsidR="007349AB" w:rsidRPr="0090784F">
              <w:br/>
            </w:r>
            <w:r w:rsidRPr="0090784F">
              <w:t>Африканский союз электросвязи</w:t>
            </w:r>
          </w:p>
        </w:tc>
        <w:tc>
          <w:tcPr>
            <w:tcW w:w="3877" w:type="dxa"/>
          </w:tcPr>
          <w:p w14:paraId="0659EAE0" w14:textId="0769BCD9" w:rsidR="00931298" w:rsidRPr="0090784F" w:rsidRDefault="00B357A0" w:rsidP="00E45467">
            <w:r w:rsidRPr="0090784F">
              <w:rPr>
                <w:szCs w:val="22"/>
              </w:rPr>
              <w:t>Эл. почта</w:t>
            </w:r>
            <w:r w:rsidR="00E610A4" w:rsidRPr="0090784F">
              <w:t>:</w:t>
            </w:r>
            <w:r w:rsidR="00333E7D" w:rsidRPr="0090784F">
              <w:t xml:space="preserve"> </w:t>
            </w:r>
            <w:hyperlink r:id="rId14" w:history="1">
              <w:r w:rsidR="007349AB" w:rsidRPr="0090784F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3D20D5EC" w14:textId="55587BC5" w:rsidR="007349AB" w:rsidRPr="0090784F" w:rsidRDefault="00C40B57" w:rsidP="007349AB">
      <w:pPr>
        <w:pStyle w:val="Headingb"/>
        <w:rPr>
          <w:lang w:val="ru-RU"/>
        </w:rPr>
      </w:pPr>
      <w:r w:rsidRPr="0090784F">
        <w:rPr>
          <w:lang w:val="ru-RU"/>
        </w:rPr>
        <w:t>Введение</w:t>
      </w:r>
    </w:p>
    <w:p w14:paraId="2FBB8804" w14:textId="707E6B30" w:rsidR="007349AB" w:rsidRPr="0090784F" w:rsidRDefault="001B563E" w:rsidP="007349AB">
      <w:r w:rsidRPr="001B563E">
        <w:t>Рабочей групп</w:t>
      </w:r>
      <w:r>
        <w:rPr>
          <w:lang w:val="en-US"/>
        </w:rPr>
        <w:t>t</w:t>
      </w:r>
      <w:r w:rsidRPr="001B563E">
        <w:t xml:space="preserve"> Совета по разработке Стратегического и Финансового планов (</w:t>
      </w:r>
      <w:r w:rsidR="005A5680" w:rsidRPr="0090784F">
        <w:t>РГС-СФП</w:t>
      </w:r>
      <w:r w:rsidRPr="001B563E">
        <w:t>)</w:t>
      </w:r>
      <w:r w:rsidR="005A5680" w:rsidRPr="0090784F">
        <w:t xml:space="preserve"> принадлежит уникальная роль в разработке стратегии МСЭ высокого уровня. Тщательное согласование этой стратегии с Финансовым и Оперативным планами обычно осуществляется позднее. При планировании стратегии МСЭ на 2024–2027 годы были учтены гораздо более широкие аспекты деятельности Союза, такие как внутренний и внешний ситуационный анализ для всего Союза, а также две обширные стратегические цели высокого уровня и соответствующие KPI. Кроме того, в Стратегическом плане МСЭ на 2024–2027 годы добавлен новый, горизонтальный уровень стратегической основы МСЭ, состоящий из ряда тематических приоритетов высокого уровня. Все эти компоненты, наряду с прочими, помогли разработать стратегию МСЭ на </w:t>
      </w:r>
      <w:r w:rsidRPr="0090784F">
        <w:t>2024–2027</w:t>
      </w:r>
      <w:r w:rsidR="005A5680" w:rsidRPr="0090784F">
        <w:t xml:space="preserve"> годы. В</w:t>
      </w:r>
      <w:r w:rsidR="00F550D7">
        <w:t> </w:t>
      </w:r>
      <w:r w:rsidR="005A5680" w:rsidRPr="0090784F">
        <w:t>сравнении с практикой, применяемой в других ОРС в отношении их соответствующих технических комитетов, исследовательским комиссиям МСЭ-Т не хватает стратегической основы, которая соответствовала бы мандату каждой комиссии. Необходимо комплексным образом включать в деятельность МСЭ-Т управление, ориентированное на результаты (УОР), в соответствии с Резолюцией 151 (</w:t>
      </w:r>
      <w:proofErr w:type="spellStart"/>
      <w:r w:rsidR="005A5680" w:rsidRPr="0090784F">
        <w:t>Пересм</w:t>
      </w:r>
      <w:proofErr w:type="spellEnd"/>
      <w:r w:rsidR="005A5680" w:rsidRPr="0090784F">
        <w:t xml:space="preserve">. Бухарест, 2022 г.) Полномочной конференции о совершенствовании в МСЭ управления, ориентированного на результаты, чего на сегодняшний день не хватает. Нынешний мандат </w:t>
      </w:r>
      <w:r w:rsidRPr="001B563E">
        <w:t>Групп</w:t>
      </w:r>
      <w:r w:rsidR="003E0A6F">
        <w:t>ы</w:t>
      </w:r>
      <w:r w:rsidRPr="001B563E">
        <w:t xml:space="preserve"> Докладчика по стратегическому и оперативному планированию (ГД-SOP) </w:t>
      </w:r>
      <w:r w:rsidR="005A5680" w:rsidRPr="0090784F">
        <w:t xml:space="preserve">ограничивается подготовкой вклада МСЭ-Т </w:t>
      </w:r>
      <w:r w:rsidR="003E0A6F">
        <w:t>в Стратегический план</w:t>
      </w:r>
      <w:r w:rsidR="005A5680" w:rsidRPr="0090784F">
        <w:t xml:space="preserve"> МСЭ, </w:t>
      </w:r>
      <w:r w:rsidR="003E0A6F">
        <w:t xml:space="preserve">и она </w:t>
      </w:r>
      <w:r w:rsidR="005A5680" w:rsidRPr="0090784F">
        <w:t>созывае</w:t>
      </w:r>
      <w:r w:rsidR="003E0A6F">
        <w:t>тся</w:t>
      </w:r>
      <w:r w:rsidR="005A5680" w:rsidRPr="0090784F">
        <w:t xml:space="preserve"> за один или два года до Полномочной конференции, что, по-видимому, недостаточно для рассмотрения вопросов стратегического планирования в масштабах всего МСЭ-Т на регулярной основе. Стратегическое планирование на уровне исследовательских комиссий отсутствует (ИСО занимается этим на уровне технических комитетов). Оно может проводиться на уровне руководящего состава исследовательских комиссий МСЭ-Т. Кроме того, в группах Докладчиков КГСЭ предпринимались отчаянные, но заслуживающие </w:t>
      </w:r>
      <w:r w:rsidR="003E0A6F">
        <w:t>признания</w:t>
      </w:r>
      <w:r w:rsidR="005A5680" w:rsidRPr="0090784F">
        <w:t xml:space="preserve"> усилия, например по вовлечению отрасли и оценке </w:t>
      </w:r>
      <w:r w:rsidR="000E77B6">
        <w:t xml:space="preserve">на </w:t>
      </w:r>
      <w:r w:rsidR="005A5680" w:rsidRPr="0090784F">
        <w:t>собрани</w:t>
      </w:r>
      <w:r w:rsidR="000E77B6">
        <w:t>ях</w:t>
      </w:r>
      <w:r w:rsidR="005A5680" w:rsidRPr="0090784F">
        <w:t xml:space="preserve"> </w:t>
      </w:r>
      <w:proofErr w:type="spellStart"/>
      <w:r w:rsidR="005A5680" w:rsidRPr="0090784F">
        <w:t>CxO</w:t>
      </w:r>
      <w:proofErr w:type="spellEnd"/>
      <w:r w:rsidR="005A5680" w:rsidRPr="0090784F">
        <w:t xml:space="preserve"> (Резолюция 68 (</w:t>
      </w:r>
      <w:proofErr w:type="spellStart"/>
      <w:r w:rsidR="005A5680" w:rsidRPr="0090784F">
        <w:t>Пересм</w:t>
      </w:r>
      <w:proofErr w:type="spellEnd"/>
      <w:r w:rsidR="005A5680" w:rsidRPr="0090784F">
        <w:t xml:space="preserve">. </w:t>
      </w:r>
      <w:proofErr w:type="spellStart"/>
      <w:r w:rsidR="005A5680" w:rsidRPr="0090784F">
        <w:t>Хаммамет</w:t>
      </w:r>
      <w:proofErr w:type="spellEnd"/>
      <w:r w:rsidR="005A5680" w:rsidRPr="0090784F">
        <w:t xml:space="preserve">, 2016 г.) Ассамблеи о возрастающей роли отраслевых организаций в Секторе стандартизации электросвязи МСЭ), реструктуризации </w:t>
      </w:r>
      <w:r w:rsidR="005A5680" w:rsidRPr="0090784F">
        <w:lastRenderedPageBreak/>
        <w:t xml:space="preserve">исследовательских комиссий МСЭ-Т (Резолюция 99 (Женева, 2022 г.) Ассамблеи о рассмотрении организационной реформы исследовательских комиссий Сектора стандартизации электросвязи МСЭ), в отсутствие единой стратегической основы для всех этих инициатив, когда стратегическое планирование отсутствует как процесс, который более комплексно увязывал бы все эти инициативы, обеспечивая МСЭ-Т более надежное стратегическое </w:t>
      </w:r>
      <w:r w:rsidR="003E0A6F">
        <w:t>положение</w:t>
      </w:r>
      <w:r w:rsidR="005A5680" w:rsidRPr="0090784F">
        <w:t xml:space="preserve">, постоянно отслеживаемое КГСЭ. Учитывая вышеизложенное, а также принимая во внимание структуру Союза, состоящего, в частности, из Секторов, необходимо, чтобы Сектор стандартизации электросвязи принял целостный комплексный стратегический подход к стандартизации в стремительно меняющейся и </w:t>
      </w:r>
      <w:r w:rsidR="0031632F">
        <w:t>ресурсоемкой</w:t>
      </w:r>
      <w:r w:rsidR="005A5680" w:rsidRPr="0090784F">
        <w:t xml:space="preserve"> отрасли, согласующийся со стратегией МСЭ</w:t>
      </w:r>
      <w:r w:rsidR="007349AB" w:rsidRPr="0090784F">
        <w:t>.</w:t>
      </w:r>
    </w:p>
    <w:p w14:paraId="485DCDA8" w14:textId="12157620" w:rsidR="007349AB" w:rsidRPr="0090784F" w:rsidRDefault="005A5680" w:rsidP="007349AB">
      <w:pPr>
        <w:pStyle w:val="Headingb"/>
        <w:rPr>
          <w:lang w:val="ru-RU"/>
        </w:rPr>
      </w:pPr>
      <w:r w:rsidRPr="0090784F">
        <w:rPr>
          <w:lang w:val="ru-RU"/>
        </w:rPr>
        <w:t>Предложение</w:t>
      </w:r>
    </w:p>
    <w:p w14:paraId="51A77574" w14:textId="3E232CCD" w:rsidR="007349AB" w:rsidRPr="0090784F" w:rsidRDefault="005A5680" w:rsidP="007349AB">
      <w:r w:rsidRPr="0090784F">
        <w:t>Проект новой Резолюции имеет целью внедрение стратегического планирования в Секторе МСЭ-Т, в том числе для исследовательских комиссий</w:t>
      </w:r>
      <w:r w:rsidR="007349AB" w:rsidRPr="0090784F">
        <w:t>.</w:t>
      </w:r>
    </w:p>
    <w:p w14:paraId="4EA55CE6" w14:textId="77777777" w:rsidR="00A52D1A" w:rsidRPr="0090784F" w:rsidRDefault="00A52D1A" w:rsidP="00A52D1A"/>
    <w:p w14:paraId="38E9CC3B" w14:textId="77777777" w:rsidR="00461C79" w:rsidRPr="0090784F" w:rsidRDefault="009F4801" w:rsidP="00781A83">
      <w:r w:rsidRPr="0090784F">
        <w:br w:type="page"/>
      </w:r>
    </w:p>
    <w:p w14:paraId="7C4CC3C1" w14:textId="77777777" w:rsidR="008F5BC6" w:rsidRPr="0090784F" w:rsidRDefault="00E22AD7">
      <w:pPr>
        <w:pStyle w:val="Proposal"/>
      </w:pPr>
      <w:r w:rsidRPr="0090784F">
        <w:lastRenderedPageBreak/>
        <w:t>ADD</w:t>
      </w:r>
      <w:r w:rsidRPr="0090784F">
        <w:tab/>
        <w:t>ATU/35A36/1</w:t>
      </w:r>
    </w:p>
    <w:p w14:paraId="27FEB887" w14:textId="56F8D656" w:rsidR="00E22AD7" w:rsidRPr="0090784F" w:rsidRDefault="00E22AD7" w:rsidP="007349AB">
      <w:pPr>
        <w:pStyle w:val="ResNo"/>
      </w:pPr>
      <w:r w:rsidRPr="0090784F">
        <w:t>ПРОЕКТ НОВОЙ РЕЗОЛЮЦИИ</w:t>
      </w:r>
      <w:r w:rsidR="007349AB" w:rsidRPr="0090784F">
        <w:t xml:space="preserve"> </w:t>
      </w:r>
      <w:r w:rsidR="00B07808" w:rsidRPr="0090784F">
        <w:t>[ATU</w:t>
      </w:r>
      <w:r w:rsidR="00DE76C7">
        <w:rPr>
          <w:lang w:val="en-US"/>
        </w:rPr>
        <w:t>-SP</w:t>
      </w:r>
      <w:r w:rsidR="00B07808" w:rsidRPr="0090784F">
        <w:t>]</w:t>
      </w:r>
      <w:r w:rsidR="007349AB" w:rsidRPr="0090784F">
        <w:t xml:space="preserve"> (Нью-Дели, 2024 г.)</w:t>
      </w:r>
    </w:p>
    <w:p w14:paraId="1A5D1BFE" w14:textId="39A7F242" w:rsidR="007349AB" w:rsidRPr="0090784F" w:rsidRDefault="005A5680" w:rsidP="007349AB">
      <w:pPr>
        <w:pStyle w:val="Restitle"/>
      </w:pPr>
      <w:r w:rsidRPr="0090784F">
        <w:t>Стратегическое планирование в Секторе стандартизации электросвязи МСЭ</w:t>
      </w:r>
    </w:p>
    <w:p w14:paraId="0107905B" w14:textId="79F5084C" w:rsidR="007349AB" w:rsidRPr="0090784F" w:rsidRDefault="007349AB" w:rsidP="007349AB">
      <w:pPr>
        <w:pStyle w:val="Resref"/>
      </w:pPr>
      <w:r w:rsidRPr="0090784F">
        <w:t>(Нью-Дели, 2024 г.)</w:t>
      </w:r>
    </w:p>
    <w:p w14:paraId="1A39A590" w14:textId="4B782714" w:rsidR="007349AB" w:rsidRPr="0090784F" w:rsidRDefault="007349AB" w:rsidP="007349AB">
      <w:pPr>
        <w:pStyle w:val="Normalaftertitle"/>
      </w:pPr>
      <w:r w:rsidRPr="0090784F">
        <w:t>Всемирная ассамблея по стандартизации электросвязи (Нью-Дели, 2024 г.),</w:t>
      </w:r>
    </w:p>
    <w:p w14:paraId="30914920" w14:textId="7C06A7B4" w:rsidR="007349AB" w:rsidRPr="0090784F" w:rsidRDefault="007C19FD" w:rsidP="007349AB">
      <w:pPr>
        <w:pStyle w:val="Call"/>
      </w:pPr>
      <w:r w:rsidRPr="0090784F">
        <w:t>напоминая</w:t>
      </w:r>
    </w:p>
    <w:p w14:paraId="3ADF2FF4" w14:textId="77777777" w:rsidR="007C19FD" w:rsidRPr="0090784F" w:rsidRDefault="007C19FD" w:rsidP="007C19FD">
      <w:r w:rsidRPr="0090784F">
        <w:rPr>
          <w:i/>
          <w:iCs/>
        </w:rPr>
        <w:t>a)</w:t>
      </w:r>
      <w:r w:rsidRPr="0090784F">
        <w:tab/>
        <w:t>о докладе JIU/REP/2012/12 Объединенной инспекционной группы (ОИГ) Организации Объединенных Наций по стратегическому планированию в системе Организации Объединенных Наций;</w:t>
      </w:r>
    </w:p>
    <w:p w14:paraId="1F3F6FEC" w14:textId="77777777" w:rsidR="007C19FD" w:rsidRPr="0090784F" w:rsidRDefault="007C19FD" w:rsidP="007C19FD">
      <w:r w:rsidRPr="0090784F">
        <w:rPr>
          <w:i/>
          <w:iCs/>
        </w:rPr>
        <w:t>b)</w:t>
      </w:r>
      <w:r w:rsidRPr="0090784F">
        <w:tab/>
        <w:t>о докладе JIU/REP/2017/6 Объединенной инспекционной группы (ОИГ) Организации Объединенных Наций по управлению, нацеленному на результат, в системе развития Организации Объединенных Наций;</w:t>
      </w:r>
    </w:p>
    <w:p w14:paraId="5FB560C3" w14:textId="77777777" w:rsidR="007C19FD" w:rsidRPr="0090784F" w:rsidRDefault="007C19FD" w:rsidP="007C19FD">
      <w:r w:rsidRPr="0090784F">
        <w:rPr>
          <w:i/>
          <w:iCs/>
        </w:rPr>
        <w:t>c)</w:t>
      </w:r>
      <w:r w:rsidRPr="0090784F">
        <w:tab/>
        <w:t>о докладе JIU/REP/2020/5 Объединенной инспекционной группы (ОИГ) Организации Объединенных Наций "Общеорганизационное управление рисками: подходы и виды использования в организациях системы Организации Объединенных Наций";</w:t>
      </w:r>
    </w:p>
    <w:p w14:paraId="4C4E033D" w14:textId="77777777" w:rsidR="007C19FD" w:rsidRPr="0090784F" w:rsidRDefault="007C19FD" w:rsidP="007C19FD">
      <w:r w:rsidRPr="0090784F">
        <w:rPr>
          <w:i/>
          <w:iCs/>
        </w:rPr>
        <w:t>d)</w:t>
      </w:r>
      <w:r w:rsidRPr="0090784F">
        <w:tab/>
        <w:t>о Резолюции 71 (</w:t>
      </w:r>
      <w:proofErr w:type="spellStart"/>
      <w:r w:rsidRPr="0090784F">
        <w:t>Пересм</w:t>
      </w:r>
      <w:proofErr w:type="spellEnd"/>
      <w:r w:rsidRPr="0090784F">
        <w:t xml:space="preserve">. Бухарест, 2022 г.) Полномочной конференции о Стратегическом плане МСЭ на </w:t>
      </w:r>
      <w:proofErr w:type="gramStart"/>
      <w:r w:rsidRPr="0090784F">
        <w:t>2024−2027</w:t>
      </w:r>
      <w:proofErr w:type="gramEnd"/>
      <w:r w:rsidRPr="0090784F">
        <w:t xml:space="preserve"> годы;</w:t>
      </w:r>
    </w:p>
    <w:p w14:paraId="67DF124D" w14:textId="77777777" w:rsidR="007C19FD" w:rsidRPr="0090784F" w:rsidRDefault="007C19FD" w:rsidP="007C19FD">
      <w:r w:rsidRPr="0090784F">
        <w:rPr>
          <w:i/>
          <w:iCs/>
        </w:rPr>
        <w:t>e)</w:t>
      </w:r>
      <w:r w:rsidRPr="0090784F">
        <w:tab/>
        <w:t>о Резолюции 151 (</w:t>
      </w:r>
      <w:proofErr w:type="spellStart"/>
      <w:r w:rsidRPr="0090784F">
        <w:t>Пересм</w:t>
      </w:r>
      <w:proofErr w:type="spellEnd"/>
      <w:r w:rsidRPr="0090784F">
        <w:t>. Бухарест, 2022 г.) Полномочной конференции о совершенствовании в МСЭ управления, ориентированного на результаты;</w:t>
      </w:r>
    </w:p>
    <w:p w14:paraId="73CDF753" w14:textId="77777777" w:rsidR="007C19FD" w:rsidRPr="0090784F" w:rsidRDefault="007C19FD" w:rsidP="007C19FD">
      <w:r w:rsidRPr="0090784F">
        <w:rPr>
          <w:i/>
          <w:iCs/>
        </w:rPr>
        <w:t>f)</w:t>
      </w:r>
      <w:r w:rsidRPr="0090784F">
        <w:tab/>
        <w:t>о Резолюции 68 (</w:t>
      </w:r>
      <w:proofErr w:type="spellStart"/>
      <w:r w:rsidRPr="0090784F">
        <w:t>Пересм</w:t>
      </w:r>
      <w:proofErr w:type="spellEnd"/>
      <w:r w:rsidRPr="0090784F">
        <w:t xml:space="preserve">. </w:t>
      </w:r>
      <w:proofErr w:type="spellStart"/>
      <w:r w:rsidRPr="0090784F">
        <w:t>Хаммамет</w:t>
      </w:r>
      <w:proofErr w:type="spellEnd"/>
      <w:r w:rsidRPr="0090784F">
        <w:t>, 2016 г.) Ассамблеи о возрастающей роли отраслевых организаций в Секторе стандартизации электросвязи МСЭ;</w:t>
      </w:r>
    </w:p>
    <w:p w14:paraId="0F419181" w14:textId="7D8EA6DA" w:rsidR="007349AB" w:rsidRPr="0090784F" w:rsidRDefault="007C19FD" w:rsidP="007349AB">
      <w:r w:rsidRPr="0090784F">
        <w:rPr>
          <w:i/>
          <w:iCs/>
        </w:rPr>
        <w:t>g)</w:t>
      </w:r>
      <w:r w:rsidRPr="0090784F">
        <w:tab/>
        <w:t>ο Резолюции 99 (Женева, 2022 г.) Ассамблеи о рассмотрении организационной реформы исследовательских комиссий Сектора стандартизации электросвязи МСЭ</w:t>
      </w:r>
      <w:r w:rsidR="007349AB" w:rsidRPr="0090784F">
        <w:t>,</w:t>
      </w:r>
    </w:p>
    <w:p w14:paraId="6177B50A" w14:textId="718BB584" w:rsidR="007349AB" w:rsidRPr="0090784F" w:rsidRDefault="007C19FD" w:rsidP="007349AB">
      <w:pPr>
        <w:pStyle w:val="Call"/>
        <w:rPr>
          <w:i w:val="0"/>
          <w:iCs/>
        </w:rPr>
      </w:pPr>
      <w:r w:rsidRPr="0090784F">
        <w:t>признавая</w:t>
      </w:r>
      <w:r w:rsidR="00B75ED0" w:rsidRPr="0090784F">
        <w:rPr>
          <w:i w:val="0"/>
          <w:iCs/>
        </w:rPr>
        <w:t>,</w:t>
      </w:r>
    </w:p>
    <w:p w14:paraId="01F3555F" w14:textId="6797B979" w:rsidR="007C19FD" w:rsidRPr="0090784F" w:rsidRDefault="007C19FD" w:rsidP="007C19FD">
      <w:r w:rsidRPr="0090784F">
        <w:rPr>
          <w:i/>
          <w:iCs/>
        </w:rPr>
        <w:t>a)</w:t>
      </w:r>
      <w:r w:rsidRPr="0090784F">
        <w:tab/>
        <w:t>что</w:t>
      </w:r>
      <w:r w:rsidR="00F550D7">
        <w:t>,</w:t>
      </w:r>
      <w:r w:rsidRPr="0090784F">
        <w:t xml:space="preserve"> для того чтобы МСЭ-Т сохранил свою значимость в сфере международной стандартизации, необходимо интегрировать стратегическое планирование как ключевой процесс управления, в том числе для обеспечения деятельности исследовательских комиссий МСЭ-Т;</w:t>
      </w:r>
    </w:p>
    <w:p w14:paraId="6F1EC1D9" w14:textId="754BDA7C" w:rsidR="007C19FD" w:rsidRPr="0090784F" w:rsidRDefault="007C19FD" w:rsidP="007C19FD">
      <w:r w:rsidRPr="0090784F">
        <w:rPr>
          <w:i/>
          <w:iCs/>
        </w:rPr>
        <w:t>b)</w:t>
      </w:r>
      <w:r w:rsidRPr="0090784F">
        <w:tab/>
        <w:t xml:space="preserve">что в МСЭ-Т существует острая необходимость в разработке секторального стратегического плана, который согласовывался бы со Стратегическим планом МСЭ и в рамках которого необходимо провести ситуационный анализ </w:t>
      </w:r>
      <w:r w:rsidR="0090784F">
        <w:t xml:space="preserve">деятельности </w:t>
      </w:r>
      <w:r w:rsidRPr="0090784F">
        <w:t>МСЭ-Т, в частности мандатов и программ работы отдельных исследовательских комиссий в сравнении с соответствующей отраслевой средой;</w:t>
      </w:r>
    </w:p>
    <w:p w14:paraId="09FFA5B6" w14:textId="5C99C12D" w:rsidR="007C19FD" w:rsidRPr="0090784F" w:rsidRDefault="007C19FD" w:rsidP="007C19FD">
      <w:r w:rsidRPr="0090784F">
        <w:rPr>
          <w:i/>
          <w:iCs/>
        </w:rPr>
        <w:t>c)</w:t>
      </w:r>
      <w:r w:rsidRPr="0090784F">
        <w:tab/>
        <w:t xml:space="preserve">что стратегическое планирование в МСЭ-Т, в том числе для исследовательских комиссий МСЭ-Т, должно быть частью более широкого процесса </w:t>
      </w:r>
      <w:r w:rsidR="0027006E">
        <w:t>–</w:t>
      </w:r>
      <w:r w:rsidRPr="0090784F">
        <w:t xml:space="preserve"> реализации подхода МСЭ-Т к управлению, ориентированному на результаты (УОР);</w:t>
      </w:r>
    </w:p>
    <w:p w14:paraId="2F84F5AF" w14:textId="1475BBE4" w:rsidR="007C19FD" w:rsidRPr="0090784F" w:rsidRDefault="007C19FD" w:rsidP="007C19FD">
      <w:r w:rsidRPr="0090784F">
        <w:rPr>
          <w:i/>
          <w:iCs/>
        </w:rPr>
        <w:t>d)</w:t>
      </w:r>
      <w:r w:rsidRPr="0090784F">
        <w:tab/>
        <w:t>что существует потребность в регулярном стратегическом планировании, анализе и определении мест</w:t>
      </w:r>
      <w:r w:rsidR="0027006E">
        <w:t>а</w:t>
      </w:r>
      <w:r w:rsidRPr="0090784F">
        <w:t xml:space="preserve"> исследовательских комиссий МСЭ-Т в рамках Сектора МСЭ-Т и в отрасли;</w:t>
      </w:r>
    </w:p>
    <w:p w14:paraId="1AD207C1" w14:textId="675ACB44" w:rsidR="007C19FD" w:rsidRPr="0090784F" w:rsidRDefault="007C19FD" w:rsidP="007C19FD">
      <w:r w:rsidRPr="0090784F">
        <w:rPr>
          <w:i/>
          <w:iCs/>
        </w:rPr>
        <w:t>e)</w:t>
      </w:r>
      <w:r w:rsidRPr="0090784F">
        <w:tab/>
      </w:r>
      <w:r w:rsidR="000E77B6" w:rsidRPr="000E77B6">
        <w:t>что становится все более важным интегрировать управление, ориентированное на результат</w:t>
      </w:r>
      <w:r w:rsidR="000E77B6">
        <w:t>ы</w:t>
      </w:r>
      <w:r w:rsidR="000E77B6" w:rsidRPr="000E77B6">
        <w:t xml:space="preserve"> (</w:t>
      </w:r>
      <w:r w:rsidR="000E77B6">
        <w:t>УОР</w:t>
      </w:r>
      <w:r w:rsidR="000E77B6" w:rsidRPr="000E77B6">
        <w:t xml:space="preserve">), в деятельность МСЭ-Т, учитывая </w:t>
      </w:r>
      <w:r w:rsidR="000E77B6">
        <w:t>стремительное</w:t>
      </w:r>
      <w:r w:rsidR="000E77B6" w:rsidRPr="000E77B6">
        <w:t xml:space="preserve"> развитие и потребности членов МСЭ-Т</w:t>
      </w:r>
      <w:r w:rsidRPr="0090784F">
        <w:t xml:space="preserve"> и отрасл</w:t>
      </w:r>
      <w:r w:rsidR="000E77B6">
        <w:t>и</w:t>
      </w:r>
      <w:r w:rsidRPr="0090784F">
        <w:t>, а также для достижения целей в области устойчивого развития;</w:t>
      </w:r>
    </w:p>
    <w:p w14:paraId="06802E0A" w14:textId="12B91060" w:rsidR="007C19FD" w:rsidRPr="0090784F" w:rsidRDefault="007C19FD" w:rsidP="007C19FD">
      <w:r w:rsidRPr="0090784F">
        <w:rPr>
          <w:i/>
          <w:iCs/>
        </w:rPr>
        <w:t>f)</w:t>
      </w:r>
      <w:r w:rsidRPr="0090784F">
        <w:tab/>
        <w:t xml:space="preserve">что исследовательские комиссии МСЭ-Т имеют </w:t>
      </w:r>
      <w:r w:rsidR="000E77B6">
        <w:t>более или менее</w:t>
      </w:r>
      <w:r w:rsidRPr="0090784F">
        <w:t xml:space="preserve"> значим</w:t>
      </w:r>
      <w:r w:rsidR="000E77B6">
        <w:t>ую</w:t>
      </w:r>
      <w:r w:rsidRPr="0090784F">
        <w:t xml:space="preserve"> и сил</w:t>
      </w:r>
      <w:r w:rsidR="000E77B6">
        <w:t>ьную позицию</w:t>
      </w:r>
      <w:r w:rsidRPr="0090784F">
        <w:t xml:space="preserve"> в сво</w:t>
      </w:r>
      <w:r w:rsidR="000E77B6">
        <w:t>их соответствующих</w:t>
      </w:r>
      <w:r w:rsidRPr="0090784F">
        <w:t xml:space="preserve"> сфер</w:t>
      </w:r>
      <w:r w:rsidR="000E77B6">
        <w:t>ах</w:t>
      </w:r>
      <w:r w:rsidRPr="0090784F">
        <w:t xml:space="preserve"> и что стратегическое планирование с использованием </w:t>
      </w:r>
      <w:r w:rsidRPr="0090784F">
        <w:lastRenderedPageBreak/>
        <w:t xml:space="preserve">соответствующих инструментов, методов и передового опыта имеет первостепенное значение для изменения </w:t>
      </w:r>
      <w:r w:rsidR="000E77B6">
        <w:t>положения</w:t>
      </w:r>
      <w:r w:rsidRPr="0090784F">
        <w:t xml:space="preserve"> и/или реструктуризации исследовательских комиссий МСЭ-Т;</w:t>
      </w:r>
    </w:p>
    <w:p w14:paraId="7E72EE93" w14:textId="397FF63F" w:rsidR="007C19FD" w:rsidRPr="0090784F" w:rsidRDefault="007C19FD" w:rsidP="007C19FD">
      <w:r w:rsidRPr="0090784F">
        <w:rPr>
          <w:i/>
          <w:iCs/>
        </w:rPr>
        <w:t>g)</w:t>
      </w:r>
      <w:r w:rsidRPr="0090784F">
        <w:tab/>
        <w:t xml:space="preserve">что структура результатов </w:t>
      </w:r>
      <w:r w:rsidR="007260AD">
        <w:t xml:space="preserve">деятельности </w:t>
      </w:r>
      <w:r w:rsidRPr="0090784F">
        <w:t>МСЭ-Т, согласованная со Стратегическим планом МСЭ, должна четко отражать концепцию, миссию, стратегические цели Сектора, средства достижения целей, конечные результаты и намеченные результаты деятельности МСЭ-Т и стать для МСЭ-Т более прочной стратегической основой;</w:t>
      </w:r>
    </w:p>
    <w:p w14:paraId="1A377F68" w14:textId="77777777" w:rsidR="007C19FD" w:rsidRPr="0090784F" w:rsidRDefault="007C19FD" w:rsidP="007C19FD">
      <w:r w:rsidRPr="0090784F">
        <w:rPr>
          <w:i/>
          <w:iCs/>
        </w:rPr>
        <w:t>h)</w:t>
      </w:r>
      <w:r w:rsidRPr="0090784F">
        <w:tab/>
        <w:t>что стратегические планы МСЭ-T должны составляться в разбивке по исследовательским комиссиям и с привлечением Членов МСЭ-Т;</w:t>
      </w:r>
    </w:p>
    <w:p w14:paraId="74CB5640" w14:textId="7D9F0388" w:rsidR="007349AB" w:rsidRPr="0090784F" w:rsidRDefault="007C19FD" w:rsidP="007349AB">
      <w:r w:rsidRPr="0090784F">
        <w:rPr>
          <w:i/>
          <w:iCs/>
        </w:rPr>
        <w:t>i)</w:t>
      </w:r>
      <w:r w:rsidRPr="0090784F">
        <w:tab/>
        <w:t xml:space="preserve">что Рабочая группа Совета по разработке Стратегического и Финансового планов (РГС-СФП) </w:t>
      </w:r>
      <w:r w:rsidR="000E77B6" w:rsidRPr="0090784F">
        <w:t>в период между двумя полномочными конференциями</w:t>
      </w:r>
      <w:r w:rsidR="000E77B6">
        <w:t xml:space="preserve"> разрабатывает</w:t>
      </w:r>
      <w:r w:rsidR="007E24A3">
        <w:t xml:space="preserve"> </w:t>
      </w:r>
      <w:r w:rsidRPr="0090784F">
        <w:t>Стратегический план МСЭ высокого уровня, обеспечивающий комплексную стратегическую основу для работы Союза</w:t>
      </w:r>
      <w:r w:rsidR="007349AB" w:rsidRPr="0090784F">
        <w:t>,</w:t>
      </w:r>
    </w:p>
    <w:p w14:paraId="37B8DCA5" w14:textId="6EDCD48E" w:rsidR="007349AB" w:rsidRPr="0090784F" w:rsidRDefault="007C19FD" w:rsidP="007349AB">
      <w:pPr>
        <w:pStyle w:val="Call"/>
      </w:pPr>
      <w:r w:rsidRPr="0090784F">
        <w:t>отмечая с обеспокоенностью</w:t>
      </w:r>
    </w:p>
    <w:p w14:paraId="49F58879" w14:textId="6162AF88" w:rsidR="007349AB" w:rsidRPr="0090784F" w:rsidRDefault="007349AB" w:rsidP="007349AB">
      <w:r w:rsidRPr="0090784F">
        <w:rPr>
          <w:i/>
          <w:iCs/>
        </w:rPr>
        <w:t>a)</w:t>
      </w:r>
      <w:r w:rsidRPr="0090784F">
        <w:tab/>
      </w:r>
      <w:r w:rsidR="007C19FD" w:rsidRPr="0090784F">
        <w:t xml:space="preserve">снижение актуальности и привлекательности собраний </w:t>
      </w:r>
      <w:proofErr w:type="spellStart"/>
      <w:r w:rsidR="007C19FD" w:rsidRPr="0090784F">
        <w:t>CxO</w:t>
      </w:r>
      <w:proofErr w:type="spellEnd"/>
      <w:r w:rsidR="007C19FD" w:rsidRPr="0090784F">
        <w:t>, в том числе отсутствие активного участия отраслевых компаний</w:t>
      </w:r>
      <w:r w:rsidRPr="0090784F">
        <w:t xml:space="preserve">; </w:t>
      </w:r>
    </w:p>
    <w:p w14:paraId="6B815E53" w14:textId="4363C578" w:rsidR="007349AB" w:rsidRPr="0090784F" w:rsidRDefault="007349AB" w:rsidP="007349AB">
      <w:r w:rsidRPr="0090784F">
        <w:rPr>
          <w:i/>
          <w:iCs/>
        </w:rPr>
        <w:t>b)</w:t>
      </w:r>
      <w:r w:rsidRPr="0090784F">
        <w:tab/>
      </w:r>
      <w:r w:rsidR="007C19FD" w:rsidRPr="0090784F">
        <w:t xml:space="preserve">усилия групп Докладчиков КГСЭ, направленные на повышение актуальности и соответствия МСЭ-Т своему назначению, а именно на взаимодействие с отраслью, реструктуризацию исследовательских комиссий МСЭ-Т, процесс оценки на собраниях </w:t>
      </w:r>
      <w:proofErr w:type="spellStart"/>
      <w:r w:rsidR="007C19FD" w:rsidRPr="0090784F">
        <w:t>CxO</w:t>
      </w:r>
      <w:proofErr w:type="spellEnd"/>
      <w:r w:rsidR="007C19FD" w:rsidRPr="0090784F">
        <w:t>, для которых в МСЭ-Т отсутствует четко сформулированная стратегическая основа и более целостный, комплексный, ориентированный на результаты подход</w:t>
      </w:r>
      <w:r w:rsidRPr="0090784F">
        <w:t>,</w:t>
      </w:r>
    </w:p>
    <w:p w14:paraId="5D0C8438" w14:textId="7293E77D" w:rsidR="007349AB" w:rsidRPr="0090784F" w:rsidRDefault="007C19FD" w:rsidP="007349AB">
      <w:pPr>
        <w:pStyle w:val="Call"/>
      </w:pPr>
      <w:r w:rsidRPr="0090784F">
        <w:t>напоминая далее</w:t>
      </w:r>
    </w:p>
    <w:p w14:paraId="734BF3CC" w14:textId="77777777" w:rsidR="007C19FD" w:rsidRPr="0090784F" w:rsidRDefault="007C19FD" w:rsidP="007C19FD">
      <w:r w:rsidRPr="0090784F">
        <w:rPr>
          <w:i/>
          <w:iCs/>
        </w:rPr>
        <w:t>a)</w:t>
      </w:r>
      <w:r w:rsidRPr="0090784F">
        <w:tab/>
        <w:t>об отсутствии на уровне каждой исследовательской комиссии МСЭ-Т управления стратегическими и оперативными рисками, соответствующих мер по смягчению последствий, готовности к принятию рисков и мер контроля, которые все вместе были бы увязаны и согласованы с подходом к общеорганизационному управлению рисками (ERM), системой управления рисками и политикой управления рисками МСЭ;</w:t>
      </w:r>
    </w:p>
    <w:p w14:paraId="43D4C54E" w14:textId="77777777" w:rsidR="007C19FD" w:rsidRPr="0090784F" w:rsidRDefault="007C19FD" w:rsidP="007C19FD">
      <w:r w:rsidRPr="0090784F">
        <w:rPr>
          <w:i/>
          <w:iCs/>
        </w:rPr>
        <w:t>b)</w:t>
      </w:r>
      <w:r w:rsidRPr="0090784F">
        <w:tab/>
        <w:t>о необходимости наличия стратегического планирования для каждой исследовательской комиссии МСЭ-Т, которое предполагает глубокое понимание внутренней и внешней обстановки МСЭ-Т, в том числе для исследовательских комиссий МСЭ-Т;</w:t>
      </w:r>
    </w:p>
    <w:p w14:paraId="54A22643" w14:textId="77777777" w:rsidR="007C19FD" w:rsidRPr="0090784F" w:rsidRDefault="007C19FD" w:rsidP="007C19FD">
      <w:r w:rsidRPr="0090784F">
        <w:rPr>
          <w:i/>
          <w:iCs/>
        </w:rPr>
        <w:t>c)</w:t>
      </w:r>
      <w:r w:rsidRPr="0090784F">
        <w:tab/>
        <w:t>о необходимости согласовать стратегическое планирование МСЭ-Т с планированием бюджетных, оперативных и людских ресурсов;</w:t>
      </w:r>
    </w:p>
    <w:p w14:paraId="683A64E5" w14:textId="5F745406" w:rsidR="007349AB" w:rsidRPr="0090784F" w:rsidRDefault="007C19FD" w:rsidP="007C19FD">
      <w:r w:rsidRPr="0090784F">
        <w:rPr>
          <w:i/>
          <w:iCs/>
        </w:rPr>
        <w:t>d)</w:t>
      </w:r>
      <w:r w:rsidRPr="0090784F">
        <w:tab/>
        <w:t>что в Резолюции 151 (</w:t>
      </w:r>
      <w:proofErr w:type="spellStart"/>
      <w:r w:rsidRPr="0090784F">
        <w:t>Пересм</w:t>
      </w:r>
      <w:proofErr w:type="spellEnd"/>
      <w:r w:rsidRPr="0090784F">
        <w:t>. Бухарест, 2022 г.) Полномочной конференции о совершенствовании в МСЭ управления, ориентированного на результаты, Директорам трех Бюро поручается продолжить совершенствование процессов и методик, связанных с полным внедрением УОР и БОР</w:t>
      </w:r>
      <w:r w:rsidR="007349AB" w:rsidRPr="0090784F">
        <w:t>,</w:t>
      </w:r>
    </w:p>
    <w:p w14:paraId="233D936A" w14:textId="7FA7CA39" w:rsidR="007349AB" w:rsidRPr="0090784F" w:rsidRDefault="007C19FD" w:rsidP="007349AB">
      <w:pPr>
        <w:pStyle w:val="Call"/>
      </w:pPr>
      <w:r w:rsidRPr="0090784F">
        <w:t>признавая далее</w:t>
      </w:r>
      <w:r w:rsidR="00B75ED0" w:rsidRPr="0090784F">
        <w:rPr>
          <w:i w:val="0"/>
          <w:iCs/>
        </w:rPr>
        <w:t>,</w:t>
      </w:r>
    </w:p>
    <w:p w14:paraId="0C4D0468" w14:textId="184EBD4F" w:rsidR="007349AB" w:rsidRPr="0090784F" w:rsidRDefault="007349AB" w:rsidP="007349AB">
      <w:r w:rsidRPr="0090784F">
        <w:rPr>
          <w:i/>
          <w:iCs/>
        </w:rPr>
        <w:t>a)</w:t>
      </w:r>
      <w:r w:rsidRPr="0090784F">
        <w:tab/>
      </w:r>
      <w:r w:rsidR="007C19FD" w:rsidRPr="0090784F">
        <w:t xml:space="preserve">что методы работы и программы работы должны быть ключевыми средствами достижения целей, для того чтобы МСЭ-Т соответствовал своему целевому назначению, и поэтому их структура должна способствовать достижению стратегических целей МСЭ-Т и усиливать </w:t>
      </w:r>
      <w:r w:rsidR="000E77B6">
        <w:t xml:space="preserve">способность </w:t>
      </w:r>
      <w:r w:rsidR="007C19FD" w:rsidRPr="0090784F">
        <w:t>реагировани</w:t>
      </w:r>
      <w:r w:rsidR="000E77B6">
        <w:t>я</w:t>
      </w:r>
      <w:r w:rsidR="007C19FD" w:rsidRPr="0090784F">
        <w:t xml:space="preserve"> на потребности Членов МСЭ-Т и отрасли</w:t>
      </w:r>
      <w:r w:rsidRPr="0090784F">
        <w:t>;</w:t>
      </w:r>
    </w:p>
    <w:p w14:paraId="01AEB46B" w14:textId="7E8DF8D3" w:rsidR="007349AB" w:rsidRPr="0090784F" w:rsidRDefault="007349AB" w:rsidP="007349AB">
      <w:r w:rsidRPr="0090784F">
        <w:rPr>
          <w:i/>
          <w:iCs/>
        </w:rPr>
        <w:t>b)</w:t>
      </w:r>
      <w:r w:rsidRPr="0090784F">
        <w:tab/>
      </w:r>
      <w:r w:rsidR="007C19FD" w:rsidRPr="0090784F">
        <w:t>необходимость</w:t>
      </w:r>
      <w:r w:rsidR="00386B40" w:rsidRPr="0090784F">
        <w:t xml:space="preserve"> </w:t>
      </w:r>
      <w:r w:rsidR="007C19FD" w:rsidRPr="0090784F">
        <w:t>коммуникационной стратегии МСЭ-Т для информационно-пропагандистской работы, продвижения и координации в целях дальнейшего укрепления взаимодействия с заинтересованными сторонами и привлечения новых членов, которая может быть воспроизведена во всех исследовательских комиссиях МСЭ-Т</w:t>
      </w:r>
      <w:r w:rsidRPr="0090784F">
        <w:t>,</w:t>
      </w:r>
    </w:p>
    <w:p w14:paraId="264C2DE9" w14:textId="5DECBD0A" w:rsidR="007349AB" w:rsidRPr="0090784F" w:rsidRDefault="006F156B" w:rsidP="007349AB">
      <w:pPr>
        <w:pStyle w:val="Call"/>
      </w:pPr>
      <w:r w:rsidRPr="0090784F">
        <w:t>решает поручить Директору Бюро стандартизации электросвязи</w:t>
      </w:r>
    </w:p>
    <w:p w14:paraId="0AB6A671" w14:textId="531FA825" w:rsidR="006F156B" w:rsidRPr="0090784F" w:rsidRDefault="006F156B" w:rsidP="006F156B">
      <w:r w:rsidRPr="0090784F">
        <w:t>1</w:t>
      </w:r>
      <w:r w:rsidRPr="0090784F">
        <w:tab/>
        <w:t xml:space="preserve">интегрировать и укреплять стратегическое планирование в МСЭ-Т как ключевой процесс управления в соответствии с передовым опытом Объединенной инспекционной группы (ОИГ) </w:t>
      </w:r>
      <w:r w:rsidRPr="0090784F">
        <w:lastRenderedPageBreak/>
        <w:t>Организации Объединенных Наций, с тем чтобы позиционировать Сектор стандартизации как сектор, отвечающий своему назначению, вн</w:t>
      </w:r>
      <w:r w:rsidR="000E77B6">
        <w:t>о</w:t>
      </w:r>
      <w:r w:rsidRPr="0090784F">
        <w:t xml:space="preserve">ся тем самым вклад в общую стратегию МСЭ; </w:t>
      </w:r>
    </w:p>
    <w:p w14:paraId="1C1BED02" w14:textId="065A07EF" w:rsidR="006F156B" w:rsidRPr="0090784F" w:rsidRDefault="006F156B" w:rsidP="006F156B">
      <w:r w:rsidRPr="0090784F">
        <w:t>2</w:t>
      </w:r>
      <w:r w:rsidRPr="0090784F">
        <w:tab/>
      </w:r>
      <w:r w:rsidR="000E77B6">
        <w:t>внедрить в деятельность</w:t>
      </w:r>
      <w:r w:rsidRPr="0090784F">
        <w:t xml:space="preserve"> МСЭ-Т управление, ориентированное на результаты (УОР), в том числе в исследовательских комиссиях МСЭ-Т, и </w:t>
      </w:r>
      <w:r w:rsidR="004B42C8" w:rsidRPr="0090784F">
        <w:t xml:space="preserve">на регулярной основе </w:t>
      </w:r>
      <w:r w:rsidRPr="0090784F">
        <w:t xml:space="preserve">представлять </w:t>
      </w:r>
      <w:r w:rsidR="004B42C8" w:rsidRPr="0090784F">
        <w:t xml:space="preserve">в КГСЭ, РГС-СФП и Совет МСЭ </w:t>
      </w:r>
      <w:r w:rsidRPr="0090784F">
        <w:t>отчеты о соответствующих планируемых и предпринятых мерах;</w:t>
      </w:r>
    </w:p>
    <w:p w14:paraId="766022CA" w14:textId="489A1A7E" w:rsidR="006F156B" w:rsidRPr="0090784F" w:rsidRDefault="006F156B" w:rsidP="006F156B">
      <w:r w:rsidRPr="0090784F">
        <w:t>3</w:t>
      </w:r>
      <w:r w:rsidRPr="0090784F">
        <w:tab/>
        <w:t xml:space="preserve">осуществлять на регулярной основе стратегическое планирование для каждой исследовательской комиссии, в частности проводить внутренний и внешний ситуационный анализ и осуществлять управление стратегическими и оперативными рисками, с тем чтобы </w:t>
      </w:r>
      <w:r w:rsidR="007260AD">
        <w:t>более точно определять место</w:t>
      </w:r>
      <w:r w:rsidRPr="0090784F">
        <w:t xml:space="preserve"> исследовательски</w:t>
      </w:r>
      <w:r w:rsidR="007260AD">
        <w:t>х</w:t>
      </w:r>
      <w:r w:rsidRPr="0090784F">
        <w:t xml:space="preserve"> комисси</w:t>
      </w:r>
      <w:r w:rsidR="007260AD">
        <w:t>й</w:t>
      </w:r>
      <w:r w:rsidRPr="0090784F">
        <w:t xml:space="preserve"> МСЭ-Т в условиях быстрого изменения потребностей и обстановки в области стандартизации; </w:t>
      </w:r>
    </w:p>
    <w:p w14:paraId="6123A102" w14:textId="77777777" w:rsidR="006F156B" w:rsidRPr="0090784F" w:rsidRDefault="006F156B" w:rsidP="006F156B">
      <w:r w:rsidRPr="0090784F">
        <w:t>4</w:t>
      </w:r>
      <w:r w:rsidRPr="0090784F">
        <w:tab/>
        <w:t>разработать подход МСЭ-Т к управлению рисками, в котором учитывались бы стратегические и оперативные риски и соответствующие меры по их смягчению;</w:t>
      </w:r>
    </w:p>
    <w:p w14:paraId="2EE4ACDC" w14:textId="77777777" w:rsidR="006F156B" w:rsidRPr="0090784F" w:rsidRDefault="006F156B" w:rsidP="006F156B">
      <w:r w:rsidRPr="0090784F">
        <w:t>5</w:t>
      </w:r>
      <w:r w:rsidRPr="0090784F">
        <w:tab/>
        <w:t>разработать структуру результатов деятельности МСЭ-Т, согласованную со стратегией МСЭ, в соответствии с принципами управления, ориентированного на результаты (УОР), базовой основой которой являлось бы стратегическое планирование и в отношении которой ситуационный анализ и планирование наряду с прочими аспектами велись бы для каждой исследовательской комиссии МСЭ-Т;</w:t>
      </w:r>
    </w:p>
    <w:p w14:paraId="15C83350" w14:textId="59E226F8" w:rsidR="006F156B" w:rsidRPr="0090784F" w:rsidRDefault="006F156B" w:rsidP="006F156B">
      <w:r w:rsidRPr="0090784F">
        <w:t>6</w:t>
      </w:r>
      <w:r w:rsidRPr="0090784F">
        <w:tab/>
        <w:t xml:space="preserve">отразить региональное присутствие в структуре результатов </w:t>
      </w:r>
      <w:r w:rsidR="007260AD" w:rsidRPr="0090784F">
        <w:t xml:space="preserve">деятельности </w:t>
      </w:r>
      <w:r w:rsidRPr="0090784F">
        <w:t>МСЭ-Т, его задачах, ожидаемых результатах деятельности вместе с соответствующими целевыми показателями и одновременно его роль в качестве ключевого средства достижения целей, обеспечивающего реализацию стратегии МСЭ-Т;</w:t>
      </w:r>
    </w:p>
    <w:p w14:paraId="3C65512A" w14:textId="2A0392A7" w:rsidR="006F156B" w:rsidRPr="0090784F" w:rsidRDefault="006F156B" w:rsidP="006F156B">
      <w:r w:rsidRPr="0090784F">
        <w:t>7</w:t>
      </w:r>
      <w:r w:rsidRPr="0090784F">
        <w:tab/>
        <w:t xml:space="preserve">определить все ключевые средства достижения целей, </w:t>
      </w:r>
      <w:r w:rsidR="007260AD">
        <w:t xml:space="preserve">которые </w:t>
      </w:r>
      <w:r w:rsidRPr="0090784F">
        <w:t>способствую</w:t>
      </w:r>
      <w:r w:rsidR="007260AD">
        <w:t>т</w:t>
      </w:r>
      <w:r w:rsidRPr="0090784F">
        <w:t xml:space="preserve"> успе</w:t>
      </w:r>
      <w:r w:rsidR="007260AD">
        <w:t>шному функционированию</w:t>
      </w:r>
      <w:r w:rsidRPr="0090784F">
        <w:t xml:space="preserve"> структуры результатов </w:t>
      </w:r>
      <w:r w:rsidR="007260AD" w:rsidRPr="0090784F">
        <w:t xml:space="preserve">деятельности </w:t>
      </w:r>
      <w:r w:rsidRPr="0090784F">
        <w:t>МСЭ-Т</w:t>
      </w:r>
      <w:r w:rsidR="007260AD">
        <w:t xml:space="preserve"> и</w:t>
      </w:r>
      <w:r w:rsidRPr="0090784F">
        <w:t xml:space="preserve"> включаю</w:t>
      </w:r>
      <w:r w:rsidR="007260AD">
        <w:t>т</w:t>
      </w:r>
      <w:r w:rsidRPr="0090784F">
        <w:t xml:space="preserve"> в том числе взаимодействие с отраслью, отвечающую своему назначению структуру исследовательских комиссий МСЭ-Т и программы работы, эффективную информационно-пропагандистскую деятельность и координацию, активизацию собраний </w:t>
      </w:r>
      <w:proofErr w:type="spellStart"/>
      <w:r w:rsidRPr="0090784F">
        <w:t>CxO</w:t>
      </w:r>
      <w:proofErr w:type="spellEnd"/>
      <w:r w:rsidRPr="0090784F">
        <w:t xml:space="preserve">, поддержку секретариата БСЭ, веб-сайт МСЭ-Т, эффективные и современные платформы электронных собраний МСЭ-Т, соответствующие руководство и управление, а также непрерывность деятельности; </w:t>
      </w:r>
    </w:p>
    <w:p w14:paraId="15E78E94" w14:textId="77777777" w:rsidR="006F156B" w:rsidRPr="0090784F" w:rsidRDefault="006F156B" w:rsidP="006F156B">
      <w:r w:rsidRPr="0090784F">
        <w:t>8</w:t>
      </w:r>
      <w:r w:rsidRPr="0090784F">
        <w:tab/>
        <w:t>проводить на регулярной основе стратегический анализ и представлять полученные результаты КГСЭ для дальнейшего рассмотрения и руководства;</w:t>
      </w:r>
    </w:p>
    <w:p w14:paraId="6D691079" w14:textId="71F397A1" w:rsidR="006F156B" w:rsidRPr="0090784F" w:rsidRDefault="006F156B" w:rsidP="006F156B">
      <w:r w:rsidRPr="0090784F">
        <w:t>9</w:t>
      </w:r>
      <w:r w:rsidRPr="0090784F">
        <w:tab/>
        <w:t>провести консультации с Членами МСЭ-Т и персоналом БСЭ по составлению структуры результатов</w:t>
      </w:r>
      <w:r w:rsidR="007260AD">
        <w:t xml:space="preserve"> деятельности</w:t>
      </w:r>
      <w:r w:rsidRPr="0090784F">
        <w:t xml:space="preserve"> МСЭ-Т, в частности для всеобъемлющего определения предлагаемых преимуществ МСЭ-Т, заявления о концепции и так далее, принимая во внимание многообразие мандатов исследовательских комиссий МСЭ-Т,</w:t>
      </w:r>
    </w:p>
    <w:p w14:paraId="79E92486" w14:textId="3C7274EF" w:rsidR="007349AB" w:rsidRPr="0090784F" w:rsidRDefault="006F156B" w:rsidP="007349AB">
      <w:pPr>
        <w:pStyle w:val="Call"/>
      </w:pPr>
      <w:r w:rsidRPr="0090784F">
        <w:t>поручает Консультативной группе по стандартизации электросвязи</w:t>
      </w:r>
    </w:p>
    <w:p w14:paraId="002B1614" w14:textId="61FC49D9" w:rsidR="007349AB" w:rsidRPr="0090784F" w:rsidRDefault="007349AB" w:rsidP="007349AB">
      <w:r w:rsidRPr="0090784F">
        <w:t>1</w:t>
      </w:r>
      <w:r w:rsidRPr="0090784F">
        <w:tab/>
      </w:r>
      <w:r w:rsidR="006F156B" w:rsidRPr="0090784F">
        <w:t>осуществлять мониторинг и оценку реализации стратегического планирования в МСЭ-Т</w:t>
      </w:r>
      <w:r w:rsidRPr="0090784F">
        <w:t>;</w:t>
      </w:r>
    </w:p>
    <w:p w14:paraId="0FFAB83D" w14:textId="24676DA2" w:rsidR="007349AB" w:rsidRPr="0090784F" w:rsidRDefault="007349AB" w:rsidP="007349AB">
      <w:r w:rsidRPr="0090784F">
        <w:t>2</w:t>
      </w:r>
      <w:r w:rsidRPr="0090784F">
        <w:tab/>
      </w:r>
      <w:r w:rsidR="006F156B" w:rsidRPr="0090784F">
        <w:t>утвердить и совершенствовать процесс принятия решений на основе фактических данных по всем вопросам руководства и управления МСЭ-Т, например касающи</w:t>
      </w:r>
      <w:r w:rsidR="00AE0D0C">
        <w:t>м</w:t>
      </w:r>
      <w:r w:rsidR="006F156B" w:rsidRPr="0090784F">
        <w:t>ся реструктуризации исследовательских комиссий МСЭ-Т, участия отрасли, проведения мероприятий БСЭ и прочее</w:t>
      </w:r>
      <w:r w:rsidRPr="0090784F">
        <w:t>,</w:t>
      </w:r>
    </w:p>
    <w:p w14:paraId="207AADC4" w14:textId="3F779B94" w:rsidR="007349AB" w:rsidRPr="0090784F" w:rsidRDefault="006F156B" w:rsidP="007349AB">
      <w:pPr>
        <w:pStyle w:val="Call"/>
      </w:pPr>
      <w:r w:rsidRPr="0090784F">
        <w:t>предлагает Государствам-Членам и Членам Секторов</w:t>
      </w:r>
    </w:p>
    <w:p w14:paraId="1D69037D" w14:textId="290CF27A" w:rsidR="007349AB" w:rsidRPr="0090784F" w:rsidRDefault="006F156B" w:rsidP="007349AB">
      <w:r w:rsidRPr="0090784F">
        <w:t>вносить вклад в процесс стратегического планирования МСЭ-Т и учитывать выводы, содержащиеся в их вкладах, в программах работы исследовательских комиссий МСЭ-Т</w:t>
      </w:r>
      <w:r w:rsidR="007349AB" w:rsidRPr="0090784F">
        <w:t>.</w:t>
      </w:r>
    </w:p>
    <w:p w14:paraId="2D827DD2" w14:textId="77777777" w:rsidR="00E22AD7" w:rsidRPr="0090784F" w:rsidRDefault="00E22AD7" w:rsidP="00411C49">
      <w:pPr>
        <w:pStyle w:val="Reasons"/>
      </w:pPr>
    </w:p>
    <w:p w14:paraId="60B7A2CE" w14:textId="611051DF" w:rsidR="007349AB" w:rsidRPr="0090784F" w:rsidRDefault="00E22AD7" w:rsidP="00E22AD7">
      <w:pPr>
        <w:spacing w:before="480"/>
        <w:jc w:val="center"/>
      </w:pPr>
      <w:r w:rsidRPr="0090784F">
        <w:t>______________</w:t>
      </w:r>
    </w:p>
    <w:sectPr w:rsidR="007349AB" w:rsidRPr="0090784F">
      <w:headerReference w:type="default" r:id="rId15"/>
      <w:footerReference w:type="even" r:id="rId16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E395C" w14:textId="77777777" w:rsidR="00AB3C15" w:rsidRDefault="00AB3C15">
      <w:r>
        <w:separator/>
      </w:r>
    </w:p>
  </w:endnote>
  <w:endnote w:type="continuationSeparator" w:id="0">
    <w:p w14:paraId="457E92D5" w14:textId="77777777" w:rsidR="00AB3C15" w:rsidRDefault="00AB3C15">
      <w:r>
        <w:continuationSeparator/>
      </w:r>
    </w:p>
  </w:endnote>
  <w:endnote w:type="continuationNotice" w:id="1">
    <w:p w14:paraId="0EE6F2D9" w14:textId="77777777" w:rsidR="00AB3C15" w:rsidRDefault="00AB3C1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2BDD0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358B585" w14:textId="3B67C28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B4099">
      <w:rPr>
        <w:noProof/>
      </w:rPr>
      <w:t>03.10.24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D5A1B" w14:textId="77777777" w:rsidR="00AB3C15" w:rsidRDefault="00AB3C15">
      <w:r>
        <w:rPr>
          <w:b/>
        </w:rPr>
        <w:t>_______________</w:t>
      </w:r>
    </w:p>
  </w:footnote>
  <w:footnote w:type="continuationSeparator" w:id="0">
    <w:p w14:paraId="44C1FDFA" w14:textId="77777777" w:rsidR="00AB3C15" w:rsidRDefault="00AB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095F7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WTSA-24/35(Add.36)-R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881557115">
    <w:abstractNumId w:val="8"/>
  </w:num>
  <w:num w:numId="2" w16cid:durableId="172872527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01532053">
    <w:abstractNumId w:val="9"/>
  </w:num>
  <w:num w:numId="4" w16cid:durableId="1039430014">
    <w:abstractNumId w:val="7"/>
  </w:num>
  <w:num w:numId="5" w16cid:durableId="933630684">
    <w:abstractNumId w:val="6"/>
  </w:num>
  <w:num w:numId="6" w16cid:durableId="1390038704">
    <w:abstractNumId w:val="5"/>
  </w:num>
  <w:num w:numId="7" w16cid:durableId="1657420691">
    <w:abstractNumId w:val="4"/>
  </w:num>
  <w:num w:numId="8" w16cid:durableId="1016612331">
    <w:abstractNumId w:val="3"/>
  </w:num>
  <w:num w:numId="9" w16cid:durableId="1107306845">
    <w:abstractNumId w:val="2"/>
  </w:num>
  <w:num w:numId="10" w16cid:durableId="1526094817">
    <w:abstractNumId w:val="1"/>
  </w:num>
  <w:num w:numId="11" w16cid:durableId="238909851">
    <w:abstractNumId w:val="0"/>
  </w:num>
  <w:num w:numId="12" w16cid:durableId="357391919">
    <w:abstractNumId w:val="12"/>
  </w:num>
  <w:num w:numId="13" w16cid:durableId="1565022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E77B6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687"/>
    <w:rsid w:val="00187BD9"/>
    <w:rsid w:val="00190B55"/>
    <w:rsid w:val="001A0EBF"/>
    <w:rsid w:val="001B563E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06E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32F"/>
    <w:rsid w:val="00316B80"/>
    <w:rsid w:val="003251EA"/>
    <w:rsid w:val="00333E7D"/>
    <w:rsid w:val="00336B4E"/>
    <w:rsid w:val="0034635C"/>
    <w:rsid w:val="00355387"/>
    <w:rsid w:val="00360B0F"/>
    <w:rsid w:val="00377729"/>
    <w:rsid w:val="00377BD3"/>
    <w:rsid w:val="00384088"/>
    <w:rsid w:val="00384224"/>
    <w:rsid w:val="00386B40"/>
    <w:rsid w:val="003879F0"/>
    <w:rsid w:val="0039169B"/>
    <w:rsid w:val="00394470"/>
    <w:rsid w:val="003A7F8C"/>
    <w:rsid w:val="003B09A1"/>
    <w:rsid w:val="003B532E"/>
    <w:rsid w:val="003C33B7"/>
    <w:rsid w:val="003D0F8B"/>
    <w:rsid w:val="003E0A6F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2C8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4EE3"/>
    <w:rsid w:val="00595780"/>
    <w:rsid w:val="005964AB"/>
    <w:rsid w:val="005A1A6A"/>
    <w:rsid w:val="005A5680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26E31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6F156B"/>
    <w:rsid w:val="00700547"/>
    <w:rsid w:val="00707E39"/>
    <w:rsid w:val="007149F9"/>
    <w:rsid w:val="007260AD"/>
    <w:rsid w:val="00733A30"/>
    <w:rsid w:val="007349AB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19FD"/>
    <w:rsid w:val="007C60C2"/>
    <w:rsid w:val="007D1EC0"/>
    <w:rsid w:val="007D5320"/>
    <w:rsid w:val="007E0164"/>
    <w:rsid w:val="007E24A3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97E46"/>
    <w:rsid w:val="008A17FC"/>
    <w:rsid w:val="008A186A"/>
    <w:rsid w:val="008B1AEA"/>
    <w:rsid w:val="008B43F2"/>
    <w:rsid w:val="008B6CFF"/>
    <w:rsid w:val="008D0809"/>
    <w:rsid w:val="008D37A5"/>
    <w:rsid w:val="008E2A7A"/>
    <w:rsid w:val="008E4BBE"/>
    <w:rsid w:val="008E67E5"/>
    <w:rsid w:val="008F08A1"/>
    <w:rsid w:val="008F5BC6"/>
    <w:rsid w:val="008F7D1E"/>
    <w:rsid w:val="0090346C"/>
    <w:rsid w:val="00905803"/>
    <w:rsid w:val="0090784F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59B1"/>
    <w:rsid w:val="00967E61"/>
    <w:rsid w:val="0097002E"/>
    <w:rsid w:val="00976208"/>
    <w:rsid w:val="00986BCD"/>
    <w:rsid w:val="009A600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619EB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3C15"/>
    <w:rsid w:val="00AB416A"/>
    <w:rsid w:val="00AB6A82"/>
    <w:rsid w:val="00AB7C5F"/>
    <w:rsid w:val="00AC179E"/>
    <w:rsid w:val="00AC30A6"/>
    <w:rsid w:val="00AC5B55"/>
    <w:rsid w:val="00AE0D0C"/>
    <w:rsid w:val="00AE0E1B"/>
    <w:rsid w:val="00B067BF"/>
    <w:rsid w:val="00B07808"/>
    <w:rsid w:val="00B305D7"/>
    <w:rsid w:val="00B357A0"/>
    <w:rsid w:val="00B529AD"/>
    <w:rsid w:val="00B6324B"/>
    <w:rsid w:val="00B639E9"/>
    <w:rsid w:val="00B66385"/>
    <w:rsid w:val="00B66C2B"/>
    <w:rsid w:val="00B75ED0"/>
    <w:rsid w:val="00B815FE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0B57"/>
    <w:rsid w:val="00C42F43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B4099"/>
    <w:rsid w:val="00CB741A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E76C7"/>
    <w:rsid w:val="00DF3E19"/>
    <w:rsid w:val="00DF6908"/>
    <w:rsid w:val="00DF700D"/>
    <w:rsid w:val="00E0231F"/>
    <w:rsid w:val="00E03C94"/>
    <w:rsid w:val="00E166A4"/>
    <w:rsid w:val="00E2134A"/>
    <w:rsid w:val="00E22AD7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69C3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550D7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7DE2A0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5616c2e-cc17-432a-bd8c-98677dc03c18">DPM</DPM_x0020_Author>
    <DPM_x0020_File_x0020_name xmlns="15616c2e-cc17-432a-bd8c-98677dc03c18">T22-WTSA.24-C-0035!A36!MSW-R</DPM_x0020_File_x0020_name>
    <DPM_x0020_Version xmlns="15616c2e-cc17-432a-bd8c-98677dc03c18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5616c2e-cc17-432a-bd8c-98677dc03c18" targetNamespace="http://schemas.microsoft.com/office/2006/metadata/properties" ma:root="true" ma:fieldsID="d41af5c836d734370eb92e7ee5f83852" ns2:_="" ns3:_="">
    <xsd:import namespace="996b2e75-67fd-4955-a3b0-5ab9934cb50b"/>
    <xsd:import namespace="15616c2e-cc17-432a-bd8c-98677dc03c18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16c2e-cc17-432a-bd8c-98677dc03c18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15616c2e-cc17-432a-bd8c-98677dc03c18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5616c2e-cc17-432a-bd8c-98677dc03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1585</Words>
  <Characters>11576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T22-WTSA.24-C-0035!A36!MSW-R</vt:lpstr>
    </vt:vector>
  </TitlesOfParts>
  <Manager>General Secretariat - Pool</Manager>
  <Company>International Telecommunication Union (ITU)</Company>
  <LinksUpToDate>false</LinksUpToDate>
  <CharactersWithSpaces>13135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T22-WTSA.24-C-0035!A36!MSW-R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ZENAIDI, Ahmed</cp:lastModifiedBy>
  <cp:revision>2</cp:revision>
  <cp:lastPrinted>2016-06-06T07:49:00Z</cp:lastPrinted>
  <dcterms:created xsi:type="dcterms:W3CDTF">2024-10-10T14:21:00Z</dcterms:created>
  <dcterms:modified xsi:type="dcterms:W3CDTF">2024-10-10T14:21:00Z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