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D5398C" w14:paraId="029D16AE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48EE1E91" w14:textId="77777777" w:rsidR="00D2023F" w:rsidRPr="00D5398C" w:rsidRDefault="0018215C" w:rsidP="00C30155">
            <w:pPr>
              <w:spacing w:before="0"/>
            </w:pPr>
            <w:r w:rsidRPr="00D5398C">
              <w:drawing>
                <wp:inline distT="0" distB="0" distL="0" distR="0" wp14:anchorId="11FBC026" wp14:editId="0207201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2178DB2" w14:textId="77777777" w:rsidR="00D2023F" w:rsidRPr="00D5398C" w:rsidRDefault="005B7B2D" w:rsidP="00E610A4">
            <w:pPr>
              <w:pStyle w:val="TopHeader"/>
              <w:spacing w:before="0"/>
            </w:pPr>
            <w:r w:rsidRPr="00D5398C">
              <w:rPr>
                <w:szCs w:val="22"/>
              </w:rPr>
              <w:t xml:space="preserve">Всемирная ассамблея по стандартизации </w:t>
            </w:r>
            <w:r w:rsidRPr="00D5398C">
              <w:rPr>
                <w:szCs w:val="22"/>
              </w:rPr>
              <w:br/>
              <w:t>электросвязи (ВАСЭ-24)</w:t>
            </w:r>
            <w:r w:rsidRPr="00D5398C">
              <w:rPr>
                <w:szCs w:val="22"/>
              </w:rPr>
              <w:br/>
            </w:r>
            <w:r w:rsidRPr="00D5398C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D5398C">
              <w:rPr>
                <w:sz w:val="16"/>
                <w:szCs w:val="16"/>
              </w:rPr>
              <w:t>−</w:t>
            </w:r>
            <w:r w:rsidRPr="00D5398C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CA3CA85" w14:textId="77777777" w:rsidR="00D2023F" w:rsidRPr="00D5398C" w:rsidRDefault="00D2023F" w:rsidP="00C30155">
            <w:pPr>
              <w:spacing w:before="0"/>
            </w:pPr>
            <w:r w:rsidRPr="00D5398C">
              <w:rPr>
                <w:lang w:eastAsia="zh-CN"/>
              </w:rPr>
              <w:drawing>
                <wp:inline distT="0" distB="0" distL="0" distR="0" wp14:anchorId="6667B5C0" wp14:editId="33B46FF4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5398C" w14:paraId="27AEA2B6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F7BB3D4" w14:textId="77777777" w:rsidR="00D2023F" w:rsidRPr="00D5398C" w:rsidRDefault="00D2023F" w:rsidP="00C30155">
            <w:pPr>
              <w:spacing w:before="0"/>
            </w:pPr>
          </w:p>
        </w:tc>
      </w:tr>
      <w:tr w:rsidR="00931298" w:rsidRPr="00D5398C" w14:paraId="399664F2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1A4F0AA" w14:textId="77777777" w:rsidR="00931298" w:rsidRPr="00D5398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FB18DB6" w14:textId="77777777" w:rsidR="00931298" w:rsidRPr="00D5398C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D5398C" w14:paraId="493D80D4" w14:textId="77777777" w:rsidTr="0068791E">
        <w:trPr>
          <w:cantSplit/>
        </w:trPr>
        <w:tc>
          <w:tcPr>
            <w:tcW w:w="6237" w:type="dxa"/>
            <w:gridSpan w:val="2"/>
          </w:tcPr>
          <w:p w14:paraId="59AB6BFB" w14:textId="77777777" w:rsidR="00752D4D" w:rsidRPr="00D5398C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D5398C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05A74BF" w14:textId="77777777" w:rsidR="00752D4D" w:rsidRPr="00D5398C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D5398C">
              <w:rPr>
                <w:sz w:val="18"/>
                <w:szCs w:val="18"/>
              </w:rPr>
              <w:t>Дополнительный документ 33</w:t>
            </w:r>
            <w:r w:rsidRPr="00D5398C">
              <w:rPr>
                <w:sz w:val="18"/>
                <w:szCs w:val="18"/>
              </w:rPr>
              <w:br/>
              <w:t>к Документу 35</w:t>
            </w:r>
            <w:r w:rsidR="00967E61" w:rsidRPr="00D5398C">
              <w:rPr>
                <w:sz w:val="18"/>
                <w:szCs w:val="18"/>
              </w:rPr>
              <w:t>-</w:t>
            </w:r>
            <w:r w:rsidR="00986BCD" w:rsidRPr="00D5398C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D5398C" w14:paraId="5409E0E2" w14:textId="77777777" w:rsidTr="0068791E">
        <w:trPr>
          <w:cantSplit/>
        </w:trPr>
        <w:tc>
          <w:tcPr>
            <w:tcW w:w="6237" w:type="dxa"/>
            <w:gridSpan w:val="2"/>
          </w:tcPr>
          <w:p w14:paraId="57841CC1" w14:textId="77777777" w:rsidR="00931298" w:rsidRPr="00D5398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2500CDB" w14:textId="04326449" w:rsidR="00931298" w:rsidRPr="00D5398C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5398C">
              <w:rPr>
                <w:sz w:val="18"/>
                <w:szCs w:val="18"/>
              </w:rPr>
              <w:t>13 сентября 2024</w:t>
            </w:r>
            <w:r w:rsidR="00FE4500" w:rsidRPr="00D5398C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D5398C" w14:paraId="157280AC" w14:textId="77777777" w:rsidTr="0068791E">
        <w:trPr>
          <w:cantSplit/>
        </w:trPr>
        <w:tc>
          <w:tcPr>
            <w:tcW w:w="6237" w:type="dxa"/>
            <w:gridSpan w:val="2"/>
          </w:tcPr>
          <w:p w14:paraId="1A052834" w14:textId="77777777" w:rsidR="00931298" w:rsidRPr="00D5398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2E42529" w14:textId="77777777" w:rsidR="00931298" w:rsidRPr="00D5398C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5398C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D5398C" w14:paraId="0C998EC7" w14:textId="77777777" w:rsidTr="0068791E">
        <w:trPr>
          <w:cantSplit/>
        </w:trPr>
        <w:tc>
          <w:tcPr>
            <w:tcW w:w="9811" w:type="dxa"/>
            <w:gridSpan w:val="4"/>
          </w:tcPr>
          <w:p w14:paraId="64BEF3BD" w14:textId="77777777" w:rsidR="00931298" w:rsidRPr="00D5398C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D5398C" w14:paraId="7D344C92" w14:textId="77777777" w:rsidTr="0068791E">
        <w:trPr>
          <w:cantSplit/>
        </w:trPr>
        <w:tc>
          <w:tcPr>
            <w:tcW w:w="9811" w:type="dxa"/>
            <w:gridSpan w:val="4"/>
          </w:tcPr>
          <w:p w14:paraId="7A071818" w14:textId="77777777" w:rsidR="00931298" w:rsidRPr="00D5398C" w:rsidRDefault="00BE7C34" w:rsidP="00C30155">
            <w:pPr>
              <w:pStyle w:val="Source"/>
            </w:pPr>
            <w:r w:rsidRPr="00D5398C">
              <w:t>Администрации Африканского союза электросвязи</w:t>
            </w:r>
          </w:p>
        </w:tc>
      </w:tr>
      <w:tr w:rsidR="00931298" w:rsidRPr="00D5398C" w14:paraId="43C93475" w14:textId="77777777" w:rsidTr="0068791E">
        <w:trPr>
          <w:cantSplit/>
        </w:trPr>
        <w:tc>
          <w:tcPr>
            <w:tcW w:w="9811" w:type="dxa"/>
            <w:gridSpan w:val="4"/>
          </w:tcPr>
          <w:p w14:paraId="5A6A86FB" w14:textId="0DB3A217" w:rsidR="00931298" w:rsidRPr="00D5398C" w:rsidRDefault="00AA093B" w:rsidP="00FE4500">
            <w:pPr>
              <w:pStyle w:val="Title1"/>
            </w:pPr>
            <w:r w:rsidRPr="00D5398C">
              <w:t>ПРОЕКТ НОВОЙ РЕЗОЛЮЦИИ</w:t>
            </w:r>
            <w:r w:rsidR="00FC7C79" w:rsidRPr="00D5398C">
              <w:t xml:space="preserve"> [ATU-DPI] −</w:t>
            </w:r>
            <w:r w:rsidR="00BE7C34" w:rsidRPr="00D5398C">
              <w:t xml:space="preserve"> </w:t>
            </w:r>
            <w:r w:rsidR="00902646" w:rsidRPr="00D5398C">
              <w:t xml:space="preserve">Расширение деятельности по стандартизации цифровой инфраструктуры </w:t>
            </w:r>
            <w:r w:rsidR="005E62C4" w:rsidRPr="00D5398C">
              <w:t xml:space="preserve">ОБЩЕГО ПОЛЬЗОВАНИЯ </w:t>
            </w:r>
            <w:r w:rsidR="00902646" w:rsidRPr="00D5398C">
              <w:t>в целях содействия цифровой трансформации в</w:t>
            </w:r>
            <w:r w:rsidR="00FE4500" w:rsidRPr="00D5398C">
              <w:t> </w:t>
            </w:r>
            <w:r w:rsidR="00902646" w:rsidRPr="00D5398C">
              <w:t>развивающихся странах</w:t>
            </w:r>
          </w:p>
        </w:tc>
      </w:tr>
      <w:tr w:rsidR="00657CDA" w:rsidRPr="00D5398C" w14:paraId="093B421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8EE4E37" w14:textId="77777777" w:rsidR="00657CDA" w:rsidRPr="00D5398C" w:rsidRDefault="00657CDA" w:rsidP="00BE7C34">
            <w:pPr>
              <w:pStyle w:val="Title2"/>
              <w:spacing w:before="0"/>
            </w:pPr>
          </w:p>
        </w:tc>
      </w:tr>
      <w:tr w:rsidR="00657CDA" w:rsidRPr="00D5398C" w14:paraId="6E9E409B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1622E7D" w14:textId="77777777" w:rsidR="00657CDA" w:rsidRPr="00D5398C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48217A49" w14:textId="77777777" w:rsidR="00931298" w:rsidRPr="00D5398C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D5398C" w14:paraId="7A9F078C" w14:textId="77777777" w:rsidTr="00AA093B">
        <w:trPr>
          <w:cantSplit/>
        </w:trPr>
        <w:tc>
          <w:tcPr>
            <w:tcW w:w="1957" w:type="dxa"/>
          </w:tcPr>
          <w:p w14:paraId="475D25A6" w14:textId="77777777" w:rsidR="00931298" w:rsidRPr="00D5398C" w:rsidRDefault="00B357A0" w:rsidP="00E45467">
            <w:r w:rsidRPr="00D5398C">
              <w:rPr>
                <w:b/>
                <w:bCs/>
                <w:szCs w:val="22"/>
              </w:rPr>
              <w:t>Резюме</w:t>
            </w:r>
            <w:r w:rsidRPr="00D5398C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5B7A370E" w14:textId="1BCAC507" w:rsidR="00A82F11" w:rsidRPr="00D5398C" w:rsidRDefault="00A82F11" w:rsidP="00E45467">
            <w:pPr>
              <w:pStyle w:val="Abstract"/>
              <w:rPr>
                <w:lang w:val="ru-RU"/>
              </w:rPr>
            </w:pPr>
            <w:r w:rsidRPr="00D5398C">
              <w:rPr>
                <w:lang w:val="ru-RU"/>
              </w:rPr>
              <w:t xml:space="preserve">Данный проект </w:t>
            </w:r>
            <w:r w:rsidR="00BC4A07" w:rsidRPr="00D5398C">
              <w:rPr>
                <w:lang w:val="ru-RU"/>
              </w:rPr>
              <w:t xml:space="preserve">Резолюции </w:t>
            </w:r>
            <w:r w:rsidR="00F803B6" w:rsidRPr="00D5398C">
              <w:rPr>
                <w:lang w:val="ru-RU"/>
              </w:rPr>
              <w:t>представлен с учетом</w:t>
            </w:r>
            <w:r w:rsidRPr="00D5398C">
              <w:rPr>
                <w:lang w:val="ru-RU"/>
              </w:rPr>
              <w:t xml:space="preserve"> Стратегическ</w:t>
            </w:r>
            <w:r w:rsidR="00F803B6" w:rsidRPr="00D5398C">
              <w:rPr>
                <w:lang w:val="ru-RU"/>
              </w:rPr>
              <w:t>ого</w:t>
            </w:r>
            <w:r w:rsidRPr="00D5398C">
              <w:rPr>
                <w:lang w:val="ru-RU"/>
              </w:rPr>
              <w:t xml:space="preserve"> план</w:t>
            </w:r>
            <w:r w:rsidR="00F803B6" w:rsidRPr="00D5398C">
              <w:rPr>
                <w:lang w:val="ru-RU"/>
              </w:rPr>
              <w:t>а</w:t>
            </w:r>
            <w:r w:rsidRPr="00D5398C">
              <w:rPr>
                <w:lang w:val="ru-RU"/>
              </w:rPr>
              <w:t xml:space="preserve"> МСЭ на 2024</w:t>
            </w:r>
            <w:r w:rsidR="00BC4A07" w:rsidRPr="00D5398C">
              <w:rPr>
                <w:lang w:val="ru-RU"/>
              </w:rPr>
              <w:t>−</w:t>
            </w:r>
            <w:r w:rsidRPr="00D5398C">
              <w:rPr>
                <w:lang w:val="ru-RU"/>
              </w:rPr>
              <w:t xml:space="preserve">2027 годы, в котором устойчивая цифровая трансформация определена в качестве </w:t>
            </w:r>
            <w:r w:rsidR="00BC4A07" w:rsidRPr="00D5398C">
              <w:rPr>
                <w:lang w:val="ru-RU"/>
              </w:rPr>
              <w:t xml:space="preserve">одной из </w:t>
            </w:r>
            <w:r w:rsidRPr="00D5398C">
              <w:rPr>
                <w:lang w:val="ru-RU"/>
              </w:rPr>
              <w:t>стратегическ</w:t>
            </w:r>
            <w:r w:rsidR="00BC4A07" w:rsidRPr="00D5398C">
              <w:rPr>
                <w:lang w:val="ru-RU"/>
              </w:rPr>
              <w:t>их</w:t>
            </w:r>
            <w:r w:rsidRPr="00D5398C">
              <w:rPr>
                <w:lang w:val="ru-RU"/>
              </w:rPr>
              <w:t xml:space="preserve"> цел</w:t>
            </w:r>
            <w:r w:rsidR="00BC4A07" w:rsidRPr="00D5398C">
              <w:rPr>
                <w:lang w:val="ru-RU"/>
              </w:rPr>
              <w:t>ей</w:t>
            </w:r>
            <w:r w:rsidRPr="00D5398C">
              <w:rPr>
                <w:lang w:val="ru-RU"/>
              </w:rPr>
              <w:t xml:space="preserve"> Союза </w:t>
            </w:r>
            <w:r w:rsidR="002C1C7A" w:rsidRPr="00D5398C">
              <w:rPr>
                <w:lang w:val="ru-RU"/>
              </w:rPr>
              <w:t>для</w:t>
            </w:r>
            <w:r w:rsidRPr="00D5398C">
              <w:rPr>
                <w:lang w:val="ru-RU"/>
              </w:rPr>
              <w:t xml:space="preserve"> содействи</w:t>
            </w:r>
            <w:r w:rsidR="002C1C7A" w:rsidRPr="00D5398C">
              <w:rPr>
                <w:lang w:val="ru-RU"/>
              </w:rPr>
              <w:t>я</w:t>
            </w:r>
            <w:r w:rsidRPr="00D5398C">
              <w:rPr>
                <w:lang w:val="ru-RU"/>
              </w:rPr>
              <w:t xml:space="preserve"> </w:t>
            </w:r>
            <w:r w:rsidR="00F803B6" w:rsidRPr="00D5398C">
              <w:rPr>
                <w:lang w:val="ru-RU"/>
              </w:rPr>
              <w:t>прогрессу в реализации Направлений деятельности Всемирной встречи на высшем уровне по вопросам информационного общества (ВВУИО) и Повестки дня в области устойчивого развития на период до 2030 года.</w:t>
            </w:r>
          </w:p>
        </w:tc>
      </w:tr>
      <w:tr w:rsidR="00931298" w:rsidRPr="00D5398C" w14:paraId="74CEA061" w14:textId="77777777" w:rsidTr="00AA093B">
        <w:trPr>
          <w:cantSplit/>
        </w:trPr>
        <w:tc>
          <w:tcPr>
            <w:tcW w:w="1957" w:type="dxa"/>
          </w:tcPr>
          <w:p w14:paraId="41F1828A" w14:textId="77777777" w:rsidR="00931298" w:rsidRPr="00D5398C" w:rsidRDefault="00B357A0" w:rsidP="00E45467">
            <w:pPr>
              <w:rPr>
                <w:b/>
                <w:bCs/>
                <w:szCs w:val="24"/>
              </w:rPr>
            </w:pPr>
            <w:r w:rsidRPr="00D5398C">
              <w:rPr>
                <w:b/>
                <w:bCs/>
              </w:rPr>
              <w:t>Для контактов</w:t>
            </w:r>
            <w:r w:rsidRPr="00D5398C">
              <w:t>:</w:t>
            </w:r>
          </w:p>
        </w:tc>
        <w:tc>
          <w:tcPr>
            <w:tcW w:w="3805" w:type="dxa"/>
          </w:tcPr>
          <w:p w14:paraId="6929CB8F" w14:textId="4E1DC714" w:rsidR="00FE5494" w:rsidRPr="00D5398C" w:rsidRDefault="00902646" w:rsidP="00902646">
            <w:pPr>
              <w:pStyle w:val="Abstract"/>
              <w:rPr>
                <w:lang w:val="ru-RU"/>
              </w:rPr>
            </w:pPr>
            <w:r w:rsidRPr="00D5398C">
              <w:rPr>
                <w:lang w:val="ru-RU"/>
              </w:rPr>
              <w:t xml:space="preserve">Айзек </w:t>
            </w:r>
            <w:r w:rsidR="00BC4A07" w:rsidRPr="00D5398C">
              <w:rPr>
                <w:lang w:val="ru-RU"/>
              </w:rPr>
              <w:t xml:space="preserve">Боатенг </w:t>
            </w:r>
            <w:r w:rsidR="00AA093B" w:rsidRPr="00D5398C">
              <w:rPr>
                <w:lang w:val="ru-RU"/>
              </w:rPr>
              <w:t xml:space="preserve">(Isaac Boateng) </w:t>
            </w:r>
            <w:r w:rsidR="00AA093B" w:rsidRPr="00D5398C">
              <w:rPr>
                <w:lang w:val="ru-RU"/>
              </w:rPr>
              <w:br/>
            </w:r>
            <w:r w:rsidRPr="00D5398C">
              <w:rPr>
                <w:lang w:val="ru-RU"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03732E94" w14:textId="54506042" w:rsidR="00931298" w:rsidRPr="00D5398C" w:rsidRDefault="00B357A0" w:rsidP="00E45467">
            <w:r w:rsidRPr="00D5398C">
              <w:rPr>
                <w:szCs w:val="22"/>
              </w:rPr>
              <w:t>Эл. почта</w:t>
            </w:r>
            <w:r w:rsidR="00E610A4" w:rsidRPr="00D5398C">
              <w:t>:</w:t>
            </w:r>
            <w:r w:rsidR="00333E7D" w:rsidRPr="00D5398C">
              <w:t xml:space="preserve"> </w:t>
            </w:r>
            <w:hyperlink r:id="rId14" w:history="1">
              <w:r w:rsidR="00AA093B" w:rsidRPr="00D5398C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086AF9C8" w14:textId="27C792D4" w:rsidR="00AA093B" w:rsidRPr="00D5398C" w:rsidRDefault="00AA093B" w:rsidP="00AA093B">
      <w:pPr>
        <w:pStyle w:val="Headingb"/>
        <w:rPr>
          <w:lang w:val="ru-RU"/>
        </w:rPr>
      </w:pPr>
      <w:r w:rsidRPr="00D5398C">
        <w:rPr>
          <w:lang w:val="ru-RU"/>
        </w:rPr>
        <w:t>Введение</w:t>
      </w:r>
    </w:p>
    <w:p w14:paraId="0AFD2D20" w14:textId="38165BA0" w:rsidR="00AA093B" w:rsidRPr="00D5398C" w:rsidRDefault="0001288C" w:rsidP="00AA093B">
      <w:r w:rsidRPr="00D5398C">
        <w:t xml:space="preserve">Предоставление услуг в государственном и частном секторах может быть </w:t>
      </w:r>
      <w:r w:rsidR="00FB2851" w:rsidRPr="00D5398C">
        <w:t>трансформировано</w:t>
      </w:r>
      <w:r w:rsidRPr="00D5398C">
        <w:t xml:space="preserve"> посредством цифровизации и технологических достижений. Однако, цифровые решения</w:t>
      </w:r>
      <w:r w:rsidR="005E62C4" w:rsidRPr="00D5398C">
        <w:t xml:space="preserve"> общего пользования</w:t>
      </w:r>
      <w:r w:rsidRPr="00D5398C">
        <w:t xml:space="preserve">, разработанные обособленно, могут привести к неоптимальному использованию ресурсов и упущенной выгоде. В последнее время в ряде стран был принят подход, основанный на создании цифровой инфраструктуры общего пользования (DPI), который, в свою очередь, предусматривает создание общей технологической инфраструктуры, которая является совместимой и основана на открытых стандартах. </w:t>
      </w:r>
      <w:r w:rsidR="00FE2C90" w:rsidRPr="00D5398C">
        <w:t xml:space="preserve">Такой подход создает условия для роста конкуренции, инноваций и открытости при разработке цифровых решений в сфере государственных услуг. </w:t>
      </w:r>
      <w:r w:rsidR="00795C4A" w:rsidRPr="00D5398C">
        <w:t xml:space="preserve">Он обеспечивает совместимость данных </w:t>
      </w:r>
      <w:r w:rsidR="00DA4A71" w:rsidRPr="00D5398C">
        <w:t xml:space="preserve">на основе </w:t>
      </w:r>
      <w:r w:rsidR="005E62C4" w:rsidRPr="00D5398C">
        <w:t xml:space="preserve">необходимости </w:t>
      </w:r>
      <w:r w:rsidR="00DA4A71" w:rsidRPr="00D5398C">
        <w:t>согласия</w:t>
      </w:r>
      <w:r w:rsidR="00795C4A" w:rsidRPr="00D5398C">
        <w:t>.</w:t>
      </w:r>
      <w:r w:rsidR="00FE2C90" w:rsidRPr="00D5398C">
        <w:t xml:space="preserve"> </w:t>
      </w:r>
      <w:r w:rsidR="00795C4A" w:rsidRPr="00D5398C">
        <w:t>Крайне важно, чтобы DPI были разработаны таким образом, чтобы они предусматривали приоритетность основанных на правах инклюзивных подходов для пользователей, включая защиту личных данных и конфиденциальность.</w:t>
      </w:r>
      <w:r w:rsidR="0086227D" w:rsidRPr="00D5398C">
        <w:t xml:space="preserve"> </w:t>
      </w:r>
      <w:r w:rsidR="00F803B6" w:rsidRPr="00D5398C">
        <w:t xml:space="preserve">Применение подхода </w:t>
      </w:r>
      <w:r w:rsidR="00795C4A" w:rsidRPr="00D5398C">
        <w:t xml:space="preserve">на основе </w:t>
      </w:r>
      <w:r w:rsidR="00F803B6" w:rsidRPr="00D5398C">
        <w:t xml:space="preserve">DPI может принести пользу </w:t>
      </w:r>
      <w:r w:rsidR="00795C4A" w:rsidRPr="00D5398C">
        <w:t xml:space="preserve">сфере </w:t>
      </w:r>
      <w:r w:rsidR="00F803B6" w:rsidRPr="00D5398C">
        <w:t>государственны</w:t>
      </w:r>
      <w:r w:rsidR="00795C4A" w:rsidRPr="00D5398C">
        <w:t>х услуг</w:t>
      </w:r>
      <w:r w:rsidR="00F803B6" w:rsidRPr="00D5398C">
        <w:t xml:space="preserve"> в целом ряде областей, таких как цифровая идентификация, системы обмена данными на основе согласия, цифровые платежные системы, медицинские карты, </w:t>
      </w:r>
      <w:r w:rsidR="00DA4A71" w:rsidRPr="00D5398C">
        <w:t xml:space="preserve">выдача </w:t>
      </w:r>
      <w:r w:rsidR="00F803B6" w:rsidRPr="00D5398C">
        <w:t>водител</w:t>
      </w:r>
      <w:r w:rsidR="00DA4A71" w:rsidRPr="00D5398C">
        <w:t>ьских прав</w:t>
      </w:r>
      <w:r w:rsidR="00F803B6" w:rsidRPr="00D5398C">
        <w:t xml:space="preserve"> и </w:t>
      </w:r>
      <w:r w:rsidR="00DA4A71" w:rsidRPr="00D5398C">
        <w:t xml:space="preserve">регистрация </w:t>
      </w:r>
      <w:r w:rsidR="00F803B6" w:rsidRPr="00D5398C">
        <w:t>транспортных средств, образование, судебная система, сельское хозяйство и т.</w:t>
      </w:r>
      <w:r w:rsidR="008114ED" w:rsidRPr="00D5398C">
        <w:t> </w:t>
      </w:r>
      <w:r w:rsidR="00F803B6" w:rsidRPr="00D5398C">
        <w:t xml:space="preserve">д. </w:t>
      </w:r>
      <w:r w:rsidR="00DA4A71" w:rsidRPr="00D5398C">
        <w:t xml:space="preserve">Цифровая идентичность оказывает влияние </w:t>
      </w:r>
      <w:r w:rsidR="00F803B6" w:rsidRPr="00D5398C">
        <w:t xml:space="preserve">на все эти ключевые сектора, </w:t>
      </w:r>
      <w:r w:rsidR="00DA4A71" w:rsidRPr="00D5398C">
        <w:t>в особенности,</w:t>
      </w:r>
      <w:r w:rsidR="00F803B6" w:rsidRPr="00D5398C">
        <w:t xml:space="preserve"> на скорость транзакций. </w:t>
      </w:r>
      <w:r w:rsidR="00E169C3" w:rsidRPr="00D5398C">
        <w:t xml:space="preserve">Цифровые </w:t>
      </w:r>
      <w:r w:rsidR="00DA4A71" w:rsidRPr="00D5398C">
        <w:t>кошельки</w:t>
      </w:r>
      <w:r w:rsidR="00E169C3" w:rsidRPr="00D5398C">
        <w:t xml:space="preserve"> также позволят людям осуществлять сделки в режиме онлайн, при этом им предается контроль над тем, какой информацией они могут обмениваться и с кем.</w:t>
      </w:r>
    </w:p>
    <w:p w14:paraId="2DB8D255" w14:textId="32988831" w:rsidR="00AA093B" w:rsidRPr="00D5398C" w:rsidRDefault="00AA093B" w:rsidP="00AA093B">
      <w:pPr>
        <w:pStyle w:val="Headingb"/>
        <w:rPr>
          <w:lang w:val="ru-RU"/>
        </w:rPr>
      </w:pPr>
      <w:r w:rsidRPr="00D5398C">
        <w:rPr>
          <w:lang w:val="ru-RU"/>
        </w:rPr>
        <w:lastRenderedPageBreak/>
        <w:t>Предложение</w:t>
      </w:r>
    </w:p>
    <w:p w14:paraId="35EBA76B" w14:textId="5F4DE8CA" w:rsidR="00A52D1A" w:rsidRPr="00D5398C" w:rsidRDefault="0086227D" w:rsidP="00AA093B">
      <w:r w:rsidRPr="00D5398C">
        <w:t xml:space="preserve">Данный проект </w:t>
      </w:r>
      <w:r w:rsidR="005E62C4" w:rsidRPr="00D5398C">
        <w:t xml:space="preserve">Резолюции </w:t>
      </w:r>
      <w:r w:rsidRPr="00D5398C">
        <w:t>представлен с учетом Стратегического плана МСЭ на 2024</w:t>
      </w:r>
      <w:r w:rsidR="005E62C4" w:rsidRPr="00D5398C">
        <w:t>−</w:t>
      </w:r>
      <w:r w:rsidRPr="00D5398C">
        <w:t xml:space="preserve">2027 годы, в котором устойчивая цифровая трансформация определена в качестве </w:t>
      </w:r>
      <w:r w:rsidR="005E62C4" w:rsidRPr="00D5398C">
        <w:t xml:space="preserve">одной из </w:t>
      </w:r>
      <w:r w:rsidRPr="00D5398C">
        <w:t>стратегическ</w:t>
      </w:r>
      <w:r w:rsidR="005E62C4" w:rsidRPr="00D5398C">
        <w:t>их</w:t>
      </w:r>
      <w:r w:rsidRPr="00D5398C">
        <w:t xml:space="preserve"> цел</w:t>
      </w:r>
      <w:r w:rsidR="005E62C4" w:rsidRPr="00D5398C">
        <w:t>ей</w:t>
      </w:r>
      <w:r w:rsidRPr="00D5398C">
        <w:t xml:space="preserve"> Союза для содействия прогрессу в реализации Направлений деятельности Всемирной встречи на высшем уровне по вопросам информационного общества (ВВУИО) и Повестки дня в области устойчивого развития на период до 2030 года.</w:t>
      </w:r>
    </w:p>
    <w:p w14:paraId="2C828937" w14:textId="77777777" w:rsidR="00461C79" w:rsidRPr="00D5398C" w:rsidRDefault="009F4801" w:rsidP="00781A83">
      <w:r w:rsidRPr="00D5398C">
        <w:br w:type="page"/>
      </w:r>
    </w:p>
    <w:p w14:paraId="26D6D88D" w14:textId="77777777" w:rsidR="00C87A93" w:rsidRPr="00D5398C" w:rsidRDefault="003A0A5E">
      <w:pPr>
        <w:pStyle w:val="Proposal"/>
      </w:pPr>
      <w:r w:rsidRPr="00D5398C">
        <w:lastRenderedPageBreak/>
        <w:t>ADD</w:t>
      </w:r>
      <w:r w:rsidRPr="00D5398C">
        <w:tab/>
        <w:t>ATU/35A33/1</w:t>
      </w:r>
    </w:p>
    <w:p w14:paraId="2ED4366D" w14:textId="5A962BDE" w:rsidR="00AA093B" w:rsidRPr="00D5398C" w:rsidRDefault="00AA093B" w:rsidP="00AA093B">
      <w:pPr>
        <w:pStyle w:val="ResNo"/>
      </w:pPr>
      <w:r w:rsidRPr="00D5398C">
        <w:t>ПРОЕКТ НОВОЙ РЕЗОЛЮЦИИ</w:t>
      </w:r>
      <w:r w:rsidR="00287EE1" w:rsidRPr="00D5398C">
        <w:t xml:space="preserve"> </w:t>
      </w:r>
      <w:r w:rsidR="00FC7C79" w:rsidRPr="00D5398C">
        <w:t>[ATU-DPI]</w:t>
      </w:r>
      <w:r w:rsidRPr="00D5398C">
        <w:t xml:space="preserve"> (Нью-Дели, 2024 г.)</w:t>
      </w:r>
    </w:p>
    <w:p w14:paraId="4314BE42" w14:textId="7A656D31" w:rsidR="00902646" w:rsidRPr="00D5398C" w:rsidRDefault="00902646" w:rsidP="00FB2851">
      <w:pPr>
        <w:pStyle w:val="Restitle"/>
      </w:pPr>
      <w:r w:rsidRPr="00D5398C">
        <w:t xml:space="preserve">Расширение деятельности по стандартизации цифровой инфраструктуры </w:t>
      </w:r>
      <w:r w:rsidR="005E62C4" w:rsidRPr="00D5398C">
        <w:t xml:space="preserve">общего пользования </w:t>
      </w:r>
      <w:r w:rsidRPr="00D5398C">
        <w:t>в целях содействия цифровой трансформации в развивающихся странах</w:t>
      </w:r>
    </w:p>
    <w:p w14:paraId="000C42F5" w14:textId="705EDD42" w:rsidR="00AA093B" w:rsidRPr="00D5398C" w:rsidRDefault="00AA093B" w:rsidP="00874C58">
      <w:pPr>
        <w:pStyle w:val="Resref"/>
      </w:pPr>
      <w:r w:rsidRPr="00D5398C">
        <w:t>(Нью-Дели, 2024 г.)</w:t>
      </w:r>
    </w:p>
    <w:p w14:paraId="7171520B" w14:textId="521BCECA" w:rsidR="00AA093B" w:rsidRPr="00D5398C" w:rsidRDefault="00AA093B" w:rsidP="00AA093B">
      <w:pPr>
        <w:pStyle w:val="Normalaftertitle"/>
      </w:pPr>
      <w:r w:rsidRPr="00D5398C">
        <w:rPr>
          <w:szCs w:val="22"/>
        </w:rPr>
        <w:t xml:space="preserve">Всемирная ассамблея по стандартизации электросвязи </w:t>
      </w:r>
      <w:r w:rsidRPr="00D5398C">
        <w:t>(Нью-Дели, 2024 г.),</w:t>
      </w:r>
    </w:p>
    <w:p w14:paraId="2365742C" w14:textId="69A2217D" w:rsidR="00AA093B" w:rsidRPr="00D5398C" w:rsidRDefault="00AA093B" w:rsidP="00AA093B">
      <w:pPr>
        <w:pStyle w:val="Call"/>
      </w:pPr>
      <w:r w:rsidRPr="00D5398C">
        <w:t>напоминая</w:t>
      </w:r>
    </w:p>
    <w:p w14:paraId="06268D23" w14:textId="3455AEA4" w:rsidR="00AA093B" w:rsidRPr="00D5398C" w:rsidRDefault="00AA093B" w:rsidP="00AA093B">
      <w:r w:rsidRPr="00D5398C">
        <w:rPr>
          <w:i/>
          <w:iCs/>
        </w:rPr>
        <w:t>a)</w:t>
      </w:r>
      <w:r w:rsidRPr="00D5398C">
        <w:tab/>
      </w:r>
      <w:r w:rsidR="00FB2851" w:rsidRPr="00D5398C">
        <w:rPr>
          <w:szCs w:val="22"/>
        </w:rPr>
        <w:t>о пункте 13 Статьи 1 Устава МСЭ, в котором устанавливается, что "Союз, в частности, облегчает международную стандартизацию электросвязи с удовлетворительным качеством обслуживания"</w:t>
      </w:r>
      <w:r w:rsidRPr="00D5398C">
        <w:rPr>
          <w:szCs w:val="22"/>
        </w:rPr>
        <w:t>;</w:t>
      </w:r>
    </w:p>
    <w:p w14:paraId="10012054" w14:textId="126EB908" w:rsidR="00AA093B" w:rsidRPr="00D5398C" w:rsidRDefault="00AA093B" w:rsidP="00AA093B">
      <w:r w:rsidRPr="00D5398C">
        <w:rPr>
          <w:i/>
          <w:iCs/>
        </w:rPr>
        <w:t>b)</w:t>
      </w:r>
      <w:r w:rsidRPr="00D5398C">
        <w:tab/>
      </w:r>
      <w:r w:rsidR="0036720F" w:rsidRPr="00D5398C">
        <w:rPr>
          <w:szCs w:val="22"/>
        </w:rPr>
        <w:t>что в</w:t>
      </w:r>
      <w:r w:rsidRPr="00D5398C">
        <w:rPr>
          <w:szCs w:val="22"/>
        </w:rPr>
        <w:t xml:space="preserve"> </w:t>
      </w:r>
      <w:r w:rsidR="0036720F" w:rsidRPr="00D5398C">
        <w:rPr>
          <w:szCs w:val="22"/>
        </w:rPr>
        <w:t>Статье 17 Устава указывается, что функции Сектора стандартизации электросвязи МСЭ (МСЭ-Т), "с учетом особых интересов развивающихся стран, заключаются в выполнении целей Союза"</w:t>
      </w:r>
      <w:r w:rsidRPr="00D5398C">
        <w:rPr>
          <w:szCs w:val="22"/>
        </w:rPr>
        <w:t>;</w:t>
      </w:r>
    </w:p>
    <w:p w14:paraId="1641FB3A" w14:textId="5F361C86" w:rsidR="00AA093B" w:rsidRPr="00D5398C" w:rsidRDefault="00AA093B" w:rsidP="00AA093B">
      <w:r w:rsidRPr="00D5398C">
        <w:rPr>
          <w:i/>
          <w:iCs/>
        </w:rPr>
        <w:t>c)</w:t>
      </w:r>
      <w:r w:rsidRPr="00D5398C">
        <w:tab/>
      </w:r>
      <w:r w:rsidR="00874C58" w:rsidRPr="00D5398C">
        <w:t xml:space="preserve">что в </w:t>
      </w:r>
      <w:r w:rsidR="0036720F" w:rsidRPr="00D5398C">
        <w:rPr>
          <w:szCs w:val="22"/>
        </w:rPr>
        <w:t>Стратегическ</w:t>
      </w:r>
      <w:r w:rsidR="00874C58" w:rsidRPr="00D5398C">
        <w:rPr>
          <w:szCs w:val="22"/>
        </w:rPr>
        <w:t>ом</w:t>
      </w:r>
      <w:r w:rsidR="0036720F" w:rsidRPr="00D5398C">
        <w:rPr>
          <w:szCs w:val="22"/>
        </w:rPr>
        <w:t xml:space="preserve"> план</w:t>
      </w:r>
      <w:r w:rsidR="00874C58" w:rsidRPr="00D5398C">
        <w:rPr>
          <w:szCs w:val="22"/>
        </w:rPr>
        <w:t>е</w:t>
      </w:r>
      <w:r w:rsidR="0036720F" w:rsidRPr="00D5398C">
        <w:rPr>
          <w:szCs w:val="22"/>
        </w:rPr>
        <w:t xml:space="preserve"> </w:t>
      </w:r>
      <w:r w:rsidR="00874C58" w:rsidRPr="00D5398C">
        <w:rPr>
          <w:szCs w:val="22"/>
        </w:rPr>
        <w:t>МСЭ</w:t>
      </w:r>
      <w:r w:rsidR="0036720F" w:rsidRPr="00D5398C">
        <w:rPr>
          <w:szCs w:val="22"/>
        </w:rPr>
        <w:t xml:space="preserve"> на 2024−2027 годы, утвержденн</w:t>
      </w:r>
      <w:r w:rsidR="00874C58" w:rsidRPr="00D5398C">
        <w:rPr>
          <w:szCs w:val="22"/>
        </w:rPr>
        <w:t>ом</w:t>
      </w:r>
      <w:r w:rsidR="0036720F" w:rsidRPr="00D5398C">
        <w:rPr>
          <w:szCs w:val="22"/>
        </w:rPr>
        <w:t xml:space="preserve"> посредством Резолюции</w:t>
      </w:r>
      <w:r w:rsidR="00D5398C">
        <w:rPr>
          <w:szCs w:val="22"/>
        </w:rPr>
        <w:t> </w:t>
      </w:r>
      <w:r w:rsidRPr="00D5398C">
        <w:rPr>
          <w:szCs w:val="22"/>
        </w:rPr>
        <w:t xml:space="preserve">71 (Пересм Бухарест, 2022 г.) </w:t>
      </w:r>
      <w:r w:rsidR="0036720F" w:rsidRPr="00D5398C">
        <w:rPr>
          <w:szCs w:val="22"/>
        </w:rPr>
        <w:t>Полномочной конференции</w:t>
      </w:r>
      <w:r w:rsidRPr="00D5398C">
        <w:rPr>
          <w:szCs w:val="22"/>
        </w:rPr>
        <w:t xml:space="preserve">, </w:t>
      </w:r>
      <w:r w:rsidR="0036720F" w:rsidRPr="00D5398C">
        <w:rPr>
          <w:szCs w:val="22"/>
        </w:rPr>
        <w:t>указ</w:t>
      </w:r>
      <w:r w:rsidR="00874C58" w:rsidRPr="00D5398C">
        <w:rPr>
          <w:szCs w:val="22"/>
        </w:rPr>
        <w:t>ано</w:t>
      </w:r>
      <w:r w:rsidR="0036720F" w:rsidRPr="00D5398C">
        <w:rPr>
          <w:szCs w:val="22"/>
        </w:rPr>
        <w:t>, что</w:t>
      </w:r>
      <w:r w:rsidRPr="00D5398C">
        <w:rPr>
          <w:szCs w:val="22"/>
        </w:rPr>
        <w:t xml:space="preserve"> </w:t>
      </w:r>
      <w:r w:rsidR="0036720F" w:rsidRPr="00D5398C">
        <w:rPr>
          <w:szCs w:val="22"/>
        </w:rPr>
        <w:t>устойчивая цифровая трансформация является</w:t>
      </w:r>
      <w:r w:rsidRPr="00D5398C">
        <w:rPr>
          <w:szCs w:val="22"/>
        </w:rPr>
        <w:t xml:space="preserve"> </w:t>
      </w:r>
      <w:r w:rsidR="00874C58" w:rsidRPr="00D5398C">
        <w:rPr>
          <w:szCs w:val="22"/>
        </w:rPr>
        <w:t>одной из с</w:t>
      </w:r>
      <w:r w:rsidR="0036720F" w:rsidRPr="00D5398C">
        <w:rPr>
          <w:szCs w:val="22"/>
        </w:rPr>
        <w:t>тратегическ</w:t>
      </w:r>
      <w:r w:rsidR="00874C58" w:rsidRPr="00D5398C">
        <w:rPr>
          <w:szCs w:val="22"/>
        </w:rPr>
        <w:t>их</w:t>
      </w:r>
      <w:r w:rsidR="0036720F" w:rsidRPr="00D5398C">
        <w:rPr>
          <w:szCs w:val="22"/>
        </w:rPr>
        <w:t xml:space="preserve"> цел</w:t>
      </w:r>
      <w:r w:rsidR="00874C58" w:rsidRPr="00D5398C">
        <w:rPr>
          <w:szCs w:val="22"/>
        </w:rPr>
        <w:t xml:space="preserve">ей Союза </w:t>
      </w:r>
      <w:r w:rsidR="0036720F" w:rsidRPr="00D5398C">
        <w:rPr>
          <w:szCs w:val="22"/>
        </w:rPr>
        <w:t>в содействии прогрессу в реализации Направлений деятельности Всемирной встречи на высшем уровне по вопросам информационного общества (ВВУИО) и Повестки дня в области устойчивого развития на период до 2030 года</w:t>
      </w:r>
      <w:r w:rsidRPr="00D5398C">
        <w:t>;</w:t>
      </w:r>
    </w:p>
    <w:p w14:paraId="7C4FA932" w14:textId="077D3C67" w:rsidR="00AA093B" w:rsidRPr="00D5398C" w:rsidRDefault="00AA093B" w:rsidP="00AA093B">
      <w:pPr>
        <w:rPr>
          <w:szCs w:val="22"/>
        </w:rPr>
      </w:pPr>
      <w:r w:rsidRPr="00D5398C">
        <w:rPr>
          <w:i/>
          <w:iCs/>
        </w:rPr>
        <w:t>d)</w:t>
      </w:r>
      <w:r w:rsidRPr="00D5398C">
        <w:tab/>
      </w:r>
      <w:r w:rsidR="00874C58" w:rsidRPr="00D5398C">
        <w:t xml:space="preserve">о </w:t>
      </w:r>
      <w:r w:rsidR="002E1BC9" w:rsidRPr="00D5398C">
        <w:t>Резолюци</w:t>
      </w:r>
      <w:r w:rsidR="00874C58" w:rsidRPr="00D5398C">
        <w:t>и</w:t>
      </w:r>
      <w:r w:rsidRPr="00D5398C">
        <w:t xml:space="preserve"> 1353 (Женева, 2012 г.) </w:t>
      </w:r>
      <w:r w:rsidR="00951F72" w:rsidRPr="00D5398C">
        <w:rPr>
          <w:szCs w:val="22"/>
        </w:rPr>
        <w:t>Совета</w:t>
      </w:r>
      <w:r w:rsidRPr="00D5398C">
        <w:rPr>
          <w:szCs w:val="22"/>
        </w:rPr>
        <w:t xml:space="preserve"> </w:t>
      </w:r>
      <w:r w:rsidR="003A0A5E" w:rsidRPr="00D5398C">
        <w:rPr>
          <w:szCs w:val="22"/>
        </w:rPr>
        <w:t>МСЭ</w:t>
      </w:r>
      <w:r w:rsidRPr="00D5398C">
        <w:rPr>
          <w:szCs w:val="22"/>
        </w:rPr>
        <w:t xml:space="preserve">, </w:t>
      </w:r>
      <w:r w:rsidR="002E1BC9" w:rsidRPr="00D5398C">
        <w:rPr>
          <w:szCs w:val="22"/>
        </w:rPr>
        <w:t>в которой признается, что электросвязь и ИКТ являются существенными компонентами для развитых и развивающихся стран в том, что касается обеспечения устойчивого развития, и в которой поручается Генеральному секретарю, во взаимодействии с Директорами Бюро, определить новые виды деятельности, которые должен осуществлять МСЭ для содействия развивающимся странам в достижении устойчивого развития благодаря электросвязи и ИКТ</w:t>
      </w:r>
      <w:r w:rsidRPr="00D5398C">
        <w:rPr>
          <w:szCs w:val="22"/>
        </w:rPr>
        <w:t>,</w:t>
      </w:r>
    </w:p>
    <w:p w14:paraId="171AEE29" w14:textId="47386664" w:rsidR="00AA093B" w:rsidRPr="00D5398C" w:rsidRDefault="00AA093B" w:rsidP="00AA093B">
      <w:pPr>
        <w:pStyle w:val="Call"/>
      </w:pPr>
      <w:r w:rsidRPr="00D5398C">
        <w:t>признавая</w:t>
      </w:r>
      <w:r w:rsidR="00951F72" w:rsidRPr="00D5398C">
        <w:rPr>
          <w:i w:val="0"/>
          <w:iCs/>
        </w:rPr>
        <w:t>,</w:t>
      </w:r>
    </w:p>
    <w:p w14:paraId="7F2F4C45" w14:textId="4830702A" w:rsidR="00AA093B" w:rsidRPr="00D5398C" w:rsidRDefault="00AA093B" w:rsidP="00AA093B">
      <w:pPr>
        <w:rPr>
          <w:szCs w:val="22"/>
        </w:rPr>
      </w:pPr>
      <w:r w:rsidRPr="00D5398C">
        <w:rPr>
          <w:i/>
          <w:iCs/>
        </w:rPr>
        <w:t>a)</w:t>
      </w:r>
      <w:r w:rsidRPr="00D5398C">
        <w:tab/>
      </w:r>
      <w:r w:rsidR="001A09CF" w:rsidRPr="00D5398C">
        <w:t xml:space="preserve">что 17-я </w:t>
      </w:r>
      <w:r w:rsidR="001A09CF" w:rsidRPr="00D5398C">
        <w:rPr>
          <w:szCs w:val="22"/>
        </w:rPr>
        <w:t>Исследовательская комиссия</w:t>
      </w:r>
      <w:r w:rsidRPr="00D5398C">
        <w:rPr>
          <w:szCs w:val="22"/>
        </w:rPr>
        <w:t xml:space="preserve"> </w:t>
      </w:r>
      <w:r w:rsidR="003A0A5E" w:rsidRPr="00D5398C">
        <w:rPr>
          <w:szCs w:val="22"/>
        </w:rPr>
        <w:t>МСЭ</w:t>
      </w:r>
      <w:r w:rsidRPr="00D5398C">
        <w:rPr>
          <w:szCs w:val="22"/>
        </w:rPr>
        <w:t xml:space="preserve">-T </w:t>
      </w:r>
      <w:r w:rsidR="001A09CF" w:rsidRPr="00D5398C">
        <w:rPr>
          <w:szCs w:val="22"/>
        </w:rPr>
        <w:t xml:space="preserve">принимала участие в изучении некоторых компонентов цифровой инфраструктуры общего пользования в рамках </w:t>
      </w:r>
      <w:r w:rsidR="00423E95" w:rsidRPr="00D5398C">
        <w:rPr>
          <w:szCs w:val="22"/>
        </w:rPr>
        <w:t xml:space="preserve">работы Группы Докладчика </w:t>
      </w:r>
      <w:r w:rsidR="001A09CF" w:rsidRPr="00D5398C">
        <w:rPr>
          <w:szCs w:val="22"/>
        </w:rPr>
        <w:t>по вопросам управления идентичностью</w:t>
      </w:r>
      <w:r w:rsidR="00951F72" w:rsidRPr="00D5398C">
        <w:rPr>
          <w:szCs w:val="22"/>
        </w:rPr>
        <w:t>,</w:t>
      </w:r>
    </w:p>
    <w:p w14:paraId="548DE7CE" w14:textId="4F381CB7" w:rsidR="00AA093B" w:rsidRPr="00D5398C" w:rsidRDefault="00AA093B" w:rsidP="00AA093B">
      <w:pPr>
        <w:pStyle w:val="Call"/>
      </w:pPr>
      <w:r w:rsidRPr="00D5398C">
        <w:t>учитывая</w:t>
      </w:r>
      <w:r w:rsidR="00951F72" w:rsidRPr="00D5398C">
        <w:rPr>
          <w:i w:val="0"/>
          <w:iCs/>
        </w:rPr>
        <w:t>,</w:t>
      </w:r>
    </w:p>
    <w:p w14:paraId="6302A3AC" w14:textId="3E62E3D5" w:rsidR="00AA093B" w:rsidRPr="00D5398C" w:rsidRDefault="00AA093B" w:rsidP="00AA093B">
      <w:r w:rsidRPr="00D5398C">
        <w:rPr>
          <w:i/>
          <w:iCs/>
        </w:rPr>
        <w:t>a)</w:t>
      </w:r>
      <w:r w:rsidRPr="00D5398C">
        <w:tab/>
      </w:r>
      <w:r w:rsidR="0067528F" w:rsidRPr="00D5398C">
        <w:t xml:space="preserve">что ускорение </w:t>
      </w:r>
      <w:r w:rsidR="0067528F" w:rsidRPr="00D5398C">
        <w:rPr>
          <w:szCs w:val="22"/>
        </w:rPr>
        <w:t>прогресса по достижению</w:t>
      </w:r>
      <w:r w:rsidRPr="00D5398C">
        <w:rPr>
          <w:szCs w:val="22"/>
        </w:rPr>
        <w:t xml:space="preserve"> </w:t>
      </w:r>
      <w:r w:rsidR="001A09CF" w:rsidRPr="00D5398C">
        <w:rPr>
          <w:szCs w:val="22"/>
        </w:rPr>
        <w:t>Целей в области устойчивого развития (ЦУР) </w:t>
      </w:r>
      <w:r w:rsidR="0067528F" w:rsidRPr="00D5398C">
        <w:rPr>
          <w:szCs w:val="22"/>
        </w:rPr>
        <w:t>требует обеспечить</w:t>
      </w:r>
      <w:r w:rsidRPr="00D5398C">
        <w:rPr>
          <w:szCs w:val="22"/>
        </w:rPr>
        <w:t xml:space="preserve"> </w:t>
      </w:r>
      <w:r w:rsidR="0067528F" w:rsidRPr="00D5398C">
        <w:rPr>
          <w:szCs w:val="22"/>
        </w:rPr>
        <w:t>открытую для всех цифровую трансформацию</w:t>
      </w:r>
      <w:r w:rsidRPr="00D5398C">
        <w:rPr>
          <w:szCs w:val="22"/>
        </w:rPr>
        <w:t xml:space="preserve">, </w:t>
      </w:r>
      <w:r w:rsidR="0067528F" w:rsidRPr="00D5398C">
        <w:rPr>
          <w:szCs w:val="22"/>
        </w:rPr>
        <w:t>и что</w:t>
      </w:r>
      <w:r w:rsidRPr="00D5398C">
        <w:rPr>
          <w:szCs w:val="22"/>
        </w:rPr>
        <w:t xml:space="preserve"> </w:t>
      </w:r>
      <w:r w:rsidR="0067528F" w:rsidRPr="00D5398C">
        <w:rPr>
          <w:szCs w:val="22"/>
        </w:rPr>
        <w:t xml:space="preserve">цифровая инфраструктура общего пользования </w:t>
      </w:r>
      <w:r w:rsidRPr="00D5398C">
        <w:rPr>
          <w:szCs w:val="22"/>
        </w:rPr>
        <w:t xml:space="preserve">(DPI) </w:t>
      </w:r>
      <w:r w:rsidR="0067528F" w:rsidRPr="00D5398C">
        <w:rPr>
          <w:szCs w:val="22"/>
        </w:rPr>
        <w:t>может обеспечить максимальное использование возможностей для цифровизации и содействовать достижению ЦУР</w:t>
      </w:r>
      <w:r w:rsidRPr="00D5398C">
        <w:t>;</w:t>
      </w:r>
    </w:p>
    <w:p w14:paraId="774DF584" w14:textId="4CC5E49D" w:rsidR="00AA093B" w:rsidRPr="00D5398C" w:rsidRDefault="00AA093B" w:rsidP="007955AD">
      <w:pPr>
        <w:rPr>
          <w:szCs w:val="22"/>
        </w:rPr>
      </w:pPr>
      <w:r w:rsidRPr="00D5398C">
        <w:rPr>
          <w:i/>
          <w:iCs/>
        </w:rPr>
        <w:t>b)</w:t>
      </w:r>
      <w:r w:rsidRPr="00D5398C">
        <w:tab/>
      </w:r>
      <w:r w:rsidR="0067528F" w:rsidRPr="00D5398C">
        <w:t>что</w:t>
      </w:r>
      <w:r w:rsidRPr="00D5398C">
        <w:t xml:space="preserve"> </w:t>
      </w:r>
      <w:r w:rsidR="00C20194" w:rsidRPr="00D5398C">
        <w:rPr>
          <w:szCs w:val="22"/>
        </w:rPr>
        <w:t xml:space="preserve">благодаря </w:t>
      </w:r>
      <w:r w:rsidR="007955AD" w:rsidRPr="00D5398C">
        <w:rPr>
          <w:szCs w:val="22"/>
        </w:rPr>
        <w:t>появлени</w:t>
      </w:r>
      <w:r w:rsidR="00C20194" w:rsidRPr="00D5398C">
        <w:rPr>
          <w:szCs w:val="22"/>
        </w:rPr>
        <w:t>ю</w:t>
      </w:r>
      <w:r w:rsidR="007955AD" w:rsidRPr="00D5398C">
        <w:rPr>
          <w:szCs w:val="22"/>
        </w:rPr>
        <w:t xml:space="preserve"> ключевых технологий, создающих возможности для внедрения новых услуг и приложений и содействующих построению информационного общества, </w:t>
      </w:r>
      <w:r w:rsidR="00C20194" w:rsidRPr="00D5398C">
        <w:rPr>
          <w:szCs w:val="22"/>
        </w:rPr>
        <w:t xml:space="preserve">DPI </w:t>
      </w:r>
      <w:r w:rsidR="007955AD" w:rsidRPr="00D5398C">
        <w:rPr>
          <w:szCs w:val="22"/>
        </w:rPr>
        <w:t>является ключевым фактором</w:t>
      </w:r>
      <w:r w:rsidRPr="00D5398C">
        <w:rPr>
          <w:szCs w:val="22"/>
        </w:rPr>
        <w:t xml:space="preserve"> </w:t>
      </w:r>
      <w:r w:rsidR="007955AD" w:rsidRPr="00D5398C">
        <w:rPr>
          <w:szCs w:val="22"/>
        </w:rPr>
        <w:t xml:space="preserve">обеспечения прогресса на пути к цифровой трансформации, что </w:t>
      </w:r>
      <w:r w:rsidR="00423E95" w:rsidRPr="00D5398C">
        <w:rPr>
          <w:szCs w:val="22"/>
        </w:rPr>
        <w:t>должно</w:t>
      </w:r>
      <w:r w:rsidR="007955AD" w:rsidRPr="00D5398C">
        <w:rPr>
          <w:szCs w:val="22"/>
        </w:rPr>
        <w:t xml:space="preserve"> учитываться в работе</w:t>
      </w:r>
      <w:r w:rsidRPr="00D5398C">
        <w:rPr>
          <w:szCs w:val="22"/>
        </w:rPr>
        <w:t xml:space="preserve"> </w:t>
      </w:r>
      <w:r w:rsidR="003A0A5E" w:rsidRPr="00D5398C">
        <w:rPr>
          <w:szCs w:val="22"/>
        </w:rPr>
        <w:t>МСЭ</w:t>
      </w:r>
      <w:r w:rsidRPr="00D5398C">
        <w:rPr>
          <w:szCs w:val="22"/>
        </w:rPr>
        <w:t>‑T;</w:t>
      </w:r>
    </w:p>
    <w:p w14:paraId="04D0C8B6" w14:textId="06A0DB3D" w:rsidR="00AA093B" w:rsidRPr="00D5398C" w:rsidRDefault="00AA093B" w:rsidP="007D5649">
      <w:r w:rsidRPr="00D5398C">
        <w:rPr>
          <w:i/>
          <w:iCs/>
        </w:rPr>
        <w:t>c)</w:t>
      </w:r>
      <w:r w:rsidRPr="00D5398C">
        <w:tab/>
      </w:r>
      <w:r w:rsidR="00423E95" w:rsidRPr="00D5398C">
        <w:t xml:space="preserve">что </w:t>
      </w:r>
      <w:r w:rsidR="007955AD" w:rsidRPr="00D5398C">
        <w:t xml:space="preserve">вместо использования изолированного подхода к разработке и реализации цифровых решений, </w:t>
      </w:r>
      <w:r w:rsidR="00423E95" w:rsidRPr="00D5398C">
        <w:t xml:space="preserve">в рамках </w:t>
      </w:r>
      <w:r w:rsidR="007955AD" w:rsidRPr="00D5398C">
        <w:t>DPI делает</w:t>
      </w:r>
      <w:r w:rsidR="00423E95" w:rsidRPr="00D5398C">
        <w:t>ся</w:t>
      </w:r>
      <w:r w:rsidR="007955AD" w:rsidRPr="00D5398C">
        <w:t xml:space="preserve"> упор на ориентированные на людей и </w:t>
      </w:r>
      <w:r w:rsidR="00423E95" w:rsidRPr="00D5398C">
        <w:t xml:space="preserve">функционально </w:t>
      </w:r>
      <w:r w:rsidR="007955AD" w:rsidRPr="00D5398C">
        <w:t xml:space="preserve">совместимые цифровые </w:t>
      </w:r>
      <w:r w:rsidR="007D5649" w:rsidRPr="00D5398C">
        <w:t>компоненты</w:t>
      </w:r>
      <w:r w:rsidR="007955AD" w:rsidRPr="00D5398C">
        <w:t xml:space="preserve"> в масштабе общества</w:t>
      </w:r>
      <w:r w:rsidR="00423E95" w:rsidRPr="00D5398C">
        <w:t>;</w:t>
      </w:r>
      <w:r w:rsidR="007955AD" w:rsidRPr="00D5398C">
        <w:t xml:space="preserve"> этот подход позволяет местным </w:t>
      </w:r>
      <w:r w:rsidR="00423E95" w:rsidRPr="00D5398C">
        <w:t xml:space="preserve">участникам </w:t>
      </w:r>
      <w:r w:rsidR="007955AD" w:rsidRPr="00D5398C">
        <w:t xml:space="preserve">цифровой экосистемы </w:t>
      </w:r>
      <w:r w:rsidR="007D5649" w:rsidRPr="00D5398C">
        <w:t>развивать эти компоненты на основе инноваций</w:t>
      </w:r>
      <w:r w:rsidR="007955AD" w:rsidRPr="00D5398C">
        <w:t xml:space="preserve">, </w:t>
      </w:r>
      <w:r w:rsidR="007D5649" w:rsidRPr="00D5398C">
        <w:t>создавая</w:t>
      </w:r>
      <w:r w:rsidR="007955AD" w:rsidRPr="00D5398C">
        <w:t xml:space="preserve"> новы</w:t>
      </w:r>
      <w:r w:rsidR="007D5649" w:rsidRPr="00D5398C">
        <w:t>е</w:t>
      </w:r>
      <w:r w:rsidR="007955AD" w:rsidRPr="00D5398C">
        <w:t xml:space="preserve"> услуг</w:t>
      </w:r>
      <w:r w:rsidR="007D5649" w:rsidRPr="00D5398C">
        <w:t>и</w:t>
      </w:r>
      <w:r w:rsidR="007955AD" w:rsidRPr="00D5398C">
        <w:t xml:space="preserve"> для людей</w:t>
      </w:r>
      <w:r w:rsidR="00423E95" w:rsidRPr="00D5398C">
        <w:t>;</w:t>
      </w:r>
      <w:r w:rsidR="007955AD" w:rsidRPr="00D5398C">
        <w:t xml:space="preserve"> </w:t>
      </w:r>
      <w:r w:rsidR="00423E95" w:rsidRPr="00D5398C">
        <w:t xml:space="preserve">с </w:t>
      </w:r>
      <w:r w:rsidR="007955AD" w:rsidRPr="00D5398C">
        <w:t xml:space="preserve">помощью основанных на правах </w:t>
      </w:r>
      <w:r w:rsidR="00423E95" w:rsidRPr="00D5398C">
        <w:t xml:space="preserve">человека </w:t>
      </w:r>
      <w:r w:rsidR="007955AD" w:rsidRPr="00D5398C">
        <w:t xml:space="preserve">и ориентированных на человека подходов </w:t>
      </w:r>
      <w:r w:rsidR="00423E95" w:rsidRPr="00D5398C">
        <w:t xml:space="preserve">к </w:t>
      </w:r>
      <w:r w:rsidR="007D5649" w:rsidRPr="00D5398C">
        <w:t xml:space="preserve">DPI </w:t>
      </w:r>
      <w:r w:rsidR="007955AD" w:rsidRPr="00D5398C">
        <w:t xml:space="preserve">страны </w:t>
      </w:r>
      <w:r w:rsidR="007955AD" w:rsidRPr="00D5398C">
        <w:lastRenderedPageBreak/>
        <w:t>могут продви</w:t>
      </w:r>
      <w:r w:rsidR="00423E95" w:rsidRPr="00D5398C">
        <w:t xml:space="preserve">нуться в решении различных задач в области </w:t>
      </w:r>
      <w:r w:rsidR="007955AD" w:rsidRPr="00D5398C">
        <w:t xml:space="preserve">развития и </w:t>
      </w:r>
      <w:r w:rsidR="007D5649" w:rsidRPr="00D5398C">
        <w:t>успешнее</w:t>
      </w:r>
      <w:r w:rsidR="007955AD" w:rsidRPr="00D5398C">
        <w:t xml:space="preserve"> реагировать </w:t>
      </w:r>
      <w:r w:rsidR="007D5649" w:rsidRPr="00D5398C">
        <w:t>на</w:t>
      </w:r>
      <w:r w:rsidR="007955AD" w:rsidRPr="00D5398C">
        <w:t xml:space="preserve"> кризисны</w:t>
      </w:r>
      <w:r w:rsidR="007D5649" w:rsidRPr="00D5398C">
        <w:t>е</w:t>
      </w:r>
      <w:r w:rsidR="007955AD" w:rsidRPr="00D5398C">
        <w:t xml:space="preserve"> ситуаци</w:t>
      </w:r>
      <w:r w:rsidR="007D5649" w:rsidRPr="00D5398C">
        <w:t>и;</w:t>
      </w:r>
    </w:p>
    <w:p w14:paraId="58B0960E" w14:textId="3FA129DE" w:rsidR="00AA093B" w:rsidRPr="00D5398C" w:rsidRDefault="00AA093B" w:rsidP="0028719D">
      <w:r w:rsidRPr="00D5398C">
        <w:rPr>
          <w:i/>
          <w:iCs/>
        </w:rPr>
        <w:t>d)</w:t>
      </w:r>
      <w:r w:rsidRPr="00D5398C">
        <w:tab/>
      </w:r>
      <w:r w:rsidR="0028719D" w:rsidRPr="00D5398C">
        <w:t xml:space="preserve">что для реализации преимуществ DPI страны должны иметь доступ к приемлемым </w:t>
      </w:r>
      <w:r w:rsidR="00C20194" w:rsidRPr="00D5398C">
        <w:t>в ценовом отношении</w:t>
      </w:r>
      <w:r w:rsidR="0028719D" w:rsidRPr="00D5398C">
        <w:t xml:space="preserve">, безопасным и масштабируемым технологиям, наряду с техническим опытом, необходимым для разработки, внедрения и развития DPI, </w:t>
      </w:r>
      <w:r w:rsidR="00C20194" w:rsidRPr="00D5398C">
        <w:t xml:space="preserve">и </w:t>
      </w:r>
      <w:r w:rsidR="0028719D" w:rsidRPr="00D5398C">
        <w:t xml:space="preserve">что в существующей экосистеме страны не могут использовать недорогие многократно </w:t>
      </w:r>
      <w:r w:rsidR="00C20194" w:rsidRPr="00D5398C">
        <w:t>применяемые</w:t>
      </w:r>
      <w:r w:rsidR="0028719D" w:rsidRPr="00D5398C">
        <w:t xml:space="preserve"> решения ввиду отсутствия на местах экспертных знаний в области цифровизации;</w:t>
      </w:r>
    </w:p>
    <w:p w14:paraId="097969CF" w14:textId="746F9D9C" w:rsidR="00AA093B" w:rsidRPr="00D5398C" w:rsidRDefault="00AA093B" w:rsidP="00DB405E">
      <w:r w:rsidRPr="00D5398C">
        <w:rPr>
          <w:i/>
          <w:iCs/>
        </w:rPr>
        <w:t>e)</w:t>
      </w:r>
      <w:r w:rsidRPr="00D5398C">
        <w:tab/>
      </w:r>
      <w:r w:rsidR="00C468DE" w:rsidRPr="00D5398C">
        <w:t xml:space="preserve">что </w:t>
      </w:r>
      <w:r w:rsidR="00C20194" w:rsidRPr="00D5398C">
        <w:t xml:space="preserve">также </w:t>
      </w:r>
      <w:r w:rsidR="00C468DE" w:rsidRPr="00D5398C">
        <w:t xml:space="preserve">необходимо расширять международное сотрудничество в области стандартов цифровой инфраструктуры общего пользования между международными и региональными органами по стандартизации </w:t>
      </w:r>
      <w:r w:rsidR="00DB405E" w:rsidRPr="00D5398C">
        <w:t>и содействовать ему для</w:t>
      </w:r>
      <w:r w:rsidR="00C468DE" w:rsidRPr="00D5398C">
        <w:t xml:space="preserve"> достижения устойчивой цифровой трансформации</w:t>
      </w:r>
      <w:r w:rsidR="00DB405E" w:rsidRPr="00D5398C">
        <w:t xml:space="preserve"> с целью недопущения дублирования работы </w:t>
      </w:r>
      <w:r w:rsidR="00C468DE" w:rsidRPr="00D5398C">
        <w:t xml:space="preserve">и </w:t>
      </w:r>
      <w:r w:rsidR="00DB405E" w:rsidRPr="00D5398C">
        <w:t>обеспечения</w:t>
      </w:r>
      <w:r w:rsidR="00C468DE" w:rsidRPr="00D5398C">
        <w:t xml:space="preserve"> эффективно</w:t>
      </w:r>
      <w:r w:rsidR="00DB405E" w:rsidRPr="00D5398C">
        <w:t>го</w:t>
      </w:r>
      <w:r w:rsidR="00C468DE" w:rsidRPr="00D5398C">
        <w:t xml:space="preserve"> использовани</w:t>
      </w:r>
      <w:r w:rsidR="00DB405E" w:rsidRPr="00D5398C">
        <w:t>я</w:t>
      </w:r>
      <w:r w:rsidR="00C468DE" w:rsidRPr="00D5398C">
        <w:t xml:space="preserve"> ресурсов</w:t>
      </w:r>
      <w:r w:rsidRPr="00D5398C">
        <w:t>,</w:t>
      </w:r>
    </w:p>
    <w:p w14:paraId="11DCF20F" w14:textId="3F27C8C1" w:rsidR="00AA093B" w:rsidRPr="00D5398C" w:rsidRDefault="00AA093B" w:rsidP="00AA093B">
      <w:pPr>
        <w:pStyle w:val="Call"/>
      </w:pPr>
      <w:r w:rsidRPr="00D5398C">
        <w:t>принимая во внимание</w:t>
      </w:r>
      <w:r w:rsidR="00951F72" w:rsidRPr="00D5398C">
        <w:rPr>
          <w:i w:val="0"/>
          <w:iCs/>
        </w:rPr>
        <w:t>,</w:t>
      </w:r>
    </w:p>
    <w:p w14:paraId="643EE457" w14:textId="439F7910" w:rsidR="00AA093B" w:rsidRPr="00D5398C" w:rsidRDefault="00AA093B" w:rsidP="00AA093B">
      <w:r w:rsidRPr="00D5398C">
        <w:rPr>
          <w:i/>
          <w:iCs/>
        </w:rPr>
        <w:t>a)</w:t>
      </w:r>
      <w:r w:rsidRPr="00D5398C">
        <w:tab/>
      </w:r>
      <w:r w:rsidR="00677018" w:rsidRPr="00D5398C">
        <w:t>что развивающиеся страны могут получить</w:t>
      </w:r>
      <w:r w:rsidR="00F04909" w:rsidRPr="00D5398C">
        <w:t xml:space="preserve"> существенную</w:t>
      </w:r>
      <w:r w:rsidR="00677018" w:rsidRPr="00D5398C">
        <w:t xml:space="preserve"> пользу от применения и разработки стандартов</w:t>
      </w:r>
      <w:r w:rsidR="00F04909" w:rsidRPr="00D5398C">
        <w:t xml:space="preserve"> DPI</w:t>
      </w:r>
      <w:r w:rsidRPr="00D5398C">
        <w:t>;</w:t>
      </w:r>
    </w:p>
    <w:p w14:paraId="5BCAD4F7" w14:textId="4A02C636" w:rsidR="00AA093B" w:rsidRPr="00D5398C" w:rsidRDefault="00AA093B" w:rsidP="00AA093B">
      <w:r w:rsidRPr="00D5398C">
        <w:rPr>
          <w:i/>
          <w:iCs/>
        </w:rPr>
        <w:t>b)</w:t>
      </w:r>
      <w:r w:rsidRPr="00D5398C">
        <w:tab/>
      </w:r>
      <w:r w:rsidR="00471F25" w:rsidRPr="00D5398C">
        <w:t xml:space="preserve">что работа Сектора развития электросвязи над </w:t>
      </w:r>
      <w:r w:rsidR="00C20194" w:rsidRPr="00D5398C">
        <w:t>проектом</w:t>
      </w:r>
      <w:r w:rsidRPr="00D5398C">
        <w:t xml:space="preserve"> GovStack</w:t>
      </w:r>
      <w:r w:rsidR="00471F25" w:rsidRPr="00D5398C">
        <w:t xml:space="preserve"> с целью разработки технических спецификаций основных </w:t>
      </w:r>
      <w:r w:rsidR="00BF4CE1" w:rsidRPr="00D5398C">
        <w:t xml:space="preserve">структурных элементов </w:t>
      </w:r>
      <w:r w:rsidR="00471F25" w:rsidRPr="00D5398C">
        <w:t>цифровой инфраструктуры общего пользования</w:t>
      </w:r>
      <w:r w:rsidRPr="00D5398C">
        <w:t xml:space="preserve">, </w:t>
      </w:r>
      <w:r w:rsidR="00471F25" w:rsidRPr="00D5398C">
        <w:t>а именно</w:t>
      </w:r>
      <w:r w:rsidRPr="00D5398C">
        <w:t xml:space="preserve">, </w:t>
      </w:r>
      <w:r w:rsidR="00471F25" w:rsidRPr="00D5398C">
        <w:t>цифров</w:t>
      </w:r>
      <w:r w:rsidR="00C20194" w:rsidRPr="00D5398C">
        <w:t>о</w:t>
      </w:r>
      <w:r w:rsidR="00555579" w:rsidRPr="00D5398C">
        <w:t>й</w:t>
      </w:r>
      <w:r w:rsidR="00471F25" w:rsidRPr="00D5398C">
        <w:t xml:space="preserve"> </w:t>
      </w:r>
      <w:r w:rsidR="00555579" w:rsidRPr="00D5398C">
        <w:t>идентичности</w:t>
      </w:r>
      <w:r w:rsidRPr="00D5398C">
        <w:t xml:space="preserve">, </w:t>
      </w:r>
      <w:r w:rsidR="00471F25" w:rsidRPr="00D5398C">
        <w:t>цифровы</w:t>
      </w:r>
      <w:r w:rsidR="00C20194" w:rsidRPr="00D5398C">
        <w:t>х</w:t>
      </w:r>
      <w:r w:rsidR="00471F25" w:rsidRPr="00D5398C">
        <w:t xml:space="preserve"> платеж</w:t>
      </w:r>
      <w:r w:rsidR="00C20194" w:rsidRPr="00D5398C">
        <w:t>ей</w:t>
      </w:r>
      <w:r w:rsidR="00471F25" w:rsidRPr="00D5398C">
        <w:t xml:space="preserve"> и</w:t>
      </w:r>
      <w:r w:rsidRPr="00D5398C">
        <w:t xml:space="preserve"> </w:t>
      </w:r>
      <w:r w:rsidR="00471F25" w:rsidRPr="00D5398C">
        <w:t>надежн</w:t>
      </w:r>
      <w:r w:rsidR="00C20194" w:rsidRPr="00D5398C">
        <w:t>ого</w:t>
      </w:r>
      <w:r w:rsidR="00471F25" w:rsidRPr="00D5398C">
        <w:t xml:space="preserve"> обмен</w:t>
      </w:r>
      <w:r w:rsidR="00C20194" w:rsidRPr="00D5398C">
        <w:t>а</w:t>
      </w:r>
      <w:r w:rsidR="00471F25" w:rsidRPr="00D5398C">
        <w:t xml:space="preserve"> данными</w:t>
      </w:r>
      <w:r w:rsidRPr="00D5398C">
        <w:t xml:space="preserve">, </w:t>
      </w:r>
      <w:r w:rsidR="00471F25" w:rsidRPr="00D5398C">
        <w:t>принесет существенную пользу развивающимся странам</w:t>
      </w:r>
      <w:r w:rsidRPr="00D5398C">
        <w:t>;</w:t>
      </w:r>
    </w:p>
    <w:p w14:paraId="0F58EF23" w14:textId="00DECCAB" w:rsidR="00AA093B" w:rsidRPr="00D5398C" w:rsidRDefault="00AA093B" w:rsidP="00E35093">
      <w:r w:rsidRPr="00D5398C">
        <w:rPr>
          <w:i/>
          <w:iCs/>
        </w:rPr>
        <w:t>c)</w:t>
      </w:r>
      <w:r w:rsidRPr="00D5398C">
        <w:tab/>
      </w:r>
      <w:r w:rsidR="00E35093" w:rsidRPr="00D5398C">
        <w:t xml:space="preserve">что </w:t>
      </w:r>
      <w:r w:rsidR="00471F25" w:rsidRPr="00D5398C">
        <w:t xml:space="preserve">технические стандарты будут иметь важное значение для развития открытой и </w:t>
      </w:r>
      <w:r w:rsidR="00E35093" w:rsidRPr="00D5398C">
        <w:t xml:space="preserve">функционально </w:t>
      </w:r>
      <w:r w:rsidR="00471F25" w:rsidRPr="00D5398C">
        <w:t xml:space="preserve">совместимой цифровой инфраструктуры общего </w:t>
      </w:r>
      <w:r w:rsidR="00C20194" w:rsidRPr="00D5398C">
        <w:t xml:space="preserve">пользования </w:t>
      </w:r>
      <w:r w:rsidR="00471F25" w:rsidRPr="00D5398C">
        <w:t xml:space="preserve">и </w:t>
      </w:r>
      <w:r w:rsidR="00E35093" w:rsidRPr="00D5398C">
        <w:t>предотвратит привязку к</w:t>
      </w:r>
      <w:r w:rsidR="00471F25" w:rsidRPr="00D5398C">
        <w:t xml:space="preserve"> поставщик</w:t>
      </w:r>
      <w:r w:rsidR="00E35093" w:rsidRPr="00D5398C">
        <w:t>у</w:t>
      </w:r>
      <w:r w:rsidR="00471F25" w:rsidRPr="00D5398C">
        <w:t xml:space="preserve"> </w:t>
      </w:r>
      <w:r w:rsidR="00E35093" w:rsidRPr="00D5398C">
        <w:t xml:space="preserve">в целях </w:t>
      </w:r>
      <w:r w:rsidR="00471F25" w:rsidRPr="00D5398C">
        <w:t>поддерж</w:t>
      </w:r>
      <w:r w:rsidR="00E35093" w:rsidRPr="00D5398C">
        <w:t>ки</w:t>
      </w:r>
      <w:r w:rsidR="00471F25" w:rsidRPr="00D5398C">
        <w:t xml:space="preserve"> </w:t>
      </w:r>
      <w:r w:rsidR="00E35093" w:rsidRPr="00D5398C">
        <w:t xml:space="preserve">инновационных решений цифровой трансформации </w:t>
      </w:r>
      <w:r w:rsidR="00471F25" w:rsidRPr="00D5398C">
        <w:t xml:space="preserve">и </w:t>
      </w:r>
      <w:r w:rsidR="00C20194" w:rsidRPr="00D5398C">
        <w:t>реализации</w:t>
      </w:r>
      <w:r w:rsidR="00471F25" w:rsidRPr="00D5398C">
        <w:t xml:space="preserve"> </w:t>
      </w:r>
      <w:r w:rsidR="00E35093" w:rsidRPr="00D5398C">
        <w:t>Повестки дня в области устойчивого развития на период до 2030 года</w:t>
      </w:r>
      <w:r w:rsidRPr="00D5398C">
        <w:t>,</w:t>
      </w:r>
    </w:p>
    <w:p w14:paraId="61DAB84D" w14:textId="744D6B07" w:rsidR="00AA093B" w:rsidRPr="00D5398C" w:rsidRDefault="003A0A5E" w:rsidP="00AA093B">
      <w:pPr>
        <w:pStyle w:val="Call"/>
      </w:pPr>
      <w:r w:rsidRPr="00D5398C">
        <w:t>отмечая</w:t>
      </w:r>
      <w:r w:rsidR="00951F72" w:rsidRPr="00D5398C">
        <w:rPr>
          <w:i w:val="0"/>
          <w:iCs/>
        </w:rPr>
        <w:t>,</w:t>
      </w:r>
    </w:p>
    <w:p w14:paraId="1EDD50B8" w14:textId="6BDC2815" w:rsidR="00AA093B" w:rsidRPr="00D5398C" w:rsidRDefault="00E35093" w:rsidP="007B70D5">
      <w:r w:rsidRPr="00D5398C">
        <w:t>что DPI может быть использован</w:t>
      </w:r>
      <w:r w:rsidR="00C20194" w:rsidRPr="00D5398C">
        <w:t>а</w:t>
      </w:r>
      <w:r w:rsidRPr="00D5398C">
        <w:t xml:space="preserve"> для создания цифровых экосистем, которые повышают прозрачность</w:t>
      </w:r>
      <w:r w:rsidR="00A42715" w:rsidRPr="00D5398C">
        <w:t xml:space="preserve"> и</w:t>
      </w:r>
      <w:r w:rsidRPr="00D5398C">
        <w:t xml:space="preserve"> функциональную совместимость, </w:t>
      </w:r>
      <w:r w:rsidR="00A42715" w:rsidRPr="00D5398C">
        <w:t xml:space="preserve">совершенствуют </w:t>
      </w:r>
      <w:r w:rsidRPr="00D5398C">
        <w:t xml:space="preserve">обмен данными и инновационные приложения, которые могут помочь создать масштабируемые решения, расширяющие возможности стран, </w:t>
      </w:r>
      <w:r w:rsidR="00A42715" w:rsidRPr="00D5398C">
        <w:t>сообществ</w:t>
      </w:r>
      <w:r w:rsidRPr="00D5398C">
        <w:t xml:space="preserve"> и отдельных лиц</w:t>
      </w:r>
      <w:r w:rsidR="00AA093B" w:rsidRPr="00D5398C">
        <w:t>,</w:t>
      </w:r>
    </w:p>
    <w:p w14:paraId="2B6E6827" w14:textId="3F3E66CE" w:rsidR="00AA093B" w:rsidRPr="00D5398C" w:rsidRDefault="007B70D5" w:rsidP="00AA093B">
      <w:pPr>
        <w:pStyle w:val="Call"/>
      </w:pPr>
      <w:r w:rsidRPr="00D5398C">
        <w:t xml:space="preserve">решает поручить Директору Бюро стандартизации электросвязи </w:t>
      </w:r>
    </w:p>
    <w:p w14:paraId="459E7AAE" w14:textId="70039C63" w:rsidR="00AA093B" w:rsidRPr="00D5398C" w:rsidRDefault="00AA093B" w:rsidP="009C43F3">
      <w:r w:rsidRPr="00D5398C">
        <w:rPr>
          <w:i/>
          <w:iCs/>
        </w:rPr>
        <w:t>a)</w:t>
      </w:r>
      <w:r w:rsidRPr="00D5398C">
        <w:tab/>
      </w:r>
      <w:r w:rsidR="007B70D5" w:rsidRPr="00D5398C">
        <w:t>пров</w:t>
      </w:r>
      <w:r w:rsidR="00A42715" w:rsidRPr="00D5398C">
        <w:t xml:space="preserve">ести </w:t>
      </w:r>
      <w:r w:rsidR="007B70D5" w:rsidRPr="00D5398C">
        <w:t xml:space="preserve">соответствующие исследования по техническим требованиям основных </w:t>
      </w:r>
      <w:r w:rsidR="009C43F3" w:rsidRPr="00D5398C">
        <w:t xml:space="preserve">структурных элементов </w:t>
      </w:r>
      <w:r w:rsidR="007B70D5" w:rsidRPr="00D5398C">
        <w:t>DPI, таких как цифров</w:t>
      </w:r>
      <w:r w:rsidR="00555579" w:rsidRPr="00D5398C">
        <w:t>ая идентичность</w:t>
      </w:r>
      <w:r w:rsidR="007B70D5" w:rsidRPr="00D5398C">
        <w:t>, цифровые платежи, цифровые кошельки, обмен данными на основе согласия и другие многократно используемые цифровые структурные элементы</w:t>
      </w:r>
      <w:r w:rsidR="009C43F3" w:rsidRPr="00D5398C">
        <w:t xml:space="preserve"> стека</w:t>
      </w:r>
      <w:r w:rsidR="007B70D5" w:rsidRPr="00D5398C">
        <w:t xml:space="preserve"> DPI для повышения функциональной совместимости</w:t>
      </w:r>
      <w:r w:rsidR="00A42715" w:rsidRPr="00D5398C">
        <w:t xml:space="preserve"> и</w:t>
      </w:r>
      <w:r w:rsidR="007B70D5" w:rsidRPr="00D5398C">
        <w:t xml:space="preserve"> прозрачности и </w:t>
      </w:r>
      <w:r w:rsidR="00A42715" w:rsidRPr="00D5398C">
        <w:t xml:space="preserve">совершенствования </w:t>
      </w:r>
      <w:r w:rsidR="007B70D5" w:rsidRPr="00D5398C">
        <w:t>надежного обмена данными в целях содействия разработке и внедрению DPI</w:t>
      </w:r>
      <w:r w:rsidRPr="00D5398C">
        <w:t>;</w:t>
      </w:r>
    </w:p>
    <w:p w14:paraId="6BD54F3B" w14:textId="77F322B2" w:rsidR="00AA093B" w:rsidRPr="00D5398C" w:rsidRDefault="00AA093B" w:rsidP="00AA093B">
      <w:r w:rsidRPr="00D5398C">
        <w:rPr>
          <w:i/>
          <w:iCs/>
        </w:rPr>
        <w:t>b)</w:t>
      </w:r>
      <w:r w:rsidRPr="00D5398C">
        <w:tab/>
      </w:r>
      <w:r w:rsidR="00AA52DE" w:rsidRPr="00D5398C">
        <w:t xml:space="preserve">составить перечень технических стандартов и </w:t>
      </w:r>
      <w:r w:rsidR="00A42715" w:rsidRPr="00D5398C">
        <w:t>сценариев использования</w:t>
      </w:r>
      <w:r w:rsidR="00AA52DE" w:rsidRPr="00D5398C">
        <w:t xml:space="preserve">, связанных с DPI, который будет доступен </w:t>
      </w:r>
      <w:r w:rsidR="00A42715" w:rsidRPr="00D5398C">
        <w:t xml:space="preserve">для применения </w:t>
      </w:r>
      <w:r w:rsidR="00AA52DE" w:rsidRPr="00D5398C">
        <w:t>развивающи</w:t>
      </w:r>
      <w:r w:rsidR="00A42715" w:rsidRPr="00D5398C">
        <w:t>ми</w:t>
      </w:r>
      <w:r w:rsidR="00AA52DE" w:rsidRPr="00D5398C">
        <w:t>ся стран</w:t>
      </w:r>
      <w:r w:rsidR="00A42715" w:rsidRPr="00D5398C">
        <w:t>ами</w:t>
      </w:r>
      <w:r w:rsidR="00AA52DE" w:rsidRPr="00D5398C">
        <w:t xml:space="preserve"> </w:t>
      </w:r>
      <w:r w:rsidR="00A42715" w:rsidRPr="00D5398C">
        <w:t xml:space="preserve">при </w:t>
      </w:r>
      <w:r w:rsidR="00AA52DE" w:rsidRPr="00D5398C">
        <w:t>внедрени</w:t>
      </w:r>
      <w:r w:rsidR="00A42715" w:rsidRPr="00D5398C">
        <w:t>и</w:t>
      </w:r>
      <w:r w:rsidR="00AA52DE" w:rsidRPr="00D5398C">
        <w:t xml:space="preserve"> ими DPI</w:t>
      </w:r>
      <w:r w:rsidRPr="00D5398C">
        <w:t>;</w:t>
      </w:r>
    </w:p>
    <w:p w14:paraId="714D8B75" w14:textId="5B862F7C" w:rsidR="00AA093B" w:rsidRPr="00D5398C" w:rsidRDefault="00AA093B" w:rsidP="009E26A9">
      <w:r w:rsidRPr="00D5398C">
        <w:rPr>
          <w:i/>
          <w:iCs/>
        </w:rPr>
        <w:t>c)</w:t>
      </w:r>
      <w:r w:rsidRPr="00D5398C">
        <w:tab/>
      </w:r>
      <w:r w:rsidR="00AA52DE" w:rsidRPr="00D5398C">
        <w:t>представить КГСЭ и ВАСЭ отчет о ходе работы по выполнению настоящей Резолюции</w:t>
      </w:r>
      <w:r w:rsidR="009C43F3" w:rsidRPr="00D5398C">
        <w:t>;</w:t>
      </w:r>
    </w:p>
    <w:p w14:paraId="46EBFF9D" w14:textId="0E8031A0" w:rsidR="00AA093B" w:rsidRPr="00D5398C" w:rsidRDefault="00AA093B" w:rsidP="00AA093B">
      <w:r w:rsidRPr="00D5398C">
        <w:rPr>
          <w:i/>
          <w:iCs/>
        </w:rPr>
        <w:t>d)</w:t>
      </w:r>
      <w:r w:rsidRPr="00D5398C">
        <w:tab/>
      </w:r>
      <w:r w:rsidR="00AA52DE" w:rsidRPr="00D5398C">
        <w:t xml:space="preserve">проводить семинары-практикумы для членов МСЭ в сотрудничестве с другими соответствующими ОРС, академическими организациями и учреждениями, на которые возложена основная ответственность за внедрение </w:t>
      </w:r>
      <w:r w:rsidRPr="00D5398C">
        <w:t>DPI,</w:t>
      </w:r>
      <w:r w:rsidR="00AA52DE" w:rsidRPr="00D5398C">
        <w:t xml:space="preserve"> с тем чтобы повысить уровень осведомленности и определить конкретные потребности и проблемы развивающихся стран, связанные с</w:t>
      </w:r>
      <w:r w:rsidR="009E26A9" w:rsidRPr="00D5398C">
        <w:t xml:space="preserve"> развертыванием </w:t>
      </w:r>
      <w:r w:rsidRPr="00D5398C">
        <w:t>DPI,</w:t>
      </w:r>
    </w:p>
    <w:p w14:paraId="66BA0A77" w14:textId="21154C21" w:rsidR="00AA093B" w:rsidRPr="00D5398C" w:rsidRDefault="009E26A9" w:rsidP="00AA093B">
      <w:pPr>
        <w:pStyle w:val="Call"/>
      </w:pPr>
      <w:r w:rsidRPr="00D5398C">
        <w:t>поручает Директорам Бюро стандартизации электросвязи и Бюро развития электросвязи </w:t>
      </w:r>
    </w:p>
    <w:p w14:paraId="0A306EAB" w14:textId="5162BC4A" w:rsidR="00AA093B" w:rsidRPr="00D5398C" w:rsidRDefault="009E26A9" w:rsidP="00AA093B">
      <w:r w:rsidRPr="00D5398C">
        <w:t xml:space="preserve">сотрудничать с другими </w:t>
      </w:r>
      <w:r w:rsidR="00D62C0F" w:rsidRPr="00D5398C">
        <w:t xml:space="preserve">учреждениями </w:t>
      </w:r>
      <w:r w:rsidRPr="00D5398C">
        <w:t>ООН</w:t>
      </w:r>
      <w:r w:rsidR="00D62C0F" w:rsidRPr="00D5398C">
        <w:t xml:space="preserve">, </w:t>
      </w:r>
      <w:r w:rsidRPr="00D5398C">
        <w:t>международными</w:t>
      </w:r>
      <w:r w:rsidR="00D62C0F" w:rsidRPr="00D5398C">
        <w:t>,</w:t>
      </w:r>
      <w:r w:rsidRPr="00D5398C">
        <w:t xml:space="preserve"> региональными </w:t>
      </w:r>
      <w:r w:rsidR="00A42715" w:rsidRPr="00D5398C">
        <w:t xml:space="preserve">многосторонними и </w:t>
      </w:r>
      <w:r w:rsidRPr="00D5398C">
        <w:t>межправительственными организациями, которые оказывают странам помощь в</w:t>
      </w:r>
      <w:r w:rsidR="00D62C0F" w:rsidRPr="00D5398C">
        <w:t>о внедрении DPI</w:t>
      </w:r>
      <w:r w:rsidRPr="00D5398C">
        <w:t>, а также со странами, которые имеют опыт</w:t>
      </w:r>
      <w:r w:rsidR="00A42715" w:rsidRPr="00D5398C">
        <w:t xml:space="preserve"> в этом вопросе</w:t>
      </w:r>
      <w:r w:rsidRPr="00D5398C">
        <w:t>, которы</w:t>
      </w:r>
      <w:r w:rsidR="00D62C0F" w:rsidRPr="00D5398C">
        <w:t>м</w:t>
      </w:r>
      <w:r w:rsidRPr="00D5398C">
        <w:t xml:space="preserve"> они могут поделиться</w:t>
      </w:r>
      <w:r w:rsidR="00D62C0F" w:rsidRPr="00D5398C">
        <w:t>,</w:t>
      </w:r>
    </w:p>
    <w:p w14:paraId="7F125E20" w14:textId="5EE02C8E" w:rsidR="00AA093B" w:rsidRPr="00D5398C" w:rsidRDefault="009E26A9" w:rsidP="00AA093B">
      <w:pPr>
        <w:pStyle w:val="Call"/>
      </w:pPr>
      <w:r w:rsidRPr="00D5398C">
        <w:lastRenderedPageBreak/>
        <w:t xml:space="preserve">поручает исследовательским комиссиям </w:t>
      </w:r>
      <w:r w:rsidR="003A0A5E" w:rsidRPr="00D5398C">
        <w:t>МСЭ</w:t>
      </w:r>
      <w:r w:rsidR="00AA093B" w:rsidRPr="00D5398C">
        <w:t>-T</w:t>
      </w:r>
    </w:p>
    <w:p w14:paraId="7EB1E0D1" w14:textId="2671C9A7" w:rsidR="00AA093B" w:rsidRPr="00D5398C" w:rsidRDefault="00AA093B" w:rsidP="00AA093B">
      <w:r w:rsidRPr="00D5398C">
        <w:rPr>
          <w:i/>
          <w:iCs/>
        </w:rPr>
        <w:t>a)</w:t>
      </w:r>
      <w:r w:rsidRPr="00D5398C">
        <w:tab/>
      </w:r>
      <w:r w:rsidR="00D62C0F" w:rsidRPr="00D5398C">
        <w:t xml:space="preserve">организовать необходимую работу и исследования в целях расширения и ускорения работы в области </w:t>
      </w:r>
      <w:r w:rsidRPr="00D5398C">
        <w:t>DPI;</w:t>
      </w:r>
    </w:p>
    <w:p w14:paraId="090AA10C" w14:textId="20EE5852" w:rsidR="00AA093B" w:rsidRPr="00D5398C" w:rsidRDefault="00AA093B" w:rsidP="00AA093B">
      <w:r w:rsidRPr="00D5398C">
        <w:rPr>
          <w:i/>
          <w:iCs/>
        </w:rPr>
        <w:t>b)</w:t>
      </w:r>
      <w:r w:rsidRPr="00D5398C">
        <w:tab/>
      </w:r>
      <w:r w:rsidR="00CC5CC8" w:rsidRPr="00D5398C">
        <w:t>содействовать разработке рекомендаций</w:t>
      </w:r>
      <w:r w:rsidRPr="00D5398C">
        <w:t xml:space="preserve"> </w:t>
      </w:r>
      <w:r w:rsidR="003A0A5E" w:rsidRPr="00D5398C">
        <w:t>МСЭ</w:t>
      </w:r>
      <w:r w:rsidRPr="00D5398C">
        <w:t>-T</w:t>
      </w:r>
      <w:r w:rsidR="00CC5CC8" w:rsidRPr="00D5398C">
        <w:t>, которые могут обеспечить внедрение DPI на устойчивой, открытой для всех и эффективной основе</w:t>
      </w:r>
      <w:r w:rsidRPr="00D5398C">
        <w:t xml:space="preserve"> </w:t>
      </w:r>
      <w:r w:rsidR="00CC5CC8" w:rsidRPr="00D5398C">
        <w:t>в различных секторах и технологиях</w:t>
      </w:r>
      <w:r w:rsidRPr="00D5398C">
        <w:t xml:space="preserve">, </w:t>
      </w:r>
      <w:r w:rsidR="00CC5CC8" w:rsidRPr="00D5398C">
        <w:t>способств</w:t>
      </w:r>
      <w:r w:rsidR="00BF4CE1" w:rsidRPr="00D5398C">
        <w:t>уя</w:t>
      </w:r>
      <w:r w:rsidR="00CC5CC8" w:rsidRPr="00D5398C">
        <w:t xml:space="preserve"> обеспечению функциональной совместимости</w:t>
      </w:r>
      <w:r w:rsidRPr="00D5398C">
        <w:t xml:space="preserve">, </w:t>
      </w:r>
      <w:r w:rsidR="00CC5CC8" w:rsidRPr="00D5398C">
        <w:t>открытых стандартов и инноваций</w:t>
      </w:r>
      <w:r w:rsidR="00A42715" w:rsidRPr="00D5398C">
        <w:t xml:space="preserve"> с использованием</w:t>
      </w:r>
      <w:r w:rsidRPr="00D5398C">
        <w:t xml:space="preserve"> </w:t>
      </w:r>
      <w:r w:rsidR="00BF4CE1" w:rsidRPr="00D5398C">
        <w:t>обмена данными на основе согласия</w:t>
      </w:r>
      <w:r w:rsidRPr="00D5398C">
        <w:t xml:space="preserve">, </w:t>
      </w:r>
      <w:r w:rsidR="00A42715" w:rsidRPr="00D5398C">
        <w:t xml:space="preserve">а также учету концепции </w:t>
      </w:r>
      <w:r w:rsidR="00BF4CE1" w:rsidRPr="00D5398C">
        <w:t xml:space="preserve">безопасности на этапе </w:t>
      </w:r>
      <w:r w:rsidR="00A42715" w:rsidRPr="00D5398C">
        <w:t>проектирования</w:t>
      </w:r>
      <w:r w:rsidRPr="00D5398C">
        <w:t>;</w:t>
      </w:r>
    </w:p>
    <w:p w14:paraId="77D10B38" w14:textId="3F18F097" w:rsidR="00AA093B" w:rsidRPr="00D5398C" w:rsidRDefault="00AA093B" w:rsidP="00AA093B">
      <w:r w:rsidRPr="00D5398C">
        <w:t>c)</w:t>
      </w:r>
      <w:r w:rsidRPr="00D5398C">
        <w:tab/>
      </w:r>
      <w:r w:rsidR="00D62C0F" w:rsidRPr="00D5398C">
        <w:t xml:space="preserve">осуществлять координацию деятельности и взаимодействие с другими соответствующими ОРС и учреждениями, </w:t>
      </w:r>
      <w:r w:rsidR="00470C94" w:rsidRPr="00D5398C">
        <w:t>участвующими в</w:t>
      </w:r>
      <w:r w:rsidR="00D62C0F" w:rsidRPr="00D5398C">
        <w:t xml:space="preserve"> разработк</w:t>
      </w:r>
      <w:r w:rsidR="00470C94" w:rsidRPr="00D5398C">
        <w:t>е</w:t>
      </w:r>
      <w:r w:rsidR="00D62C0F" w:rsidRPr="00D5398C">
        <w:t xml:space="preserve"> и внедрени</w:t>
      </w:r>
      <w:r w:rsidR="00470C94" w:rsidRPr="00D5398C">
        <w:t>и</w:t>
      </w:r>
      <w:r w:rsidR="00D62C0F" w:rsidRPr="00D5398C">
        <w:t xml:space="preserve"> стандартов и создани</w:t>
      </w:r>
      <w:r w:rsidR="00470C94" w:rsidRPr="00D5398C">
        <w:t>и</w:t>
      </w:r>
      <w:r w:rsidR="00D62C0F" w:rsidRPr="00D5398C">
        <w:t xml:space="preserve"> потенциала в области</w:t>
      </w:r>
      <w:r w:rsidR="00470C94" w:rsidRPr="00D5398C">
        <w:t xml:space="preserve"> DPI</w:t>
      </w:r>
      <w:r w:rsidR="00D62C0F" w:rsidRPr="00D5398C">
        <w:t>, а также с другими комиссиями в МСЭ</w:t>
      </w:r>
      <w:r w:rsidRPr="00D5398C">
        <w:t>;</w:t>
      </w:r>
    </w:p>
    <w:p w14:paraId="29A85696" w14:textId="370E9562" w:rsidR="00AA093B" w:rsidRPr="00D5398C" w:rsidRDefault="00AA093B" w:rsidP="00AA093B">
      <w:r w:rsidRPr="00D5398C">
        <w:rPr>
          <w:i/>
          <w:iCs/>
        </w:rPr>
        <w:t>d)</w:t>
      </w:r>
      <w:r w:rsidRPr="00D5398C">
        <w:tab/>
      </w:r>
      <w:r w:rsidR="00470C94" w:rsidRPr="00D5398C">
        <w:t>разрабатывать технические стандарты и руководящие указания, которые помогут развивающимся странам создавать собственную цифровую инфраструктуру общего пользования</w:t>
      </w:r>
      <w:r w:rsidRPr="00D5398C">
        <w:t>,</w:t>
      </w:r>
    </w:p>
    <w:p w14:paraId="3A0E7A0E" w14:textId="591A3567" w:rsidR="00AA093B" w:rsidRPr="00D5398C" w:rsidRDefault="00470C94" w:rsidP="00AA093B">
      <w:pPr>
        <w:pStyle w:val="Call"/>
      </w:pPr>
      <w:r w:rsidRPr="00D5398C">
        <w:t>предлагает Государствам-Членам, Членам Сектор</w:t>
      </w:r>
      <w:r w:rsidR="00876ADC" w:rsidRPr="00D5398C">
        <w:t>а</w:t>
      </w:r>
      <w:r w:rsidRPr="00D5398C">
        <w:t xml:space="preserve"> и Академическим организациям</w:t>
      </w:r>
    </w:p>
    <w:p w14:paraId="586D4273" w14:textId="58A757AA" w:rsidR="00AA093B" w:rsidRPr="00D5398C" w:rsidRDefault="007A4EBA" w:rsidP="00AA093B">
      <w:r w:rsidRPr="00D5398C">
        <w:rPr>
          <w:i/>
          <w:iCs/>
        </w:rPr>
        <w:t>a)</w:t>
      </w:r>
      <w:r w:rsidR="00AA093B" w:rsidRPr="00D5398C">
        <w:tab/>
      </w:r>
      <w:r w:rsidRPr="00D5398C">
        <w:t>представлять вклады и активно участвовать в обмене</w:t>
      </w:r>
      <w:r w:rsidR="00AA093B" w:rsidRPr="00D5398C">
        <w:t xml:space="preserve"> </w:t>
      </w:r>
      <w:r w:rsidRPr="00D5398C">
        <w:t>опытом внедрения DPI;</w:t>
      </w:r>
    </w:p>
    <w:p w14:paraId="729B2E09" w14:textId="1C1B6037" w:rsidR="00AA093B" w:rsidRPr="00D5398C" w:rsidRDefault="00AA093B" w:rsidP="00AA093B">
      <w:r w:rsidRPr="00D5398C">
        <w:rPr>
          <w:i/>
          <w:iCs/>
        </w:rPr>
        <w:t>b)</w:t>
      </w:r>
      <w:r w:rsidRPr="00D5398C">
        <w:tab/>
      </w:r>
      <w:r w:rsidR="008A3559" w:rsidRPr="00D5398C">
        <w:t>поощрять использование инновационных цифровых инструментов и открытых стандартов, в зависимости от ситуации, чтобы ускорить развертывание DPI</w:t>
      </w:r>
      <w:r w:rsidRPr="00D5398C">
        <w:t>;</w:t>
      </w:r>
    </w:p>
    <w:p w14:paraId="428F63FD" w14:textId="722C0E93" w:rsidR="00C87A93" w:rsidRPr="00D5398C" w:rsidRDefault="00AA093B" w:rsidP="00AA093B">
      <w:r w:rsidRPr="00D5398C">
        <w:rPr>
          <w:i/>
          <w:iCs/>
        </w:rPr>
        <w:t>c)</w:t>
      </w:r>
      <w:r w:rsidRPr="00D5398C">
        <w:tab/>
      </w:r>
      <w:r w:rsidR="008A3559" w:rsidRPr="00D5398C">
        <w:t xml:space="preserve">применить политические меры в целях установления цифровых соединений и совершенствования цифровых навыков, с тем чтобы обеспечить доступность DPI для всех людей, включая </w:t>
      </w:r>
      <w:r w:rsidR="00876ADC" w:rsidRPr="00D5398C">
        <w:t xml:space="preserve">проживающих </w:t>
      </w:r>
      <w:r w:rsidR="008A3559" w:rsidRPr="00D5398C">
        <w:t xml:space="preserve">в отдаленных районах и </w:t>
      </w:r>
      <w:r w:rsidR="00876ADC" w:rsidRPr="00D5398C">
        <w:t xml:space="preserve">лиц с </w:t>
      </w:r>
      <w:r w:rsidR="008A3559" w:rsidRPr="00D5398C">
        <w:t>инвалидность</w:t>
      </w:r>
      <w:r w:rsidR="00876ADC" w:rsidRPr="00D5398C">
        <w:t>ю</w:t>
      </w:r>
      <w:r w:rsidR="008A3559" w:rsidRPr="00D5398C">
        <w:t>, ограничивающ</w:t>
      </w:r>
      <w:r w:rsidR="00876ADC" w:rsidRPr="00D5398C">
        <w:t xml:space="preserve">ей </w:t>
      </w:r>
      <w:r w:rsidR="008A3559" w:rsidRPr="00D5398C">
        <w:t xml:space="preserve">доступ </w:t>
      </w:r>
      <w:r w:rsidR="00876ADC" w:rsidRPr="00D5398C">
        <w:t xml:space="preserve">с использованием </w:t>
      </w:r>
      <w:r w:rsidR="008A3559" w:rsidRPr="00D5398C">
        <w:t>традиционны</w:t>
      </w:r>
      <w:r w:rsidR="00876ADC" w:rsidRPr="00D5398C">
        <w:t>х</w:t>
      </w:r>
      <w:r w:rsidR="008A3559" w:rsidRPr="00D5398C">
        <w:t xml:space="preserve"> средств.</w:t>
      </w:r>
    </w:p>
    <w:p w14:paraId="6DCB9845" w14:textId="77777777" w:rsidR="003A0A5E" w:rsidRPr="00D5398C" w:rsidRDefault="003A0A5E" w:rsidP="00411C49">
      <w:pPr>
        <w:pStyle w:val="Reasons"/>
      </w:pPr>
    </w:p>
    <w:p w14:paraId="772057C6" w14:textId="2DD74C8F" w:rsidR="00AA093B" w:rsidRPr="00D5398C" w:rsidRDefault="003A0A5E" w:rsidP="008114ED">
      <w:pPr>
        <w:spacing w:before="720"/>
        <w:jc w:val="center"/>
      </w:pPr>
      <w:r w:rsidRPr="00D5398C">
        <w:t>______________</w:t>
      </w:r>
    </w:p>
    <w:sectPr w:rsidR="00AA093B" w:rsidRPr="00D5398C">
      <w:headerReference w:type="default" r:id="rId15"/>
      <w:footerReference w:type="even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D71B6" w14:textId="77777777" w:rsidR="00D73963" w:rsidRDefault="00D73963">
      <w:r>
        <w:separator/>
      </w:r>
    </w:p>
  </w:endnote>
  <w:endnote w:type="continuationSeparator" w:id="0">
    <w:p w14:paraId="0875CB42" w14:textId="77777777" w:rsidR="00D73963" w:rsidRDefault="00D73963">
      <w:r>
        <w:continuationSeparator/>
      </w:r>
    </w:p>
  </w:endnote>
  <w:endnote w:type="continuationNotice" w:id="1">
    <w:p w14:paraId="5ECD5E27" w14:textId="77777777" w:rsidR="00D73963" w:rsidRDefault="00D7396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4BC9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F46A90" w14:textId="1328834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114ED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B39D2" w14:textId="77777777" w:rsidR="00D73963" w:rsidRDefault="00D73963">
      <w:r>
        <w:rPr>
          <w:b/>
        </w:rPr>
        <w:t>_______________</w:t>
      </w:r>
    </w:p>
  </w:footnote>
  <w:footnote w:type="continuationSeparator" w:id="0">
    <w:p w14:paraId="06A570CE" w14:textId="77777777" w:rsidR="00D73963" w:rsidRDefault="00D7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9692C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WTSA-24/35(Add.33)-R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0905448">
    <w:abstractNumId w:val="8"/>
  </w:num>
  <w:num w:numId="2" w16cid:durableId="176306870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07919238">
    <w:abstractNumId w:val="9"/>
  </w:num>
  <w:num w:numId="4" w16cid:durableId="1195079037">
    <w:abstractNumId w:val="7"/>
  </w:num>
  <w:num w:numId="5" w16cid:durableId="1955405517">
    <w:abstractNumId w:val="6"/>
  </w:num>
  <w:num w:numId="6" w16cid:durableId="866910259">
    <w:abstractNumId w:val="5"/>
  </w:num>
  <w:num w:numId="7" w16cid:durableId="870921659">
    <w:abstractNumId w:val="4"/>
  </w:num>
  <w:num w:numId="8" w16cid:durableId="1816144746">
    <w:abstractNumId w:val="3"/>
  </w:num>
  <w:num w:numId="9" w16cid:durableId="1603686245">
    <w:abstractNumId w:val="2"/>
  </w:num>
  <w:num w:numId="10" w16cid:durableId="243031958">
    <w:abstractNumId w:val="1"/>
  </w:num>
  <w:num w:numId="11" w16cid:durableId="1212964214">
    <w:abstractNumId w:val="0"/>
  </w:num>
  <w:num w:numId="12" w16cid:durableId="1105461918">
    <w:abstractNumId w:val="12"/>
  </w:num>
  <w:num w:numId="13" w16cid:durableId="204955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288C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E0FA7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9CF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719D"/>
    <w:rsid w:val="00287EE1"/>
    <w:rsid w:val="00290F83"/>
    <w:rsid w:val="002931F4"/>
    <w:rsid w:val="00293F9A"/>
    <w:rsid w:val="002957A7"/>
    <w:rsid w:val="002A1D23"/>
    <w:rsid w:val="002A5392"/>
    <w:rsid w:val="002B100E"/>
    <w:rsid w:val="002C1C7A"/>
    <w:rsid w:val="002C32BA"/>
    <w:rsid w:val="002C6531"/>
    <w:rsid w:val="002D151C"/>
    <w:rsid w:val="002D58BE"/>
    <w:rsid w:val="002E1BC9"/>
    <w:rsid w:val="002E3AEE"/>
    <w:rsid w:val="002E561F"/>
    <w:rsid w:val="002F2D0C"/>
    <w:rsid w:val="00316B80"/>
    <w:rsid w:val="003251EA"/>
    <w:rsid w:val="00326E52"/>
    <w:rsid w:val="00333E7D"/>
    <w:rsid w:val="00336B4E"/>
    <w:rsid w:val="0034635C"/>
    <w:rsid w:val="0036720F"/>
    <w:rsid w:val="00377729"/>
    <w:rsid w:val="00377BD3"/>
    <w:rsid w:val="00384088"/>
    <w:rsid w:val="003879F0"/>
    <w:rsid w:val="0039169B"/>
    <w:rsid w:val="00394470"/>
    <w:rsid w:val="003A0A5E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3E95"/>
    <w:rsid w:val="004373CA"/>
    <w:rsid w:val="004420C9"/>
    <w:rsid w:val="00443CCE"/>
    <w:rsid w:val="00461C79"/>
    <w:rsid w:val="00465799"/>
    <w:rsid w:val="00470C94"/>
    <w:rsid w:val="00471EF9"/>
    <w:rsid w:val="00471F25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7A31"/>
    <w:rsid w:val="00520045"/>
    <w:rsid w:val="0055140B"/>
    <w:rsid w:val="00553247"/>
    <w:rsid w:val="00555579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D460B"/>
    <w:rsid w:val="005E10C9"/>
    <w:rsid w:val="005E61DD"/>
    <w:rsid w:val="005E62C4"/>
    <w:rsid w:val="005F5487"/>
    <w:rsid w:val="005F628F"/>
    <w:rsid w:val="006023DF"/>
    <w:rsid w:val="00602F64"/>
    <w:rsid w:val="00622829"/>
    <w:rsid w:val="00623F15"/>
    <w:rsid w:val="006256C0"/>
    <w:rsid w:val="0063216C"/>
    <w:rsid w:val="00637A54"/>
    <w:rsid w:val="00643684"/>
    <w:rsid w:val="00657CDA"/>
    <w:rsid w:val="00657DE0"/>
    <w:rsid w:val="006714A3"/>
    <w:rsid w:val="0067500B"/>
    <w:rsid w:val="0067528F"/>
    <w:rsid w:val="006763BF"/>
    <w:rsid w:val="00677018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55AD"/>
    <w:rsid w:val="00795C4A"/>
    <w:rsid w:val="00796446"/>
    <w:rsid w:val="00797C4B"/>
    <w:rsid w:val="007A4EBA"/>
    <w:rsid w:val="007B70D5"/>
    <w:rsid w:val="007C60C2"/>
    <w:rsid w:val="007D1EC0"/>
    <w:rsid w:val="007D5320"/>
    <w:rsid w:val="007D5649"/>
    <w:rsid w:val="007E0164"/>
    <w:rsid w:val="007E51BA"/>
    <w:rsid w:val="007E66EA"/>
    <w:rsid w:val="007F3C67"/>
    <w:rsid w:val="007F6D49"/>
    <w:rsid w:val="00800972"/>
    <w:rsid w:val="00804475"/>
    <w:rsid w:val="008114ED"/>
    <w:rsid w:val="00811633"/>
    <w:rsid w:val="00822B56"/>
    <w:rsid w:val="00840F52"/>
    <w:rsid w:val="008508D8"/>
    <w:rsid w:val="00850EEE"/>
    <w:rsid w:val="00854CBA"/>
    <w:rsid w:val="0086227D"/>
    <w:rsid w:val="00864CD2"/>
    <w:rsid w:val="00872FC8"/>
    <w:rsid w:val="00874789"/>
    <w:rsid w:val="00874C58"/>
    <w:rsid w:val="00876ADC"/>
    <w:rsid w:val="008777B8"/>
    <w:rsid w:val="008845D0"/>
    <w:rsid w:val="008A17FC"/>
    <w:rsid w:val="008A186A"/>
    <w:rsid w:val="008A3559"/>
    <w:rsid w:val="008A58C5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2646"/>
    <w:rsid w:val="0090346C"/>
    <w:rsid w:val="00905803"/>
    <w:rsid w:val="009163CF"/>
    <w:rsid w:val="00921DD4"/>
    <w:rsid w:val="0092425C"/>
    <w:rsid w:val="00926243"/>
    <w:rsid w:val="009274B4"/>
    <w:rsid w:val="00930EBD"/>
    <w:rsid w:val="00931298"/>
    <w:rsid w:val="00931323"/>
    <w:rsid w:val="00934EA2"/>
    <w:rsid w:val="00940614"/>
    <w:rsid w:val="00944A5C"/>
    <w:rsid w:val="00951F72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43F3"/>
    <w:rsid w:val="009C56E5"/>
    <w:rsid w:val="009D4900"/>
    <w:rsid w:val="009D7C7D"/>
    <w:rsid w:val="009E1967"/>
    <w:rsid w:val="009E26A9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2715"/>
    <w:rsid w:val="00A4389A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2F11"/>
    <w:rsid w:val="00A87A0A"/>
    <w:rsid w:val="00A93B85"/>
    <w:rsid w:val="00A94576"/>
    <w:rsid w:val="00AA093B"/>
    <w:rsid w:val="00AA0B18"/>
    <w:rsid w:val="00AA52DE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4A07"/>
    <w:rsid w:val="00BC7D84"/>
    <w:rsid w:val="00BD33C3"/>
    <w:rsid w:val="00BE7C34"/>
    <w:rsid w:val="00BF490E"/>
    <w:rsid w:val="00BF4CE1"/>
    <w:rsid w:val="00C0018F"/>
    <w:rsid w:val="00C0539A"/>
    <w:rsid w:val="00C120F4"/>
    <w:rsid w:val="00C16A5A"/>
    <w:rsid w:val="00C20194"/>
    <w:rsid w:val="00C20466"/>
    <w:rsid w:val="00C214ED"/>
    <w:rsid w:val="00C234E6"/>
    <w:rsid w:val="00C30155"/>
    <w:rsid w:val="00C324A8"/>
    <w:rsid w:val="00C34489"/>
    <w:rsid w:val="00C35338"/>
    <w:rsid w:val="00C468DE"/>
    <w:rsid w:val="00C479FD"/>
    <w:rsid w:val="00C50EF4"/>
    <w:rsid w:val="00C54517"/>
    <w:rsid w:val="00C64CD8"/>
    <w:rsid w:val="00C701BF"/>
    <w:rsid w:val="00C72D5C"/>
    <w:rsid w:val="00C77E1A"/>
    <w:rsid w:val="00C87A93"/>
    <w:rsid w:val="00C97C68"/>
    <w:rsid w:val="00CA1A47"/>
    <w:rsid w:val="00CC247A"/>
    <w:rsid w:val="00CC5CC8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398C"/>
    <w:rsid w:val="00D54009"/>
    <w:rsid w:val="00D5651D"/>
    <w:rsid w:val="00D57A34"/>
    <w:rsid w:val="00D61F9E"/>
    <w:rsid w:val="00D62C0F"/>
    <w:rsid w:val="00D643B3"/>
    <w:rsid w:val="00D73963"/>
    <w:rsid w:val="00D74898"/>
    <w:rsid w:val="00D801ED"/>
    <w:rsid w:val="00D936BC"/>
    <w:rsid w:val="00D96530"/>
    <w:rsid w:val="00DA4A71"/>
    <w:rsid w:val="00DA7E2F"/>
    <w:rsid w:val="00DB405E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169C3"/>
    <w:rsid w:val="00E2134A"/>
    <w:rsid w:val="00E26226"/>
    <w:rsid w:val="00E3103C"/>
    <w:rsid w:val="00E35093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A5F72"/>
    <w:rsid w:val="00EB554E"/>
    <w:rsid w:val="00EB55C6"/>
    <w:rsid w:val="00EC7F04"/>
    <w:rsid w:val="00ED30BC"/>
    <w:rsid w:val="00F00DDC"/>
    <w:rsid w:val="00F01223"/>
    <w:rsid w:val="00F02766"/>
    <w:rsid w:val="00F04909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3B6"/>
    <w:rsid w:val="00F80977"/>
    <w:rsid w:val="00F83F75"/>
    <w:rsid w:val="00F972D2"/>
    <w:rsid w:val="00FB0A91"/>
    <w:rsid w:val="00FB2851"/>
    <w:rsid w:val="00FC1DB9"/>
    <w:rsid w:val="00FC7C79"/>
    <w:rsid w:val="00FD2546"/>
    <w:rsid w:val="00FD772E"/>
    <w:rsid w:val="00FE0144"/>
    <w:rsid w:val="00FE2C90"/>
    <w:rsid w:val="00FE4500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B080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1b4a06b-5ed2-4a8a-8d36-06f971f0253f" targetNamespace="http://schemas.microsoft.com/office/2006/metadata/properties" ma:root="true" ma:fieldsID="d41af5c836d734370eb92e7ee5f83852" ns2:_="" ns3:_="">
    <xsd:import namespace="996b2e75-67fd-4955-a3b0-5ab9934cb50b"/>
    <xsd:import namespace="31b4a06b-5ed2-4a8a-8d36-06f971f0253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4a06b-5ed2-4a8a-8d36-06f971f0253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1b4a06b-5ed2-4a8a-8d36-06f971f0253f">DPM</DPM_x0020_Author>
    <DPM_x0020_File_x0020_name xmlns="31b4a06b-5ed2-4a8a-8d36-06f971f0253f">T22-WTSA.24-C-0035!A33!MSW-R</DPM_x0020_File_x0020_name>
    <DPM_x0020_Version xmlns="31b4a06b-5ed2-4a8a-8d36-06f971f0253f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1b4a06b-5ed2-4a8a-8d36-06f971f02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schemas.microsoft.com/office/2006/documentManagement/types"/>
    <ds:schemaRef ds:uri="996b2e75-67fd-4955-a3b0-5ab9934cb50b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1b4a06b-5ed2-4a8a-8d36-06f971f0253f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1338</Words>
  <Characters>9516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T22-WTSA.24-C-0035!A33!MSW-R</vt:lpstr>
    </vt:vector>
  </TitlesOfParts>
  <Manager>General Secretariat - Pool</Manager>
  <Company>International Telecommunication Union (ITU)</Company>
  <LinksUpToDate>false</LinksUpToDate>
  <CharactersWithSpaces>10833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T22-WTSA.24-C-0035!A33!MSW-R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5</cp:revision>
  <cp:lastPrinted>2016-06-06T07:49:00Z</cp:lastPrinted>
  <dcterms:created xsi:type="dcterms:W3CDTF">2024-10-07T07:38:00Z</dcterms:created>
  <dcterms:modified xsi:type="dcterms:W3CDTF">2024-10-07T08:13:00Z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