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1821E65D" w14:textId="77777777" w:rsidTr="008077A5">
        <w:trPr>
          <w:cantSplit/>
          <w:trHeight w:val="20"/>
        </w:trPr>
        <w:tc>
          <w:tcPr>
            <w:tcW w:w="1310" w:type="dxa"/>
          </w:tcPr>
          <w:p w14:paraId="7D4DBA51" w14:textId="77777777" w:rsidR="00314F41" w:rsidRPr="00B344B6" w:rsidRDefault="00863FEE" w:rsidP="009D0810">
            <w:pPr>
              <w:rPr>
                <w:sz w:val="24"/>
                <w:szCs w:val="24"/>
                <w:rtl/>
              </w:rPr>
            </w:pPr>
            <w:r w:rsidRPr="00B344B6">
              <w:rPr>
                <w:noProof/>
              </w:rPr>
              <w:drawing>
                <wp:inline distT="0" distB="0" distL="0" distR="0" wp14:anchorId="10B76EBD" wp14:editId="681FEFC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29F1A06D"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35A437C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77FBF639" w14:textId="77777777" w:rsidR="00314F41" w:rsidRPr="00B344B6" w:rsidRDefault="00314F41" w:rsidP="009D0810">
            <w:pPr>
              <w:rPr>
                <w:rtl/>
                <w:lang w:bidi="ar-EG"/>
              </w:rPr>
            </w:pPr>
            <w:r w:rsidRPr="00B344B6">
              <w:rPr>
                <w:noProof/>
              </w:rPr>
              <w:drawing>
                <wp:inline distT="0" distB="0" distL="0" distR="0" wp14:anchorId="2C3E51BA" wp14:editId="6DD21B6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2EFB9326" w14:textId="77777777" w:rsidTr="008077A5">
        <w:trPr>
          <w:cantSplit/>
          <w:trHeight w:val="20"/>
        </w:trPr>
        <w:tc>
          <w:tcPr>
            <w:tcW w:w="6456" w:type="dxa"/>
            <w:gridSpan w:val="2"/>
            <w:tcBorders>
              <w:bottom w:val="single" w:sz="12" w:space="0" w:color="auto"/>
            </w:tcBorders>
          </w:tcPr>
          <w:p w14:paraId="678F48C9"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7EE84066" w14:textId="77777777" w:rsidR="00280E04" w:rsidRPr="00B344B6" w:rsidRDefault="00280E04" w:rsidP="003309DA">
            <w:pPr>
              <w:spacing w:before="0" w:line="120" w:lineRule="auto"/>
              <w:rPr>
                <w:lang w:bidi="ar-EG"/>
              </w:rPr>
            </w:pPr>
          </w:p>
        </w:tc>
      </w:tr>
      <w:tr w:rsidR="00280E04" w:rsidRPr="00B344B6" w14:paraId="1F583E8C" w14:textId="77777777" w:rsidTr="000B0891">
        <w:trPr>
          <w:cantSplit/>
          <w:trHeight w:val="240"/>
        </w:trPr>
        <w:tc>
          <w:tcPr>
            <w:tcW w:w="6456" w:type="dxa"/>
            <w:gridSpan w:val="2"/>
            <w:tcBorders>
              <w:top w:val="single" w:sz="12" w:space="0" w:color="auto"/>
            </w:tcBorders>
          </w:tcPr>
          <w:p w14:paraId="0448E9A8"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7C388521" w14:textId="77777777" w:rsidR="00280E04" w:rsidRPr="000B0891" w:rsidRDefault="00280E04" w:rsidP="000B0891">
            <w:pPr>
              <w:spacing w:before="0" w:line="240" w:lineRule="exact"/>
              <w:rPr>
                <w:rFonts w:eastAsia="SimSun"/>
                <w:b/>
                <w:bCs/>
              </w:rPr>
            </w:pPr>
          </w:p>
        </w:tc>
      </w:tr>
      <w:tr w:rsidR="00AD538E" w:rsidRPr="00B344B6" w14:paraId="3692D0E1" w14:textId="77777777" w:rsidTr="008077A5">
        <w:trPr>
          <w:cantSplit/>
        </w:trPr>
        <w:tc>
          <w:tcPr>
            <w:tcW w:w="6456" w:type="dxa"/>
            <w:gridSpan w:val="2"/>
          </w:tcPr>
          <w:p w14:paraId="17644892" w14:textId="77777777" w:rsidR="00AD538E" w:rsidRPr="00BA665B" w:rsidRDefault="00D21D8E" w:rsidP="003309DA">
            <w:pPr>
              <w:pStyle w:val="Committee"/>
              <w:framePr w:hSpace="0" w:wrap="auto" w:hAnchor="text" w:yAlign="inline"/>
              <w:bidi/>
              <w:rPr>
                <w:rtl/>
              </w:rPr>
            </w:pPr>
            <w:r w:rsidRPr="00BA665B">
              <w:rPr>
                <w:rtl/>
              </w:rPr>
              <w:t>الجلسة العامة</w:t>
            </w:r>
          </w:p>
        </w:tc>
        <w:tc>
          <w:tcPr>
            <w:tcW w:w="3123" w:type="dxa"/>
            <w:gridSpan w:val="2"/>
          </w:tcPr>
          <w:p w14:paraId="7D40B5FE" w14:textId="68923C8D" w:rsidR="00AD538E" w:rsidRPr="00BA665B" w:rsidRDefault="00BA665B" w:rsidP="003309DA">
            <w:pPr>
              <w:pStyle w:val="Docnumber"/>
              <w:bidi/>
              <w:rPr>
                <w:lang w:val="en-US"/>
              </w:rPr>
            </w:pPr>
            <w:r>
              <w:rPr>
                <w:rFonts w:hint="cs"/>
                <w:rtl/>
              </w:rPr>
              <w:t xml:space="preserve">الإضافة </w:t>
            </w:r>
            <w:r>
              <w:rPr>
                <w:lang w:val="en-US"/>
              </w:rPr>
              <w:t>33</w:t>
            </w:r>
            <w:r w:rsidR="00D21D8E" w:rsidRPr="00BA665B">
              <w:br/>
            </w:r>
            <w:r>
              <w:rPr>
                <w:rFonts w:hint="cs"/>
                <w:rtl/>
              </w:rPr>
              <w:t xml:space="preserve">للوثيقة </w:t>
            </w:r>
            <w:r>
              <w:rPr>
                <w:lang w:val="en-US"/>
              </w:rPr>
              <w:t>35-A</w:t>
            </w:r>
          </w:p>
        </w:tc>
      </w:tr>
      <w:tr w:rsidR="006175E7" w:rsidRPr="00B344B6" w14:paraId="4E248B40" w14:textId="77777777" w:rsidTr="008077A5">
        <w:trPr>
          <w:cantSplit/>
        </w:trPr>
        <w:tc>
          <w:tcPr>
            <w:tcW w:w="6456" w:type="dxa"/>
            <w:gridSpan w:val="2"/>
          </w:tcPr>
          <w:p w14:paraId="3964081A" w14:textId="77777777" w:rsidR="006175E7" w:rsidRPr="00BA665B" w:rsidRDefault="006175E7" w:rsidP="009D0810">
            <w:pPr>
              <w:spacing w:before="0" w:line="240" w:lineRule="auto"/>
              <w:rPr>
                <w:b/>
                <w:bCs/>
                <w:rtl/>
              </w:rPr>
            </w:pPr>
          </w:p>
        </w:tc>
        <w:tc>
          <w:tcPr>
            <w:tcW w:w="3123" w:type="dxa"/>
            <w:gridSpan w:val="2"/>
          </w:tcPr>
          <w:p w14:paraId="4D97A868" w14:textId="77777777" w:rsidR="006175E7" w:rsidRPr="00BA665B" w:rsidRDefault="00EC0AD3" w:rsidP="009D0810">
            <w:pPr>
              <w:pStyle w:val="TopHeader"/>
              <w:bidi/>
              <w:spacing w:before="0"/>
              <w:rPr>
                <w:rFonts w:ascii="Dubai" w:hAnsi="Dubai" w:cs="Dubai"/>
                <w:sz w:val="22"/>
                <w:szCs w:val="22"/>
                <w:rtl/>
              </w:rPr>
            </w:pPr>
            <w:r w:rsidRPr="00BA665B">
              <w:rPr>
                <w:rFonts w:ascii="Dubai" w:eastAsia="SimSun" w:hAnsi="Dubai" w:cs="Dubai"/>
                <w:sz w:val="22"/>
                <w:szCs w:val="22"/>
              </w:rPr>
              <w:t>13</w:t>
            </w:r>
            <w:r w:rsidRPr="00BA665B">
              <w:rPr>
                <w:rFonts w:ascii="Dubai" w:eastAsia="SimSun" w:hAnsi="Dubai" w:cs="Dubai"/>
                <w:sz w:val="22"/>
                <w:szCs w:val="22"/>
                <w:rtl/>
              </w:rPr>
              <w:t xml:space="preserve"> سبتمبر </w:t>
            </w:r>
            <w:r w:rsidRPr="00BA665B">
              <w:rPr>
                <w:rFonts w:ascii="Dubai" w:eastAsia="SimSun" w:hAnsi="Dubai" w:cs="Dubai"/>
                <w:sz w:val="22"/>
                <w:szCs w:val="22"/>
              </w:rPr>
              <w:t>2024</w:t>
            </w:r>
          </w:p>
        </w:tc>
      </w:tr>
      <w:tr w:rsidR="006175E7" w:rsidRPr="00B344B6" w14:paraId="467EDEE8" w14:textId="77777777" w:rsidTr="008077A5">
        <w:trPr>
          <w:cantSplit/>
        </w:trPr>
        <w:tc>
          <w:tcPr>
            <w:tcW w:w="6456" w:type="dxa"/>
            <w:gridSpan w:val="2"/>
          </w:tcPr>
          <w:p w14:paraId="6AFEFE8C" w14:textId="77777777" w:rsidR="006175E7" w:rsidRPr="00BA665B" w:rsidRDefault="006175E7" w:rsidP="009D0810">
            <w:pPr>
              <w:spacing w:before="0" w:line="240" w:lineRule="auto"/>
              <w:rPr>
                <w:b/>
                <w:bCs/>
                <w:rtl/>
              </w:rPr>
            </w:pPr>
          </w:p>
        </w:tc>
        <w:tc>
          <w:tcPr>
            <w:tcW w:w="3123" w:type="dxa"/>
            <w:gridSpan w:val="2"/>
          </w:tcPr>
          <w:p w14:paraId="53783B11" w14:textId="77777777" w:rsidR="006175E7" w:rsidRPr="00BA665B" w:rsidRDefault="00EC0AD3" w:rsidP="009D0810">
            <w:pPr>
              <w:pStyle w:val="TopHeader"/>
              <w:bidi/>
              <w:spacing w:before="0"/>
              <w:rPr>
                <w:rFonts w:ascii="Dubai" w:eastAsia="SimSun" w:hAnsi="Dubai" w:cs="Dubai"/>
                <w:sz w:val="22"/>
                <w:szCs w:val="22"/>
              </w:rPr>
            </w:pPr>
            <w:r w:rsidRPr="00BA665B">
              <w:rPr>
                <w:rFonts w:ascii="Dubai" w:hAnsi="Dubai" w:cs="Dubai"/>
                <w:sz w:val="22"/>
                <w:szCs w:val="22"/>
                <w:rtl/>
              </w:rPr>
              <w:t>الأصل: بالإنكليزية</w:t>
            </w:r>
          </w:p>
        </w:tc>
      </w:tr>
      <w:tr w:rsidR="006175E7" w:rsidRPr="00B344B6" w14:paraId="30F85A95" w14:textId="77777777" w:rsidTr="008077A5">
        <w:trPr>
          <w:cantSplit/>
        </w:trPr>
        <w:tc>
          <w:tcPr>
            <w:tcW w:w="9579" w:type="dxa"/>
            <w:gridSpan w:val="4"/>
          </w:tcPr>
          <w:p w14:paraId="0C3A3B0F" w14:textId="77777777" w:rsidR="006175E7" w:rsidRPr="009D0810" w:rsidRDefault="006175E7" w:rsidP="000B0891">
            <w:pPr>
              <w:spacing w:before="0" w:line="240" w:lineRule="exact"/>
              <w:rPr>
                <w:rFonts w:eastAsia="SimSun"/>
                <w:b/>
                <w:bCs/>
              </w:rPr>
            </w:pPr>
          </w:p>
        </w:tc>
      </w:tr>
      <w:tr w:rsidR="006175E7" w:rsidRPr="00B344B6" w14:paraId="2303DFAC" w14:textId="77777777" w:rsidTr="008077A5">
        <w:trPr>
          <w:cantSplit/>
        </w:trPr>
        <w:tc>
          <w:tcPr>
            <w:tcW w:w="9579" w:type="dxa"/>
            <w:gridSpan w:val="4"/>
          </w:tcPr>
          <w:p w14:paraId="42B7DF72" w14:textId="41171AC9" w:rsidR="006175E7" w:rsidRPr="00B344B6" w:rsidRDefault="009D0BC4" w:rsidP="006175E7">
            <w:pPr>
              <w:pStyle w:val="Source"/>
              <w:rPr>
                <w:rtl/>
              </w:rPr>
            </w:pPr>
            <w:r w:rsidRPr="009D0BC4">
              <w:rPr>
                <w:rtl/>
              </w:rPr>
              <w:t>إدارات الاتحاد ال</w:t>
            </w:r>
            <w:r w:rsidR="005C11FE">
              <w:rPr>
                <w:rFonts w:hint="cs"/>
                <w:rtl/>
              </w:rPr>
              <w:t>إ</w:t>
            </w:r>
            <w:r w:rsidRPr="009D0BC4">
              <w:rPr>
                <w:rtl/>
              </w:rPr>
              <w:t>فريقي للاتصالات</w:t>
            </w:r>
          </w:p>
        </w:tc>
      </w:tr>
      <w:tr w:rsidR="006175E7" w:rsidRPr="00B344B6" w14:paraId="6D102A06" w14:textId="77777777" w:rsidTr="008077A5">
        <w:trPr>
          <w:cantSplit/>
        </w:trPr>
        <w:tc>
          <w:tcPr>
            <w:tcW w:w="9579" w:type="dxa"/>
            <w:gridSpan w:val="4"/>
          </w:tcPr>
          <w:p w14:paraId="66A8995B" w14:textId="4F38026C" w:rsidR="006175E7" w:rsidRPr="00D21D8E" w:rsidRDefault="009D0BC4" w:rsidP="006175E7">
            <w:pPr>
              <w:pStyle w:val="Title1"/>
              <w:spacing w:before="240"/>
              <w:rPr>
                <w:rtl/>
              </w:rPr>
            </w:pPr>
            <w:r w:rsidRPr="009D0BC4">
              <w:rPr>
                <w:rtl/>
              </w:rPr>
              <w:t>مشروع قرار جديد</w:t>
            </w:r>
            <w:r w:rsidR="005C11FE">
              <w:rPr>
                <w:rFonts w:hint="cs"/>
                <w:rtl/>
              </w:rPr>
              <w:t xml:space="preserve"> [</w:t>
            </w:r>
            <w:r w:rsidR="005C11FE" w:rsidRPr="009D0BC4">
              <w:t>ATU-DPI</w:t>
            </w:r>
            <w:r w:rsidR="005C11FE">
              <w:rPr>
                <w:rFonts w:hint="cs"/>
                <w:rtl/>
              </w:rPr>
              <w:t>]</w:t>
            </w:r>
            <w:r w:rsidR="008B208B">
              <w:rPr>
                <w:rFonts w:hint="cs"/>
                <w:rtl/>
              </w:rPr>
              <w:t xml:space="preserve"> </w:t>
            </w:r>
            <w:r w:rsidR="005C11FE">
              <w:rPr>
                <w:rFonts w:hint="cs"/>
                <w:rtl/>
              </w:rPr>
              <w:t xml:space="preserve">- </w:t>
            </w:r>
            <w:r w:rsidRPr="009D0BC4">
              <w:rPr>
                <w:rtl/>
              </w:rPr>
              <w:t xml:space="preserve">تعزيز أنشطة التقييس بشأن </w:t>
            </w:r>
            <w:r w:rsidR="00395C02">
              <w:rPr>
                <w:rtl/>
              </w:rPr>
              <w:br/>
            </w:r>
            <w:r w:rsidRPr="009D0BC4">
              <w:rPr>
                <w:rtl/>
              </w:rPr>
              <w:t>البنية التحتية العامة الرقمية لدعم التحول الرقمي في البلدان النامية</w:t>
            </w:r>
          </w:p>
        </w:tc>
      </w:tr>
      <w:tr w:rsidR="006175E7" w:rsidRPr="00B344B6" w14:paraId="61D49940" w14:textId="77777777" w:rsidTr="008077A5">
        <w:trPr>
          <w:cantSplit/>
          <w:trHeight w:hRule="exact" w:val="240"/>
        </w:trPr>
        <w:tc>
          <w:tcPr>
            <w:tcW w:w="9579" w:type="dxa"/>
            <w:gridSpan w:val="4"/>
          </w:tcPr>
          <w:p w14:paraId="20290C96" w14:textId="77777777" w:rsidR="006175E7" w:rsidRPr="00B344B6" w:rsidRDefault="006175E7" w:rsidP="006175E7">
            <w:pPr>
              <w:pStyle w:val="Title2"/>
              <w:spacing w:before="240"/>
            </w:pPr>
          </w:p>
        </w:tc>
      </w:tr>
      <w:tr w:rsidR="006175E7" w:rsidRPr="00B344B6" w14:paraId="37B55A4A" w14:textId="77777777" w:rsidTr="008077A5">
        <w:trPr>
          <w:cantSplit/>
          <w:trHeight w:hRule="exact" w:val="240"/>
        </w:trPr>
        <w:tc>
          <w:tcPr>
            <w:tcW w:w="9579" w:type="dxa"/>
            <w:gridSpan w:val="4"/>
          </w:tcPr>
          <w:p w14:paraId="34082662" w14:textId="77777777" w:rsidR="006175E7" w:rsidRPr="00B344B6" w:rsidRDefault="006175E7" w:rsidP="006175E7">
            <w:pPr>
              <w:pStyle w:val="Agendaitem"/>
              <w:spacing w:before="0" w:after="0"/>
              <w:rPr>
                <w:rtl/>
              </w:rPr>
            </w:pPr>
          </w:p>
        </w:tc>
      </w:tr>
    </w:tbl>
    <w:p w14:paraId="435596CF"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C0F20F9" w14:textId="77777777" w:rsidTr="008077A5">
        <w:tc>
          <w:tcPr>
            <w:tcW w:w="1355" w:type="dxa"/>
            <w:shd w:val="clear" w:color="auto" w:fill="FFFFFF"/>
          </w:tcPr>
          <w:p w14:paraId="45875971" w14:textId="77777777" w:rsidR="00314F41" w:rsidRPr="00B344B6" w:rsidRDefault="00314F41" w:rsidP="00395C02">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747F2082" w14:textId="7194A2AA" w:rsidR="00314F41" w:rsidRPr="00B344B6" w:rsidRDefault="00943A98" w:rsidP="0015537C">
            <w:pPr>
              <w:pStyle w:val="Abstract"/>
              <w:bidi/>
              <w:spacing w:line="192" w:lineRule="auto"/>
              <w:rPr>
                <w:rFonts w:ascii="Dubai" w:eastAsia="SimSun" w:hAnsi="Dubai" w:cs="Dubai"/>
                <w:position w:val="2"/>
                <w:sz w:val="22"/>
                <w:szCs w:val="22"/>
                <w:rtl/>
                <w:lang w:val="fr-FR" w:eastAsia="zh-CN" w:bidi="ar-EG"/>
              </w:rPr>
            </w:pPr>
            <w:r w:rsidRPr="00943A98">
              <w:rPr>
                <w:rFonts w:ascii="Dubai" w:hAnsi="Dubai" w:cs="Dubai"/>
                <w:sz w:val="22"/>
                <w:szCs w:val="22"/>
                <w:rtl/>
                <w:lang w:val="en-GB"/>
              </w:rPr>
              <w:t xml:space="preserve">يستجيب مشروع القرار هذا للخطة الاستراتيجية للاتحاد للفترة </w:t>
            </w:r>
            <w:r w:rsidR="008B208B">
              <w:rPr>
                <w:rFonts w:ascii="Dubai" w:hAnsi="Dubai" w:cs="Dubai"/>
                <w:sz w:val="22"/>
                <w:szCs w:val="22"/>
                <w:lang w:val="en-GB"/>
              </w:rPr>
              <w:t>2027-2024</w:t>
            </w:r>
            <w:r w:rsidRPr="00943A98">
              <w:rPr>
                <w:rFonts w:ascii="Dubai" w:hAnsi="Dubai" w:cs="Dubai"/>
                <w:sz w:val="22"/>
                <w:szCs w:val="22"/>
                <w:rtl/>
                <w:lang w:val="en-GB"/>
              </w:rPr>
              <w:t>، التي تكر</w:t>
            </w:r>
            <w:r w:rsidR="00395C02">
              <w:rPr>
                <w:rFonts w:ascii="Dubai" w:hAnsi="Dubai" w:cs="Dubai" w:hint="cs"/>
                <w:sz w:val="22"/>
                <w:szCs w:val="22"/>
                <w:rtl/>
                <w:lang w:val="en-GB"/>
              </w:rPr>
              <w:t>ّ</w:t>
            </w:r>
            <w:r w:rsidRPr="00943A98">
              <w:rPr>
                <w:rFonts w:ascii="Dubai" w:hAnsi="Dubai" w:cs="Dubai"/>
                <w:sz w:val="22"/>
                <w:szCs w:val="22"/>
                <w:rtl/>
                <w:lang w:val="en-GB"/>
              </w:rPr>
              <w:t xml:space="preserve">س التحول الرقمي المستدام بوصفه هدفاً استراتيجياً للاتحاد في تيسير التقدم نحو تنفيذ خطوط عمل القمة العالمية لمجتمع المعلومات </w:t>
            </w:r>
            <w:r w:rsidR="005C11FE">
              <w:rPr>
                <w:rFonts w:ascii="Dubai" w:hAnsi="Dubai" w:cs="Dubai" w:hint="cs"/>
                <w:sz w:val="22"/>
                <w:szCs w:val="22"/>
                <w:rtl/>
                <w:lang w:val="en-GB"/>
              </w:rPr>
              <w:t>(</w:t>
            </w:r>
            <w:r w:rsidR="005C11FE" w:rsidRPr="00943A98">
              <w:rPr>
                <w:rFonts w:ascii="Dubai" w:hAnsi="Dubai" w:cs="Dubai"/>
                <w:sz w:val="22"/>
                <w:szCs w:val="22"/>
                <w:lang w:val="en-GB"/>
              </w:rPr>
              <w:t>WSIS</w:t>
            </w:r>
            <w:r w:rsidR="005C11FE">
              <w:rPr>
                <w:rFonts w:ascii="Dubai" w:hAnsi="Dubai" w:cs="Dubai" w:hint="cs"/>
                <w:sz w:val="22"/>
                <w:szCs w:val="22"/>
                <w:rtl/>
                <w:lang w:val="en-GB"/>
              </w:rPr>
              <w:t xml:space="preserve">) </w:t>
            </w:r>
            <w:r w:rsidRPr="00943A98">
              <w:rPr>
                <w:rFonts w:ascii="Dubai" w:hAnsi="Dubai" w:cs="Dubai"/>
                <w:sz w:val="22"/>
                <w:szCs w:val="22"/>
                <w:rtl/>
                <w:lang w:val="en-GB"/>
              </w:rPr>
              <w:t>وخطة التنمية المستدامة لعام 2030.</w:t>
            </w:r>
          </w:p>
        </w:tc>
      </w:tr>
      <w:tr w:rsidR="00314F41" w:rsidRPr="00B344B6" w14:paraId="2F3D8703" w14:textId="77777777" w:rsidTr="008077A5">
        <w:tc>
          <w:tcPr>
            <w:tcW w:w="1355" w:type="dxa"/>
            <w:shd w:val="clear" w:color="auto" w:fill="FFFFFF"/>
            <w:hideMark/>
          </w:tcPr>
          <w:p w14:paraId="7B70D322"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3260C806" w14:textId="6E313709" w:rsidR="00314F41" w:rsidRPr="00B344B6" w:rsidRDefault="00BA665B" w:rsidP="0015537C">
            <w:pPr>
              <w:jc w:val="left"/>
              <w:rPr>
                <w:rFonts w:eastAsia="SimSun"/>
                <w:position w:val="2"/>
                <w:lang w:val="en-GB" w:eastAsia="zh-CN"/>
              </w:rPr>
            </w:pPr>
            <w:r>
              <w:t>Isaac Boateng</w:t>
            </w:r>
            <w:r w:rsidR="00314F41" w:rsidRPr="00B344B6">
              <w:br/>
            </w:r>
            <w:r w:rsidR="005C11FE" w:rsidRPr="005C11FE">
              <w:rPr>
                <w:rtl/>
              </w:rPr>
              <w:t>الاتحاد ال</w:t>
            </w:r>
            <w:r w:rsidR="005C11FE">
              <w:rPr>
                <w:rFonts w:hint="cs"/>
                <w:rtl/>
                <w:lang w:bidi="ar-AE"/>
              </w:rPr>
              <w:t>إ</w:t>
            </w:r>
            <w:r w:rsidR="005C11FE" w:rsidRPr="005C11FE">
              <w:rPr>
                <w:rtl/>
              </w:rPr>
              <w:t>فريقي للاتصالات</w:t>
            </w:r>
          </w:p>
        </w:tc>
        <w:tc>
          <w:tcPr>
            <w:tcW w:w="4250" w:type="dxa"/>
            <w:shd w:val="clear" w:color="auto" w:fill="FFFFFF"/>
          </w:tcPr>
          <w:p w14:paraId="45E64DA5" w14:textId="67AA4FD5" w:rsidR="00314F41" w:rsidRPr="00B344B6" w:rsidRDefault="00314F41" w:rsidP="0015537C">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BA665B" w:rsidRPr="00686F56">
                <w:rPr>
                  <w:rStyle w:val="Hyperlink"/>
                  <w:lang w:val="fr-CH"/>
                </w:rPr>
                <w:t>i.boateng@atuuat.africa</w:t>
              </w:r>
            </w:hyperlink>
          </w:p>
        </w:tc>
      </w:tr>
    </w:tbl>
    <w:p w14:paraId="66715049" w14:textId="7DEE579E" w:rsidR="00314F41" w:rsidRDefault="00BA665B" w:rsidP="00BA665B">
      <w:pPr>
        <w:pStyle w:val="Headingb"/>
        <w:rPr>
          <w:rtl/>
        </w:rPr>
      </w:pPr>
      <w:r>
        <w:rPr>
          <w:rFonts w:hint="cs"/>
          <w:rtl/>
        </w:rPr>
        <w:t>مقدمة</w:t>
      </w:r>
    </w:p>
    <w:p w14:paraId="3BA43E09" w14:textId="2B613656" w:rsidR="00BA665B" w:rsidRPr="008B208B" w:rsidRDefault="00943A98" w:rsidP="00943A98">
      <w:pPr>
        <w:rPr>
          <w:spacing w:val="-2"/>
          <w:rtl/>
        </w:rPr>
      </w:pPr>
      <w:r w:rsidRPr="008B208B">
        <w:rPr>
          <w:spacing w:val="-2"/>
          <w:rtl/>
        </w:rPr>
        <w:t xml:space="preserve">يمكن تحويل تقديم خدمات القطاعين العام والخاص من خلال الرقمنة والتقدم التكنولوجي. ومع ذلك، يمكن أن تؤدي الحلول الرقمية العامة التي استُحدثت بمعزل عن الآخرين إلى استعمال دون المستوى المثالي للموارد وتكاليف الفرصة البديلة. وفي الآونة الأخيرة، يوفر نهج البنية التحتية العامة الرقمية </w:t>
      </w:r>
      <w:r w:rsidR="005C11FE" w:rsidRPr="008B208B">
        <w:rPr>
          <w:rFonts w:hint="cs"/>
          <w:spacing w:val="-2"/>
          <w:rtl/>
        </w:rPr>
        <w:t>(</w:t>
      </w:r>
      <w:r w:rsidR="005C11FE" w:rsidRPr="008B208B">
        <w:rPr>
          <w:spacing w:val="-2"/>
        </w:rPr>
        <w:t>DPI</w:t>
      </w:r>
      <w:r w:rsidR="005C11FE" w:rsidRPr="008B208B">
        <w:rPr>
          <w:rFonts w:hint="cs"/>
          <w:spacing w:val="-2"/>
          <w:rtl/>
        </w:rPr>
        <w:t xml:space="preserve">) </w:t>
      </w:r>
      <w:r w:rsidRPr="008B208B">
        <w:rPr>
          <w:spacing w:val="-2"/>
          <w:rtl/>
        </w:rPr>
        <w:t>الذي نشره عدد من البلدان</w:t>
      </w:r>
      <w:r w:rsidR="005C11FE" w:rsidRPr="008B208B">
        <w:rPr>
          <w:rFonts w:hint="cs"/>
          <w:spacing w:val="-2"/>
          <w:rtl/>
        </w:rPr>
        <w:t>،</w:t>
      </w:r>
      <w:r w:rsidRPr="008B208B">
        <w:rPr>
          <w:spacing w:val="-2"/>
          <w:rtl/>
        </w:rPr>
        <w:t xml:space="preserve"> عوضاً عن ذلك</w:t>
      </w:r>
      <w:r w:rsidR="005C11FE" w:rsidRPr="008B208B">
        <w:rPr>
          <w:rFonts w:hint="cs"/>
          <w:spacing w:val="-2"/>
          <w:rtl/>
        </w:rPr>
        <w:t>،</w:t>
      </w:r>
      <w:r w:rsidRPr="008B208B">
        <w:rPr>
          <w:spacing w:val="-2"/>
          <w:rtl/>
        </w:rPr>
        <w:t xml:space="preserve"> بنية تحتية تكنولوجية مشتركة قابلة للتشغيل البيني ومبنية على معايير مفتوحة. ويسمح هذا النهج بمزيد من المنافسة والابتكار والشمول في إعداد الحلول الرقمية للخدمات العامة. ويكفل إمكانية أن تكون البيانات قابلة للتشغيل البيني، مع الموافقة اللازمة. ومن المهم كثيراً أن تكون البنية التحتية العامة الرقمية مصممة بحيث تولي الأولوية للنهج الشاملة القائمة على الحقوق للمستعملين، بما في ذلك حماية البيانات الشخصية والخصوصية. ويمكن أن يفيد تطبيق نهج البنية التحتية العامة الرقمية الخدمات العامة في عدد من المجالات، مثل الهوية الرقمية، وأنظمة تبادل البيانات القائمة على الموافقة، وأنظمة الدفع الرقمية، والسجلات الصحية، والترخيص للسائقين والمركبات، والتعليم، وسجلات العدالة، والزراعة وغير ذلك. ويمكن أن تؤثر الهوية الرقمية بصورة خاصة تأثيراً كبيراً على سرعة المعاملات، إذ تؤثر في كل هذه القطاعات الأسياسية. وبالإضافة إلى ذلك، يمكن أن تساعد المحافظ الرقمية الأشخاص على إجراء المعاملات على الخط، فيما تمنحهم قدرة التحكم في المعلومات التي يشاركونها وما هي الجهات التي يتشاركون معها.</w:t>
      </w:r>
    </w:p>
    <w:p w14:paraId="48615F54" w14:textId="360A897E" w:rsidR="00BA665B" w:rsidRDefault="00BA665B" w:rsidP="00BA665B">
      <w:pPr>
        <w:pStyle w:val="Headingb"/>
        <w:rPr>
          <w:rtl/>
        </w:rPr>
      </w:pPr>
      <w:r>
        <w:rPr>
          <w:rFonts w:hint="cs"/>
          <w:rtl/>
        </w:rPr>
        <w:t>المقترح</w:t>
      </w:r>
    </w:p>
    <w:p w14:paraId="2421E453" w14:textId="54FA3404" w:rsidR="002F3E46" w:rsidRPr="00B344B6" w:rsidRDefault="00943A98" w:rsidP="00523D37">
      <w:r w:rsidRPr="00943A98">
        <w:rPr>
          <w:rtl/>
        </w:rPr>
        <w:t xml:space="preserve">يستجيب مشروع القرار هذا للخطة الاستراتيجية للاتحاد للفترة </w:t>
      </w:r>
      <w:r w:rsidR="008B208B">
        <w:t>2027-2024</w:t>
      </w:r>
      <w:r w:rsidRPr="00943A98">
        <w:rPr>
          <w:rtl/>
        </w:rPr>
        <w:t>، التي تكر</w:t>
      </w:r>
      <w:r w:rsidR="00395C02">
        <w:rPr>
          <w:rFonts w:hint="cs"/>
          <w:rtl/>
        </w:rPr>
        <w:t>ّ</w:t>
      </w:r>
      <w:r w:rsidRPr="00943A98">
        <w:rPr>
          <w:rtl/>
        </w:rPr>
        <w:t xml:space="preserve">س التحول الرقمي المستدام بوصفه هدفاً استراتيجياً للاتحاد في تيسير التقدم نحو تنفيذ خطوط عمل القمة العالمية لمجتمع المعلومات </w:t>
      </w:r>
      <w:r w:rsidR="005C11FE">
        <w:rPr>
          <w:rFonts w:hint="cs"/>
          <w:rtl/>
        </w:rPr>
        <w:t>(</w:t>
      </w:r>
      <w:r w:rsidR="005C11FE" w:rsidRPr="00943A98">
        <w:t>WSIS</w:t>
      </w:r>
      <w:r w:rsidR="005C11FE">
        <w:rPr>
          <w:rFonts w:hint="cs"/>
          <w:rtl/>
        </w:rPr>
        <w:t xml:space="preserve">) </w:t>
      </w:r>
      <w:r w:rsidRPr="00943A98">
        <w:rPr>
          <w:rtl/>
        </w:rPr>
        <w:t>وخطة التنمية المستدامة لعام 2030.</w:t>
      </w:r>
    </w:p>
    <w:p w14:paraId="33D7EE91" w14:textId="5B512465" w:rsidR="00764763" w:rsidRDefault="0012545F" w:rsidP="008B208B">
      <w:pPr>
        <w:pStyle w:val="Proposal"/>
        <w:jc w:val="left"/>
      </w:pPr>
      <w:r w:rsidRPr="00B344B6">
        <w:rPr>
          <w:rtl/>
        </w:rPr>
        <w:br w:type="page"/>
      </w:r>
      <w:r w:rsidR="00842106">
        <w:lastRenderedPageBreak/>
        <w:t>ADD</w:t>
      </w:r>
      <w:r w:rsidR="00842106">
        <w:tab/>
        <w:t>ATU/35A33/1</w:t>
      </w:r>
    </w:p>
    <w:p w14:paraId="49E27BE2" w14:textId="6EE82B75" w:rsidR="00764763" w:rsidRDefault="00842106" w:rsidP="005C11FE">
      <w:pPr>
        <w:pStyle w:val="ResNo"/>
      </w:pPr>
      <w:r>
        <w:rPr>
          <w:rFonts w:hint="cs"/>
          <w:rtl/>
        </w:rPr>
        <w:t>مشروع قرار جديد</w:t>
      </w:r>
      <w:r w:rsidR="005C11FE">
        <w:rPr>
          <w:rFonts w:hint="cs"/>
          <w:rtl/>
        </w:rPr>
        <w:t xml:space="preserve"> [</w:t>
      </w:r>
      <w:r w:rsidR="005C11FE">
        <w:t>ATU-DPI</w:t>
      </w:r>
      <w:r w:rsidR="005C11FE">
        <w:rPr>
          <w:rFonts w:hint="cs"/>
          <w:rtl/>
        </w:rPr>
        <w:t>]</w:t>
      </w:r>
      <w:r w:rsidR="005B4EA7" w:rsidRPr="005B4EA7">
        <w:rPr>
          <w:rFonts w:hint="cs"/>
          <w:rtl/>
        </w:rPr>
        <w:t xml:space="preserve"> </w:t>
      </w:r>
      <w:r w:rsidR="00BA665B">
        <w:rPr>
          <w:rFonts w:hint="cs"/>
          <w:rtl/>
        </w:rPr>
        <w:t xml:space="preserve">(نيودلهي، </w:t>
      </w:r>
      <w:r w:rsidR="00BA665B">
        <w:t>2024</w:t>
      </w:r>
      <w:r w:rsidR="00BA665B">
        <w:rPr>
          <w:rFonts w:hint="cs"/>
          <w:rtl/>
        </w:rPr>
        <w:t>)</w:t>
      </w:r>
    </w:p>
    <w:p w14:paraId="38E5C547" w14:textId="0A0E60C0" w:rsidR="005B4EA7" w:rsidRPr="005B4EA7" w:rsidRDefault="005B4EA7" w:rsidP="0015537C">
      <w:pPr>
        <w:pStyle w:val="Restitle"/>
        <w:rPr>
          <w:rFonts w:eastAsia="DengXian"/>
          <w:rtl/>
          <w:lang w:val="ar-SA" w:eastAsia="zh-TW"/>
        </w:rPr>
      </w:pPr>
      <w:r w:rsidRPr="005B4EA7">
        <w:rPr>
          <w:rFonts w:eastAsia="DengXian"/>
          <w:rtl/>
          <w:lang w:val="en-GB" w:eastAsia="zh-CN"/>
        </w:rPr>
        <w:t>تعزيز أنشطة التقييس المتعلقة بالبنية التحتية العامة الرقمية</w:t>
      </w:r>
      <w:r w:rsidR="008B208B">
        <w:rPr>
          <w:rFonts w:eastAsia="DengXian"/>
          <w:lang w:val="en-GB" w:eastAsia="zh-CN"/>
        </w:rPr>
        <w:br/>
      </w:r>
      <w:r w:rsidRPr="005B4EA7">
        <w:rPr>
          <w:rFonts w:eastAsia="DengXian"/>
          <w:rtl/>
          <w:lang w:val="en-GB" w:eastAsia="zh-CN"/>
        </w:rPr>
        <w:t>من أجل دعم التحول الرقمي في البلدان النامية</w:t>
      </w:r>
    </w:p>
    <w:p w14:paraId="2028363E" w14:textId="615D5676" w:rsidR="00BA665B" w:rsidRPr="008B208B" w:rsidRDefault="005B4EA7" w:rsidP="008B208B">
      <w:pPr>
        <w:pStyle w:val="Resref"/>
        <w:rPr>
          <w:rFonts w:eastAsia="DengXian"/>
          <w:lang w:eastAsia="zh-TW"/>
        </w:rPr>
      </w:pPr>
      <w:r w:rsidRPr="005B4EA7">
        <w:rPr>
          <w:rFonts w:eastAsia="DengXian"/>
          <w:rtl/>
          <w:lang w:val="en-GB" w:eastAsia="zh-CN"/>
        </w:rPr>
        <w:t>(نيودلهي، 2024)</w:t>
      </w:r>
    </w:p>
    <w:p w14:paraId="72507996" w14:textId="1408C2AD" w:rsidR="00BA665B" w:rsidRPr="00BA665B" w:rsidRDefault="00BA665B" w:rsidP="0015537C">
      <w:pPr>
        <w:pStyle w:val="Normalaftertitle"/>
        <w:spacing w:before="120"/>
        <w:rPr>
          <w:rtl/>
          <w:lang w:bidi="ar-EG"/>
        </w:rPr>
      </w:pPr>
      <w:r w:rsidRPr="00BA665B">
        <w:rPr>
          <w:rFonts w:hint="cs"/>
          <w:rtl/>
          <w:lang w:bidi="ar-EG"/>
        </w:rPr>
        <w:t xml:space="preserve">إن الجمعية العالمية لتقييس الاتصالات (نيودلهي، </w:t>
      </w:r>
      <w:r w:rsidRPr="00BA665B">
        <w:rPr>
          <w:lang w:bidi="ar-EG"/>
        </w:rPr>
        <w:t>2024</w:t>
      </w:r>
      <w:r w:rsidRPr="00BA665B">
        <w:rPr>
          <w:rFonts w:hint="cs"/>
          <w:rtl/>
          <w:lang w:bidi="ar-EG"/>
        </w:rPr>
        <w:t>)</w:t>
      </w:r>
    </w:p>
    <w:p w14:paraId="6A8D299C" w14:textId="77777777" w:rsidR="0015537C" w:rsidRPr="0015537C" w:rsidRDefault="0015537C" w:rsidP="0015537C">
      <w:pPr>
        <w:pStyle w:val="Call"/>
        <w:spacing w:before="120"/>
        <w:rPr>
          <w:rtl/>
          <w:lang w:bidi="ar-EG"/>
        </w:rPr>
      </w:pPr>
      <w:r w:rsidRPr="0015537C">
        <w:rPr>
          <w:rtl/>
        </w:rPr>
        <w:t>إذ تذكِّر</w:t>
      </w:r>
    </w:p>
    <w:p w14:paraId="1E9D4A78" w14:textId="77777777" w:rsidR="005B4EA7" w:rsidRDefault="00BA665B" w:rsidP="0015537C">
      <w:pPr>
        <w:rPr>
          <w:lang w:bidi="ar-EG"/>
        </w:rPr>
      </w:pPr>
      <w:r w:rsidRPr="00BA665B">
        <w:rPr>
          <w:rFonts w:hint="cs"/>
          <w:i/>
          <w:iCs/>
          <w:rtl/>
          <w:lang w:bidi="ar-EG"/>
        </w:rPr>
        <w:t> أ )</w:t>
      </w:r>
      <w:r>
        <w:rPr>
          <w:rtl/>
          <w:lang w:bidi="ar-EG"/>
        </w:rPr>
        <w:tab/>
      </w:r>
      <w:r w:rsidR="005B4EA7" w:rsidRPr="005B4EA7">
        <w:rPr>
          <w:rtl/>
          <w:lang w:bidi="ar-EG"/>
        </w:rPr>
        <w:t>بالرقم 13 في المادة 1 من دستور الاتحاد الذي ينص على أن الاتحاد يسهل تقييس الاتصالات على الصعيد العالمي مع نوعية خدمة مرضية؛</w:t>
      </w:r>
    </w:p>
    <w:p w14:paraId="1CF7F3BC" w14:textId="2710A681" w:rsidR="005B4EA7" w:rsidRPr="005B4EA7" w:rsidRDefault="00BA665B" w:rsidP="0015537C">
      <w:pPr>
        <w:textDirection w:val="tbRlV"/>
        <w:rPr>
          <w:rFonts w:eastAsia="DengXian"/>
          <w:rtl/>
          <w:lang w:val="ar-SA" w:eastAsia="zh-TW"/>
        </w:rPr>
      </w:pPr>
      <w:r>
        <w:rPr>
          <w:rFonts w:hint="cs"/>
          <w:i/>
          <w:iCs/>
          <w:rtl/>
          <w:lang w:bidi="ar-EG"/>
        </w:rPr>
        <w:t>ب)</w:t>
      </w:r>
      <w:r>
        <w:rPr>
          <w:rtl/>
          <w:lang w:bidi="ar-EG"/>
        </w:rPr>
        <w:tab/>
      </w:r>
      <w:r w:rsidR="005B4EA7" w:rsidRPr="005B4EA7">
        <w:rPr>
          <w:rFonts w:eastAsia="DengXian"/>
          <w:rtl/>
          <w:lang w:val="en-GB" w:eastAsia="zh-CN"/>
        </w:rPr>
        <w:t>بأن المادة 17 من دستور الاتحاد تذكر أن وظائف قطاع تقييس الاتصالات في الاتحاد</w:t>
      </w:r>
      <w:r w:rsidR="00AD71E1">
        <w:rPr>
          <w:rFonts w:eastAsia="DengXian" w:hint="cs"/>
          <w:rtl/>
          <w:lang w:val="en-GB" w:eastAsia="zh-CN"/>
        </w:rPr>
        <w:t xml:space="preserve"> (</w:t>
      </w:r>
      <w:r w:rsidR="00AD71E1" w:rsidRPr="005B4EA7">
        <w:rPr>
          <w:rFonts w:eastAsia="DengXian"/>
          <w:lang w:val="en-GB" w:eastAsia="zh-CN"/>
        </w:rPr>
        <w:t>ITU-T</w:t>
      </w:r>
      <w:r w:rsidR="00AD71E1">
        <w:rPr>
          <w:rFonts w:eastAsia="DengXian" w:hint="cs"/>
          <w:rtl/>
          <w:lang w:val="en-GB" w:eastAsia="zh-CN"/>
        </w:rPr>
        <w:t xml:space="preserve">) </w:t>
      </w:r>
      <w:r w:rsidR="005B4EA7" w:rsidRPr="005B4EA7">
        <w:rPr>
          <w:rFonts w:eastAsia="DengXian"/>
          <w:rtl/>
          <w:lang w:val="en-GB" w:eastAsia="zh-CN"/>
        </w:rPr>
        <w:t>تتمثل في الوفاء بشكل كامل بأهداف الاتحاد مع مراعاة الاعتبارات الخاصة بالبلدان النامية؛</w:t>
      </w:r>
    </w:p>
    <w:p w14:paraId="4E10A406" w14:textId="10DF06F9" w:rsidR="00BA665B" w:rsidRDefault="00BA665B" w:rsidP="0015537C">
      <w:pPr>
        <w:rPr>
          <w:rtl/>
          <w:lang w:bidi="ar-EG"/>
        </w:rPr>
      </w:pPr>
      <w:r>
        <w:rPr>
          <w:rFonts w:hint="cs"/>
          <w:i/>
          <w:iCs/>
          <w:rtl/>
          <w:lang w:bidi="ar-EG"/>
        </w:rPr>
        <w:t>ج)</w:t>
      </w:r>
      <w:r>
        <w:rPr>
          <w:rtl/>
          <w:lang w:bidi="ar-EG"/>
        </w:rPr>
        <w:tab/>
      </w:r>
      <w:r w:rsidR="005B4EA7" w:rsidRPr="00C7552E">
        <w:rPr>
          <w:rtl/>
        </w:rPr>
        <w:t xml:space="preserve">بأن الخطة الاستراتيجية للاتحاد للفترة </w:t>
      </w:r>
      <w:r w:rsidR="008B208B">
        <w:t>2027-2024</w:t>
      </w:r>
      <w:r w:rsidR="005B4EA7" w:rsidRPr="00C7552E">
        <w:rPr>
          <w:rtl/>
        </w:rPr>
        <w:t>، المعتمدة بموجب القرار 71 (المراجَع في بوخارست، 2022) لمؤتمر المندوبين المفوضين، تنص على أن التحول الرقمي المستدام هو هدف استراتيجي للاتحاد في تيسير التقدم نحو تنفيذ خطوط عمل القمة العالمية لمجتمع المعلومات (</w:t>
      </w:r>
      <w:r w:rsidR="005B4EA7" w:rsidRPr="00C7552E">
        <w:t>WSIS</w:t>
      </w:r>
      <w:r w:rsidR="005B4EA7" w:rsidRPr="00C7552E">
        <w:rPr>
          <w:rtl/>
        </w:rPr>
        <w:t>) وخطة التنمية المستدامة لعام 2030؛</w:t>
      </w:r>
    </w:p>
    <w:p w14:paraId="4EC7CBA1" w14:textId="63592ACD" w:rsidR="0015537C" w:rsidRDefault="00BA665B" w:rsidP="0015537C">
      <w:r>
        <w:rPr>
          <w:rFonts w:hint="cs"/>
          <w:i/>
          <w:iCs/>
          <w:rtl/>
          <w:lang w:bidi="ar-EG"/>
        </w:rPr>
        <w:t>د )</w:t>
      </w:r>
      <w:r>
        <w:rPr>
          <w:rtl/>
          <w:lang w:bidi="ar-EG"/>
        </w:rPr>
        <w:tab/>
      </w:r>
      <w:r w:rsidR="005B4EA7" w:rsidRPr="00C7552E">
        <w:rPr>
          <w:rtl/>
        </w:rPr>
        <w:t xml:space="preserve">بقرار مجلس الاتحاد 1353 (جنيف، 2012) الذي </w:t>
      </w:r>
      <w:r w:rsidR="00AD71E1">
        <w:rPr>
          <w:rFonts w:hint="cs"/>
          <w:rtl/>
        </w:rPr>
        <w:t>يقرّ</w:t>
      </w:r>
      <w:r w:rsidR="005B4EA7" w:rsidRPr="00C7552E">
        <w:rPr>
          <w:rtl/>
        </w:rPr>
        <w:t xml:space="preserve"> بأن الاتصالات وتكنولوجيا المعلومات والاتصالات هي عناصر أساسية للبلدان المتقدمة والبلدان النامية لتحقيق التنمية المستدامة، ويكلف الأمين العام، بالتعاون مع مديري المكاتب، بتحديد الأنشطة الجديدة التي ينبغي أن يضطلع بها الاتحاد لدعم البلدان النامية في سبيل تحقيق التنمية المستدامة من خلال الاتصالات وتكنولوجيا المعلومات والاتصالات،</w:t>
      </w:r>
    </w:p>
    <w:p w14:paraId="3DC9A361" w14:textId="61DBAC10" w:rsidR="00BA665B" w:rsidRPr="0015537C" w:rsidRDefault="00BA665B" w:rsidP="0015537C">
      <w:pPr>
        <w:pStyle w:val="Call"/>
        <w:spacing w:before="120"/>
        <w:rPr>
          <w:rtl/>
        </w:rPr>
      </w:pPr>
      <w:r w:rsidRPr="005B4EA7">
        <w:rPr>
          <w:rFonts w:hint="cs"/>
          <w:rtl/>
          <w:lang w:bidi="ar-EG"/>
        </w:rPr>
        <w:t>وإذ تدرك</w:t>
      </w:r>
    </w:p>
    <w:p w14:paraId="4AABC161" w14:textId="660A154F" w:rsidR="005B4EA7" w:rsidRPr="005B4EA7" w:rsidRDefault="00BA665B" w:rsidP="0015537C">
      <w:pPr>
        <w:textDirection w:val="tbRlV"/>
        <w:rPr>
          <w:rFonts w:eastAsia="DengXian"/>
          <w:rtl/>
          <w:lang w:val="ar-SA" w:eastAsia="zh-TW"/>
        </w:rPr>
      </w:pPr>
      <w:r w:rsidRPr="00BA665B">
        <w:rPr>
          <w:rFonts w:hint="cs"/>
          <w:i/>
          <w:iCs/>
          <w:rtl/>
          <w:lang w:bidi="ar-EG"/>
        </w:rPr>
        <w:t> أ )</w:t>
      </w:r>
      <w:r>
        <w:rPr>
          <w:rtl/>
          <w:lang w:bidi="ar-EG"/>
        </w:rPr>
        <w:tab/>
      </w:r>
      <w:r w:rsidR="005B4EA7" w:rsidRPr="005B4EA7">
        <w:rPr>
          <w:rFonts w:eastAsia="DengXian"/>
          <w:rtl/>
          <w:lang w:val="en-GB" w:eastAsia="zh-CN"/>
        </w:rPr>
        <w:t>أن لجنة الدراسات 17 لقطاع تقييس الاتصالات شاركت في دراسة بعض اللبنات الأساسية للبنية التحتية العامة الرقمية من خلال فريق المق</w:t>
      </w:r>
      <w:r w:rsidR="00E64E60">
        <w:rPr>
          <w:rFonts w:eastAsia="DengXian" w:hint="cs"/>
          <w:rtl/>
          <w:lang w:val="en-GB" w:eastAsia="zh-CN"/>
        </w:rPr>
        <w:t>رّ</w:t>
      </w:r>
      <w:r w:rsidR="005B4EA7" w:rsidRPr="005B4EA7">
        <w:rPr>
          <w:rFonts w:eastAsia="DengXian"/>
          <w:rtl/>
          <w:lang w:val="en-GB" w:eastAsia="zh-CN"/>
        </w:rPr>
        <w:t>ر المعني بإدارة هوية</w:t>
      </w:r>
      <w:r w:rsidR="00682B23">
        <w:rPr>
          <w:rFonts w:eastAsia="DengXian" w:hint="cs"/>
          <w:rtl/>
          <w:lang w:val="en-GB" w:eastAsia="zh-CN"/>
        </w:rPr>
        <w:t>،</w:t>
      </w:r>
    </w:p>
    <w:p w14:paraId="5228CCA5" w14:textId="5278B766" w:rsidR="00BA665B" w:rsidRDefault="00505E57" w:rsidP="0015537C">
      <w:pPr>
        <w:pStyle w:val="Call"/>
        <w:spacing w:before="120"/>
        <w:rPr>
          <w:rtl/>
          <w:lang w:bidi="ar-EG"/>
        </w:rPr>
      </w:pPr>
      <w:r>
        <w:rPr>
          <w:rFonts w:hint="cs"/>
          <w:rtl/>
          <w:lang w:bidi="ar-EG"/>
        </w:rPr>
        <w:t>و</w:t>
      </w:r>
      <w:r w:rsidR="00BA665B">
        <w:rPr>
          <w:rFonts w:hint="cs"/>
          <w:rtl/>
          <w:lang w:bidi="ar-EG"/>
        </w:rPr>
        <w:t>إذ تضع في اعتبارها</w:t>
      </w:r>
    </w:p>
    <w:p w14:paraId="5824CD68" w14:textId="398B50D2" w:rsidR="005B4EA7" w:rsidRPr="005B4EA7" w:rsidRDefault="008B208B"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Pr>
          <w:rFonts w:eastAsia="DengXian"/>
          <w:i/>
          <w:iCs/>
          <w:lang w:val="en-GB" w:eastAsia="zh-CN"/>
        </w:rPr>
        <w:t> </w:t>
      </w:r>
      <w:r w:rsidR="005B4EA7" w:rsidRPr="005B4EA7">
        <w:rPr>
          <w:rFonts w:eastAsia="DengXian"/>
          <w:i/>
          <w:iCs/>
          <w:rtl/>
          <w:lang w:val="en-GB" w:eastAsia="zh-CN"/>
        </w:rPr>
        <w:t>أ</w:t>
      </w:r>
      <w:r>
        <w:rPr>
          <w:rFonts w:eastAsia="DengXian"/>
          <w:i/>
          <w:iCs/>
          <w:lang w:val="en-GB" w:eastAsia="zh-CN"/>
        </w:rPr>
        <w:t> </w:t>
      </w:r>
      <w:r w:rsidR="005B4EA7" w:rsidRPr="005B4EA7">
        <w:rPr>
          <w:rFonts w:eastAsia="DengXian"/>
          <w:i/>
          <w:iCs/>
          <w:rtl/>
          <w:lang w:val="en-GB" w:eastAsia="zh-CN"/>
        </w:rPr>
        <w:t>)</w:t>
      </w:r>
      <w:r w:rsidR="005B4EA7" w:rsidRPr="005B4EA7">
        <w:rPr>
          <w:rFonts w:eastAsia="DengXian"/>
          <w:rtl/>
          <w:lang w:val="en-GB" w:eastAsia="zh-CN"/>
        </w:rPr>
        <w:tab/>
        <w:t xml:space="preserve">أن تسريع التقدم نحو تحقيق أهداف التنمية </w:t>
      </w:r>
      <w:r w:rsidR="005B4EA7" w:rsidRPr="00B03388">
        <w:rPr>
          <w:rFonts w:eastAsia="DengXian"/>
          <w:rtl/>
          <w:lang w:val="en-GB" w:eastAsia="zh-CN"/>
        </w:rPr>
        <w:t>المستدامة</w:t>
      </w:r>
      <w:r w:rsidR="00E64E60" w:rsidRPr="00B03388">
        <w:rPr>
          <w:rFonts w:eastAsia="DengXian" w:hint="cs"/>
          <w:rtl/>
          <w:lang w:val="en-GB" w:eastAsia="zh-CN"/>
        </w:rPr>
        <w:t xml:space="preserve"> </w:t>
      </w:r>
      <w:r w:rsidR="00E64E60" w:rsidRPr="00B03388">
        <w:rPr>
          <w:rFonts w:eastAsia="DengXian"/>
          <w:lang w:eastAsia="zh-CN"/>
        </w:rPr>
        <w:t>(SDG)</w:t>
      </w:r>
      <w:r w:rsidR="005B4EA7" w:rsidRPr="005B4EA7">
        <w:rPr>
          <w:rFonts w:eastAsia="DengXian"/>
          <w:rtl/>
          <w:lang w:val="en-GB" w:eastAsia="zh-CN"/>
        </w:rPr>
        <w:t xml:space="preserve"> يتطلب تحولاً رقمياً شاملاً، وأن البنية التحتية العامة الرقمية </w:t>
      </w:r>
      <w:r w:rsidR="00B03388">
        <w:rPr>
          <w:rFonts w:eastAsia="DengXian"/>
          <w:lang w:val="en-GB" w:eastAsia="zh-CN"/>
        </w:rPr>
        <w:t>(DPI)</w:t>
      </w:r>
      <w:r w:rsidR="00B03388">
        <w:rPr>
          <w:rFonts w:eastAsia="DengXian" w:hint="cs"/>
          <w:rtl/>
          <w:lang w:val="en-GB" w:eastAsia="zh-CN" w:bidi="ar-EG"/>
        </w:rPr>
        <w:t xml:space="preserve"> </w:t>
      </w:r>
      <w:r w:rsidR="005B4EA7" w:rsidRPr="005B4EA7">
        <w:rPr>
          <w:rFonts w:eastAsia="DengXian"/>
          <w:rtl/>
          <w:lang w:val="en-GB" w:eastAsia="zh-CN"/>
        </w:rPr>
        <w:t>يمكن أن تزيد إلى أقصى حد فرص الرقمنة لدعم أهداف التنمية المستدامة؛</w:t>
      </w:r>
    </w:p>
    <w:p w14:paraId="16E8FB81" w14:textId="187F6638"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ب)</w:t>
      </w:r>
      <w:r w:rsidRPr="005B4EA7">
        <w:rPr>
          <w:rFonts w:eastAsia="DengXian"/>
          <w:rtl/>
          <w:lang w:val="en-GB" w:eastAsia="zh-CN"/>
        </w:rPr>
        <w:tab/>
      </w:r>
      <w:r w:rsidRPr="008B208B">
        <w:rPr>
          <w:rFonts w:eastAsia="DengXian"/>
          <w:spacing w:val="-6"/>
          <w:rtl/>
          <w:lang w:val="en-GB" w:eastAsia="zh-CN"/>
        </w:rPr>
        <w:t>أن التحول الرقمي</w:t>
      </w:r>
      <w:r w:rsidR="00E64E60">
        <w:rPr>
          <w:rFonts w:eastAsia="DengXian" w:hint="cs"/>
          <w:spacing w:val="-6"/>
          <w:rtl/>
          <w:lang w:val="en-GB" w:eastAsia="zh-CN" w:bidi="ar-EG"/>
        </w:rPr>
        <w:t xml:space="preserve"> </w:t>
      </w:r>
      <w:r w:rsidRPr="008B208B">
        <w:rPr>
          <w:rFonts w:eastAsia="DengXian"/>
          <w:spacing w:val="-6"/>
          <w:rtl/>
          <w:lang w:val="en-GB" w:eastAsia="zh-CN"/>
        </w:rPr>
        <w:t>من خلال ظهور تكنولوجيات رئيسية والذي ي</w:t>
      </w:r>
      <w:r w:rsidR="00E64E60">
        <w:rPr>
          <w:rFonts w:eastAsia="DengXian" w:hint="cs"/>
          <w:spacing w:val="-6"/>
          <w:rtl/>
          <w:lang w:val="en-GB" w:eastAsia="zh-CN"/>
        </w:rPr>
        <w:t>ُ</w:t>
      </w:r>
      <w:r w:rsidRPr="008B208B">
        <w:rPr>
          <w:rFonts w:eastAsia="DengXian"/>
          <w:spacing w:val="-6"/>
          <w:rtl/>
          <w:lang w:val="en-GB" w:eastAsia="zh-CN"/>
        </w:rPr>
        <w:t>تيح خدمات وتطبيقات جديدة ويعز</w:t>
      </w:r>
      <w:r w:rsidR="00E64E60">
        <w:rPr>
          <w:rFonts w:eastAsia="DengXian" w:hint="cs"/>
          <w:spacing w:val="-6"/>
          <w:rtl/>
          <w:lang w:val="en-GB" w:eastAsia="zh-CN"/>
        </w:rPr>
        <w:t>ّ</w:t>
      </w:r>
      <w:r w:rsidRPr="008B208B">
        <w:rPr>
          <w:rFonts w:eastAsia="DengXian"/>
          <w:spacing w:val="-6"/>
          <w:rtl/>
          <w:lang w:val="en-GB" w:eastAsia="zh-CN"/>
        </w:rPr>
        <w:t>ز بناء مجتمع المعلومات هو عامل تمكين أساسي لإحراز تقدم نحو تحقيق التحول الرقمي، الأمر الذي يبغي مراعاته في أعمال قطاع تقييس الاتصالات؛</w:t>
      </w:r>
    </w:p>
    <w:p w14:paraId="03054CD9" w14:textId="4222EB6F"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ج)</w:t>
      </w:r>
      <w:r w:rsidRPr="005B4EA7">
        <w:rPr>
          <w:rFonts w:eastAsia="DengXian"/>
          <w:rtl/>
          <w:lang w:val="en-GB" w:eastAsia="zh-CN"/>
        </w:rPr>
        <w:tab/>
      </w:r>
      <w:r w:rsidRPr="0015537C">
        <w:rPr>
          <w:rFonts w:eastAsia="DengXian"/>
          <w:spacing w:val="-4"/>
          <w:rtl/>
          <w:lang w:val="en-GB" w:eastAsia="zh-CN"/>
        </w:rPr>
        <w:t>أن</w:t>
      </w:r>
      <w:r w:rsidR="00AD71E1" w:rsidRPr="0015537C">
        <w:rPr>
          <w:rFonts w:eastAsia="DengXian" w:hint="cs"/>
          <w:spacing w:val="-4"/>
          <w:rtl/>
          <w:lang w:val="en-GB" w:eastAsia="zh-CN"/>
        </w:rPr>
        <w:t xml:space="preserve"> </w:t>
      </w:r>
      <w:r w:rsidR="00AD71E1" w:rsidRPr="0015537C">
        <w:rPr>
          <w:rFonts w:eastAsia="DengXian"/>
          <w:spacing w:val="-4"/>
          <w:rtl/>
          <w:lang w:val="en-GB" w:eastAsia="zh-CN"/>
        </w:rPr>
        <w:t>البنية التحتية العامة الرقمية</w:t>
      </w:r>
      <w:r w:rsidR="00AD71E1" w:rsidRPr="0015537C">
        <w:rPr>
          <w:rFonts w:eastAsia="DengXian" w:hint="cs"/>
          <w:spacing w:val="-4"/>
          <w:rtl/>
          <w:lang w:val="en-GB" w:eastAsia="zh-CN"/>
        </w:rPr>
        <w:t>،</w:t>
      </w:r>
      <w:r w:rsidRPr="0015537C">
        <w:rPr>
          <w:rFonts w:eastAsia="DengXian"/>
          <w:spacing w:val="-4"/>
          <w:rtl/>
          <w:lang w:val="en-GB" w:eastAsia="zh-CN"/>
        </w:rPr>
        <w:t xml:space="preserve"> بدلاً من اتباع نهج منعزل لتصميم وتنفيذ الحلول الرقمية، تشدد على اللبنات الرقمية التي تركز على الناس والقابلة للتشغيل البيني على نطاق مجتمعي، ويسمح هذا النهج للجهات الفاعلة المحلية في النظم الإيكولوجية الرقمية بالابتكار على رأس هذه الكتل، وتعزيز الخدمات الجديدة للناس، ومن خلال نهج البنية التحتية العامة الرقمية القائمة على الحقوق والمتمحورة حول الناس، يمكن </w:t>
      </w:r>
      <w:r w:rsidR="001E0B4B" w:rsidRPr="0015537C">
        <w:rPr>
          <w:rFonts w:eastAsia="DengXian" w:hint="cs"/>
          <w:spacing w:val="-4"/>
          <w:rtl/>
          <w:lang w:val="en-GB" w:eastAsia="zh-CN"/>
        </w:rPr>
        <w:t>أن تدفع ا</w:t>
      </w:r>
      <w:r w:rsidRPr="0015537C">
        <w:rPr>
          <w:rFonts w:eastAsia="DengXian"/>
          <w:spacing w:val="-4"/>
          <w:rtl/>
          <w:lang w:val="en-GB" w:eastAsia="zh-CN"/>
        </w:rPr>
        <w:t>لبلدان بمجموعة من الأهداف الإنمائية والاستجابة بشكل أفضل أثناء الأزمات؛</w:t>
      </w:r>
    </w:p>
    <w:p w14:paraId="7D61D128" w14:textId="05F37D4C"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د</w:t>
      </w:r>
      <w:r w:rsidR="0015537C">
        <w:rPr>
          <w:rFonts w:eastAsia="DengXian"/>
          <w:i/>
          <w:iCs/>
          <w:lang w:val="en-GB" w:eastAsia="zh-CN"/>
        </w:rPr>
        <w:t> </w:t>
      </w:r>
      <w:r w:rsidRPr="005B4EA7">
        <w:rPr>
          <w:rFonts w:eastAsia="DengXian"/>
          <w:i/>
          <w:iCs/>
          <w:rtl/>
          <w:lang w:val="en-GB" w:eastAsia="zh-CN"/>
        </w:rPr>
        <w:t>)</w:t>
      </w:r>
      <w:r w:rsidRPr="005B4EA7">
        <w:rPr>
          <w:rFonts w:eastAsia="DengXian"/>
          <w:rtl/>
          <w:lang w:val="en-GB" w:eastAsia="zh-CN"/>
        </w:rPr>
        <w:tab/>
        <w:t>أن البلدان، من أجل تحقيق فوائد البنية التحتية العامة الرقمية، يجب أن تتمكن من النفاذ إلى تكنولوجيات ميسورة التكلفة وآمنة وقابلة للتطوير، إلى جانب الخبرة التقنية اللازمة لتصميم البنية التحتية العامة الرقمية ونشرها واستحداثها، وأن البلدان، في النظام الإيكولوجي الحالي الذي أُنشئ، لا يمكن أن تستفيد من حلول منخفضة التكلفة وقابلة لإعادة الاستخدام بسبب نقص الخبرة الرقمية المحلية؛</w:t>
      </w:r>
    </w:p>
    <w:p w14:paraId="2CA1F1CE" w14:textId="0B79FFBD"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ﻫ</w:t>
      </w:r>
      <w:r w:rsidR="008B208B">
        <w:rPr>
          <w:rFonts w:eastAsia="DengXian"/>
          <w:i/>
          <w:iCs/>
          <w:lang w:val="en-GB" w:eastAsia="zh-CN"/>
        </w:rPr>
        <w:t> </w:t>
      </w:r>
      <w:r w:rsidRPr="005B4EA7">
        <w:rPr>
          <w:rFonts w:eastAsia="DengXian"/>
          <w:i/>
          <w:iCs/>
          <w:rtl/>
          <w:lang w:val="en-GB" w:eastAsia="zh-CN"/>
        </w:rPr>
        <w:t>)</w:t>
      </w:r>
      <w:r w:rsidRPr="005B4EA7">
        <w:rPr>
          <w:rFonts w:eastAsia="DengXian"/>
          <w:rtl/>
          <w:lang w:val="en-GB" w:eastAsia="zh-CN"/>
        </w:rPr>
        <w:tab/>
      </w:r>
      <w:r w:rsidRPr="008B208B">
        <w:rPr>
          <w:rFonts w:eastAsia="DengXian"/>
          <w:spacing w:val="-4"/>
          <w:rtl/>
          <w:lang w:val="en-GB" w:eastAsia="zh-CN"/>
        </w:rPr>
        <w:t>أن هناك حاجة أيضاً إلى توسيع وتيسير التعاون الدولي بشأن معايير البنية التحتية العامة الرقمية من أجل التحول الرقمي المستدام في أوساط هيئات التقييس الدولية والإقليمية، سعياً إلى تجنب ازدواجية العمل وتحقيق الاستعمال الفعال للموارد،</w:t>
      </w:r>
    </w:p>
    <w:p w14:paraId="36CCE8FD" w14:textId="4EC73E1B" w:rsidR="00BA665B" w:rsidRDefault="00BA665B" w:rsidP="0015537C">
      <w:pPr>
        <w:pStyle w:val="Call"/>
        <w:spacing w:before="120"/>
        <w:rPr>
          <w:rtl/>
          <w:lang w:bidi="ar-EG"/>
        </w:rPr>
      </w:pPr>
      <w:r>
        <w:rPr>
          <w:rFonts w:hint="cs"/>
          <w:rtl/>
          <w:lang w:bidi="ar-EG"/>
        </w:rPr>
        <w:lastRenderedPageBreak/>
        <w:t>وإذ تأخذ بعين الاعتبار</w:t>
      </w:r>
    </w:p>
    <w:p w14:paraId="4AA669F0" w14:textId="3FFE3FC4" w:rsidR="005B4EA7" w:rsidRPr="005B4EA7" w:rsidRDefault="008B208B"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Pr>
          <w:i/>
          <w:iCs/>
        </w:rPr>
        <w:t> </w:t>
      </w:r>
      <w:r w:rsidR="005B4EA7" w:rsidRPr="00C7552E">
        <w:rPr>
          <w:i/>
          <w:iCs/>
          <w:rtl/>
        </w:rPr>
        <w:t>أ</w:t>
      </w:r>
      <w:r>
        <w:rPr>
          <w:i/>
          <w:iCs/>
        </w:rPr>
        <w:t> </w:t>
      </w:r>
      <w:r w:rsidR="005B4EA7" w:rsidRPr="00C7552E">
        <w:rPr>
          <w:i/>
          <w:iCs/>
          <w:rtl/>
        </w:rPr>
        <w:t>)</w:t>
      </w:r>
      <w:r w:rsidR="005B4EA7" w:rsidRPr="00C7552E">
        <w:rPr>
          <w:rtl/>
        </w:rPr>
        <w:tab/>
      </w:r>
      <w:r w:rsidR="005B4EA7" w:rsidRPr="005B4EA7">
        <w:rPr>
          <w:rFonts w:eastAsia="DengXian"/>
          <w:rtl/>
          <w:lang w:val="en-GB" w:eastAsia="zh-CN"/>
        </w:rPr>
        <w:t xml:space="preserve">أن البلدان النامية </w:t>
      </w:r>
      <w:r w:rsidR="001E0B4B">
        <w:rPr>
          <w:rFonts w:eastAsia="DengXian" w:hint="cs"/>
          <w:rtl/>
          <w:lang w:val="en-GB" w:eastAsia="zh-CN"/>
        </w:rPr>
        <w:t>بوسعها الاستفادة</w:t>
      </w:r>
      <w:r w:rsidR="005B4EA7" w:rsidRPr="005B4EA7">
        <w:rPr>
          <w:rFonts w:eastAsia="DengXian"/>
          <w:rtl/>
          <w:lang w:val="en-GB" w:eastAsia="zh-CN"/>
        </w:rPr>
        <w:t xml:space="preserve"> كثيراً من تطبيق معايير البنية التحتية العامة الرقمية واستحداثها؛</w:t>
      </w:r>
    </w:p>
    <w:p w14:paraId="6D3AE7CA" w14:textId="47AC6FB8"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ب)</w:t>
      </w:r>
      <w:r w:rsidRPr="005B4EA7">
        <w:rPr>
          <w:rFonts w:eastAsia="DengXian"/>
          <w:rtl/>
          <w:lang w:val="en-GB" w:eastAsia="zh-CN"/>
        </w:rPr>
        <w:tab/>
        <w:t xml:space="preserve">أن عمل </w:t>
      </w:r>
      <w:proofErr w:type="spellStart"/>
      <w:r w:rsidRPr="005B4EA7">
        <w:rPr>
          <w:rFonts w:eastAsia="DengXian"/>
          <w:lang w:val="en-GB" w:eastAsia="zh-CN"/>
        </w:rPr>
        <w:t>GovStack</w:t>
      </w:r>
      <w:proofErr w:type="spellEnd"/>
      <w:r w:rsidRPr="005B4EA7">
        <w:rPr>
          <w:rFonts w:eastAsia="DengXian"/>
          <w:rtl/>
          <w:lang w:val="en-GB" w:eastAsia="zh-CN"/>
        </w:rPr>
        <w:t xml:space="preserve"> في قطاع التنمية، من أجل وضع مواصفات تقنية للمكونات الأساسية للبنية التحتية العامة الرقمية، وهي الهوية الرقمية والمدفوعات الرقمية وتبادل البيانات الموثوق به، سيعود بفائدة كبيرة على البلدان النامية؛</w:t>
      </w:r>
    </w:p>
    <w:p w14:paraId="07DB14CA" w14:textId="77777777"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ج)</w:t>
      </w:r>
      <w:r w:rsidRPr="005B4EA7">
        <w:rPr>
          <w:rFonts w:eastAsia="DengXian"/>
          <w:rtl/>
          <w:lang w:val="en-GB" w:eastAsia="zh-CN"/>
        </w:rPr>
        <w:tab/>
        <w:t>أن المعايير التقنية ستكون ضرورية لتطوير بنية تحتية عامة رقمية مفتوحة وقابلة للتشغيل البيني ومنع تقييدات البائعين للحفاظ على التحول الرقمي المبتكر وتحقيق خطة التنمية المستدامة لعام 2030،</w:t>
      </w:r>
    </w:p>
    <w:p w14:paraId="7AB94C24" w14:textId="6010FE86" w:rsidR="005B4EA7" w:rsidRPr="0015537C" w:rsidRDefault="008B208B" w:rsidP="0015537C">
      <w:pPr>
        <w:pStyle w:val="Call"/>
        <w:spacing w:before="120"/>
        <w:rPr>
          <w:rFonts w:eastAsia="DengXian"/>
          <w:rtl/>
          <w:lang w:val="ar-SA" w:eastAsia="zh-TW"/>
        </w:rPr>
      </w:pPr>
      <w:r w:rsidRPr="0015537C">
        <w:rPr>
          <w:rFonts w:hint="cs"/>
          <w:rtl/>
          <w:lang w:bidi="ar-EG"/>
        </w:rPr>
        <w:t>وإذ</w:t>
      </w:r>
      <w:r w:rsidRPr="0015537C">
        <w:rPr>
          <w:rFonts w:eastAsia="DengXian"/>
          <w:rtl/>
          <w:lang w:val="en-GB" w:eastAsia="zh-CN"/>
        </w:rPr>
        <w:t xml:space="preserve"> </w:t>
      </w:r>
      <w:r w:rsidR="005B4EA7" w:rsidRPr="0015537C">
        <w:rPr>
          <w:rFonts w:eastAsia="DengXian"/>
          <w:rtl/>
          <w:lang w:val="en-GB" w:eastAsia="zh-CN"/>
        </w:rPr>
        <w:t>تلاحظ</w:t>
      </w:r>
    </w:p>
    <w:p w14:paraId="31AAFB36" w14:textId="77777777" w:rsidR="005B4EA7" w:rsidRPr="0015537C"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spacing w:val="-2"/>
          <w:rtl/>
          <w:lang w:val="ar-SA" w:eastAsia="zh-TW"/>
        </w:rPr>
      </w:pPr>
      <w:r w:rsidRPr="0015537C">
        <w:rPr>
          <w:rFonts w:eastAsia="DengXian"/>
          <w:spacing w:val="-2"/>
          <w:rtl/>
          <w:lang w:val="en-GB" w:eastAsia="zh-CN"/>
        </w:rPr>
        <w:t>أنه يمكن الاستفادة من البنية التحتية العامة الرقمية لإنشاء أنظمة إيكولوجية رقمية تعزز الشفافية وقابلية التشغيل البيني وتبادل البيانات والتطبيقات المبتكرة التي يمكن أن تساعد في إيجاد حلول قابلة للتطوير تمكِّن الأمم والمجتمعات المحلية والأفراد،</w:t>
      </w:r>
    </w:p>
    <w:p w14:paraId="1526677D" w14:textId="77777777" w:rsidR="005B4EA7" w:rsidRPr="005B4EA7" w:rsidRDefault="005B4EA7" w:rsidP="0015537C">
      <w:pPr>
        <w:pStyle w:val="Call"/>
        <w:spacing w:before="120"/>
        <w:rPr>
          <w:rFonts w:eastAsia="DengXian"/>
          <w:rtl/>
          <w:lang w:val="ar-SA" w:eastAsia="zh-TW"/>
        </w:rPr>
      </w:pPr>
      <w:r w:rsidRPr="005B4EA7">
        <w:rPr>
          <w:rFonts w:eastAsia="DengXian"/>
          <w:rtl/>
          <w:lang w:val="en-GB" w:eastAsia="zh-CN"/>
        </w:rPr>
        <w:t>تقرر تكليف مدير مكتب تقييس الاتصالات</w:t>
      </w:r>
    </w:p>
    <w:p w14:paraId="7D5CE1C0" w14:textId="32274CF9" w:rsidR="005B4EA7" w:rsidRPr="005B4EA7" w:rsidRDefault="0015537C"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Pr>
          <w:rFonts w:eastAsia="DengXian"/>
          <w:i/>
          <w:iCs/>
          <w:lang w:val="en-GB" w:eastAsia="zh-CN"/>
        </w:rPr>
        <w:t> </w:t>
      </w:r>
      <w:r w:rsidR="005B4EA7" w:rsidRPr="005B4EA7">
        <w:rPr>
          <w:rFonts w:eastAsia="DengXian"/>
          <w:i/>
          <w:iCs/>
          <w:rtl/>
          <w:lang w:val="en-GB" w:eastAsia="zh-CN"/>
        </w:rPr>
        <w:t>أ</w:t>
      </w:r>
      <w:r>
        <w:rPr>
          <w:rFonts w:eastAsia="DengXian"/>
          <w:i/>
          <w:iCs/>
          <w:lang w:val="en-GB" w:eastAsia="zh-CN"/>
        </w:rPr>
        <w:t> </w:t>
      </w:r>
      <w:r w:rsidR="005B4EA7" w:rsidRPr="005B4EA7">
        <w:rPr>
          <w:rFonts w:eastAsia="DengXian"/>
          <w:i/>
          <w:iCs/>
          <w:rtl/>
          <w:lang w:val="en-GB" w:eastAsia="zh-CN"/>
        </w:rPr>
        <w:t>)</w:t>
      </w:r>
      <w:r w:rsidR="005B4EA7" w:rsidRPr="005B4EA7">
        <w:rPr>
          <w:rFonts w:eastAsia="DengXian"/>
          <w:rtl/>
          <w:lang w:val="en-GB" w:eastAsia="zh-CN"/>
        </w:rPr>
        <w:tab/>
        <w:t>بإجراء دراسات ذات صلة بشأن المتطلبات التقنية للبنات الأساسية للبنية التحتية العامة الرقمية مثل الهوية الرقمية</w:t>
      </w:r>
      <w:r w:rsidR="00E64E60">
        <w:rPr>
          <w:rFonts w:eastAsia="DengXian" w:hint="cs"/>
          <w:rtl/>
          <w:lang w:eastAsia="zh-CN" w:bidi="ar-EG"/>
        </w:rPr>
        <w:t xml:space="preserve"> </w:t>
      </w:r>
      <w:r w:rsidR="005B4EA7" w:rsidRPr="005B4EA7">
        <w:rPr>
          <w:rFonts w:eastAsia="DengXian"/>
          <w:rtl/>
          <w:lang w:val="en-GB" w:eastAsia="zh-CN"/>
        </w:rPr>
        <w:t>والمدفوعات الرقمية والمحافظ الرقمية وتبادل البيانات القائم على الموافقة وغيرها من اللبنات الرقمية القابلة لإعادة الاستعمال من أجل البنية التحتية العامة الرقمية بغية تعزيز قابلية التشغيل البيني والشفافية وتبادل البيانات الموثوق به بغرض تعزيز تطوير البنية التحتية العامة الرقمية ونشرها؛</w:t>
      </w:r>
    </w:p>
    <w:p w14:paraId="6F4D7D8E" w14:textId="77777777"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ب)</w:t>
      </w:r>
      <w:r w:rsidRPr="005B4EA7">
        <w:rPr>
          <w:rFonts w:eastAsia="DengXian"/>
          <w:rtl/>
          <w:lang w:val="en-GB" w:eastAsia="zh-CN"/>
        </w:rPr>
        <w:tab/>
        <w:t>بتجميع مستودع للمعايير التقنية وحالات الاستعمال المتعلقة بالبنية التحتية العامة الرقمية التي يمكن إتاحتها للبلدان النامية من أجل اعتمادها في تنفيذ البنية التحتية العامة الرقمية؛</w:t>
      </w:r>
    </w:p>
    <w:p w14:paraId="0AD6A5B4" w14:textId="3BA4BA49"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ج)</w:t>
      </w:r>
      <w:r w:rsidRPr="005B4EA7">
        <w:rPr>
          <w:rFonts w:eastAsia="DengXian"/>
          <w:rtl/>
          <w:lang w:val="en-GB" w:eastAsia="zh-CN"/>
        </w:rPr>
        <w:tab/>
        <w:t>بتقديم تقرير عن التقدم المحرز بشأن هذا القرار إلى الفريق الاستشاري لتقييس الاتصالات والجمعية العالمية لتقييس الاتصالات؛</w:t>
      </w:r>
    </w:p>
    <w:p w14:paraId="679F9A45" w14:textId="5A39C864"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د</w:t>
      </w:r>
      <w:r w:rsidR="0015537C">
        <w:rPr>
          <w:rFonts w:eastAsia="DengXian"/>
          <w:i/>
          <w:iCs/>
          <w:lang w:val="en-GB" w:eastAsia="zh-CN"/>
        </w:rPr>
        <w:t> </w:t>
      </w:r>
      <w:r w:rsidRPr="005B4EA7">
        <w:rPr>
          <w:rFonts w:eastAsia="DengXian"/>
          <w:i/>
          <w:iCs/>
          <w:rtl/>
          <w:lang w:val="en-GB" w:eastAsia="zh-CN"/>
        </w:rPr>
        <w:t>)</w:t>
      </w:r>
      <w:r w:rsidRPr="005B4EA7">
        <w:rPr>
          <w:rFonts w:eastAsia="DengXian"/>
          <w:rtl/>
          <w:lang w:val="en-GB" w:eastAsia="zh-CN"/>
        </w:rPr>
        <w:tab/>
        <w:t>بتنظيم ورش عمل لأعضاء الاتحاد بالتعاون مع غيرها من المنظمات المعنية بوضع المعايير والهيئات الأكاديمية والمؤسسات ذات الصلة التي تضطلع بالمسؤولية الرئيسية عن تنفيذ البنية التحتية العامة الرقمية، من أجل إذكاء الوعي وتحديد الاحتياجات والتحديات الخاصة للبلدان النامية في نشر هذه البنية التحتية المذكورة،</w:t>
      </w:r>
    </w:p>
    <w:p w14:paraId="5AAAEE8D" w14:textId="77777777" w:rsidR="005B4EA7" w:rsidRPr="005B4EA7" w:rsidRDefault="005B4EA7" w:rsidP="0015537C">
      <w:pPr>
        <w:pStyle w:val="Call"/>
        <w:spacing w:before="120"/>
        <w:rPr>
          <w:rFonts w:eastAsia="DengXian"/>
          <w:rtl/>
          <w:lang w:val="ar-SA" w:eastAsia="zh-TW"/>
        </w:rPr>
      </w:pPr>
      <w:r w:rsidRPr="005B4EA7">
        <w:rPr>
          <w:rFonts w:eastAsia="DengXian"/>
          <w:rtl/>
          <w:lang w:val="en-GB" w:eastAsia="zh-CN"/>
        </w:rPr>
        <w:t>يكلف مديرَيْ مكتب تقييس الاتصالات ومكتب تنمية الاتصالات</w:t>
      </w:r>
    </w:p>
    <w:p w14:paraId="6A8E7CF9" w14:textId="77777777"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rtl/>
          <w:lang w:val="en-GB" w:eastAsia="zh-CN"/>
        </w:rPr>
        <w:t>بالتعاون مع الأمم المتحدة وغيرها من المنظمات الدولية والإقليمية صاحبة المصلحة المتعددة والمنظمات الحكومية الدولية التي تساعد البلدان على تنفيذ الينية التحتية العامة الرقمية، ومع البلدان التي استخلصت الدروس لتبادلها في هذا الصدد،</w:t>
      </w:r>
    </w:p>
    <w:p w14:paraId="775D4FEB" w14:textId="1B7074AE" w:rsidR="005B4EA7" w:rsidRPr="005B4EA7" w:rsidRDefault="005B4EA7" w:rsidP="0015537C">
      <w:pPr>
        <w:pStyle w:val="Call"/>
        <w:spacing w:before="120"/>
        <w:rPr>
          <w:rFonts w:eastAsia="DengXian"/>
          <w:rtl/>
          <w:lang w:val="ar-SA" w:eastAsia="zh-TW"/>
        </w:rPr>
      </w:pPr>
      <w:r w:rsidRPr="005B4EA7">
        <w:rPr>
          <w:rFonts w:eastAsia="DengXian"/>
          <w:rtl/>
          <w:lang w:val="en-GB" w:eastAsia="zh-CN"/>
        </w:rPr>
        <w:t>تكلف لجان دراسات قطاع تقييس الاتصالات</w:t>
      </w:r>
    </w:p>
    <w:p w14:paraId="51CFE70D" w14:textId="0FA3DF0F" w:rsidR="005B4EA7" w:rsidRPr="005B4EA7" w:rsidRDefault="0015537C"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Pr>
          <w:rFonts w:eastAsia="DengXian"/>
          <w:i/>
          <w:iCs/>
          <w:lang w:val="en-GB" w:eastAsia="zh-CN"/>
        </w:rPr>
        <w:t> </w:t>
      </w:r>
      <w:r w:rsidR="005B4EA7" w:rsidRPr="005B4EA7">
        <w:rPr>
          <w:rFonts w:eastAsia="DengXian"/>
          <w:i/>
          <w:iCs/>
          <w:rtl/>
          <w:lang w:val="en-GB" w:eastAsia="zh-CN"/>
        </w:rPr>
        <w:t>أ</w:t>
      </w:r>
      <w:r>
        <w:rPr>
          <w:rFonts w:eastAsia="DengXian"/>
          <w:i/>
          <w:iCs/>
          <w:lang w:val="en-GB" w:eastAsia="zh-CN"/>
        </w:rPr>
        <w:t> </w:t>
      </w:r>
      <w:r w:rsidR="005B4EA7" w:rsidRPr="005B4EA7">
        <w:rPr>
          <w:rFonts w:eastAsia="DengXian"/>
          <w:i/>
          <w:iCs/>
          <w:rtl/>
          <w:lang w:val="en-GB" w:eastAsia="zh-CN"/>
        </w:rPr>
        <w:t>)</w:t>
      </w:r>
      <w:r w:rsidR="005B4EA7" w:rsidRPr="005B4EA7">
        <w:rPr>
          <w:rFonts w:eastAsia="DengXian"/>
          <w:rtl/>
          <w:lang w:val="en-GB" w:eastAsia="zh-CN"/>
        </w:rPr>
        <w:tab/>
        <w:t>بتنظيم الأعمال والدراسات اللازمة من أجل توسيع وتسريع العمل المتعلق بالبنية التحتية العامة الرقمية؛</w:t>
      </w:r>
    </w:p>
    <w:p w14:paraId="2FDFC127" w14:textId="77777777"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ب)</w:t>
      </w:r>
      <w:r w:rsidRPr="005B4EA7">
        <w:rPr>
          <w:rFonts w:eastAsia="DengXian"/>
          <w:rtl/>
          <w:lang w:val="en-GB" w:eastAsia="zh-CN"/>
        </w:rPr>
        <w:tab/>
        <w:t>بتيسير وضع توصيات قطاع تقييس الاتصالات التي يمكن أن تؤدي إلى اعتماد مستدام وشامل وفعال للبنية التحتية العامة الرقمية في مختلف القطاعات والتكنولوجيات، وتعزيز قابلية التشغيل البيني والمعايير المفتوحة والابتكار، مع تقاسم البيانات على أساس الموافقة، وإدماج الأمن حسب التصميم؛</w:t>
      </w:r>
    </w:p>
    <w:p w14:paraId="3601D06E" w14:textId="77777777"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ج)</w:t>
      </w:r>
      <w:r w:rsidRPr="005B4EA7">
        <w:rPr>
          <w:rFonts w:eastAsia="DengXian"/>
          <w:rtl/>
          <w:lang w:val="en-GB" w:eastAsia="zh-CN"/>
        </w:rPr>
        <w:tab/>
        <w:t>بالتنسيق والتعاون مع المنظمات المعنية بوضع المعايير والمؤسسات الأخرى المشارِكة في وضع المعايير وتنفيذها وبناء القدرات في مجال البنية التحتية العامة الرقمية، ومع الأفرقة الأخرى في الاتحاد؛</w:t>
      </w:r>
    </w:p>
    <w:p w14:paraId="7EA5EEF0" w14:textId="263918A0"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د</w:t>
      </w:r>
      <w:r w:rsidR="0015537C">
        <w:rPr>
          <w:rFonts w:eastAsia="DengXian"/>
          <w:i/>
          <w:iCs/>
          <w:lang w:val="en-GB" w:eastAsia="zh-CN"/>
        </w:rPr>
        <w:t> </w:t>
      </w:r>
      <w:r w:rsidRPr="005B4EA7">
        <w:rPr>
          <w:rFonts w:eastAsia="DengXian"/>
          <w:i/>
          <w:iCs/>
          <w:rtl/>
          <w:lang w:val="en-GB" w:eastAsia="zh-CN"/>
        </w:rPr>
        <w:t>)</w:t>
      </w:r>
      <w:r w:rsidRPr="005B4EA7">
        <w:rPr>
          <w:rFonts w:eastAsia="DengXian"/>
          <w:rtl/>
          <w:lang w:val="en-GB" w:eastAsia="zh-CN"/>
        </w:rPr>
        <w:tab/>
        <w:t>بوضع معايير تقنية ومبادئ توجيهية تساعد البلدان النامية على إنشاء بنيتها التحتية العامة الرقمية،</w:t>
      </w:r>
    </w:p>
    <w:p w14:paraId="3ECC6B5E" w14:textId="77777777" w:rsidR="005B4EA7" w:rsidRPr="005B4EA7" w:rsidRDefault="005B4EA7" w:rsidP="00B03388">
      <w:pPr>
        <w:pStyle w:val="Call"/>
        <w:rPr>
          <w:rFonts w:eastAsia="DengXian"/>
          <w:rtl/>
          <w:lang w:val="ar-SA" w:eastAsia="zh-TW"/>
        </w:rPr>
      </w:pPr>
      <w:r w:rsidRPr="005B4EA7">
        <w:rPr>
          <w:rFonts w:eastAsia="DengXian"/>
          <w:rtl/>
          <w:lang w:val="en-GB" w:eastAsia="zh-CN"/>
        </w:rPr>
        <w:t>يدعو الدول الأعضاء وأعضاء القطاعات والهيئات الأكاديمية إلى</w:t>
      </w:r>
    </w:p>
    <w:p w14:paraId="433FCA7E" w14:textId="65BA68F1" w:rsidR="005B4EA7" w:rsidRPr="005B4EA7" w:rsidRDefault="0015537C"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Pr>
          <w:rFonts w:eastAsia="DengXian"/>
          <w:i/>
          <w:iCs/>
          <w:lang w:val="en-GB" w:eastAsia="zh-CN"/>
        </w:rPr>
        <w:t> </w:t>
      </w:r>
      <w:r w:rsidR="005B4EA7" w:rsidRPr="005B4EA7">
        <w:rPr>
          <w:rFonts w:eastAsia="DengXian"/>
          <w:i/>
          <w:iCs/>
          <w:rtl/>
          <w:lang w:val="en-GB" w:eastAsia="zh-CN"/>
        </w:rPr>
        <w:t>أ</w:t>
      </w:r>
      <w:r>
        <w:rPr>
          <w:rFonts w:eastAsia="DengXian"/>
          <w:i/>
          <w:iCs/>
          <w:lang w:val="en-GB" w:eastAsia="zh-CN"/>
        </w:rPr>
        <w:t> </w:t>
      </w:r>
      <w:r w:rsidR="005B4EA7" w:rsidRPr="005B4EA7">
        <w:rPr>
          <w:rFonts w:eastAsia="DengXian"/>
          <w:i/>
          <w:iCs/>
          <w:rtl/>
          <w:lang w:val="en-GB" w:eastAsia="zh-CN"/>
        </w:rPr>
        <w:t>)</w:t>
      </w:r>
      <w:r w:rsidR="005B4EA7" w:rsidRPr="005B4EA7">
        <w:rPr>
          <w:rFonts w:eastAsia="DengXian"/>
          <w:rtl/>
          <w:lang w:val="en-GB" w:eastAsia="zh-CN"/>
        </w:rPr>
        <w:tab/>
        <w:t xml:space="preserve">تقديم مساهمات والمشاركة بنشاط في تبادل الدروس المستفادة </w:t>
      </w:r>
      <w:r w:rsidR="001E0B4B">
        <w:rPr>
          <w:rFonts w:eastAsia="DengXian" w:hint="cs"/>
          <w:rtl/>
          <w:lang w:val="en-GB" w:eastAsia="zh-CN"/>
        </w:rPr>
        <w:t>في مجال</w:t>
      </w:r>
      <w:r w:rsidR="005B4EA7" w:rsidRPr="005B4EA7">
        <w:rPr>
          <w:rFonts w:eastAsia="DengXian"/>
          <w:rtl/>
          <w:lang w:val="en-GB" w:eastAsia="zh-CN"/>
        </w:rPr>
        <w:t xml:space="preserve"> تنفيذ البنية التحتية العامة الرقمية؛</w:t>
      </w:r>
    </w:p>
    <w:p w14:paraId="01481958" w14:textId="77777777" w:rsidR="005B4EA7" w:rsidRP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rtl/>
          <w:lang w:val="ar-SA" w:eastAsia="zh-TW"/>
        </w:rPr>
      </w:pPr>
      <w:r w:rsidRPr="005B4EA7">
        <w:rPr>
          <w:rFonts w:eastAsia="DengXian"/>
          <w:i/>
          <w:iCs/>
          <w:rtl/>
          <w:lang w:val="en-GB" w:eastAsia="zh-CN"/>
        </w:rPr>
        <w:t>ب)</w:t>
      </w:r>
      <w:r w:rsidRPr="005B4EA7">
        <w:rPr>
          <w:rFonts w:eastAsia="DengXian"/>
          <w:rtl/>
          <w:lang w:val="en-GB" w:eastAsia="zh-CN"/>
        </w:rPr>
        <w:tab/>
        <w:t>تشجيع استخدام أدوات رقمية مبتكرة ومعايير مفتوحة حسب الاقتضاء لدفع نشر البنية التحتية العامة الرقمية؛</w:t>
      </w:r>
    </w:p>
    <w:p w14:paraId="46010914" w14:textId="77777777" w:rsidR="005B4EA7" w:rsidRDefault="005B4EA7" w:rsidP="0015537C">
      <w:pPr>
        <w:tabs>
          <w:tab w:val="clear" w:pos="794"/>
          <w:tab w:val="clear" w:pos="1191"/>
          <w:tab w:val="clear" w:pos="1588"/>
          <w:tab w:val="clear" w:pos="1985"/>
          <w:tab w:val="left" w:pos="1134"/>
          <w:tab w:val="left" w:pos="1871"/>
          <w:tab w:val="left" w:pos="2268"/>
        </w:tabs>
        <w:overflowPunct w:val="0"/>
        <w:autoSpaceDE w:val="0"/>
        <w:autoSpaceDN w:val="0"/>
        <w:adjustRightInd w:val="0"/>
        <w:textDirection w:val="tbRlV"/>
        <w:textAlignment w:val="baseline"/>
        <w:rPr>
          <w:rFonts w:eastAsia="DengXian"/>
          <w:spacing w:val="-2"/>
          <w:lang w:val="en-GB" w:eastAsia="zh-CN"/>
        </w:rPr>
      </w:pPr>
      <w:r w:rsidRPr="005B4EA7">
        <w:rPr>
          <w:rFonts w:eastAsia="DengXian"/>
          <w:i/>
          <w:iCs/>
          <w:rtl/>
          <w:lang w:val="en-GB" w:eastAsia="zh-CN"/>
        </w:rPr>
        <w:t>ج)</w:t>
      </w:r>
      <w:r w:rsidRPr="005B4EA7">
        <w:rPr>
          <w:rFonts w:eastAsia="DengXian"/>
          <w:rtl/>
          <w:lang w:val="en-GB" w:eastAsia="zh-CN"/>
        </w:rPr>
        <w:tab/>
      </w:r>
      <w:r w:rsidRPr="0015537C">
        <w:rPr>
          <w:rFonts w:eastAsia="DengXian"/>
          <w:spacing w:val="-2"/>
          <w:rtl/>
          <w:lang w:val="en-GB" w:eastAsia="zh-CN"/>
        </w:rPr>
        <w:t>تنفيذ تدابير سياساتية من أجل التوصيلية الرقمية وتعزيز المهارات الرقمية لضمان جعل البنية التحتية العامة الرقمية في متناول جميع الناس، بمَن فيهم أولئك الذين يعيشون في المناطق النائية وذوو الإعاقة التي تحد النفاذ بالوسائل التقليدية.</w:t>
      </w:r>
    </w:p>
    <w:p w14:paraId="19A21347" w14:textId="46260113" w:rsidR="0015537C" w:rsidRDefault="0015537C" w:rsidP="0015537C">
      <w:pPr>
        <w:pStyle w:val="Reasons"/>
        <w:rPr>
          <w:rFonts w:eastAsia="DengXian"/>
          <w:lang w:val="ar-SA" w:eastAsia="zh-TW"/>
        </w:rPr>
      </w:pPr>
    </w:p>
    <w:p w14:paraId="3B03FE35" w14:textId="00BAB80C" w:rsidR="00B03388" w:rsidRPr="00B03388" w:rsidRDefault="00B03388" w:rsidP="00B03388">
      <w:pPr>
        <w:spacing w:before="0"/>
        <w:jc w:val="center"/>
        <w:rPr>
          <w:rtl/>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B03388" w:rsidRPr="00B03388">
      <w:headerReference w:type="even" r:id="rId15"/>
      <w:headerReference w:type="defaul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9BB1" w14:textId="77777777" w:rsidR="009079C4" w:rsidRDefault="009079C4" w:rsidP="002919E1">
      <w:r>
        <w:separator/>
      </w:r>
    </w:p>
    <w:p w14:paraId="433588B4" w14:textId="77777777" w:rsidR="009079C4" w:rsidRDefault="009079C4" w:rsidP="002919E1"/>
    <w:p w14:paraId="77CA3A7A" w14:textId="77777777" w:rsidR="009079C4" w:rsidRDefault="009079C4" w:rsidP="002919E1"/>
    <w:p w14:paraId="24325967" w14:textId="77777777" w:rsidR="009079C4" w:rsidRDefault="009079C4"/>
  </w:endnote>
  <w:endnote w:type="continuationSeparator" w:id="0">
    <w:p w14:paraId="200C59BA" w14:textId="77777777" w:rsidR="009079C4" w:rsidRDefault="009079C4" w:rsidP="002919E1">
      <w:r>
        <w:continuationSeparator/>
      </w:r>
    </w:p>
    <w:p w14:paraId="14DAFD2E" w14:textId="77777777" w:rsidR="009079C4" w:rsidRDefault="009079C4" w:rsidP="002919E1"/>
    <w:p w14:paraId="302F8190" w14:textId="77777777" w:rsidR="009079C4" w:rsidRDefault="009079C4" w:rsidP="002919E1"/>
    <w:p w14:paraId="298A3F77" w14:textId="77777777" w:rsidR="009079C4" w:rsidRDefault="00907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C83F" w14:textId="77777777" w:rsidR="009079C4" w:rsidRDefault="009079C4" w:rsidP="002919E1">
      <w:r>
        <w:t>___________________</w:t>
      </w:r>
    </w:p>
  </w:footnote>
  <w:footnote w:type="continuationSeparator" w:id="0">
    <w:p w14:paraId="2F11518F" w14:textId="77777777" w:rsidR="009079C4" w:rsidRDefault="009079C4" w:rsidP="002919E1">
      <w:r>
        <w:continuationSeparator/>
      </w:r>
    </w:p>
    <w:p w14:paraId="4672B8D6" w14:textId="77777777" w:rsidR="009079C4" w:rsidRDefault="009079C4" w:rsidP="002919E1"/>
    <w:p w14:paraId="3A29B412" w14:textId="77777777" w:rsidR="009079C4" w:rsidRDefault="009079C4" w:rsidP="002919E1"/>
    <w:p w14:paraId="6CEDF792" w14:textId="77777777" w:rsidR="009079C4" w:rsidRDefault="00907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69A6" w14:textId="77777777" w:rsidR="00281F5F" w:rsidRDefault="00281F5F" w:rsidP="002919E1"/>
  <w:p w14:paraId="2B8FF626" w14:textId="77777777" w:rsidR="00281F5F" w:rsidRDefault="00281F5F" w:rsidP="002919E1"/>
  <w:p w14:paraId="4CE2D86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AD93" w14:textId="4933E0A3" w:rsidR="00654230" w:rsidRPr="0015537C" w:rsidRDefault="006175E7" w:rsidP="00EB52D8">
    <w:pPr>
      <w:pStyle w:val="Header"/>
      <w:rPr>
        <w:sz w:val="18"/>
        <w:szCs w:val="18"/>
      </w:rPr>
    </w:pPr>
    <w:r w:rsidRPr="0015537C">
      <w:rPr>
        <w:sz w:val="18"/>
        <w:szCs w:val="18"/>
      </w:rPr>
      <w:fldChar w:fldCharType="begin"/>
    </w:r>
    <w:r w:rsidRPr="0015537C">
      <w:rPr>
        <w:sz w:val="18"/>
        <w:szCs w:val="18"/>
      </w:rPr>
      <w:instrText xml:space="preserve"> PAGE  \* MERGEFORMAT </w:instrText>
    </w:r>
    <w:r w:rsidRPr="0015537C">
      <w:rPr>
        <w:sz w:val="18"/>
        <w:szCs w:val="18"/>
      </w:rPr>
      <w:fldChar w:fldCharType="separate"/>
    </w:r>
    <w:r w:rsidR="009D0BC4" w:rsidRPr="0015537C">
      <w:rPr>
        <w:noProof/>
        <w:sz w:val="18"/>
        <w:szCs w:val="18"/>
        <w:rtl/>
      </w:rPr>
      <w:t>2</w:t>
    </w:r>
    <w:r w:rsidRPr="0015537C">
      <w:rPr>
        <w:sz w:val="18"/>
        <w:szCs w:val="18"/>
      </w:rPr>
      <w:fldChar w:fldCharType="end"/>
    </w:r>
    <w:r w:rsidR="00EB52D8" w:rsidRPr="0015537C">
      <w:rPr>
        <w:sz w:val="18"/>
        <w:szCs w:val="18"/>
      </w:rPr>
      <w:br/>
    </w:r>
    <w:r w:rsidR="00966FA2" w:rsidRPr="0015537C">
      <w:rPr>
        <w:sz w:val="18"/>
        <w:szCs w:val="18"/>
      </w:rPr>
      <w:t>WTSA-24/35(Add</w:t>
    </w:r>
    <w:r w:rsidR="00395C02">
      <w:rPr>
        <w:sz w:val="18"/>
        <w:szCs w:val="18"/>
      </w:rPr>
      <w:t>.</w:t>
    </w:r>
    <w:r w:rsidR="00966FA2" w:rsidRPr="0015537C">
      <w:rPr>
        <w:sz w:val="18"/>
        <w:szCs w:val="18"/>
      </w:rPr>
      <w:t>33)-A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345866749">
    <w:abstractNumId w:val="9"/>
  </w:num>
  <w:num w:numId="2" w16cid:durableId="1068502730">
    <w:abstractNumId w:val="13"/>
  </w:num>
  <w:num w:numId="3" w16cid:durableId="1249459555">
    <w:abstractNumId w:val="10"/>
  </w:num>
  <w:num w:numId="4" w16cid:durableId="354844067">
    <w:abstractNumId w:val="14"/>
  </w:num>
  <w:num w:numId="5" w16cid:durableId="1373075309">
    <w:abstractNumId w:val="7"/>
  </w:num>
  <w:num w:numId="6" w16cid:durableId="756441218">
    <w:abstractNumId w:val="6"/>
  </w:num>
  <w:num w:numId="7" w16cid:durableId="1179662889">
    <w:abstractNumId w:val="5"/>
  </w:num>
  <w:num w:numId="8" w16cid:durableId="1996686379">
    <w:abstractNumId w:val="4"/>
  </w:num>
  <w:num w:numId="9" w16cid:durableId="1693847686">
    <w:abstractNumId w:val="8"/>
  </w:num>
  <w:num w:numId="10" w16cid:durableId="731269318">
    <w:abstractNumId w:val="3"/>
  </w:num>
  <w:num w:numId="11" w16cid:durableId="193230827">
    <w:abstractNumId w:val="2"/>
  </w:num>
  <w:num w:numId="12" w16cid:durableId="2102483566">
    <w:abstractNumId w:val="1"/>
  </w:num>
  <w:num w:numId="13" w16cid:durableId="46419871">
    <w:abstractNumId w:val="0"/>
  </w:num>
  <w:num w:numId="14" w16cid:durableId="1284993017">
    <w:abstractNumId w:val="11"/>
  </w:num>
  <w:num w:numId="15" w16cid:durableId="1412238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D1708"/>
    <w:rsid w:val="000D344D"/>
    <w:rsid w:val="000E2AFC"/>
    <w:rsid w:val="000E6D30"/>
    <w:rsid w:val="000F05F5"/>
    <w:rsid w:val="000F518F"/>
    <w:rsid w:val="0010081C"/>
    <w:rsid w:val="001013E3"/>
    <w:rsid w:val="0010363F"/>
    <w:rsid w:val="001236C1"/>
    <w:rsid w:val="00123AA6"/>
    <w:rsid w:val="0012545F"/>
    <w:rsid w:val="00136B82"/>
    <w:rsid w:val="001445AE"/>
    <w:rsid w:val="001464F2"/>
    <w:rsid w:val="0015537C"/>
    <w:rsid w:val="00167364"/>
    <w:rsid w:val="00184643"/>
    <w:rsid w:val="001903B2"/>
    <w:rsid w:val="001B5953"/>
    <w:rsid w:val="001D746E"/>
    <w:rsid w:val="001E0B4B"/>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5C02"/>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B221B"/>
    <w:rsid w:val="004C11BC"/>
    <w:rsid w:val="004C5C04"/>
    <w:rsid w:val="004D0448"/>
    <w:rsid w:val="004D4AE6"/>
    <w:rsid w:val="004E2A5D"/>
    <w:rsid w:val="00500DC2"/>
    <w:rsid w:val="00505AA6"/>
    <w:rsid w:val="00505E57"/>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B4EA7"/>
    <w:rsid w:val="005C11FE"/>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82B23"/>
    <w:rsid w:val="00694690"/>
    <w:rsid w:val="0069526C"/>
    <w:rsid w:val="006A12AC"/>
    <w:rsid w:val="006A2162"/>
    <w:rsid w:val="006B4B90"/>
    <w:rsid w:val="006B600C"/>
    <w:rsid w:val="006B658C"/>
    <w:rsid w:val="006D2674"/>
    <w:rsid w:val="006E38D0"/>
    <w:rsid w:val="006E465B"/>
    <w:rsid w:val="006F70BF"/>
    <w:rsid w:val="007028CB"/>
    <w:rsid w:val="00716B1D"/>
    <w:rsid w:val="00717574"/>
    <w:rsid w:val="007246AF"/>
    <w:rsid w:val="007248EC"/>
    <w:rsid w:val="007263B4"/>
    <w:rsid w:val="00726744"/>
    <w:rsid w:val="00731150"/>
    <w:rsid w:val="00734E41"/>
    <w:rsid w:val="00736DCC"/>
    <w:rsid w:val="00741855"/>
    <w:rsid w:val="00742B73"/>
    <w:rsid w:val="00746A4D"/>
    <w:rsid w:val="00751251"/>
    <w:rsid w:val="007610E7"/>
    <w:rsid w:val="00764079"/>
    <w:rsid w:val="00764763"/>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42106"/>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208B"/>
    <w:rsid w:val="008B4E93"/>
    <w:rsid w:val="008B52B7"/>
    <w:rsid w:val="008C3818"/>
    <w:rsid w:val="008D6ACC"/>
    <w:rsid w:val="008D7AF0"/>
    <w:rsid w:val="008E1A32"/>
    <w:rsid w:val="008E2CBE"/>
    <w:rsid w:val="008E32DD"/>
    <w:rsid w:val="008F4626"/>
    <w:rsid w:val="009004DF"/>
    <w:rsid w:val="00902E2A"/>
    <w:rsid w:val="00903DB9"/>
    <w:rsid w:val="00904AA5"/>
    <w:rsid w:val="009079C4"/>
    <w:rsid w:val="009151F1"/>
    <w:rsid w:val="009234D3"/>
    <w:rsid w:val="0093046E"/>
    <w:rsid w:val="00941CDF"/>
    <w:rsid w:val="00943A98"/>
    <w:rsid w:val="00951718"/>
    <w:rsid w:val="00960962"/>
    <w:rsid w:val="00966FA2"/>
    <w:rsid w:val="00972CE0"/>
    <w:rsid w:val="0097742C"/>
    <w:rsid w:val="009A3D30"/>
    <w:rsid w:val="009C13BE"/>
    <w:rsid w:val="009D0810"/>
    <w:rsid w:val="009D0BC4"/>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97493"/>
    <w:rsid w:val="00AA0C42"/>
    <w:rsid w:val="00AA6493"/>
    <w:rsid w:val="00AA6EF1"/>
    <w:rsid w:val="00AB2A33"/>
    <w:rsid w:val="00AC1275"/>
    <w:rsid w:val="00AC3BF2"/>
    <w:rsid w:val="00AC7395"/>
    <w:rsid w:val="00AD162B"/>
    <w:rsid w:val="00AD2DEB"/>
    <w:rsid w:val="00AD538E"/>
    <w:rsid w:val="00AD690F"/>
    <w:rsid w:val="00AD69DD"/>
    <w:rsid w:val="00AD71E1"/>
    <w:rsid w:val="00AE6B26"/>
    <w:rsid w:val="00AF22C1"/>
    <w:rsid w:val="00AF3EFA"/>
    <w:rsid w:val="00AF41D1"/>
    <w:rsid w:val="00B0007E"/>
    <w:rsid w:val="00B01623"/>
    <w:rsid w:val="00B03388"/>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665B"/>
    <w:rsid w:val="00BA7D44"/>
    <w:rsid w:val="00BB55AD"/>
    <w:rsid w:val="00BD3620"/>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B46B2"/>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4BF0"/>
    <w:rsid w:val="00DC29DD"/>
    <w:rsid w:val="00DC7C0E"/>
    <w:rsid w:val="00DE1E82"/>
    <w:rsid w:val="00DE1F92"/>
    <w:rsid w:val="00DE7387"/>
    <w:rsid w:val="00DF1928"/>
    <w:rsid w:val="00DF2A6A"/>
    <w:rsid w:val="00DF3B72"/>
    <w:rsid w:val="00E01DFD"/>
    <w:rsid w:val="00E10821"/>
    <w:rsid w:val="00E12CA3"/>
    <w:rsid w:val="00E16E67"/>
    <w:rsid w:val="00E2489D"/>
    <w:rsid w:val="00E26520"/>
    <w:rsid w:val="00E343A3"/>
    <w:rsid w:val="00E51BFA"/>
    <w:rsid w:val="00E620F4"/>
    <w:rsid w:val="00E621A3"/>
    <w:rsid w:val="00E64E60"/>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079"/>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E925B4"/>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Author xmlns="3b0a7a64-9522-4a53-b35e-3c94440182cb">DPM</DPM_x0020_Author>
    <DPM_x0020_File_x0020_name xmlns="3b0a7a64-9522-4a53-b35e-3c94440182cb">T22-WTSA.24-C-0035!A33!MSW-A</DPM_x0020_File_x0020_name>
    <DPM_x0020_Version xmlns="3b0a7a64-9522-4a53-b35e-3c94440182cb">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b0a7a64-9522-4a53-b35e-3c94440182cb" targetNamespace="http://schemas.microsoft.com/office/2006/metadata/properties" ma:root="true" ma:fieldsID="d41af5c836d734370eb92e7ee5f83852" ns2:_="" ns3:_="">
    <xsd:import namespace="996b2e75-67fd-4955-a3b0-5ab9934cb50b"/>
    <xsd:import namespace="3b0a7a64-9522-4a53-b35e-3c94440182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b0a7a64-9522-4a53-b35e-3c94440182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B875B-BB96-40D0-8946-0CE5850ADEFE}">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b0a7a64-9522-4a53-b35e-3c94440182cb"/>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b0a7a64-9522-4a53-b35e-3c944401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1285</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T22-WTSA.24-C-0035!A33!MSW-A</vt:lpstr>
    </vt:vector>
  </TitlesOfParts>
  <Manager>General Secretariat - Pool</Manager>
  <Company>International Telecommunication Union (ITU)</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T22-WTSA.24-C-0035!A33!MSW-A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4</cp:revision>
  <cp:lastPrinted>2019-06-26T10:10:00Z</cp:lastPrinted>
  <dcterms:created xsi:type="dcterms:W3CDTF">2024-09-23T09:50:00Z</dcterms:created>
  <dcterms:modified xsi:type="dcterms:W3CDTF">2024-09-23T13:24:00Z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