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8321AA" w14:paraId="301EAFD0" w14:textId="77777777" w:rsidTr="00267BFB">
        <w:trPr>
          <w:cantSplit/>
          <w:trHeight w:val="1132"/>
        </w:trPr>
        <w:tc>
          <w:tcPr>
            <w:tcW w:w="1290" w:type="dxa"/>
            <w:vAlign w:val="center"/>
          </w:tcPr>
          <w:p w14:paraId="7B5A2E41" w14:textId="77777777" w:rsidR="00D2023F" w:rsidRPr="008321AA" w:rsidRDefault="0018215C" w:rsidP="00C30155">
            <w:pPr>
              <w:spacing w:before="0"/>
              <w:rPr>
                <w:lang w:val="fr-FR"/>
              </w:rPr>
            </w:pPr>
            <w:r w:rsidRPr="008321AA">
              <w:rPr>
                <w:lang w:val="fr-FR"/>
              </w:rPr>
              <w:drawing>
                <wp:inline distT="0" distB="0" distL="0" distR="0" wp14:anchorId="77C4ECD9" wp14:editId="58BF2F3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DAD7743" w14:textId="77777777" w:rsidR="00D2023F" w:rsidRPr="008321AA" w:rsidRDefault="006F0DB7" w:rsidP="008A186A">
            <w:pPr>
              <w:pStyle w:val="TopHeader"/>
              <w:rPr>
                <w:lang w:val="fr-FR"/>
              </w:rPr>
            </w:pPr>
            <w:r w:rsidRPr="008321AA">
              <w:rPr>
                <w:lang w:val="fr-FR"/>
              </w:rPr>
              <w:t>Assemblée mondiale de normalisation des télécommunications (AMNT-24)</w:t>
            </w:r>
            <w:r w:rsidRPr="008321AA">
              <w:rPr>
                <w:sz w:val="26"/>
                <w:szCs w:val="26"/>
                <w:lang w:val="fr-FR"/>
              </w:rPr>
              <w:br/>
            </w:r>
            <w:r w:rsidRPr="008321AA">
              <w:rPr>
                <w:sz w:val="18"/>
                <w:szCs w:val="18"/>
                <w:lang w:val="fr-FR"/>
              </w:rPr>
              <w:t>New Delhi, 15</w:t>
            </w:r>
            <w:r w:rsidR="00BC053B" w:rsidRPr="008321AA">
              <w:rPr>
                <w:sz w:val="18"/>
                <w:szCs w:val="18"/>
                <w:lang w:val="fr-FR"/>
              </w:rPr>
              <w:t>-</w:t>
            </w:r>
            <w:r w:rsidRPr="008321AA">
              <w:rPr>
                <w:sz w:val="18"/>
                <w:szCs w:val="18"/>
                <w:lang w:val="fr-FR"/>
              </w:rPr>
              <w:t>24 octobre 2024</w:t>
            </w:r>
          </w:p>
        </w:tc>
        <w:tc>
          <w:tcPr>
            <w:tcW w:w="1306" w:type="dxa"/>
            <w:tcBorders>
              <w:left w:val="nil"/>
            </w:tcBorders>
            <w:vAlign w:val="center"/>
          </w:tcPr>
          <w:p w14:paraId="12C524BA" w14:textId="77777777" w:rsidR="00D2023F" w:rsidRPr="008321AA" w:rsidRDefault="00D2023F" w:rsidP="00C30155">
            <w:pPr>
              <w:spacing w:before="0"/>
              <w:rPr>
                <w:lang w:val="fr-FR"/>
              </w:rPr>
            </w:pPr>
            <w:r w:rsidRPr="008321AA">
              <w:rPr>
                <w:lang w:val="fr-FR" w:eastAsia="zh-CN"/>
              </w:rPr>
              <w:drawing>
                <wp:inline distT="0" distB="0" distL="0" distR="0" wp14:anchorId="3982A6CC" wp14:editId="6445AFD5">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8321AA" w14:paraId="035BF682" w14:textId="77777777" w:rsidTr="00267BFB">
        <w:trPr>
          <w:cantSplit/>
        </w:trPr>
        <w:tc>
          <w:tcPr>
            <w:tcW w:w="9811" w:type="dxa"/>
            <w:gridSpan w:val="4"/>
            <w:tcBorders>
              <w:bottom w:val="single" w:sz="12" w:space="0" w:color="auto"/>
            </w:tcBorders>
          </w:tcPr>
          <w:p w14:paraId="244B99E7" w14:textId="77777777" w:rsidR="00D2023F" w:rsidRPr="008321AA" w:rsidRDefault="00D2023F" w:rsidP="00C30155">
            <w:pPr>
              <w:spacing w:before="0"/>
              <w:rPr>
                <w:lang w:val="fr-FR"/>
              </w:rPr>
            </w:pPr>
          </w:p>
        </w:tc>
      </w:tr>
      <w:tr w:rsidR="00931298" w:rsidRPr="008321AA" w14:paraId="194DFF2C" w14:textId="77777777" w:rsidTr="00267BFB">
        <w:trPr>
          <w:cantSplit/>
        </w:trPr>
        <w:tc>
          <w:tcPr>
            <w:tcW w:w="6237" w:type="dxa"/>
            <w:gridSpan w:val="2"/>
            <w:tcBorders>
              <w:top w:val="single" w:sz="12" w:space="0" w:color="auto"/>
            </w:tcBorders>
          </w:tcPr>
          <w:p w14:paraId="7A0C868E" w14:textId="77777777" w:rsidR="00931298" w:rsidRPr="008321AA" w:rsidRDefault="00931298" w:rsidP="00C30155">
            <w:pPr>
              <w:spacing w:before="0"/>
              <w:rPr>
                <w:lang w:val="fr-FR"/>
              </w:rPr>
            </w:pPr>
          </w:p>
        </w:tc>
        <w:tc>
          <w:tcPr>
            <w:tcW w:w="3574" w:type="dxa"/>
            <w:gridSpan w:val="2"/>
          </w:tcPr>
          <w:p w14:paraId="4D92F1AB" w14:textId="77777777" w:rsidR="00931298" w:rsidRPr="008321AA" w:rsidRDefault="00931298" w:rsidP="00C30155">
            <w:pPr>
              <w:spacing w:before="0"/>
              <w:rPr>
                <w:sz w:val="20"/>
                <w:szCs w:val="16"/>
                <w:lang w:val="fr-FR"/>
              </w:rPr>
            </w:pPr>
          </w:p>
        </w:tc>
      </w:tr>
      <w:tr w:rsidR="00752D4D" w:rsidRPr="008321AA" w14:paraId="37E4F951" w14:textId="77777777" w:rsidTr="00267BFB">
        <w:trPr>
          <w:cantSplit/>
        </w:trPr>
        <w:tc>
          <w:tcPr>
            <w:tcW w:w="6237" w:type="dxa"/>
            <w:gridSpan w:val="2"/>
          </w:tcPr>
          <w:p w14:paraId="6042EA7D" w14:textId="77777777" w:rsidR="00752D4D" w:rsidRPr="008321AA" w:rsidRDefault="007F4179" w:rsidP="00C30155">
            <w:pPr>
              <w:pStyle w:val="Committee"/>
              <w:rPr>
                <w:lang w:val="fr-FR"/>
              </w:rPr>
            </w:pPr>
            <w:r w:rsidRPr="008321AA">
              <w:rPr>
                <w:lang w:val="fr-FR"/>
              </w:rPr>
              <w:t>SÉANCE PLÉNIÈRE</w:t>
            </w:r>
          </w:p>
        </w:tc>
        <w:tc>
          <w:tcPr>
            <w:tcW w:w="3574" w:type="dxa"/>
            <w:gridSpan w:val="2"/>
          </w:tcPr>
          <w:p w14:paraId="022A9D66" w14:textId="77777777" w:rsidR="00752D4D" w:rsidRPr="008321AA" w:rsidRDefault="007F4179" w:rsidP="00A52D1A">
            <w:pPr>
              <w:pStyle w:val="Docnumber"/>
              <w:rPr>
                <w:lang w:val="fr-FR"/>
              </w:rPr>
            </w:pPr>
            <w:r w:rsidRPr="008321AA">
              <w:rPr>
                <w:lang w:val="fr-FR"/>
              </w:rPr>
              <w:t>Addendum 27 au</w:t>
            </w:r>
            <w:r w:rsidRPr="008321AA">
              <w:rPr>
                <w:lang w:val="fr-FR"/>
              </w:rPr>
              <w:br/>
              <w:t>Document 35</w:t>
            </w:r>
            <w:r w:rsidR="00F94D62" w:rsidRPr="008321AA">
              <w:rPr>
                <w:lang w:val="fr-FR"/>
              </w:rPr>
              <w:t>-</w:t>
            </w:r>
            <w:r w:rsidR="00EE4CB8" w:rsidRPr="008321AA">
              <w:rPr>
                <w:lang w:val="fr-FR"/>
              </w:rPr>
              <w:t>F</w:t>
            </w:r>
          </w:p>
        </w:tc>
      </w:tr>
      <w:tr w:rsidR="00931298" w:rsidRPr="008321AA" w14:paraId="32EBFE81" w14:textId="77777777" w:rsidTr="00267BFB">
        <w:trPr>
          <w:cantSplit/>
        </w:trPr>
        <w:tc>
          <w:tcPr>
            <w:tcW w:w="6237" w:type="dxa"/>
            <w:gridSpan w:val="2"/>
          </w:tcPr>
          <w:p w14:paraId="663D7929" w14:textId="77777777" w:rsidR="00931298" w:rsidRPr="008321AA" w:rsidRDefault="00931298" w:rsidP="00C30155">
            <w:pPr>
              <w:spacing w:before="0"/>
              <w:rPr>
                <w:lang w:val="fr-FR"/>
              </w:rPr>
            </w:pPr>
          </w:p>
        </w:tc>
        <w:tc>
          <w:tcPr>
            <w:tcW w:w="3574" w:type="dxa"/>
            <w:gridSpan w:val="2"/>
          </w:tcPr>
          <w:p w14:paraId="5F5DF77A" w14:textId="77777777" w:rsidR="00931298" w:rsidRPr="008321AA" w:rsidRDefault="007F4179" w:rsidP="00C30155">
            <w:pPr>
              <w:pStyle w:val="TopHeader"/>
              <w:spacing w:before="0"/>
              <w:rPr>
                <w:sz w:val="20"/>
                <w:szCs w:val="20"/>
                <w:lang w:val="fr-FR"/>
              </w:rPr>
            </w:pPr>
            <w:r w:rsidRPr="008321AA">
              <w:rPr>
                <w:sz w:val="20"/>
                <w:szCs w:val="16"/>
                <w:lang w:val="fr-FR"/>
              </w:rPr>
              <w:t>13 septembre 2024</w:t>
            </w:r>
          </w:p>
        </w:tc>
      </w:tr>
      <w:tr w:rsidR="00931298" w:rsidRPr="008321AA" w14:paraId="0A02FFA3" w14:textId="77777777" w:rsidTr="00267BFB">
        <w:trPr>
          <w:cantSplit/>
        </w:trPr>
        <w:tc>
          <w:tcPr>
            <w:tcW w:w="6237" w:type="dxa"/>
            <w:gridSpan w:val="2"/>
          </w:tcPr>
          <w:p w14:paraId="228F6605" w14:textId="77777777" w:rsidR="00931298" w:rsidRPr="008321AA" w:rsidRDefault="00931298" w:rsidP="00C30155">
            <w:pPr>
              <w:spacing w:before="0"/>
              <w:rPr>
                <w:lang w:val="fr-FR"/>
              </w:rPr>
            </w:pPr>
          </w:p>
        </w:tc>
        <w:tc>
          <w:tcPr>
            <w:tcW w:w="3574" w:type="dxa"/>
            <w:gridSpan w:val="2"/>
          </w:tcPr>
          <w:p w14:paraId="72498868" w14:textId="77777777" w:rsidR="00931298" w:rsidRPr="008321AA" w:rsidRDefault="007F4179" w:rsidP="00C30155">
            <w:pPr>
              <w:pStyle w:val="TopHeader"/>
              <w:spacing w:before="0"/>
              <w:rPr>
                <w:sz w:val="20"/>
                <w:szCs w:val="20"/>
                <w:lang w:val="fr-FR"/>
              </w:rPr>
            </w:pPr>
            <w:r w:rsidRPr="008321AA">
              <w:rPr>
                <w:sz w:val="20"/>
                <w:szCs w:val="16"/>
                <w:lang w:val="fr-FR"/>
              </w:rPr>
              <w:t>Original: anglais</w:t>
            </w:r>
          </w:p>
        </w:tc>
      </w:tr>
      <w:tr w:rsidR="00931298" w:rsidRPr="008321AA" w14:paraId="4CC4FD33" w14:textId="77777777" w:rsidTr="00267BFB">
        <w:trPr>
          <w:cantSplit/>
        </w:trPr>
        <w:tc>
          <w:tcPr>
            <w:tcW w:w="9811" w:type="dxa"/>
            <w:gridSpan w:val="4"/>
          </w:tcPr>
          <w:p w14:paraId="3015BB73" w14:textId="77777777" w:rsidR="00931298" w:rsidRPr="008321AA" w:rsidRDefault="00931298" w:rsidP="00706168">
            <w:pPr>
              <w:spacing w:before="0"/>
              <w:rPr>
                <w:sz w:val="20"/>
                <w:szCs w:val="16"/>
                <w:lang w:val="fr-FR"/>
              </w:rPr>
            </w:pPr>
          </w:p>
        </w:tc>
      </w:tr>
      <w:tr w:rsidR="007F4179" w:rsidRPr="008321AA" w14:paraId="7394DFC0" w14:textId="77777777" w:rsidTr="00267BFB">
        <w:trPr>
          <w:cantSplit/>
        </w:trPr>
        <w:tc>
          <w:tcPr>
            <w:tcW w:w="9811" w:type="dxa"/>
            <w:gridSpan w:val="4"/>
          </w:tcPr>
          <w:p w14:paraId="3C325FE0" w14:textId="14F11E89" w:rsidR="007F4179" w:rsidRPr="008321AA" w:rsidRDefault="007F4179" w:rsidP="007F4179">
            <w:pPr>
              <w:pStyle w:val="Source"/>
              <w:rPr>
                <w:lang w:val="fr-FR"/>
              </w:rPr>
            </w:pPr>
            <w:r w:rsidRPr="008321AA">
              <w:rPr>
                <w:lang w:val="fr-FR"/>
              </w:rPr>
              <w:t>Administrations des pays membres de</w:t>
            </w:r>
            <w:r w:rsidR="00FA17EA" w:rsidRPr="008321AA">
              <w:rPr>
                <w:lang w:val="fr-FR"/>
              </w:rPr>
              <w:br/>
            </w:r>
            <w:r w:rsidRPr="008321AA">
              <w:rPr>
                <w:lang w:val="fr-FR"/>
              </w:rPr>
              <w:t>l</w:t>
            </w:r>
            <w:r w:rsidR="00296563" w:rsidRPr="008321AA">
              <w:rPr>
                <w:lang w:val="fr-FR"/>
              </w:rPr>
              <w:t>'</w:t>
            </w:r>
            <w:r w:rsidRPr="008321AA">
              <w:rPr>
                <w:lang w:val="fr-FR"/>
              </w:rPr>
              <w:t>Union</w:t>
            </w:r>
            <w:r w:rsidR="00FA17EA" w:rsidRPr="008321AA">
              <w:rPr>
                <w:lang w:val="fr-FR"/>
              </w:rPr>
              <w:t xml:space="preserve"> </w:t>
            </w:r>
            <w:r w:rsidRPr="008321AA">
              <w:rPr>
                <w:lang w:val="fr-FR"/>
              </w:rPr>
              <w:t>africaine des télécommunications</w:t>
            </w:r>
          </w:p>
        </w:tc>
      </w:tr>
      <w:tr w:rsidR="007F4179" w:rsidRPr="008321AA" w14:paraId="34955C3C" w14:textId="77777777" w:rsidTr="00267BFB">
        <w:trPr>
          <w:cantSplit/>
        </w:trPr>
        <w:tc>
          <w:tcPr>
            <w:tcW w:w="9811" w:type="dxa"/>
            <w:gridSpan w:val="4"/>
          </w:tcPr>
          <w:p w14:paraId="3158BE9D" w14:textId="7EFE9572" w:rsidR="007F4179" w:rsidRPr="008321AA" w:rsidRDefault="00FA17EA" w:rsidP="007F4179">
            <w:pPr>
              <w:pStyle w:val="Title1"/>
              <w:rPr>
                <w:lang w:val="fr-FR"/>
              </w:rPr>
            </w:pPr>
            <w:r w:rsidRPr="008321AA">
              <w:rPr>
                <w:lang w:val="fr-FR"/>
              </w:rPr>
              <w:t xml:space="preserve">PROPOSITION DE MAINTIEN DE LA RÉSOLUTION </w:t>
            </w:r>
            <w:r w:rsidR="007F4179" w:rsidRPr="008321AA">
              <w:rPr>
                <w:lang w:val="fr-FR"/>
              </w:rPr>
              <w:t>95</w:t>
            </w:r>
          </w:p>
        </w:tc>
      </w:tr>
      <w:tr w:rsidR="00657CDA" w:rsidRPr="008321AA" w14:paraId="6226F646" w14:textId="77777777" w:rsidTr="00267BFB">
        <w:trPr>
          <w:cantSplit/>
          <w:trHeight w:hRule="exact" w:val="240"/>
        </w:trPr>
        <w:tc>
          <w:tcPr>
            <w:tcW w:w="9811" w:type="dxa"/>
            <w:gridSpan w:val="4"/>
          </w:tcPr>
          <w:p w14:paraId="61004369" w14:textId="77777777" w:rsidR="00657CDA" w:rsidRPr="008321AA" w:rsidRDefault="00657CDA" w:rsidP="007F4179">
            <w:pPr>
              <w:pStyle w:val="Title2"/>
              <w:spacing w:before="0"/>
              <w:rPr>
                <w:lang w:val="fr-FR"/>
              </w:rPr>
            </w:pPr>
          </w:p>
        </w:tc>
      </w:tr>
      <w:tr w:rsidR="00657CDA" w:rsidRPr="008321AA" w14:paraId="4979F52D" w14:textId="77777777" w:rsidTr="00267BFB">
        <w:trPr>
          <w:cantSplit/>
          <w:trHeight w:hRule="exact" w:val="240"/>
        </w:trPr>
        <w:tc>
          <w:tcPr>
            <w:tcW w:w="9811" w:type="dxa"/>
            <w:gridSpan w:val="4"/>
          </w:tcPr>
          <w:p w14:paraId="0BC2C130" w14:textId="77777777" w:rsidR="00657CDA" w:rsidRPr="008321AA" w:rsidRDefault="00657CDA" w:rsidP="00293F9A">
            <w:pPr>
              <w:pStyle w:val="Agendaitem"/>
              <w:spacing w:before="0"/>
              <w:rPr>
                <w:lang w:val="fr-FR"/>
              </w:rPr>
            </w:pPr>
          </w:p>
        </w:tc>
      </w:tr>
    </w:tbl>
    <w:p w14:paraId="66BF95AA" w14:textId="77777777" w:rsidR="00931298" w:rsidRPr="008321AA" w:rsidRDefault="00931298" w:rsidP="00931298">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8321AA" w14:paraId="6F260001" w14:textId="77777777" w:rsidTr="00267BFB">
        <w:trPr>
          <w:cantSplit/>
        </w:trPr>
        <w:tc>
          <w:tcPr>
            <w:tcW w:w="1912" w:type="dxa"/>
          </w:tcPr>
          <w:p w14:paraId="5EDD7E30" w14:textId="77777777" w:rsidR="00931298" w:rsidRPr="008321AA" w:rsidRDefault="006F0DB7" w:rsidP="00C30155">
            <w:pPr>
              <w:rPr>
                <w:lang w:val="fr-FR"/>
              </w:rPr>
            </w:pPr>
            <w:r w:rsidRPr="008321AA">
              <w:rPr>
                <w:b/>
                <w:bCs/>
                <w:lang w:val="fr-FR"/>
              </w:rPr>
              <w:t>Résumé:</w:t>
            </w:r>
          </w:p>
        </w:tc>
        <w:tc>
          <w:tcPr>
            <w:tcW w:w="7870" w:type="dxa"/>
            <w:gridSpan w:val="2"/>
          </w:tcPr>
          <w:p w14:paraId="723ED2B3" w14:textId="42B5D39D" w:rsidR="00931298" w:rsidRPr="008321AA" w:rsidRDefault="003A3742" w:rsidP="00C30155">
            <w:pPr>
              <w:pStyle w:val="Abstract"/>
              <w:rPr>
                <w:lang w:val="fr-FR"/>
              </w:rPr>
            </w:pPr>
            <w:r w:rsidRPr="008321AA">
              <w:rPr>
                <w:color w:val="000000" w:themeColor="text1"/>
                <w:lang w:val="fr-FR"/>
              </w:rPr>
              <w:t>La proposition consistant à n</w:t>
            </w:r>
            <w:r w:rsidR="00296563" w:rsidRPr="008321AA">
              <w:rPr>
                <w:color w:val="000000" w:themeColor="text1"/>
                <w:lang w:val="fr-FR"/>
              </w:rPr>
              <w:t>'</w:t>
            </w:r>
            <w:r w:rsidRPr="008321AA">
              <w:rPr>
                <w:color w:val="000000" w:themeColor="text1"/>
                <w:lang w:val="fr-FR"/>
              </w:rPr>
              <w:t xml:space="preserve">apporter aucune modification (NOC) </w:t>
            </w:r>
            <w:r w:rsidR="00191857" w:rsidRPr="008321AA">
              <w:rPr>
                <w:color w:val="000000" w:themeColor="text1"/>
                <w:lang w:val="fr-FR"/>
              </w:rPr>
              <w:t>découle d</w:t>
            </w:r>
            <w:r w:rsidRPr="008321AA">
              <w:rPr>
                <w:color w:val="000000" w:themeColor="text1"/>
                <w:lang w:val="fr-FR"/>
              </w:rPr>
              <w:t>u fait que le texte actuel de la Résolution 95 de l</w:t>
            </w:r>
            <w:r w:rsidR="00296563" w:rsidRPr="008321AA">
              <w:rPr>
                <w:color w:val="000000" w:themeColor="text1"/>
                <w:lang w:val="fr-FR"/>
              </w:rPr>
              <w:t>'</w:t>
            </w:r>
            <w:r w:rsidRPr="008321AA">
              <w:rPr>
                <w:color w:val="000000" w:themeColor="text1"/>
                <w:lang w:val="fr-FR"/>
              </w:rPr>
              <w:t>AMNT satisfait de manière adéquate aux besoins de la région en matière de qualité de service</w:t>
            </w:r>
            <w:r w:rsidR="00191857" w:rsidRPr="008321AA">
              <w:rPr>
                <w:color w:val="000000" w:themeColor="text1"/>
                <w:lang w:val="fr-FR"/>
              </w:rPr>
              <w:t xml:space="preserve"> et </w:t>
            </w:r>
            <w:r w:rsidRPr="008321AA">
              <w:rPr>
                <w:color w:val="000000" w:themeColor="text1"/>
                <w:lang w:val="fr-FR"/>
              </w:rPr>
              <w:t>qualité d</w:t>
            </w:r>
            <w:r w:rsidR="00296563" w:rsidRPr="008321AA">
              <w:rPr>
                <w:color w:val="000000" w:themeColor="text1"/>
                <w:lang w:val="fr-FR"/>
              </w:rPr>
              <w:t>'</w:t>
            </w:r>
            <w:r w:rsidRPr="008321AA">
              <w:rPr>
                <w:color w:val="000000" w:themeColor="text1"/>
                <w:lang w:val="fr-FR"/>
              </w:rPr>
              <w:t>expérience</w:t>
            </w:r>
            <w:r w:rsidR="00191857" w:rsidRPr="008321AA">
              <w:rPr>
                <w:color w:val="000000" w:themeColor="text1"/>
                <w:lang w:val="fr-FR"/>
              </w:rPr>
              <w:t>. N</w:t>
            </w:r>
            <w:r w:rsidRPr="008321AA">
              <w:rPr>
                <w:color w:val="000000" w:themeColor="text1"/>
                <w:lang w:val="fr-FR"/>
              </w:rPr>
              <w:t>ous sommes d</w:t>
            </w:r>
            <w:r w:rsidR="00296563" w:rsidRPr="008321AA">
              <w:rPr>
                <w:color w:val="000000" w:themeColor="text1"/>
                <w:lang w:val="fr-FR"/>
              </w:rPr>
              <w:t>'</w:t>
            </w:r>
            <w:r w:rsidRPr="008321AA">
              <w:rPr>
                <w:color w:val="000000" w:themeColor="text1"/>
                <w:lang w:val="fr-FR"/>
              </w:rPr>
              <w:t>avis qu</w:t>
            </w:r>
            <w:r w:rsidR="00296563" w:rsidRPr="008321AA">
              <w:rPr>
                <w:color w:val="000000" w:themeColor="text1"/>
                <w:lang w:val="fr-FR"/>
              </w:rPr>
              <w:t>'</w:t>
            </w:r>
            <w:r w:rsidRPr="008321AA">
              <w:rPr>
                <w:color w:val="000000" w:themeColor="text1"/>
                <w:lang w:val="fr-FR"/>
              </w:rPr>
              <w:t>il en va de même pour la plupart des pays en développement. En outre, la mise en œuvre de la version actuelle de la Résolution 95 est assurée par le Groupe sur le développement de la qualité de service (QSDG) et le Groupe régional de la C</w:t>
            </w:r>
            <w:r w:rsidR="00191857" w:rsidRPr="008321AA">
              <w:rPr>
                <w:color w:val="000000" w:themeColor="text1"/>
                <w:lang w:val="fr-FR"/>
              </w:rPr>
              <w:t>ommission d</w:t>
            </w:r>
            <w:r w:rsidR="00296563" w:rsidRPr="008321AA">
              <w:rPr>
                <w:color w:val="000000" w:themeColor="text1"/>
                <w:lang w:val="fr-FR"/>
              </w:rPr>
              <w:t>'</w:t>
            </w:r>
            <w:r w:rsidR="00191857" w:rsidRPr="008321AA">
              <w:rPr>
                <w:color w:val="000000" w:themeColor="text1"/>
                <w:lang w:val="fr-FR"/>
              </w:rPr>
              <w:t xml:space="preserve">études </w:t>
            </w:r>
            <w:r w:rsidRPr="008321AA">
              <w:rPr>
                <w:color w:val="000000" w:themeColor="text1"/>
                <w:lang w:val="fr-FR"/>
              </w:rPr>
              <w:t xml:space="preserve">12 </w:t>
            </w:r>
            <w:r w:rsidR="00191857" w:rsidRPr="008321AA">
              <w:rPr>
                <w:color w:val="000000" w:themeColor="text1"/>
                <w:lang w:val="fr-FR"/>
              </w:rPr>
              <w:t xml:space="preserve">(CE 12) </w:t>
            </w:r>
            <w:r w:rsidRPr="008321AA">
              <w:rPr>
                <w:color w:val="000000" w:themeColor="text1"/>
                <w:lang w:val="fr-FR"/>
              </w:rPr>
              <w:t xml:space="preserve">pour la région Afrique, </w:t>
            </w:r>
            <w:r w:rsidR="00191857" w:rsidRPr="008321AA">
              <w:rPr>
                <w:color w:val="000000" w:themeColor="text1"/>
                <w:lang w:val="fr-FR"/>
              </w:rPr>
              <w:t xml:space="preserve">ainsi que par </w:t>
            </w:r>
            <w:r w:rsidRPr="008321AA">
              <w:rPr>
                <w:color w:val="000000" w:themeColor="text1"/>
                <w:lang w:val="fr-FR"/>
              </w:rPr>
              <w:t xml:space="preserve">la </w:t>
            </w:r>
            <w:r w:rsidR="00191857" w:rsidRPr="008321AA">
              <w:rPr>
                <w:color w:val="000000" w:themeColor="text1"/>
                <w:lang w:val="fr-FR"/>
              </w:rPr>
              <w:t xml:space="preserve">CE </w:t>
            </w:r>
            <w:r w:rsidRPr="008321AA">
              <w:rPr>
                <w:color w:val="000000" w:themeColor="text1"/>
                <w:lang w:val="fr-FR"/>
              </w:rPr>
              <w:t xml:space="preserve">12, dont ils relèvent. </w:t>
            </w:r>
            <w:r w:rsidR="00191857" w:rsidRPr="008321AA">
              <w:rPr>
                <w:color w:val="000000" w:themeColor="text1"/>
                <w:lang w:val="fr-FR"/>
              </w:rPr>
              <w:t xml:space="preserve">Nous lançons en revanche un </w:t>
            </w:r>
            <w:r w:rsidRPr="008321AA">
              <w:rPr>
                <w:color w:val="000000" w:themeColor="text1"/>
                <w:lang w:val="fr-FR"/>
              </w:rPr>
              <w:t>appel aux membres pour qu</w:t>
            </w:r>
            <w:r w:rsidR="00296563" w:rsidRPr="008321AA">
              <w:rPr>
                <w:color w:val="000000" w:themeColor="text1"/>
                <w:lang w:val="fr-FR"/>
              </w:rPr>
              <w:t>'</w:t>
            </w:r>
            <w:r w:rsidRPr="008321AA">
              <w:rPr>
                <w:color w:val="000000" w:themeColor="text1"/>
                <w:lang w:val="fr-FR"/>
              </w:rPr>
              <w:t xml:space="preserve">ils fassent bon usage des Recommandations, </w:t>
            </w:r>
            <w:r w:rsidR="00296563" w:rsidRPr="008321AA">
              <w:rPr>
                <w:color w:val="000000" w:themeColor="text1"/>
                <w:lang w:val="fr-FR"/>
              </w:rPr>
              <w:t>S</w:t>
            </w:r>
            <w:r w:rsidRPr="008321AA">
              <w:rPr>
                <w:color w:val="000000" w:themeColor="text1"/>
                <w:lang w:val="fr-FR"/>
              </w:rPr>
              <w:t xml:space="preserve">uppléments et rapports techniques existants approuvés par la </w:t>
            </w:r>
            <w:r w:rsidR="00191857" w:rsidRPr="008321AA">
              <w:rPr>
                <w:color w:val="000000" w:themeColor="text1"/>
                <w:lang w:val="fr-FR"/>
              </w:rPr>
              <w:t xml:space="preserve">CE </w:t>
            </w:r>
            <w:r w:rsidRPr="008321AA">
              <w:rPr>
                <w:color w:val="000000" w:themeColor="text1"/>
                <w:lang w:val="fr-FR"/>
              </w:rPr>
              <w:t>12 et pour qu</w:t>
            </w:r>
            <w:r w:rsidR="00296563" w:rsidRPr="008321AA">
              <w:rPr>
                <w:color w:val="000000" w:themeColor="text1"/>
                <w:lang w:val="fr-FR"/>
              </w:rPr>
              <w:t>'</w:t>
            </w:r>
            <w:r w:rsidRPr="008321AA">
              <w:rPr>
                <w:color w:val="000000" w:themeColor="text1"/>
                <w:lang w:val="fr-FR"/>
              </w:rPr>
              <w:t xml:space="preserve">ils continuent de soutenir </w:t>
            </w:r>
            <w:r w:rsidR="00191857" w:rsidRPr="008321AA">
              <w:rPr>
                <w:color w:val="000000" w:themeColor="text1"/>
                <w:lang w:val="fr-FR"/>
              </w:rPr>
              <w:t xml:space="preserve">les </w:t>
            </w:r>
            <w:r w:rsidRPr="008321AA">
              <w:rPr>
                <w:color w:val="000000" w:themeColor="text1"/>
                <w:lang w:val="fr-FR"/>
              </w:rPr>
              <w:t xml:space="preserve">travaux </w:t>
            </w:r>
            <w:r w:rsidR="00191857" w:rsidRPr="008321AA">
              <w:rPr>
                <w:color w:val="000000" w:themeColor="text1"/>
                <w:lang w:val="fr-FR"/>
              </w:rPr>
              <w:t>de cette commission d</w:t>
            </w:r>
            <w:r w:rsidR="00296563" w:rsidRPr="008321AA">
              <w:rPr>
                <w:color w:val="000000" w:themeColor="text1"/>
                <w:lang w:val="fr-FR"/>
              </w:rPr>
              <w:t>'</w:t>
            </w:r>
            <w:r w:rsidR="00191857" w:rsidRPr="008321AA">
              <w:rPr>
                <w:color w:val="000000" w:themeColor="text1"/>
                <w:lang w:val="fr-FR"/>
              </w:rPr>
              <w:t xml:space="preserve">études </w:t>
            </w:r>
            <w:r w:rsidRPr="008321AA">
              <w:rPr>
                <w:color w:val="000000" w:themeColor="text1"/>
                <w:lang w:val="fr-FR"/>
              </w:rPr>
              <w:t>en soumettant davantage de contributions.</w:t>
            </w:r>
          </w:p>
        </w:tc>
      </w:tr>
      <w:tr w:rsidR="00931298" w:rsidRPr="008321AA" w14:paraId="599F890D" w14:textId="77777777" w:rsidTr="00267BFB">
        <w:trPr>
          <w:cantSplit/>
        </w:trPr>
        <w:tc>
          <w:tcPr>
            <w:tcW w:w="1912" w:type="dxa"/>
          </w:tcPr>
          <w:p w14:paraId="1FDB249F" w14:textId="77777777" w:rsidR="00931298" w:rsidRPr="008321AA" w:rsidRDefault="00931298" w:rsidP="00C30155">
            <w:pPr>
              <w:rPr>
                <w:b/>
                <w:bCs/>
                <w:szCs w:val="24"/>
                <w:lang w:val="fr-FR"/>
              </w:rPr>
            </w:pPr>
            <w:r w:rsidRPr="008321AA">
              <w:rPr>
                <w:b/>
                <w:bCs/>
                <w:szCs w:val="24"/>
                <w:lang w:val="fr-FR"/>
              </w:rPr>
              <w:t>Contact:</w:t>
            </w:r>
          </w:p>
        </w:tc>
        <w:tc>
          <w:tcPr>
            <w:tcW w:w="3935" w:type="dxa"/>
          </w:tcPr>
          <w:p w14:paraId="35189DC9" w14:textId="35B762F7" w:rsidR="00FE5494" w:rsidRPr="008321AA" w:rsidRDefault="00FA17EA" w:rsidP="00FA17EA">
            <w:pPr>
              <w:rPr>
                <w:lang w:val="fr-FR"/>
              </w:rPr>
            </w:pPr>
            <w:r w:rsidRPr="008321AA">
              <w:rPr>
                <w:lang w:val="fr-FR"/>
              </w:rPr>
              <w:t>Isaac Boateng</w:t>
            </w:r>
            <w:r w:rsidRPr="008321AA">
              <w:rPr>
                <w:lang w:val="fr-FR"/>
              </w:rPr>
              <w:br/>
              <w:t>Union africaine des télécommunications</w:t>
            </w:r>
          </w:p>
        </w:tc>
        <w:tc>
          <w:tcPr>
            <w:tcW w:w="3935" w:type="dxa"/>
          </w:tcPr>
          <w:p w14:paraId="0C6A0070" w14:textId="6028A193" w:rsidR="00931298" w:rsidRPr="008321AA" w:rsidRDefault="006F0DB7" w:rsidP="00E6117A">
            <w:pPr>
              <w:rPr>
                <w:lang w:val="fr-FR"/>
              </w:rPr>
            </w:pPr>
            <w:r w:rsidRPr="008321AA">
              <w:rPr>
                <w:lang w:val="fr-FR"/>
              </w:rPr>
              <w:t>Courriel:</w:t>
            </w:r>
            <w:r w:rsidR="00FA17EA" w:rsidRPr="008321AA">
              <w:rPr>
                <w:lang w:val="fr-FR"/>
              </w:rPr>
              <w:tab/>
            </w:r>
            <w:hyperlink r:id="rId14" w:history="1">
              <w:r w:rsidR="00FA17EA" w:rsidRPr="008321AA">
                <w:rPr>
                  <w:rStyle w:val="Hyperlink"/>
                  <w:lang w:val="fr-FR"/>
                </w:rPr>
                <w:t>i.boateng@atuuat.africa</w:t>
              </w:r>
            </w:hyperlink>
          </w:p>
        </w:tc>
      </w:tr>
    </w:tbl>
    <w:p w14:paraId="7F5D310A" w14:textId="77777777" w:rsidR="009F4801" w:rsidRPr="008321AA" w:rsidRDefault="009F4801">
      <w:pPr>
        <w:tabs>
          <w:tab w:val="clear" w:pos="1134"/>
          <w:tab w:val="clear" w:pos="1871"/>
          <w:tab w:val="clear" w:pos="2268"/>
        </w:tabs>
        <w:overflowPunct/>
        <w:autoSpaceDE/>
        <w:autoSpaceDN/>
        <w:adjustRightInd/>
        <w:spacing w:before="0"/>
        <w:textAlignment w:val="auto"/>
        <w:rPr>
          <w:lang w:val="fr-FR"/>
        </w:rPr>
      </w:pPr>
      <w:r w:rsidRPr="008321AA">
        <w:rPr>
          <w:lang w:val="fr-FR"/>
        </w:rPr>
        <w:br w:type="page"/>
      </w:r>
    </w:p>
    <w:p w14:paraId="74CE4674" w14:textId="77777777" w:rsidR="00237CF4" w:rsidRPr="008321AA" w:rsidRDefault="00FA17EA">
      <w:pPr>
        <w:pStyle w:val="Proposal"/>
        <w:rPr>
          <w:lang w:val="fr-FR"/>
        </w:rPr>
      </w:pPr>
      <w:r w:rsidRPr="008321AA">
        <w:rPr>
          <w:u w:val="single"/>
          <w:lang w:val="fr-FR"/>
        </w:rPr>
        <w:lastRenderedPageBreak/>
        <w:t>NOC</w:t>
      </w:r>
      <w:r w:rsidRPr="008321AA">
        <w:rPr>
          <w:lang w:val="fr-FR"/>
        </w:rPr>
        <w:tab/>
        <w:t>ATU/35A27/1</w:t>
      </w:r>
    </w:p>
    <w:p w14:paraId="2871B3CC" w14:textId="20FAADD5" w:rsidR="00870869" w:rsidRPr="008321AA" w:rsidRDefault="00FA17EA" w:rsidP="00931888">
      <w:pPr>
        <w:pStyle w:val="ResNo"/>
        <w:rPr>
          <w:b/>
          <w:bCs/>
          <w:lang w:val="fr-FR"/>
        </w:rPr>
      </w:pPr>
      <w:bookmarkStart w:id="0" w:name="_Toc111647892"/>
      <w:bookmarkStart w:id="1" w:name="_Toc111648531"/>
      <w:r w:rsidRPr="008321AA">
        <w:rPr>
          <w:rFonts w:hAnsi="Times New Roman"/>
          <w:lang w:val="fr-FR"/>
        </w:rPr>
        <w:t>RÉ</w:t>
      </w:r>
      <w:r w:rsidRPr="008321AA">
        <w:rPr>
          <w:lang w:val="fr-FR"/>
        </w:rPr>
        <w:t xml:space="preserve">SOLUTION </w:t>
      </w:r>
      <w:r w:rsidRPr="008321AA">
        <w:rPr>
          <w:rStyle w:val="href"/>
          <w:lang w:val="fr-FR"/>
        </w:rPr>
        <w:t>95</w:t>
      </w:r>
      <w:r w:rsidRPr="008321AA">
        <w:rPr>
          <w:lang w:val="fr-FR"/>
        </w:rPr>
        <w:t xml:space="preserve"> (R</w:t>
      </w:r>
      <w:r w:rsidRPr="008321AA">
        <w:rPr>
          <w:rFonts w:hAnsi="Times New Roman"/>
          <w:lang w:val="fr-FR"/>
        </w:rPr>
        <w:t>é</w:t>
      </w:r>
      <w:r w:rsidRPr="008321AA">
        <w:rPr>
          <w:lang w:val="fr-FR"/>
        </w:rPr>
        <w:t>v. Gen</w:t>
      </w:r>
      <w:r w:rsidRPr="008321AA">
        <w:rPr>
          <w:rFonts w:hAnsi="Times New Roman"/>
          <w:lang w:val="fr-FR"/>
        </w:rPr>
        <w:t>è</w:t>
      </w:r>
      <w:r w:rsidRPr="008321AA">
        <w:rPr>
          <w:lang w:val="fr-FR"/>
        </w:rPr>
        <w:t>ve, 2022)</w:t>
      </w:r>
      <w:bookmarkEnd w:id="0"/>
      <w:bookmarkEnd w:id="1"/>
    </w:p>
    <w:p w14:paraId="2D0B6311" w14:textId="5CA89F5D" w:rsidR="00870869" w:rsidRPr="008321AA" w:rsidRDefault="00FA17EA" w:rsidP="00931888">
      <w:pPr>
        <w:pStyle w:val="Restitle"/>
        <w:rPr>
          <w:lang w:val="fr-FR"/>
        </w:rPr>
      </w:pPr>
      <w:bookmarkStart w:id="2" w:name="_Toc111647893"/>
      <w:bookmarkStart w:id="3" w:name="_Toc111648532"/>
      <w:r w:rsidRPr="008321AA">
        <w:rPr>
          <w:lang w:val="fr-FR"/>
        </w:rPr>
        <w:t>Initiatives prises par le Secteur de la normalisation des télécommunications de l</w:t>
      </w:r>
      <w:r w:rsidR="00296563" w:rsidRPr="008321AA">
        <w:rPr>
          <w:lang w:val="fr-FR"/>
        </w:rPr>
        <w:t>'</w:t>
      </w:r>
      <w:r w:rsidRPr="008321AA">
        <w:rPr>
          <w:lang w:val="fr-FR"/>
        </w:rPr>
        <w:t xml:space="preserve">UIT pour mieux faire connaître les bonnes pratiques et les </w:t>
      </w:r>
      <w:r w:rsidR="00296563" w:rsidRPr="008321AA">
        <w:rPr>
          <w:lang w:val="fr-FR"/>
        </w:rPr>
        <w:br/>
      </w:r>
      <w:r w:rsidRPr="008321AA">
        <w:rPr>
          <w:lang w:val="fr-FR"/>
        </w:rPr>
        <w:t>politiques relatives à la qualité de service</w:t>
      </w:r>
      <w:bookmarkEnd w:id="2"/>
      <w:bookmarkEnd w:id="3"/>
    </w:p>
    <w:p w14:paraId="28E4415E" w14:textId="77777777" w:rsidR="00870869" w:rsidRPr="008321AA" w:rsidRDefault="00FA17EA" w:rsidP="00931888">
      <w:pPr>
        <w:pStyle w:val="Resref"/>
        <w:rPr>
          <w:lang w:val="fr-FR"/>
        </w:rPr>
      </w:pPr>
      <w:r w:rsidRPr="008321AA">
        <w:rPr>
          <w:lang w:val="fr-FR"/>
        </w:rPr>
        <w:t>(Hammamet, 2016; Genève, 2022)</w:t>
      </w:r>
    </w:p>
    <w:p w14:paraId="57AC83D8" w14:textId="4211ABA2" w:rsidR="00870869" w:rsidRPr="008321AA" w:rsidRDefault="00FA17EA" w:rsidP="00D5238A">
      <w:pPr>
        <w:pStyle w:val="Normalaftertitle0"/>
        <w:rPr>
          <w:lang w:val="fr-FR"/>
        </w:rPr>
      </w:pPr>
      <w:r w:rsidRPr="008321AA">
        <w:rPr>
          <w:lang w:val="fr-FR"/>
        </w:rPr>
        <w:t>L</w:t>
      </w:r>
      <w:r w:rsidR="00296563" w:rsidRPr="008321AA">
        <w:rPr>
          <w:lang w:val="fr-FR"/>
        </w:rPr>
        <w:t>'</w:t>
      </w:r>
      <w:r w:rsidRPr="008321AA">
        <w:rPr>
          <w:lang w:val="fr-FR"/>
        </w:rPr>
        <w:t>Assemblée mondiale de normalisation des télécommunications (Genève, 2022),</w:t>
      </w:r>
    </w:p>
    <w:p w14:paraId="1694583A" w14:textId="1C8DF356" w:rsidR="00FA17EA" w:rsidRPr="008321AA" w:rsidRDefault="00FA17EA" w:rsidP="00411C49">
      <w:pPr>
        <w:pStyle w:val="Reasons"/>
        <w:rPr>
          <w:b/>
          <w:bCs/>
          <w:lang w:val="fr-FR"/>
        </w:rPr>
      </w:pPr>
      <w:r w:rsidRPr="008321AA">
        <w:rPr>
          <w:b/>
          <w:bCs/>
          <w:lang w:val="fr-FR"/>
        </w:rPr>
        <w:t>Motifs:</w:t>
      </w:r>
      <w:r w:rsidRPr="008321AA">
        <w:rPr>
          <w:b/>
          <w:bCs/>
          <w:lang w:val="fr-FR"/>
        </w:rPr>
        <w:tab/>
      </w:r>
      <w:r w:rsidR="003A3742" w:rsidRPr="008321AA">
        <w:rPr>
          <w:lang w:val="fr-FR"/>
        </w:rPr>
        <w:t>L</w:t>
      </w:r>
      <w:r w:rsidR="00296563" w:rsidRPr="008321AA">
        <w:rPr>
          <w:lang w:val="fr-FR"/>
        </w:rPr>
        <w:t>'</w:t>
      </w:r>
      <w:r w:rsidR="003A3742" w:rsidRPr="008321AA">
        <w:rPr>
          <w:lang w:val="fr-FR"/>
        </w:rPr>
        <w:t>U</w:t>
      </w:r>
      <w:r w:rsidR="00191857" w:rsidRPr="008321AA">
        <w:rPr>
          <w:lang w:val="fr-FR"/>
        </w:rPr>
        <w:t>nion africaine des télécommunications</w:t>
      </w:r>
      <w:r w:rsidR="003A3742" w:rsidRPr="008321AA">
        <w:rPr>
          <w:lang w:val="fr-FR"/>
        </w:rPr>
        <w:t xml:space="preserve"> propose de n</w:t>
      </w:r>
      <w:r w:rsidR="00296563" w:rsidRPr="008321AA">
        <w:rPr>
          <w:lang w:val="fr-FR"/>
        </w:rPr>
        <w:t>'</w:t>
      </w:r>
      <w:r w:rsidR="003A3742" w:rsidRPr="008321AA">
        <w:rPr>
          <w:lang w:val="fr-FR"/>
        </w:rPr>
        <w:t>apporter aucune modification à</w:t>
      </w:r>
      <w:r w:rsidR="00773DD5" w:rsidRPr="008321AA">
        <w:rPr>
          <w:lang w:val="fr-FR"/>
        </w:rPr>
        <w:t> </w:t>
      </w:r>
      <w:r w:rsidR="003A3742" w:rsidRPr="008321AA">
        <w:rPr>
          <w:lang w:val="fr-FR"/>
        </w:rPr>
        <w:t xml:space="preserve">la Résolution 95, mais invite les États Membres à faire bon usage des Recommandations, </w:t>
      </w:r>
      <w:r w:rsidR="00773DD5" w:rsidRPr="008321AA">
        <w:rPr>
          <w:lang w:val="fr-FR"/>
        </w:rPr>
        <w:t>S</w:t>
      </w:r>
      <w:r w:rsidR="003A3742" w:rsidRPr="008321AA">
        <w:rPr>
          <w:lang w:val="fr-FR"/>
        </w:rPr>
        <w:t xml:space="preserve">uppléments et rapports techniques existants approuvés par la </w:t>
      </w:r>
      <w:r w:rsidR="00191857" w:rsidRPr="008321AA">
        <w:rPr>
          <w:lang w:val="fr-FR"/>
        </w:rPr>
        <w:t>CE </w:t>
      </w:r>
      <w:r w:rsidR="003A3742" w:rsidRPr="008321AA">
        <w:rPr>
          <w:lang w:val="fr-FR"/>
        </w:rPr>
        <w:t xml:space="preserve">12 et à continuer de soutenir les travaux de </w:t>
      </w:r>
      <w:r w:rsidR="00191857" w:rsidRPr="008321AA">
        <w:rPr>
          <w:lang w:val="fr-FR"/>
        </w:rPr>
        <w:t>cette c</w:t>
      </w:r>
      <w:r w:rsidR="003A3742" w:rsidRPr="008321AA">
        <w:rPr>
          <w:lang w:val="fr-FR"/>
        </w:rPr>
        <w:t>ommission d</w:t>
      </w:r>
      <w:r w:rsidR="00296563" w:rsidRPr="008321AA">
        <w:rPr>
          <w:lang w:val="fr-FR"/>
        </w:rPr>
        <w:t>'</w:t>
      </w:r>
      <w:r w:rsidR="003A3742" w:rsidRPr="008321AA">
        <w:rPr>
          <w:lang w:val="fr-FR"/>
        </w:rPr>
        <w:t>études en soumettant davantage de contributions.</w:t>
      </w:r>
    </w:p>
    <w:p w14:paraId="1EFB3835" w14:textId="0E74E842" w:rsidR="00FA17EA" w:rsidRPr="008321AA" w:rsidRDefault="00FA17EA" w:rsidP="00FA17EA">
      <w:pPr>
        <w:jc w:val="center"/>
        <w:rPr>
          <w:lang w:val="fr-FR"/>
        </w:rPr>
      </w:pPr>
      <w:r w:rsidRPr="008321AA">
        <w:rPr>
          <w:lang w:val="fr-FR"/>
        </w:rPr>
        <w:t>______________</w:t>
      </w:r>
    </w:p>
    <w:sectPr w:rsidR="00FA17EA" w:rsidRPr="008321AA">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D93DB" w14:textId="77777777" w:rsidR="005670B6" w:rsidRDefault="005670B6">
      <w:r>
        <w:separator/>
      </w:r>
    </w:p>
  </w:endnote>
  <w:endnote w:type="continuationSeparator" w:id="0">
    <w:p w14:paraId="69C23294" w14:textId="77777777" w:rsidR="005670B6" w:rsidRDefault="005670B6">
      <w:r>
        <w:continuationSeparator/>
      </w:r>
    </w:p>
  </w:endnote>
  <w:endnote w:type="continuationNotice" w:id="1">
    <w:p w14:paraId="6410AD86" w14:textId="77777777" w:rsidR="005670B6" w:rsidRDefault="005670B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C1A1D" w14:textId="77777777" w:rsidR="009D4900" w:rsidRDefault="009D4900">
    <w:pPr>
      <w:framePr w:wrap="around" w:vAnchor="text" w:hAnchor="margin" w:xAlign="right" w:y="1"/>
    </w:pPr>
    <w:r>
      <w:fldChar w:fldCharType="begin"/>
    </w:r>
    <w:r>
      <w:instrText xml:space="preserve">PAGE  </w:instrText>
    </w:r>
    <w:r>
      <w:fldChar w:fldCharType="end"/>
    </w:r>
  </w:p>
  <w:p w14:paraId="7C82A545" w14:textId="679025C0"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8E0ED7">
      <w:rPr>
        <w:noProof/>
      </w:rPr>
      <w:t>27.09.24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CB107" w14:textId="77777777" w:rsidR="005670B6" w:rsidRDefault="005670B6">
      <w:r>
        <w:rPr>
          <w:b/>
        </w:rPr>
        <w:t>_______________</w:t>
      </w:r>
    </w:p>
  </w:footnote>
  <w:footnote w:type="continuationSeparator" w:id="0">
    <w:p w14:paraId="314DAF2F" w14:textId="77777777" w:rsidR="005670B6" w:rsidRDefault="00567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945F6"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17482A">
      <w:t>WTSA</w:t>
    </w:r>
    <w:r w:rsidR="0090488A">
      <w:t>-24/35(Add.27)-F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69900733">
    <w:abstractNumId w:val="8"/>
  </w:num>
  <w:num w:numId="2" w16cid:durableId="52883939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20851198">
    <w:abstractNumId w:val="9"/>
  </w:num>
  <w:num w:numId="4" w16cid:durableId="942686442">
    <w:abstractNumId w:val="7"/>
  </w:num>
  <w:num w:numId="5" w16cid:durableId="433209522">
    <w:abstractNumId w:val="6"/>
  </w:num>
  <w:num w:numId="6" w16cid:durableId="388765538">
    <w:abstractNumId w:val="5"/>
  </w:num>
  <w:num w:numId="7" w16cid:durableId="1023747547">
    <w:abstractNumId w:val="4"/>
  </w:num>
  <w:num w:numId="8" w16cid:durableId="1224833953">
    <w:abstractNumId w:val="3"/>
  </w:num>
  <w:num w:numId="9" w16cid:durableId="1229919348">
    <w:abstractNumId w:val="2"/>
  </w:num>
  <w:num w:numId="10" w16cid:durableId="1511946972">
    <w:abstractNumId w:val="1"/>
  </w:num>
  <w:num w:numId="11" w16cid:durableId="129791545">
    <w:abstractNumId w:val="0"/>
  </w:num>
  <w:num w:numId="12" w16cid:durableId="326515972">
    <w:abstractNumId w:val="12"/>
  </w:num>
  <w:num w:numId="13" w16cid:durableId="9216413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7482A"/>
    <w:rsid w:val="00182117"/>
    <w:rsid w:val="0018215C"/>
    <w:rsid w:val="00187BD9"/>
    <w:rsid w:val="00190B55"/>
    <w:rsid w:val="00191857"/>
    <w:rsid w:val="001C3B5F"/>
    <w:rsid w:val="001D058F"/>
    <w:rsid w:val="001E6F73"/>
    <w:rsid w:val="002009EA"/>
    <w:rsid w:val="00202CA0"/>
    <w:rsid w:val="00216B6D"/>
    <w:rsid w:val="00227927"/>
    <w:rsid w:val="00236EBA"/>
    <w:rsid w:val="00237CF4"/>
    <w:rsid w:val="0024298E"/>
    <w:rsid w:val="00245127"/>
    <w:rsid w:val="00246525"/>
    <w:rsid w:val="00250AF4"/>
    <w:rsid w:val="00260B50"/>
    <w:rsid w:val="00263BE8"/>
    <w:rsid w:val="00267BFB"/>
    <w:rsid w:val="0027050E"/>
    <w:rsid w:val="00271316"/>
    <w:rsid w:val="00290F83"/>
    <w:rsid w:val="002931F4"/>
    <w:rsid w:val="00293F9A"/>
    <w:rsid w:val="002957A7"/>
    <w:rsid w:val="00296563"/>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77BD3"/>
    <w:rsid w:val="00384088"/>
    <w:rsid w:val="003879F0"/>
    <w:rsid w:val="0039169B"/>
    <w:rsid w:val="00394470"/>
    <w:rsid w:val="003A3742"/>
    <w:rsid w:val="003A7F8C"/>
    <w:rsid w:val="003B09A1"/>
    <w:rsid w:val="003B532E"/>
    <w:rsid w:val="003C33B7"/>
    <w:rsid w:val="003D0F8B"/>
    <w:rsid w:val="003F020A"/>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E6CC7"/>
    <w:rsid w:val="004F630A"/>
    <w:rsid w:val="0050139F"/>
    <w:rsid w:val="00510C3D"/>
    <w:rsid w:val="00513862"/>
    <w:rsid w:val="00520ADC"/>
    <w:rsid w:val="00544C73"/>
    <w:rsid w:val="0055140B"/>
    <w:rsid w:val="00553247"/>
    <w:rsid w:val="005670B6"/>
    <w:rsid w:val="0056747D"/>
    <w:rsid w:val="00581B01"/>
    <w:rsid w:val="00587F8C"/>
    <w:rsid w:val="00595780"/>
    <w:rsid w:val="00595C83"/>
    <w:rsid w:val="005964AB"/>
    <w:rsid w:val="005A1A6A"/>
    <w:rsid w:val="005C099A"/>
    <w:rsid w:val="005C31A5"/>
    <w:rsid w:val="005D431B"/>
    <w:rsid w:val="005E10C9"/>
    <w:rsid w:val="005E4F9C"/>
    <w:rsid w:val="005E61DD"/>
    <w:rsid w:val="006007A8"/>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3DD5"/>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321AA"/>
    <w:rsid w:val="00840F52"/>
    <w:rsid w:val="008508D8"/>
    <w:rsid w:val="00850EEE"/>
    <w:rsid w:val="00854D8D"/>
    <w:rsid w:val="00864CD2"/>
    <w:rsid w:val="00870869"/>
    <w:rsid w:val="00872FC8"/>
    <w:rsid w:val="00874789"/>
    <w:rsid w:val="008777B8"/>
    <w:rsid w:val="008845D0"/>
    <w:rsid w:val="008959A0"/>
    <w:rsid w:val="008A186A"/>
    <w:rsid w:val="008B1AEA"/>
    <w:rsid w:val="008B43F2"/>
    <w:rsid w:val="008B6CFF"/>
    <w:rsid w:val="008E0ED7"/>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D33DA"/>
    <w:rsid w:val="00AE0E1B"/>
    <w:rsid w:val="00B067BF"/>
    <w:rsid w:val="00B305D7"/>
    <w:rsid w:val="00B529AD"/>
    <w:rsid w:val="00B6324B"/>
    <w:rsid w:val="00B639E9"/>
    <w:rsid w:val="00B66385"/>
    <w:rsid w:val="00B66C2B"/>
    <w:rsid w:val="00B817CD"/>
    <w:rsid w:val="00B94AD0"/>
    <w:rsid w:val="00BA5265"/>
    <w:rsid w:val="00BB3A95"/>
    <w:rsid w:val="00BB6222"/>
    <w:rsid w:val="00BC053B"/>
    <w:rsid w:val="00BC2FB6"/>
    <w:rsid w:val="00BC7B38"/>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33B54"/>
    <w:rsid w:val="00D41719"/>
    <w:rsid w:val="00D449A9"/>
    <w:rsid w:val="00D54009"/>
    <w:rsid w:val="00D5651D"/>
    <w:rsid w:val="00D57A34"/>
    <w:rsid w:val="00D643B3"/>
    <w:rsid w:val="00D74898"/>
    <w:rsid w:val="00D801ED"/>
    <w:rsid w:val="00D936BC"/>
    <w:rsid w:val="00D96530"/>
    <w:rsid w:val="00DA5387"/>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EE4CB8"/>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94D62"/>
    <w:rsid w:val="00F972D2"/>
    <w:rsid w:val="00FA17EA"/>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0A61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4d3319ab-26f6-494b-82d1-f075ec6a7c46">DPM</DPM_x0020_Author>
    <DPM_x0020_File_x0020_name xmlns="4d3319ab-26f6-494b-82d1-f075ec6a7c46">T22-WTSA.24-C-0035!A27!MSW-F</DPM_x0020_File_x0020_name>
    <DPM_x0020_Version xmlns="4d3319ab-26f6-494b-82d1-f075ec6a7c46">DPM_2022.05.12.01</DPM_x0020_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d3319ab-26f6-494b-82d1-f075ec6a7c46" targetNamespace="http://schemas.microsoft.com/office/2006/metadata/properties" ma:root="true" ma:fieldsID="d41af5c836d734370eb92e7ee5f83852" ns2:_="" ns3:_="">
    <xsd:import namespace="996b2e75-67fd-4955-a3b0-5ab9934cb50b"/>
    <xsd:import namespace="4d3319ab-26f6-494b-82d1-f075ec6a7c4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d3319ab-26f6-494b-82d1-f075ec6a7c4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4d3319ab-26f6-494b-82d1-f075ec6a7c46"/>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d3319ab-26f6-494b-82d1-f075ec6a7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297</Words>
  <Characters>1787</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T22-WTSA.24-C-0035!A27!MSW-F</vt:lpstr>
      <vt:lpstr>T22-WTSA.24-C-1000!!MSW-F</vt:lpstr>
    </vt:vector>
  </TitlesOfParts>
  <Manager>General Secretariat - Pool</Manager>
  <Company>International Telecommunication Union (ITU)</Company>
  <LinksUpToDate>false</LinksUpToDate>
  <CharactersWithSpaces>2080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T22-WTSA.24-C-0035!A27!MSW-F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5</cp:revision>
  <cp:lastPrinted>2016-06-06T07:49:00Z</cp:lastPrinted>
  <dcterms:created xsi:type="dcterms:W3CDTF">2024-09-27T09:02:00Z</dcterms:created>
  <dcterms:modified xsi:type="dcterms:W3CDTF">2024-09-27T09:09:00Z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