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DB13C5" w14:paraId="10F54121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65459C2C" w14:textId="77777777" w:rsidR="00D2023F" w:rsidRPr="00DB13C5" w:rsidRDefault="0018215C" w:rsidP="00C30155">
            <w:pPr>
              <w:spacing w:before="0"/>
              <w:rPr>
                <w:lang w:val="es-ES"/>
              </w:rPr>
            </w:pPr>
            <w:r w:rsidRPr="00DB13C5">
              <w:rPr>
                <w:noProof/>
                <w:lang w:val="es-ES"/>
              </w:rPr>
              <w:drawing>
                <wp:inline distT="0" distB="0" distL="0" distR="0" wp14:anchorId="5AF3563B" wp14:editId="44400B9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A853E7E" w14:textId="77777777" w:rsidR="00E610A4" w:rsidRPr="00DB13C5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DB13C5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24BB40F1" w14:textId="77777777" w:rsidR="00D2023F" w:rsidRPr="00DB13C5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DB13C5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EB716DF" w14:textId="77777777" w:rsidR="00D2023F" w:rsidRPr="00DB13C5" w:rsidRDefault="00D2023F" w:rsidP="00C30155">
            <w:pPr>
              <w:spacing w:before="0"/>
              <w:rPr>
                <w:lang w:val="es-ES"/>
              </w:rPr>
            </w:pPr>
            <w:r w:rsidRPr="00DB13C5">
              <w:rPr>
                <w:noProof/>
                <w:lang w:val="es-ES" w:eastAsia="zh-CN"/>
              </w:rPr>
              <w:drawing>
                <wp:inline distT="0" distB="0" distL="0" distR="0" wp14:anchorId="6809B137" wp14:editId="56E0738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DB13C5" w14:paraId="7313788D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BD059D8" w14:textId="77777777" w:rsidR="00D2023F" w:rsidRPr="00DB13C5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DB13C5" w14:paraId="7681CDD8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D04A532" w14:textId="77777777" w:rsidR="00931298" w:rsidRPr="00DB13C5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46423F43" w14:textId="77777777" w:rsidR="00931298" w:rsidRPr="00DB13C5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</w:p>
        </w:tc>
      </w:tr>
      <w:tr w:rsidR="00752D4D" w:rsidRPr="00DB13C5" w14:paraId="02C6D17F" w14:textId="77777777" w:rsidTr="00D2023F">
        <w:trPr>
          <w:cantSplit/>
        </w:trPr>
        <w:tc>
          <w:tcPr>
            <w:tcW w:w="6237" w:type="dxa"/>
            <w:gridSpan w:val="2"/>
          </w:tcPr>
          <w:p w14:paraId="6CC2D5DF" w14:textId="63B831A7" w:rsidR="00752D4D" w:rsidRPr="00DB13C5" w:rsidRDefault="00D9408A" w:rsidP="00C30155">
            <w:pPr>
              <w:pStyle w:val="Committee"/>
              <w:rPr>
                <w:highlight w:val="yellow"/>
                <w:lang w:val="es-ES"/>
              </w:rPr>
            </w:pPr>
            <w:r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0993B657" w14:textId="347A7198" w:rsidR="00752D4D" w:rsidRPr="00DB13C5" w:rsidRDefault="003A5470" w:rsidP="00A52D1A">
            <w:pPr>
              <w:pStyle w:val="Docnumber"/>
              <w:rPr>
                <w:lang w:val="es-ES"/>
              </w:rPr>
            </w:pPr>
            <w:r w:rsidRPr="00DB13C5">
              <w:rPr>
                <w:lang w:val="es-ES"/>
              </w:rPr>
              <w:t>Documento</w:t>
            </w:r>
            <w:r w:rsidR="00752D4D" w:rsidRPr="00DB13C5">
              <w:rPr>
                <w:lang w:val="es-ES"/>
              </w:rPr>
              <w:t xml:space="preserve"> </w:t>
            </w:r>
            <w:r w:rsidR="00D9408A">
              <w:rPr>
                <w:lang w:val="es-ES"/>
              </w:rPr>
              <w:t>31</w:t>
            </w:r>
            <w:r w:rsidR="00752D4D" w:rsidRPr="00DB13C5">
              <w:rPr>
                <w:lang w:val="es-ES"/>
              </w:rPr>
              <w:t>-</w:t>
            </w:r>
            <w:r w:rsidR="00E610A4" w:rsidRPr="00DB13C5">
              <w:rPr>
                <w:lang w:val="es-ES"/>
              </w:rPr>
              <w:t>S</w:t>
            </w:r>
          </w:p>
        </w:tc>
      </w:tr>
      <w:tr w:rsidR="00931298" w:rsidRPr="00DB13C5" w14:paraId="275EE810" w14:textId="77777777" w:rsidTr="00D2023F">
        <w:trPr>
          <w:cantSplit/>
        </w:trPr>
        <w:tc>
          <w:tcPr>
            <w:tcW w:w="6237" w:type="dxa"/>
            <w:gridSpan w:val="2"/>
          </w:tcPr>
          <w:p w14:paraId="205F96DB" w14:textId="77777777" w:rsidR="00931298" w:rsidRPr="00DB13C5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0E2B1F5D" w14:textId="7017651B" w:rsidR="00931298" w:rsidRPr="00DB13C5" w:rsidRDefault="00D9408A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10 de septiembre de</w:t>
            </w:r>
            <w:r w:rsidR="00E610A4" w:rsidRPr="00DB13C5">
              <w:rPr>
                <w:sz w:val="20"/>
                <w:szCs w:val="20"/>
                <w:lang w:val="es-ES"/>
              </w:rPr>
              <w:t xml:space="preserve"> </w:t>
            </w:r>
            <w:r w:rsidR="00B305D7" w:rsidRPr="00DB13C5">
              <w:rPr>
                <w:sz w:val="20"/>
                <w:szCs w:val="20"/>
                <w:lang w:val="es-ES"/>
              </w:rPr>
              <w:t>202</w:t>
            </w:r>
            <w:r w:rsidR="009B2216" w:rsidRPr="00DB13C5">
              <w:rPr>
                <w:sz w:val="20"/>
                <w:szCs w:val="20"/>
                <w:lang w:val="es-ES"/>
              </w:rPr>
              <w:t>4</w:t>
            </w:r>
          </w:p>
        </w:tc>
      </w:tr>
      <w:tr w:rsidR="00931298" w:rsidRPr="00DB13C5" w14:paraId="7B4C97D9" w14:textId="77777777" w:rsidTr="00D2023F">
        <w:trPr>
          <w:cantSplit/>
        </w:trPr>
        <w:tc>
          <w:tcPr>
            <w:tcW w:w="6237" w:type="dxa"/>
            <w:gridSpan w:val="2"/>
          </w:tcPr>
          <w:p w14:paraId="7EF966E8" w14:textId="77777777" w:rsidR="00931298" w:rsidRPr="00DB13C5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40EDBBDB" w14:textId="77777777" w:rsidR="00931298" w:rsidRPr="00DB13C5" w:rsidRDefault="00931298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DB13C5">
              <w:rPr>
                <w:sz w:val="20"/>
                <w:szCs w:val="20"/>
                <w:lang w:val="es-ES"/>
              </w:rPr>
              <w:t xml:space="preserve">Original: </w:t>
            </w:r>
            <w:r w:rsidR="00E610A4" w:rsidRPr="00DB13C5">
              <w:rPr>
                <w:sz w:val="20"/>
                <w:szCs w:val="20"/>
                <w:lang w:val="es-ES"/>
              </w:rPr>
              <w:t>inglés</w:t>
            </w:r>
          </w:p>
        </w:tc>
      </w:tr>
      <w:tr w:rsidR="00931298" w:rsidRPr="00DB13C5" w14:paraId="3DB704AD" w14:textId="77777777" w:rsidTr="00C30155">
        <w:trPr>
          <w:cantSplit/>
        </w:trPr>
        <w:tc>
          <w:tcPr>
            <w:tcW w:w="9811" w:type="dxa"/>
            <w:gridSpan w:val="4"/>
          </w:tcPr>
          <w:p w14:paraId="446A5120" w14:textId="77777777" w:rsidR="00931298" w:rsidRPr="00DB13C5" w:rsidRDefault="00931298" w:rsidP="00C30155">
            <w:pPr>
              <w:pStyle w:val="TopHeader"/>
              <w:spacing w:before="0"/>
              <w:rPr>
                <w:sz w:val="20"/>
                <w:lang w:val="es-ES"/>
              </w:rPr>
            </w:pPr>
          </w:p>
        </w:tc>
      </w:tr>
      <w:tr w:rsidR="00931298" w:rsidRPr="00D9408A" w14:paraId="4A60CB6D" w14:textId="77777777" w:rsidTr="00C30155">
        <w:trPr>
          <w:cantSplit/>
        </w:trPr>
        <w:tc>
          <w:tcPr>
            <w:tcW w:w="9811" w:type="dxa"/>
            <w:gridSpan w:val="4"/>
          </w:tcPr>
          <w:p w14:paraId="313B48B3" w14:textId="756B9BAA" w:rsidR="00931298" w:rsidRPr="00DB13C5" w:rsidRDefault="00D9408A" w:rsidP="00C30155">
            <w:pPr>
              <w:pStyle w:val="Source"/>
              <w:rPr>
                <w:highlight w:val="yellow"/>
                <w:lang w:val="es-ES"/>
              </w:rPr>
            </w:pPr>
            <w:r>
              <w:rPr>
                <w:lang w:val="es-ES"/>
              </w:rPr>
              <w:t>Nota de la Secretaria General</w:t>
            </w:r>
          </w:p>
        </w:tc>
      </w:tr>
      <w:tr w:rsidR="00931298" w:rsidRPr="00D9408A" w14:paraId="19FD76F5" w14:textId="77777777" w:rsidTr="00C30155">
        <w:trPr>
          <w:cantSplit/>
        </w:trPr>
        <w:tc>
          <w:tcPr>
            <w:tcW w:w="9811" w:type="dxa"/>
            <w:gridSpan w:val="4"/>
          </w:tcPr>
          <w:p w14:paraId="7E68EA9D" w14:textId="40F513EC" w:rsidR="00931298" w:rsidRPr="00DB13C5" w:rsidRDefault="00D9408A" w:rsidP="00C30155">
            <w:pPr>
              <w:pStyle w:val="Title1"/>
              <w:rPr>
                <w:highlight w:val="yellow"/>
                <w:lang w:val="es-ES"/>
              </w:rPr>
            </w:pPr>
            <w:bookmarkStart w:id="0" w:name="lt_pId009"/>
            <w:r w:rsidRPr="00D9408A">
              <w:rPr>
                <w:lang w:val="es-ES"/>
              </w:rPr>
              <w:t xml:space="preserve">PRESUPUESTO DE LA </w:t>
            </w:r>
            <w:bookmarkEnd w:id="0"/>
            <w:r w:rsidRPr="00D9408A">
              <w:rPr>
                <w:lang w:val="es-ES"/>
              </w:rPr>
              <w:t xml:space="preserve">Asamblea Mundial de Normalización </w:t>
            </w:r>
            <w:r w:rsidRPr="00D9408A">
              <w:rPr>
                <w:lang w:val="es-ES"/>
              </w:rPr>
              <w:br/>
              <w:t>de las Telecomunicaciones</w:t>
            </w:r>
            <w:bookmarkStart w:id="1" w:name="lt_pId010"/>
            <w:r w:rsidRPr="00D9408A">
              <w:rPr>
                <w:lang w:val="es-ES"/>
              </w:rPr>
              <w:t xml:space="preserve"> (AMNT-24)</w:t>
            </w:r>
            <w:bookmarkEnd w:id="1"/>
          </w:p>
        </w:tc>
      </w:tr>
      <w:tr w:rsidR="00657CDA" w:rsidRPr="00D9408A" w14:paraId="66A04951" w14:textId="77777777" w:rsidTr="00657CDA">
        <w:trPr>
          <w:cantSplit/>
        </w:trPr>
        <w:tc>
          <w:tcPr>
            <w:tcW w:w="9811" w:type="dxa"/>
            <w:gridSpan w:val="4"/>
          </w:tcPr>
          <w:p w14:paraId="2BC95A77" w14:textId="77777777" w:rsidR="00657CDA" w:rsidRPr="00DB13C5" w:rsidRDefault="00657CDA" w:rsidP="003C33B7">
            <w:pPr>
              <w:pStyle w:val="Title2"/>
              <w:spacing w:before="240"/>
              <w:rPr>
                <w:lang w:val="es-ES"/>
              </w:rPr>
            </w:pPr>
          </w:p>
        </w:tc>
      </w:tr>
      <w:tr w:rsidR="00657CDA" w:rsidRPr="00D9408A" w14:paraId="0AA7EEAC" w14:textId="77777777" w:rsidTr="00657CDA">
        <w:trPr>
          <w:cantSplit/>
        </w:trPr>
        <w:tc>
          <w:tcPr>
            <w:tcW w:w="9811" w:type="dxa"/>
            <w:gridSpan w:val="4"/>
          </w:tcPr>
          <w:p w14:paraId="2E298A35" w14:textId="77777777" w:rsidR="00657CDA" w:rsidRPr="00DB13C5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4683A4B9" w14:textId="2296B1DC" w:rsidR="00D9408A" w:rsidRDefault="00D9408A" w:rsidP="00931298">
      <w:pPr>
        <w:rPr>
          <w:lang w:val="es-ES"/>
        </w:rPr>
      </w:pPr>
      <w:bookmarkStart w:id="2" w:name="lt_pId011"/>
      <w:r w:rsidRPr="00D9408A">
        <w:rPr>
          <w:lang w:val="es-ES"/>
        </w:rPr>
        <w:t xml:space="preserve">El presupuesto de la Asamblea Mundial de Normalización de las Telecomunicaciones (AMNT-24) fue aprobado por el Consejo, en su reunión de 2023, en virtud de la </w:t>
      </w:r>
      <w:hyperlink r:id="rId13" w:history="1">
        <w:r w:rsidRPr="00D9408A">
          <w:rPr>
            <w:rStyle w:val="Hyperlink"/>
            <w:lang w:val="es-ES"/>
          </w:rPr>
          <w:t>Resolución 1417</w:t>
        </w:r>
      </w:hyperlink>
      <w:r w:rsidRPr="00D9408A">
        <w:rPr>
          <w:lang w:val="es-ES"/>
        </w:rPr>
        <w:t>. Dicho presupuesto se adjunta al presente documento a título informativo para la Comisión de Control del Presupuesto.</w:t>
      </w:r>
      <w:bookmarkEnd w:id="2"/>
    </w:p>
    <w:p w14:paraId="3F37B77F" w14:textId="11731001" w:rsidR="00D9408A" w:rsidRPr="00D9408A" w:rsidRDefault="00D9408A" w:rsidP="00D9408A">
      <w:pPr>
        <w:tabs>
          <w:tab w:val="clear" w:pos="1134"/>
          <w:tab w:val="clear" w:pos="1871"/>
          <w:tab w:val="clear" w:pos="2268"/>
          <w:tab w:val="center" w:pos="6804"/>
        </w:tabs>
        <w:spacing w:before="1560" w:after="720"/>
        <w:ind w:right="1140"/>
        <w:rPr>
          <w:lang w:val="es-ES"/>
        </w:rPr>
      </w:pPr>
      <w:r w:rsidRPr="003F75E1">
        <w:rPr>
          <w:lang w:val="es-ES"/>
        </w:rPr>
        <w:t>Doreen BOGDAN-MARTIN</w:t>
      </w:r>
      <w:r>
        <w:rPr>
          <w:lang w:val="es-ES"/>
        </w:rPr>
        <w:br/>
      </w:r>
      <w:r w:rsidRPr="00D9408A">
        <w:rPr>
          <w:lang w:val="es-ES"/>
        </w:rPr>
        <w:t>Secretaria General</w:t>
      </w:r>
    </w:p>
    <w:p w14:paraId="0A321AB8" w14:textId="578754E2" w:rsidR="00D9408A" w:rsidRPr="00D9408A" w:rsidRDefault="00D9408A" w:rsidP="00D9408A">
      <w:pPr>
        <w:rPr>
          <w:lang w:val="es-ES"/>
        </w:rPr>
      </w:pPr>
      <w:r w:rsidRPr="00D9408A">
        <w:rPr>
          <w:lang w:val="es-ES"/>
        </w:rPr>
        <w:t xml:space="preserve">Anexo: </w:t>
      </w:r>
      <w:r w:rsidRPr="00D9408A">
        <w:rPr>
          <w:b/>
          <w:bCs/>
          <w:lang w:val="es-ES"/>
        </w:rPr>
        <w:t>1</w:t>
      </w:r>
    </w:p>
    <w:p w14:paraId="47079ECF" w14:textId="77777777" w:rsidR="009F4801" w:rsidRPr="00DB13C5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DB13C5">
        <w:rPr>
          <w:lang w:val="es-ES"/>
        </w:rPr>
        <w:br w:type="page"/>
      </w:r>
    </w:p>
    <w:p w14:paraId="0C195CC9" w14:textId="77777777" w:rsidR="00D9408A" w:rsidRPr="00D9408A" w:rsidRDefault="00D9408A" w:rsidP="00D9408A">
      <w:pPr>
        <w:pStyle w:val="AnnexNo"/>
        <w:rPr>
          <w:b/>
          <w:bCs/>
          <w:lang w:val="es-ES"/>
        </w:rPr>
      </w:pPr>
      <w:bookmarkStart w:id="3" w:name="lt_pId018"/>
      <w:r w:rsidRPr="00D9408A">
        <w:rPr>
          <w:b/>
          <w:bCs/>
          <w:caps w:val="0"/>
          <w:lang w:val="es-ES"/>
        </w:rPr>
        <w:lastRenderedPageBreak/>
        <w:t>Anex</w:t>
      </w:r>
      <w:bookmarkEnd w:id="3"/>
      <w:r w:rsidRPr="00D9408A">
        <w:rPr>
          <w:b/>
          <w:bCs/>
          <w:caps w:val="0"/>
          <w:lang w:val="es-ES"/>
        </w:rPr>
        <w:t>o</w:t>
      </w:r>
    </w:p>
    <w:p w14:paraId="44094623" w14:textId="77777777" w:rsidR="00D9408A" w:rsidRPr="00D9408A" w:rsidRDefault="00D9408A" w:rsidP="00D9408A">
      <w:pPr>
        <w:pStyle w:val="Annextitle"/>
        <w:rPr>
          <w:lang w:val="es-ES"/>
        </w:rPr>
      </w:pPr>
      <w:bookmarkStart w:id="4" w:name="lt_pId019"/>
      <w:r w:rsidRPr="00D9408A">
        <w:rPr>
          <w:lang w:val="es-ES"/>
        </w:rPr>
        <w:t xml:space="preserve">PRESUPUESTO DE LA ASAMBLEA MUNDIAL DE NORMALIZACIÓN </w:t>
      </w:r>
      <w:r w:rsidRPr="00D9408A">
        <w:rPr>
          <w:lang w:val="es-ES"/>
        </w:rPr>
        <w:br/>
        <w:t>DE LAS TELECOMUNICACIONES (AMNT-24)</w:t>
      </w:r>
      <w:bookmarkEnd w:id="4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790"/>
        <w:gridCol w:w="1849"/>
      </w:tblGrid>
      <w:tr w:rsidR="00D9408A" w:rsidRPr="00D9408A" w14:paraId="0BF38DF2" w14:textId="77777777" w:rsidTr="003F75E1">
        <w:trPr>
          <w:trHeight w:val="315"/>
          <w:jc w:val="center"/>
        </w:trPr>
        <w:tc>
          <w:tcPr>
            <w:tcW w:w="9639" w:type="dxa"/>
            <w:gridSpan w:val="2"/>
            <w:tcBorders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61A16" w14:textId="77777777" w:rsidR="00D9408A" w:rsidRPr="00D9408A" w:rsidRDefault="00D9408A" w:rsidP="00D9408A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right"/>
              <w:rPr>
                <w:bCs/>
                <w:i/>
                <w:iCs/>
                <w:sz w:val="20"/>
                <w:lang w:val="es-ES_tradnl"/>
              </w:rPr>
            </w:pPr>
            <w:r w:rsidRPr="00D9408A">
              <w:rPr>
                <w:bCs/>
                <w:i/>
                <w:iCs/>
                <w:sz w:val="20"/>
                <w:lang w:val="es-ES_tradnl"/>
              </w:rPr>
              <w:t>Miles CHF</w:t>
            </w:r>
          </w:p>
        </w:tc>
      </w:tr>
      <w:tr w:rsidR="00D9408A" w:rsidRPr="00D9408A" w14:paraId="273DE2D8" w14:textId="77777777" w:rsidTr="003F75E1">
        <w:trPr>
          <w:trHeight w:val="315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94021" w14:textId="77777777" w:rsidR="00D9408A" w:rsidRPr="00D9408A" w:rsidRDefault="00D9408A" w:rsidP="00D9408A">
            <w:pPr>
              <w:pStyle w:val="Tablehead"/>
              <w:jc w:val="right"/>
              <w:rPr>
                <w:sz w:val="20"/>
                <w:lang w:val="es-ES_tradnl"/>
              </w:rPr>
            </w:pPr>
            <w:r w:rsidRPr="00D9408A">
              <w:rPr>
                <w:sz w:val="20"/>
                <w:lang w:val="es-ES_tradnl"/>
              </w:rPr>
              <w:t>Presupuesto</w:t>
            </w:r>
          </w:p>
        </w:tc>
      </w:tr>
      <w:tr w:rsidR="00D9408A" w:rsidRPr="00D9408A" w14:paraId="374DB7D4" w14:textId="77777777" w:rsidTr="003F75E1">
        <w:trPr>
          <w:trHeight w:val="18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43C6F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1822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</w:p>
        </w:tc>
      </w:tr>
      <w:tr w:rsidR="00D9408A" w:rsidRPr="00D9408A" w14:paraId="024BDB77" w14:textId="77777777" w:rsidTr="003F75E1">
        <w:trPr>
          <w:trHeight w:val="30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13F0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  <w:r w:rsidRPr="00D9408A">
              <w:rPr>
                <w:sz w:val="20"/>
                <w:lang w:val="es-ES_tradnl"/>
              </w:rPr>
              <w:t>Costes de personal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3A272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  <w:r w:rsidRPr="00D9408A">
              <w:rPr>
                <w:rFonts w:ascii="Calibri" w:hAnsi="Calibri" w:cs="Calibri"/>
                <w:color w:val="000000"/>
                <w:sz w:val="20"/>
                <w:lang w:val="es-ES_tradnl" w:eastAsia="en-GB"/>
              </w:rPr>
              <w:t>443</w:t>
            </w:r>
          </w:p>
        </w:tc>
      </w:tr>
      <w:tr w:rsidR="00D9408A" w:rsidRPr="00D9408A" w14:paraId="0172FDEE" w14:textId="77777777" w:rsidTr="003F75E1">
        <w:trPr>
          <w:trHeight w:val="30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F1503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  <w:r w:rsidRPr="00D9408A">
              <w:rPr>
                <w:sz w:val="20"/>
                <w:lang w:val="es-ES_tradnl"/>
              </w:rPr>
              <w:t>Otros gastos de personal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5D116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  <w:r w:rsidRPr="00D9408A">
              <w:rPr>
                <w:rFonts w:ascii="Calibri" w:hAnsi="Calibri" w:cs="Calibri"/>
                <w:color w:val="000000"/>
                <w:sz w:val="20"/>
                <w:lang w:val="es-ES_tradnl" w:eastAsia="en-GB"/>
              </w:rPr>
              <w:t>9</w:t>
            </w:r>
          </w:p>
        </w:tc>
      </w:tr>
      <w:tr w:rsidR="00D9408A" w:rsidRPr="00D9408A" w14:paraId="2D86A4B1" w14:textId="77777777" w:rsidTr="003F75E1">
        <w:trPr>
          <w:trHeight w:val="30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44B22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  <w:r w:rsidRPr="00D9408A">
              <w:rPr>
                <w:sz w:val="20"/>
                <w:lang w:val="es-ES_tradnl"/>
              </w:rPr>
              <w:t>Viajes en misión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32F9E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  <w:r w:rsidRPr="00D9408A">
              <w:rPr>
                <w:rFonts w:ascii="Calibri" w:hAnsi="Calibri" w:cs="Calibri"/>
                <w:color w:val="000000"/>
                <w:sz w:val="20"/>
                <w:lang w:val="es-ES_tradnl" w:eastAsia="en-GB"/>
              </w:rPr>
              <w:t>94</w:t>
            </w:r>
          </w:p>
        </w:tc>
      </w:tr>
      <w:tr w:rsidR="00D9408A" w:rsidRPr="00D9408A" w14:paraId="101439EB" w14:textId="77777777" w:rsidTr="003F75E1">
        <w:trPr>
          <w:trHeight w:val="30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8E5E8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  <w:r w:rsidRPr="00D9408A">
              <w:rPr>
                <w:sz w:val="20"/>
                <w:lang w:val="es-ES_tradnl"/>
              </w:rPr>
              <w:t>Servicios por contrata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8B352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  <w:r w:rsidRPr="00D9408A">
              <w:rPr>
                <w:rFonts w:ascii="Calibri" w:hAnsi="Calibri" w:cs="Calibri"/>
                <w:color w:val="000000"/>
                <w:sz w:val="20"/>
                <w:lang w:val="es-ES_tradnl" w:eastAsia="en-GB"/>
              </w:rPr>
              <w:t>23</w:t>
            </w:r>
          </w:p>
        </w:tc>
      </w:tr>
      <w:tr w:rsidR="00D9408A" w:rsidRPr="00D9408A" w14:paraId="3762C22F" w14:textId="77777777" w:rsidTr="003F75E1">
        <w:trPr>
          <w:trHeight w:val="30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E99C6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  <w:r w:rsidRPr="00D9408A">
              <w:rPr>
                <w:sz w:val="20"/>
                <w:lang w:val="es-ES_tradnl"/>
              </w:rPr>
              <w:t>Alquiler y mantenimiento de locales y equipos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E43FB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  <w:r w:rsidRPr="00D9408A">
              <w:rPr>
                <w:rFonts w:ascii="Calibri" w:hAnsi="Calibri" w:cs="Calibri"/>
                <w:color w:val="000000"/>
                <w:sz w:val="20"/>
                <w:lang w:val="es-ES_tradnl" w:eastAsia="en-GB"/>
              </w:rPr>
              <w:t>20</w:t>
            </w:r>
          </w:p>
        </w:tc>
      </w:tr>
      <w:tr w:rsidR="00D9408A" w:rsidRPr="00D9408A" w14:paraId="29E871AF" w14:textId="77777777" w:rsidTr="003F75E1">
        <w:trPr>
          <w:trHeight w:val="30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06249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  <w:r w:rsidRPr="00D9408A">
              <w:rPr>
                <w:sz w:val="20"/>
                <w:lang w:val="es-ES_tradnl"/>
              </w:rPr>
              <w:t>Materiales y suministros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762DD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</w:p>
        </w:tc>
      </w:tr>
      <w:tr w:rsidR="00D9408A" w:rsidRPr="00D9408A" w14:paraId="362D6E6E" w14:textId="77777777" w:rsidTr="003F75E1">
        <w:trPr>
          <w:trHeight w:val="30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DFF4B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  <w:bookmarkStart w:id="5" w:name="lt_pId034"/>
            <w:r w:rsidRPr="00D9408A">
              <w:rPr>
                <w:sz w:val="20"/>
                <w:lang w:val="es-ES_tradnl"/>
              </w:rPr>
              <w:t xml:space="preserve">Adquisición de locales, </w:t>
            </w:r>
            <w:bookmarkEnd w:id="5"/>
            <w:r w:rsidRPr="00D9408A">
              <w:rPr>
                <w:sz w:val="20"/>
                <w:lang w:val="es-ES_tradnl"/>
              </w:rPr>
              <w:t>mobiliario y equipos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7CD58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  <w:r w:rsidRPr="00D9408A">
              <w:rPr>
                <w:rFonts w:ascii="Calibri" w:hAnsi="Calibri" w:cs="Calibri"/>
                <w:color w:val="000000"/>
                <w:sz w:val="20"/>
                <w:lang w:val="es-ES_tradnl" w:eastAsia="en-GB"/>
              </w:rPr>
              <w:t>9</w:t>
            </w:r>
          </w:p>
        </w:tc>
      </w:tr>
      <w:tr w:rsidR="00D9408A" w:rsidRPr="00D9408A" w14:paraId="76CA4A7D" w14:textId="77777777" w:rsidTr="003F75E1">
        <w:trPr>
          <w:trHeight w:val="30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2340D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  <w:r w:rsidRPr="00D9408A">
              <w:rPr>
                <w:sz w:val="20"/>
                <w:lang w:val="es-ES_tradnl"/>
              </w:rPr>
              <w:t>Servicios públicos e instalaciones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39223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</w:p>
        </w:tc>
      </w:tr>
      <w:tr w:rsidR="00D9408A" w:rsidRPr="00D9408A" w14:paraId="140EB452" w14:textId="77777777" w:rsidTr="003F75E1">
        <w:trPr>
          <w:trHeight w:val="30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88E54" w14:textId="77777777" w:rsidR="00D9408A" w:rsidRPr="00D9408A" w:rsidRDefault="00D9408A" w:rsidP="00D9408A">
            <w:pPr>
              <w:pStyle w:val="Tabletext"/>
              <w:rPr>
                <w:b/>
                <w:sz w:val="20"/>
                <w:lang w:val="es-ES_tradnl"/>
              </w:rPr>
            </w:pPr>
            <w:r w:rsidRPr="00D9408A">
              <w:rPr>
                <w:sz w:val="20"/>
                <w:lang w:val="es-ES_tradnl"/>
              </w:rPr>
              <w:t>Varios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8FC29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  <w:r w:rsidRPr="00D9408A">
              <w:rPr>
                <w:rFonts w:ascii="Calibri" w:hAnsi="Calibri" w:cs="Calibri"/>
                <w:color w:val="000000"/>
                <w:sz w:val="20"/>
                <w:lang w:val="es-ES_tradnl" w:eastAsia="en-GB"/>
              </w:rPr>
              <w:t>14</w:t>
            </w:r>
          </w:p>
        </w:tc>
      </w:tr>
      <w:tr w:rsidR="00D9408A" w:rsidRPr="00D9408A" w14:paraId="42CB8597" w14:textId="77777777" w:rsidTr="003F75E1">
        <w:trPr>
          <w:trHeight w:val="165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87859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D978C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</w:p>
        </w:tc>
      </w:tr>
      <w:tr w:rsidR="00D9408A" w:rsidRPr="00D9408A" w14:paraId="3C6C7024" w14:textId="77777777" w:rsidTr="003F75E1">
        <w:trPr>
          <w:trHeight w:val="315"/>
          <w:jc w:val="center"/>
        </w:trPr>
        <w:tc>
          <w:tcPr>
            <w:tcW w:w="7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0C062" w14:textId="77777777" w:rsidR="00D9408A" w:rsidRPr="00D9408A" w:rsidRDefault="00D9408A" w:rsidP="00D9408A">
            <w:pPr>
              <w:pStyle w:val="Tabletext"/>
              <w:rPr>
                <w:b/>
                <w:bCs/>
                <w:sz w:val="20"/>
                <w:lang w:val="es-ES_tradnl"/>
              </w:rPr>
            </w:pPr>
            <w:bookmarkStart w:id="6" w:name="lt_pId040"/>
            <w:r w:rsidRPr="00D9408A">
              <w:rPr>
                <w:b/>
                <w:bCs/>
                <w:sz w:val="20"/>
                <w:lang w:val="es-ES_tradnl"/>
              </w:rPr>
              <w:t>Subtotal</w:t>
            </w:r>
            <w:bookmarkEnd w:id="6"/>
          </w:p>
        </w:tc>
        <w:tc>
          <w:tcPr>
            <w:tcW w:w="1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130DE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  <w:r w:rsidRPr="00D9408A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n-GB"/>
              </w:rPr>
              <w:t>612</w:t>
            </w:r>
          </w:p>
        </w:tc>
      </w:tr>
      <w:tr w:rsidR="00D9408A" w:rsidRPr="00D9408A" w14:paraId="68E9C9EB" w14:textId="77777777" w:rsidTr="003F75E1">
        <w:trPr>
          <w:trHeight w:val="18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6F776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0304D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</w:p>
        </w:tc>
      </w:tr>
      <w:tr w:rsidR="00D9408A" w:rsidRPr="00D9408A" w14:paraId="314F83F9" w14:textId="77777777" w:rsidTr="003F75E1">
        <w:trPr>
          <w:trHeight w:val="30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4354E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  <w:bookmarkStart w:id="7" w:name="lt_pId042"/>
            <w:r w:rsidRPr="00D9408A">
              <w:rPr>
                <w:sz w:val="20"/>
                <w:lang w:val="es-ES_tradnl"/>
              </w:rPr>
              <w:t>Traducción (6 580 páginas)</w:t>
            </w:r>
            <w:bookmarkEnd w:id="7"/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DD19F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  <w:r w:rsidRPr="00D9408A">
              <w:rPr>
                <w:rFonts w:ascii="Calibri" w:hAnsi="Calibri" w:cs="Calibri"/>
                <w:color w:val="000000"/>
                <w:sz w:val="20"/>
                <w:lang w:val="es-ES_tradnl" w:eastAsia="en-GB"/>
              </w:rPr>
              <w:t>991</w:t>
            </w:r>
          </w:p>
        </w:tc>
      </w:tr>
      <w:tr w:rsidR="00D9408A" w:rsidRPr="00D9408A" w14:paraId="3E6AF35F" w14:textId="77777777" w:rsidTr="003F75E1">
        <w:trPr>
          <w:trHeight w:val="30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6BEAC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  <w:bookmarkStart w:id="8" w:name="lt_pId044"/>
            <w:r w:rsidRPr="00D9408A">
              <w:rPr>
                <w:sz w:val="20"/>
                <w:lang w:val="es-ES_tradnl"/>
              </w:rPr>
              <w:t>Tratamiento de textos (8 220 páginas)</w:t>
            </w:r>
            <w:bookmarkEnd w:id="8"/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B6CF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  <w:r w:rsidRPr="00D9408A">
              <w:rPr>
                <w:rFonts w:ascii="Calibri" w:hAnsi="Calibri" w:cs="Calibri"/>
                <w:color w:val="000000"/>
                <w:sz w:val="20"/>
                <w:lang w:val="es-ES_tradnl" w:eastAsia="en-GB"/>
              </w:rPr>
              <w:t>475</w:t>
            </w:r>
          </w:p>
        </w:tc>
      </w:tr>
      <w:tr w:rsidR="00D9408A" w:rsidRPr="00D9408A" w14:paraId="01BD92A5" w14:textId="77777777" w:rsidTr="003F75E1">
        <w:trPr>
          <w:trHeight w:val="315"/>
          <w:jc w:val="center"/>
        </w:trPr>
        <w:tc>
          <w:tcPr>
            <w:tcW w:w="7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76AFD" w14:textId="77777777" w:rsidR="00D9408A" w:rsidRPr="00D9408A" w:rsidRDefault="00D9408A" w:rsidP="00D9408A">
            <w:pPr>
              <w:pStyle w:val="Tabletext"/>
              <w:rPr>
                <w:b/>
                <w:bCs/>
                <w:sz w:val="20"/>
                <w:lang w:val="es-ES_tradnl"/>
              </w:rPr>
            </w:pPr>
            <w:r w:rsidRPr="00D9408A">
              <w:rPr>
                <w:b/>
                <w:bCs/>
                <w:sz w:val="20"/>
                <w:lang w:val="es-ES_tradnl"/>
              </w:rPr>
              <w:t>Documentación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03FD5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  <w:r w:rsidRPr="00D9408A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n-GB"/>
              </w:rPr>
              <w:t>1 466</w:t>
            </w:r>
          </w:p>
        </w:tc>
      </w:tr>
      <w:tr w:rsidR="00D9408A" w:rsidRPr="00D9408A" w14:paraId="1A9B214E" w14:textId="77777777" w:rsidTr="003F75E1">
        <w:trPr>
          <w:trHeight w:val="150"/>
          <w:jc w:val="center"/>
        </w:trPr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F6343" w14:textId="77777777" w:rsidR="00D9408A" w:rsidRPr="00D9408A" w:rsidRDefault="00D9408A" w:rsidP="00D9408A">
            <w:pPr>
              <w:pStyle w:val="Tabletext"/>
              <w:rPr>
                <w:sz w:val="20"/>
                <w:lang w:val="es-ES_tradn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FD856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</w:p>
        </w:tc>
      </w:tr>
      <w:tr w:rsidR="00D9408A" w:rsidRPr="00D9408A" w14:paraId="7249F77A" w14:textId="77777777" w:rsidTr="003F75E1">
        <w:trPr>
          <w:trHeight w:val="315"/>
          <w:jc w:val="center"/>
        </w:trPr>
        <w:tc>
          <w:tcPr>
            <w:tcW w:w="7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95A71" w14:textId="77777777" w:rsidR="00D9408A" w:rsidRPr="00D9408A" w:rsidRDefault="00D9408A" w:rsidP="00D9408A">
            <w:pPr>
              <w:pStyle w:val="Tabletext"/>
              <w:rPr>
                <w:b/>
                <w:bCs/>
                <w:sz w:val="20"/>
                <w:lang w:val="es-ES_tradnl"/>
              </w:rPr>
            </w:pPr>
            <w:bookmarkStart w:id="9" w:name="lt_pId048"/>
            <w:r w:rsidRPr="00D9408A">
              <w:rPr>
                <w:b/>
                <w:bCs/>
                <w:sz w:val="20"/>
                <w:lang w:val="es-ES_tradnl"/>
              </w:rPr>
              <w:t>TOTAL</w:t>
            </w:r>
            <w:bookmarkEnd w:id="9"/>
          </w:p>
        </w:tc>
        <w:tc>
          <w:tcPr>
            <w:tcW w:w="1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F883B" w14:textId="77777777" w:rsidR="00D9408A" w:rsidRPr="00D9408A" w:rsidRDefault="00D9408A" w:rsidP="00D9408A">
            <w:pPr>
              <w:pStyle w:val="Tabletext"/>
              <w:jc w:val="right"/>
              <w:rPr>
                <w:sz w:val="20"/>
                <w:lang w:val="es-ES_tradnl"/>
              </w:rPr>
            </w:pPr>
            <w:r w:rsidRPr="00D9408A">
              <w:rPr>
                <w:b/>
                <w:bCs/>
                <w:sz w:val="20"/>
                <w:lang w:val="es-ES_tradnl"/>
              </w:rPr>
              <w:t>2 078</w:t>
            </w:r>
          </w:p>
        </w:tc>
      </w:tr>
    </w:tbl>
    <w:p w14:paraId="0A644B7C" w14:textId="77777777" w:rsidR="00931298" w:rsidRPr="00DB13C5" w:rsidRDefault="00931298" w:rsidP="00A52D1A">
      <w:pPr>
        <w:rPr>
          <w:lang w:val="es-ES"/>
        </w:rPr>
      </w:pPr>
    </w:p>
    <w:p w14:paraId="44B0972F" w14:textId="77777777" w:rsidR="00B305D7" w:rsidRPr="00DB13C5" w:rsidRDefault="00931298" w:rsidP="009B2216">
      <w:pPr>
        <w:jc w:val="center"/>
        <w:rPr>
          <w:lang w:val="es-ES"/>
        </w:rPr>
      </w:pPr>
      <w:r w:rsidRPr="00DB13C5">
        <w:rPr>
          <w:lang w:val="es-ES"/>
        </w:rPr>
        <w:t>_______________________</w:t>
      </w:r>
    </w:p>
    <w:p w14:paraId="45A4B653" w14:textId="77777777" w:rsidR="00931298" w:rsidRPr="00DB13C5" w:rsidRDefault="00931298" w:rsidP="009B2216">
      <w:pPr>
        <w:rPr>
          <w:lang w:val="es-ES"/>
        </w:rPr>
      </w:pPr>
    </w:p>
    <w:sectPr w:rsidR="00931298" w:rsidRPr="00DB13C5" w:rsidSect="00DB13C5">
      <w:headerReference w:type="default" r:id="rId14"/>
      <w:footerReference w:type="even" r:id="rId15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8D40" w14:textId="77777777" w:rsidR="00D9408A" w:rsidRDefault="00D9408A">
      <w:r>
        <w:separator/>
      </w:r>
    </w:p>
  </w:endnote>
  <w:endnote w:type="continuationSeparator" w:id="0">
    <w:p w14:paraId="11231AC7" w14:textId="77777777" w:rsidR="00D9408A" w:rsidRDefault="00D9408A">
      <w:r>
        <w:continuationSeparator/>
      </w:r>
    </w:p>
  </w:endnote>
  <w:endnote w:type="continuationNotice" w:id="1">
    <w:p w14:paraId="11D0A790" w14:textId="77777777" w:rsidR="00D9408A" w:rsidRDefault="00D9408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FD74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46D3430" w14:textId="7777777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9408A">
      <w:rPr>
        <w:noProof/>
      </w:rPr>
      <w:t>00.00.00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E06A" w14:textId="77777777" w:rsidR="00D9408A" w:rsidRDefault="00D9408A">
      <w:r>
        <w:rPr>
          <w:b/>
        </w:rPr>
        <w:t>_______________</w:t>
      </w:r>
    </w:p>
  </w:footnote>
  <w:footnote w:type="continuationSeparator" w:id="0">
    <w:p w14:paraId="6037591E" w14:textId="77777777" w:rsidR="00D9408A" w:rsidRDefault="00D9408A">
      <w:r>
        <w:continuationSeparator/>
      </w:r>
    </w:p>
  </w:footnote>
  <w:footnote w:type="continuationNotice" w:id="1">
    <w:p w14:paraId="57646725" w14:textId="77777777" w:rsidR="00D9408A" w:rsidRDefault="00D9408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5D5D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58EA794C" w14:textId="7D703B92" w:rsidR="00A52D1A" w:rsidRPr="00A52D1A" w:rsidRDefault="00A52D1A" w:rsidP="00A52D1A">
    <w:pPr>
      <w:pStyle w:val="Header"/>
    </w:pPr>
    <w:r w:rsidRPr="00A52D1A">
      <w:rPr>
        <w:noProof/>
      </w:rPr>
      <w:fldChar w:fldCharType="begin"/>
    </w:r>
    <w:r w:rsidRPr="00A52D1A">
      <w:rPr>
        <w:noProof/>
      </w:rPr>
      <w:instrText xml:space="preserve"> STYLEREF  Docnumber  \* MERGEFORMAT </w:instrText>
    </w:r>
    <w:r w:rsidRPr="00A52D1A">
      <w:rPr>
        <w:noProof/>
      </w:rPr>
      <w:fldChar w:fldCharType="separate"/>
    </w:r>
    <w:r w:rsidR="00F925B7" w:rsidRPr="00F925B7">
      <w:rPr>
        <w:noProof/>
        <w:lang w:val="en-US"/>
      </w:rPr>
      <w:t>Documento 31-S</w:t>
    </w:r>
    <w:r w:rsidRPr="00A52D1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24283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408A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25B7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B448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3-CL-C-0115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Props1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(Spanish)</vt:lpstr>
    </vt:vector>
  </TitlesOfParts>
  <Manager>General Secretariat - Pool</Manager>
  <Company>International Telecommunication Union (ITU)</Company>
  <LinksUpToDate>false</LinksUpToDate>
  <CharactersWithSpaces>1272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(Spanish)</dc:title>
  <dc:subject>World Telecommunication Standardization Assembly</dc:subject>
  <dc:creator>Spanish</dc:creator>
  <cp:keywords>Template v2024.01.30 (draft)</cp:keywords>
  <dc:description>Template used by DPM and CPI for the WTSA-24</dc:description>
  <cp:lastModifiedBy>Spanish</cp:lastModifiedBy>
  <cp:revision>2</cp:revision>
  <cp:lastPrinted>2016-06-06T07:49:00Z</cp:lastPrinted>
  <dcterms:created xsi:type="dcterms:W3CDTF">2024-09-11T08:21:00Z</dcterms:created>
  <dcterms:modified xsi:type="dcterms:W3CDTF">2024-09-11T08:31:00Z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