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90"/>
        <w:gridCol w:w="622"/>
        <w:gridCol w:w="3935"/>
        <w:gridCol w:w="390"/>
        <w:gridCol w:w="2268"/>
        <w:gridCol w:w="1277"/>
        <w:gridCol w:w="29"/>
      </w:tblGrid>
      <w:tr w:rsidR="00D2023F" w:rsidRPr="00BF1927" w14:paraId="319B6958" w14:textId="2A52AC69" w:rsidTr="00C71124">
        <w:trPr>
          <w:cantSplit/>
          <w:trHeight w:val="1132"/>
        </w:trPr>
        <w:tc>
          <w:tcPr>
            <w:tcW w:w="1290" w:type="dxa"/>
            <w:vAlign w:val="center"/>
          </w:tcPr>
          <w:p w14:paraId="1772FE88" w14:textId="329327A2" w:rsidR="00D2023F" w:rsidRPr="00BF1927" w:rsidRDefault="0018215C" w:rsidP="001E5674">
            <w:pPr>
              <w:spacing w:before="0"/>
              <w:rPr>
                <w:lang w:val="fr-FR"/>
              </w:rPr>
            </w:pPr>
            <w:r w:rsidRPr="00BF1927">
              <w:rPr>
                <w:noProof/>
                <w:lang w:val="fr-FR"/>
              </w:rPr>
              <w:drawing>
                <wp:inline distT="0" distB="0" distL="0" distR="0" wp14:anchorId="5264508F" wp14:editId="0C5C6D7C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4"/>
            <w:vAlign w:val="center"/>
          </w:tcPr>
          <w:p w14:paraId="5EC95E37" w14:textId="3CDF6868" w:rsidR="00D2023F" w:rsidRPr="00BF1927" w:rsidRDefault="006F0DB7" w:rsidP="001E5674">
            <w:pPr>
              <w:pStyle w:val="TopHeader"/>
              <w:rPr>
                <w:lang w:val="fr-FR"/>
              </w:rPr>
            </w:pPr>
            <w:r w:rsidRPr="00BF1927">
              <w:rPr>
                <w:lang w:val="fr-FR"/>
              </w:rPr>
              <w:t>Assemblée mondiale de normalisation des télécommunications (AMNT-24)</w:t>
            </w:r>
            <w:r w:rsidRPr="00BF1927">
              <w:rPr>
                <w:sz w:val="26"/>
                <w:szCs w:val="26"/>
                <w:lang w:val="fr-FR"/>
              </w:rPr>
              <w:br/>
            </w:r>
            <w:r w:rsidRPr="00BF1927">
              <w:rPr>
                <w:sz w:val="18"/>
                <w:szCs w:val="18"/>
                <w:lang w:val="fr-FR"/>
              </w:rPr>
              <w:t>New Delhi, 15</w:t>
            </w:r>
            <w:r w:rsidR="00784206" w:rsidRPr="00BF1927">
              <w:rPr>
                <w:sz w:val="18"/>
                <w:szCs w:val="18"/>
                <w:lang w:val="fr-FR"/>
              </w:rPr>
              <w:t>-</w:t>
            </w:r>
            <w:r w:rsidRPr="00BF1927">
              <w:rPr>
                <w:sz w:val="18"/>
                <w:szCs w:val="18"/>
                <w:lang w:val="fr-FR"/>
              </w:rPr>
              <w:t>24 octobre 2024</w:t>
            </w:r>
          </w:p>
        </w:tc>
        <w:tc>
          <w:tcPr>
            <w:tcW w:w="1306" w:type="dxa"/>
            <w:gridSpan w:val="2"/>
            <w:tcBorders>
              <w:left w:val="nil"/>
            </w:tcBorders>
            <w:vAlign w:val="center"/>
          </w:tcPr>
          <w:p w14:paraId="40ACFFA0" w14:textId="02D5CA95" w:rsidR="00D2023F" w:rsidRPr="00BF1927" w:rsidRDefault="00D2023F" w:rsidP="001E5674">
            <w:pPr>
              <w:spacing w:before="0"/>
              <w:rPr>
                <w:lang w:val="fr-FR"/>
              </w:rPr>
            </w:pPr>
            <w:r w:rsidRPr="00BF1927">
              <w:rPr>
                <w:noProof/>
                <w:lang w:val="fr-FR" w:eastAsia="zh-CN"/>
              </w:rPr>
              <w:drawing>
                <wp:inline distT="0" distB="0" distL="0" distR="0" wp14:anchorId="0A6E9AF3" wp14:editId="62F21583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F1927" w14:paraId="2A050926" w14:textId="77777777" w:rsidTr="00C71124">
        <w:trPr>
          <w:cantSplit/>
        </w:trPr>
        <w:tc>
          <w:tcPr>
            <w:tcW w:w="9811" w:type="dxa"/>
            <w:gridSpan w:val="7"/>
            <w:tcBorders>
              <w:bottom w:val="single" w:sz="12" w:space="0" w:color="auto"/>
            </w:tcBorders>
          </w:tcPr>
          <w:p w14:paraId="569B9737" w14:textId="77777777" w:rsidR="00D2023F" w:rsidRPr="00BF1927" w:rsidRDefault="00D2023F" w:rsidP="001E5674">
            <w:pPr>
              <w:spacing w:before="0"/>
              <w:rPr>
                <w:lang w:val="fr-FR"/>
              </w:rPr>
            </w:pPr>
          </w:p>
        </w:tc>
      </w:tr>
      <w:tr w:rsidR="00931298" w:rsidRPr="00BF1927" w14:paraId="57E56620" w14:textId="77777777" w:rsidTr="00C71124">
        <w:trPr>
          <w:cantSplit/>
        </w:trPr>
        <w:tc>
          <w:tcPr>
            <w:tcW w:w="6237" w:type="dxa"/>
            <w:gridSpan w:val="4"/>
            <w:tcBorders>
              <w:top w:val="single" w:sz="12" w:space="0" w:color="auto"/>
            </w:tcBorders>
          </w:tcPr>
          <w:p w14:paraId="1E3CCD6D" w14:textId="77777777" w:rsidR="00931298" w:rsidRPr="00BF1927" w:rsidRDefault="00931298" w:rsidP="001E5674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3"/>
          </w:tcPr>
          <w:p w14:paraId="1DA1812D" w14:textId="77777777" w:rsidR="00931298" w:rsidRPr="00BF1927" w:rsidRDefault="00931298" w:rsidP="001E5674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752D4D" w:rsidRPr="00BF1927" w14:paraId="3E8631B8" w14:textId="77777777" w:rsidTr="00C71124">
        <w:trPr>
          <w:cantSplit/>
        </w:trPr>
        <w:tc>
          <w:tcPr>
            <w:tcW w:w="6237" w:type="dxa"/>
            <w:gridSpan w:val="4"/>
          </w:tcPr>
          <w:p w14:paraId="168BBE1B" w14:textId="2FD42008" w:rsidR="00752D4D" w:rsidRPr="00BF1927" w:rsidRDefault="003E1298" w:rsidP="001E5674">
            <w:pPr>
              <w:pStyle w:val="Committee"/>
              <w:spacing w:line="240" w:lineRule="auto"/>
              <w:rPr>
                <w:highlight w:val="yellow"/>
                <w:lang w:val="fr-FR"/>
              </w:rPr>
            </w:pPr>
            <w:r w:rsidRPr="00BF1927">
              <w:rPr>
                <w:lang w:val="fr-FR"/>
              </w:rPr>
              <w:t>SÉANCE PLÉNIÈRE</w:t>
            </w:r>
          </w:p>
        </w:tc>
        <w:tc>
          <w:tcPr>
            <w:tcW w:w="3574" w:type="dxa"/>
            <w:gridSpan w:val="3"/>
          </w:tcPr>
          <w:p w14:paraId="10DB0CC9" w14:textId="2E8EDCA1" w:rsidR="00752D4D" w:rsidRPr="00BF1927" w:rsidRDefault="00752D4D" w:rsidP="001E5674">
            <w:pPr>
              <w:pStyle w:val="Docnumber"/>
              <w:rPr>
                <w:lang w:val="fr-FR"/>
              </w:rPr>
            </w:pPr>
            <w:r w:rsidRPr="00BF1927">
              <w:rPr>
                <w:lang w:val="fr-FR"/>
              </w:rPr>
              <w:t xml:space="preserve">Document </w:t>
            </w:r>
            <w:r w:rsidR="003E1298" w:rsidRPr="00BF1927">
              <w:rPr>
                <w:lang w:val="fr-FR"/>
              </w:rPr>
              <w:t>30</w:t>
            </w:r>
            <w:r w:rsidRPr="00BF1927">
              <w:rPr>
                <w:lang w:val="fr-FR"/>
              </w:rPr>
              <w:t>-</w:t>
            </w:r>
            <w:r w:rsidR="006F0DB7" w:rsidRPr="00BF1927">
              <w:rPr>
                <w:lang w:val="fr-FR"/>
              </w:rPr>
              <w:t>F</w:t>
            </w:r>
          </w:p>
        </w:tc>
      </w:tr>
      <w:tr w:rsidR="00931298" w:rsidRPr="00BF1927" w14:paraId="379DD4CD" w14:textId="77777777" w:rsidTr="00C71124">
        <w:trPr>
          <w:cantSplit/>
        </w:trPr>
        <w:tc>
          <w:tcPr>
            <w:tcW w:w="6237" w:type="dxa"/>
            <w:gridSpan w:val="4"/>
          </w:tcPr>
          <w:p w14:paraId="3D2E2A3F" w14:textId="77777777" w:rsidR="00931298" w:rsidRPr="00BF1927" w:rsidRDefault="00931298" w:rsidP="001E5674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3"/>
          </w:tcPr>
          <w:p w14:paraId="2F179AE3" w14:textId="178491B8" w:rsidR="00931298" w:rsidRPr="00BF1927" w:rsidRDefault="003E1298" w:rsidP="001E5674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BF1927">
              <w:rPr>
                <w:sz w:val="20"/>
                <w:szCs w:val="20"/>
                <w:lang w:val="fr-FR"/>
              </w:rPr>
              <w:t>19</w:t>
            </w:r>
            <w:r w:rsidR="00B305D7" w:rsidRPr="00BF1927">
              <w:rPr>
                <w:sz w:val="20"/>
                <w:szCs w:val="20"/>
                <w:lang w:val="fr-FR"/>
              </w:rPr>
              <w:t xml:space="preserve"> </w:t>
            </w:r>
            <w:r w:rsidRPr="00BF1927">
              <w:rPr>
                <w:sz w:val="20"/>
                <w:szCs w:val="20"/>
                <w:lang w:val="fr-FR"/>
              </w:rPr>
              <w:t>septembre</w:t>
            </w:r>
            <w:r w:rsidR="00B305D7" w:rsidRPr="00BF1927">
              <w:rPr>
                <w:sz w:val="20"/>
                <w:szCs w:val="20"/>
                <w:lang w:val="fr-FR"/>
              </w:rPr>
              <w:t xml:space="preserve"> 202</w:t>
            </w:r>
            <w:r w:rsidR="009B2216" w:rsidRPr="00BF1927">
              <w:rPr>
                <w:sz w:val="20"/>
                <w:szCs w:val="20"/>
                <w:lang w:val="fr-FR"/>
              </w:rPr>
              <w:t>4</w:t>
            </w:r>
          </w:p>
        </w:tc>
      </w:tr>
      <w:tr w:rsidR="00931298" w:rsidRPr="00BF1927" w14:paraId="552C094A" w14:textId="77777777" w:rsidTr="00C71124">
        <w:trPr>
          <w:cantSplit/>
        </w:trPr>
        <w:tc>
          <w:tcPr>
            <w:tcW w:w="6237" w:type="dxa"/>
            <w:gridSpan w:val="4"/>
          </w:tcPr>
          <w:p w14:paraId="3CF98A40" w14:textId="77777777" w:rsidR="00931298" w:rsidRPr="00BF1927" w:rsidRDefault="00931298" w:rsidP="001E5674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3"/>
          </w:tcPr>
          <w:p w14:paraId="4C39818E" w14:textId="78B8ED7C" w:rsidR="00931298" w:rsidRPr="00BF1927" w:rsidRDefault="002C4DC4" w:rsidP="001E5674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BF1927">
              <w:rPr>
                <w:sz w:val="20"/>
                <w:szCs w:val="20"/>
                <w:lang w:val="fr-FR"/>
              </w:rPr>
              <w:t>Original:</w:t>
            </w:r>
            <w:r w:rsidR="00931298" w:rsidRPr="00BF1927">
              <w:rPr>
                <w:sz w:val="20"/>
                <w:szCs w:val="20"/>
                <w:lang w:val="fr-FR"/>
              </w:rPr>
              <w:t xml:space="preserve"> </w:t>
            </w:r>
            <w:r w:rsidR="00227927" w:rsidRPr="00BF1927">
              <w:rPr>
                <w:sz w:val="20"/>
                <w:szCs w:val="20"/>
                <w:lang w:val="fr-FR"/>
              </w:rPr>
              <w:t>a</w:t>
            </w:r>
            <w:r w:rsidR="006F0DB7" w:rsidRPr="00BF1927">
              <w:rPr>
                <w:sz w:val="20"/>
                <w:szCs w:val="20"/>
                <w:lang w:val="fr-FR"/>
              </w:rPr>
              <w:t>nglais</w:t>
            </w:r>
          </w:p>
        </w:tc>
      </w:tr>
      <w:tr w:rsidR="00931298" w:rsidRPr="00BF1927" w14:paraId="1A6AC39B" w14:textId="77777777" w:rsidTr="00C71124">
        <w:trPr>
          <w:cantSplit/>
        </w:trPr>
        <w:tc>
          <w:tcPr>
            <w:tcW w:w="9811" w:type="dxa"/>
            <w:gridSpan w:val="7"/>
          </w:tcPr>
          <w:p w14:paraId="156D3A85" w14:textId="77777777" w:rsidR="00931298" w:rsidRPr="00BF1927" w:rsidRDefault="00931298" w:rsidP="001E5674">
            <w:pPr>
              <w:pStyle w:val="TopHeader"/>
              <w:spacing w:before="0"/>
              <w:rPr>
                <w:sz w:val="20"/>
                <w:lang w:val="fr-FR"/>
              </w:rPr>
            </w:pPr>
          </w:p>
        </w:tc>
      </w:tr>
      <w:tr w:rsidR="00931298" w:rsidRPr="00BF1927" w14:paraId="59D6DD30" w14:textId="77777777" w:rsidTr="00C71124">
        <w:trPr>
          <w:cantSplit/>
        </w:trPr>
        <w:tc>
          <w:tcPr>
            <w:tcW w:w="9811" w:type="dxa"/>
            <w:gridSpan w:val="7"/>
          </w:tcPr>
          <w:p w14:paraId="0CDEC922" w14:textId="158CA5DB" w:rsidR="00931298" w:rsidRPr="00BF1927" w:rsidRDefault="003E1298" w:rsidP="001E5674">
            <w:pPr>
              <w:pStyle w:val="Source"/>
              <w:rPr>
                <w:highlight w:val="yellow"/>
                <w:lang w:val="fr-FR"/>
              </w:rPr>
            </w:pPr>
            <w:r w:rsidRPr="00BF1927">
              <w:rPr>
                <w:lang w:val="fr-FR"/>
              </w:rPr>
              <w:t>Directeur du TSB</w:t>
            </w:r>
          </w:p>
        </w:tc>
      </w:tr>
      <w:tr w:rsidR="00931298" w:rsidRPr="00BF1927" w14:paraId="7D394748" w14:textId="77777777" w:rsidTr="00C71124">
        <w:trPr>
          <w:cantSplit/>
        </w:trPr>
        <w:tc>
          <w:tcPr>
            <w:tcW w:w="9811" w:type="dxa"/>
            <w:gridSpan w:val="7"/>
          </w:tcPr>
          <w:p w14:paraId="22F0715A" w14:textId="33C06509" w:rsidR="00931298" w:rsidRPr="00BF1927" w:rsidRDefault="003E1298" w:rsidP="001E5674">
            <w:pPr>
              <w:pStyle w:val="Title1"/>
              <w:rPr>
                <w:highlight w:val="yellow"/>
                <w:lang w:val="fr-FR"/>
              </w:rPr>
            </w:pPr>
            <w:r w:rsidRPr="00BF1927">
              <w:rPr>
                <w:lang w:val="fr-FR"/>
              </w:rPr>
              <w:t>RAPPORT SUR LES ESTIMATIONS DES BESOINS FINANCIERS</w:t>
            </w:r>
            <w:r w:rsidRPr="00BF1927">
              <w:rPr>
                <w:lang w:val="fr-FR"/>
              </w:rPr>
              <w:br/>
              <w:t>JUSQU'À L'AMNT-2</w:t>
            </w:r>
            <w:r w:rsidR="008B2FB7" w:rsidRPr="00BF1927">
              <w:rPr>
                <w:lang w:val="fr-FR"/>
              </w:rPr>
              <w:t>8</w:t>
            </w:r>
            <w:r w:rsidRPr="00BF1927">
              <w:rPr>
                <w:lang w:val="fr-FR"/>
              </w:rPr>
              <w:t xml:space="preserve"> ET DÉPENSES DE L'UIT-T</w:t>
            </w:r>
            <w:r w:rsidR="001E5674" w:rsidRPr="00BF1927">
              <w:rPr>
                <w:lang w:val="fr-FR"/>
              </w:rPr>
              <w:br/>
            </w:r>
            <w:r w:rsidRPr="00BF1927">
              <w:rPr>
                <w:lang w:val="fr-FR"/>
              </w:rPr>
              <w:t>PENDANT</w:t>
            </w:r>
            <w:r w:rsidR="001E5674" w:rsidRPr="00BF1927">
              <w:rPr>
                <w:lang w:val="fr-FR"/>
              </w:rPr>
              <w:t xml:space="preserve"> </w:t>
            </w:r>
            <w:r w:rsidRPr="00BF1927">
              <w:rPr>
                <w:lang w:val="fr-FR"/>
              </w:rPr>
              <w:t>LA PÉRIODE 20</w:t>
            </w:r>
            <w:r w:rsidR="008B2FB7" w:rsidRPr="00BF1927">
              <w:rPr>
                <w:lang w:val="fr-FR"/>
              </w:rPr>
              <w:t>22</w:t>
            </w:r>
            <w:r w:rsidRPr="00BF1927">
              <w:rPr>
                <w:lang w:val="fr-FR"/>
              </w:rPr>
              <w:t>-202</w:t>
            </w:r>
            <w:r w:rsidR="008B2FB7" w:rsidRPr="00BF1927">
              <w:rPr>
                <w:lang w:val="fr-FR"/>
              </w:rPr>
              <w:t>4</w:t>
            </w:r>
          </w:p>
        </w:tc>
      </w:tr>
      <w:tr w:rsidR="00657CDA" w:rsidRPr="00BF1927" w14:paraId="58289439" w14:textId="77777777" w:rsidTr="00C71124">
        <w:trPr>
          <w:cantSplit/>
        </w:trPr>
        <w:tc>
          <w:tcPr>
            <w:tcW w:w="9811" w:type="dxa"/>
            <w:gridSpan w:val="7"/>
          </w:tcPr>
          <w:p w14:paraId="4BDF7F6F" w14:textId="06A6F6D3" w:rsidR="00657CDA" w:rsidRPr="00BF1927" w:rsidRDefault="00657CDA" w:rsidP="001E5674">
            <w:pPr>
              <w:pStyle w:val="Title2"/>
              <w:spacing w:before="240"/>
              <w:rPr>
                <w:lang w:val="fr-FR"/>
              </w:rPr>
            </w:pPr>
          </w:p>
        </w:tc>
      </w:tr>
      <w:tr w:rsidR="00657CDA" w:rsidRPr="00BF1927" w14:paraId="396922D0" w14:textId="77777777" w:rsidTr="00C71124">
        <w:trPr>
          <w:cantSplit/>
        </w:trPr>
        <w:tc>
          <w:tcPr>
            <w:tcW w:w="9811" w:type="dxa"/>
            <w:gridSpan w:val="7"/>
          </w:tcPr>
          <w:p w14:paraId="27CB32D0" w14:textId="77777777" w:rsidR="00657CDA" w:rsidRPr="00BF1927" w:rsidRDefault="00657CDA" w:rsidP="001E5674">
            <w:pPr>
              <w:pStyle w:val="Agendaitem"/>
              <w:spacing w:before="0"/>
              <w:rPr>
                <w:lang w:val="fr-FR"/>
              </w:rPr>
            </w:pPr>
          </w:p>
        </w:tc>
      </w:tr>
      <w:tr w:rsidR="00931298" w:rsidRPr="00BF1927" w14:paraId="67054BF5" w14:textId="77777777" w:rsidTr="00C71124">
        <w:trPr>
          <w:gridAfter w:val="1"/>
          <w:wAfter w:w="29" w:type="dxa"/>
          <w:cantSplit/>
        </w:trPr>
        <w:tc>
          <w:tcPr>
            <w:tcW w:w="1912" w:type="dxa"/>
            <w:gridSpan w:val="2"/>
          </w:tcPr>
          <w:p w14:paraId="2E8BEDC4" w14:textId="056F1D88" w:rsidR="00931298" w:rsidRPr="00BF1927" w:rsidRDefault="006F0DB7" w:rsidP="001E5674">
            <w:pPr>
              <w:rPr>
                <w:lang w:val="fr-FR"/>
              </w:rPr>
            </w:pPr>
            <w:r w:rsidRPr="00BF1927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870" w:type="dxa"/>
            <w:gridSpan w:val="4"/>
          </w:tcPr>
          <w:p w14:paraId="492D398A" w14:textId="1EF32B2F" w:rsidR="00931298" w:rsidRPr="00BF1927" w:rsidRDefault="003E1298" w:rsidP="001E5674">
            <w:pPr>
              <w:rPr>
                <w:lang w:val="fr-FR"/>
              </w:rPr>
            </w:pPr>
            <w:r w:rsidRPr="00BF1927">
              <w:rPr>
                <w:lang w:val="fr-FR"/>
              </w:rPr>
              <w:t>On trouvera dans le présent document les estimations des besoins financiers de l'UIT-T jusqu'à la prochaine AMNT et un résumé des comptes des années écoulées depuis la précédente AMNT.</w:t>
            </w:r>
          </w:p>
        </w:tc>
      </w:tr>
      <w:tr w:rsidR="00931298" w:rsidRPr="00BF1927" w14:paraId="786B86C7" w14:textId="77777777" w:rsidTr="00C71124">
        <w:trPr>
          <w:gridAfter w:val="1"/>
          <w:wAfter w:w="29" w:type="dxa"/>
          <w:cantSplit/>
        </w:trPr>
        <w:tc>
          <w:tcPr>
            <w:tcW w:w="1912" w:type="dxa"/>
            <w:gridSpan w:val="2"/>
          </w:tcPr>
          <w:p w14:paraId="513FD443" w14:textId="459E9FB8" w:rsidR="00931298" w:rsidRPr="00BF1927" w:rsidRDefault="00931298" w:rsidP="001E5674">
            <w:pPr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3935" w:type="dxa"/>
          </w:tcPr>
          <w:p w14:paraId="18BEFB83" w14:textId="71622C9C" w:rsidR="00FE5494" w:rsidRPr="00BF1927" w:rsidRDefault="00FE5494" w:rsidP="001E5674">
            <w:pPr>
              <w:rPr>
                <w:lang w:val="fr-FR"/>
              </w:rPr>
            </w:pPr>
          </w:p>
        </w:tc>
        <w:tc>
          <w:tcPr>
            <w:tcW w:w="3935" w:type="dxa"/>
            <w:gridSpan w:val="3"/>
          </w:tcPr>
          <w:p w14:paraId="71C39D04" w14:textId="2E6A3AD6" w:rsidR="003E1298" w:rsidRPr="00BF1927" w:rsidRDefault="003E1298" w:rsidP="001E5674">
            <w:pPr>
              <w:rPr>
                <w:lang w:val="fr-FR"/>
              </w:rPr>
            </w:pPr>
          </w:p>
        </w:tc>
      </w:tr>
    </w:tbl>
    <w:p w14:paraId="06C6AC65" w14:textId="77777777" w:rsidR="003E1298" w:rsidRPr="00BF1927" w:rsidRDefault="003E1298" w:rsidP="001E5674">
      <w:pPr>
        <w:pStyle w:val="Heading1"/>
        <w:rPr>
          <w:lang w:val="fr-FR"/>
        </w:rPr>
      </w:pPr>
      <w:r w:rsidRPr="00BF1927">
        <w:rPr>
          <w:lang w:val="fr-FR"/>
        </w:rPr>
        <w:t>1</w:t>
      </w:r>
      <w:r w:rsidRPr="00BF1927">
        <w:rPr>
          <w:lang w:val="fr-FR"/>
        </w:rPr>
        <w:tab/>
        <w:t>Introduction</w:t>
      </w:r>
    </w:p>
    <w:p w14:paraId="0ED063C7" w14:textId="77777777" w:rsidR="003E1298" w:rsidRPr="00BF1927" w:rsidRDefault="003E1298" w:rsidP="001E5674">
      <w:pPr>
        <w:rPr>
          <w:lang w:val="fr-FR"/>
        </w:rPr>
      </w:pPr>
      <w:r w:rsidRPr="00BF1927">
        <w:rPr>
          <w:lang w:val="fr-FR"/>
        </w:rPr>
        <w:t>1.1</w:t>
      </w:r>
      <w:r w:rsidRPr="00BF1927">
        <w:rPr>
          <w:lang w:val="fr-FR"/>
        </w:rPr>
        <w:tab/>
        <w:t>En vertu de la Résolution 1 de l'AMNT-22, le Directeur du TSB était prié de présenter à l'Assemblée mondiale de normalisation des télécommunications un rapport sur les besoins financiers de l'UIT-T jusqu'à l'AMNT suivante, et un résumé des comptes des années écoulées depuis la précédente AMNT.</w:t>
      </w:r>
    </w:p>
    <w:p w14:paraId="6B908EE6" w14:textId="3A92B1B3" w:rsidR="003E1298" w:rsidRPr="00BF1927" w:rsidRDefault="003E1298" w:rsidP="001E5674">
      <w:pPr>
        <w:rPr>
          <w:lang w:val="fr-FR"/>
        </w:rPr>
      </w:pPr>
      <w:r w:rsidRPr="00BF1927">
        <w:rPr>
          <w:lang w:val="fr-FR"/>
        </w:rPr>
        <w:t>1.2</w:t>
      </w:r>
      <w:r w:rsidRPr="00BF1927">
        <w:rPr>
          <w:lang w:val="fr-FR"/>
        </w:rPr>
        <w:tab/>
        <w:t>Suite à cette demande, et conformément à la Résolution 122 (Rév. Guadalajara, 2010) de la Conférence de plénipotentiaires, le présent document contient un résumé:</w:t>
      </w:r>
    </w:p>
    <w:p w14:paraId="23C703F2" w14:textId="6884F2C9" w:rsidR="003E1298" w:rsidRPr="00BF1927" w:rsidRDefault="003E1298" w:rsidP="001E5674">
      <w:pPr>
        <w:pStyle w:val="enumlev1"/>
        <w:rPr>
          <w:lang w:val="fr-FR"/>
        </w:rPr>
      </w:pPr>
      <w:r w:rsidRPr="00BF1927">
        <w:rPr>
          <w:lang w:val="fr-FR"/>
        </w:rPr>
        <w:t>•</w:t>
      </w:r>
      <w:r w:rsidRPr="00BF1927">
        <w:rPr>
          <w:lang w:val="fr-FR"/>
        </w:rPr>
        <w:tab/>
        <w:t>de l'estimation des besoins financiers jusqu'en 2028;</w:t>
      </w:r>
    </w:p>
    <w:p w14:paraId="24EF0E18" w14:textId="77777777" w:rsidR="003E1298" w:rsidRPr="00BF1927" w:rsidRDefault="003E1298" w:rsidP="001E5674">
      <w:pPr>
        <w:pStyle w:val="enumlev1"/>
        <w:rPr>
          <w:lang w:val="fr-FR"/>
        </w:rPr>
      </w:pPr>
      <w:r w:rsidRPr="00BF1927">
        <w:rPr>
          <w:lang w:val="fr-FR"/>
        </w:rPr>
        <w:t>•</w:t>
      </w:r>
      <w:r w:rsidRPr="00BF1927">
        <w:rPr>
          <w:lang w:val="fr-FR"/>
        </w:rPr>
        <w:tab/>
        <w:t>des contributions financières pour la période 2022-2023;</w:t>
      </w:r>
    </w:p>
    <w:p w14:paraId="01FC6485" w14:textId="77777777" w:rsidR="003E1298" w:rsidRPr="00BF1927" w:rsidRDefault="003E1298" w:rsidP="001E5674">
      <w:pPr>
        <w:pStyle w:val="enumlev1"/>
        <w:rPr>
          <w:lang w:val="fr-FR"/>
        </w:rPr>
      </w:pPr>
      <w:r w:rsidRPr="00BF1927">
        <w:rPr>
          <w:lang w:val="fr-FR"/>
        </w:rPr>
        <w:t>•</w:t>
      </w:r>
      <w:r w:rsidRPr="00BF1927">
        <w:rPr>
          <w:lang w:val="fr-FR"/>
        </w:rPr>
        <w:tab/>
        <w:t>des dépenses pour la période 2022-2023.</w:t>
      </w:r>
    </w:p>
    <w:p w14:paraId="4AA905D4" w14:textId="69DF6CB0" w:rsidR="003E1298" w:rsidRPr="00BF1927" w:rsidRDefault="003E1298" w:rsidP="001E5674">
      <w:pPr>
        <w:rPr>
          <w:lang w:val="fr-FR"/>
        </w:rPr>
      </w:pPr>
      <w:r w:rsidRPr="00BF1927">
        <w:rPr>
          <w:lang w:val="fr-FR"/>
        </w:rPr>
        <w:t>1.3</w:t>
      </w:r>
      <w:r w:rsidRPr="00BF1927">
        <w:rPr>
          <w:lang w:val="fr-FR"/>
        </w:rPr>
        <w:tab/>
        <w:t>Le présent document sera actualisé lors de l'AMNT-24, afin de tenir compte des nouvelles tâches identifiées par l'AMNT-24.</w:t>
      </w:r>
    </w:p>
    <w:p w14:paraId="69F8FE47" w14:textId="22163980" w:rsidR="006468EB" w:rsidRPr="00BF1927" w:rsidRDefault="006468EB" w:rsidP="001E5674">
      <w:pPr>
        <w:pStyle w:val="Heading1"/>
        <w:rPr>
          <w:lang w:val="fr-FR"/>
        </w:rPr>
      </w:pPr>
      <w:r w:rsidRPr="00BF1927">
        <w:rPr>
          <w:lang w:val="fr-FR"/>
        </w:rPr>
        <w:t>2</w:t>
      </w:r>
      <w:r w:rsidRPr="00BF1927">
        <w:rPr>
          <w:lang w:val="fr-FR"/>
        </w:rPr>
        <w:tab/>
      </w:r>
      <w:r w:rsidR="006A68B3" w:rsidRPr="00BF1927">
        <w:rPr>
          <w:lang w:val="fr-FR"/>
        </w:rPr>
        <w:t>Estimation des besoins financiers jusqu'à l'AMNT-24</w:t>
      </w:r>
    </w:p>
    <w:p w14:paraId="103FD551" w14:textId="5D73BBCC" w:rsidR="006468EB" w:rsidRPr="00BF1927" w:rsidRDefault="006468EB" w:rsidP="001E5674">
      <w:pPr>
        <w:rPr>
          <w:lang w:val="fr-FR"/>
        </w:rPr>
      </w:pPr>
      <w:r w:rsidRPr="00BF1927">
        <w:rPr>
          <w:lang w:val="fr-FR"/>
        </w:rPr>
        <w:t>2.1</w:t>
      </w:r>
      <w:r w:rsidRPr="00BF1927">
        <w:rPr>
          <w:lang w:val="fr-FR"/>
        </w:rPr>
        <w:tab/>
      </w:r>
      <w:r w:rsidR="00E3274D" w:rsidRPr="00BF1927">
        <w:rPr>
          <w:lang w:val="fr-FR"/>
        </w:rPr>
        <w:t>Le budget de l'Union pour la période 202</w:t>
      </w:r>
      <w:r w:rsidR="00523AF7" w:rsidRPr="00BF1927">
        <w:rPr>
          <w:lang w:val="fr-FR"/>
        </w:rPr>
        <w:t>4</w:t>
      </w:r>
      <w:r w:rsidR="00E3274D" w:rsidRPr="00BF1927">
        <w:rPr>
          <w:lang w:val="fr-FR"/>
        </w:rPr>
        <w:t>-202</w:t>
      </w:r>
      <w:r w:rsidR="00523AF7" w:rsidRPr="00BF1927">
        <w:rPr>
          <w:lang w:val="fr-FR"/>
        </w:rPr>
        <w:t>5</w:t>
      </w:r>
      <w:r w:rsidR="00E3274D" w:rsidRPr="00BF1927">
        <w:rPr>
          <w:lang w:val="fr-FR"/>
        </w:rPr>
        <w:t>, d'un montant de 32</w:t>
      </w:r>
      <w:r w:rsidR="00523AF7" w:rsidRPr="00BF1927">
        <w:rPr>
          <w:lang w:val="fr-FR"/>
        </w:rPr>
        <w:t>9</w:t>
      </w:r>
      <w:r w:rsidR="00E3274D" w:rsidRPr="00BF1927">
        <w:rPr>
          <w:lang w:val="fr-FR"/>
        </w:rPr>
        <w:t xml:space="preserve"> millions CHF, a été approuvé par le Conseil à sa session de 202</w:t>
      </w:r>
      <w:r w:rsidR="00523AF7" w:rsidRPr="00BF1927">
        <w:rPr>
          <w:lang w:val="fr-FR"/>
        </w:rPr>
        <w:t>3</w:t>
      </w:r>
      <w:r w:rsidR="00E3274D" w:rsidRPr="00BF1927">
        <w:rPr>
          <w:lang w:val="fr-FR"/>
        </w:rPr>
        <w:t xml:space="preserve"> en vertu de la Résolution 14</w:t>
      </w:r>
      <w:r w:rsidR="00523AF7" w:rsidRPr="00BF1927">
        <w:rPr>
          <w:lang w:val="fr-FR"/>
        </w:rPr>
        <w:t>17</w:t>
      </w:r>
      <w:r w:rsidR="00E3274D" w:rsidRPr="00BF1927">
        <w:rPr>
          <w:lang w:val="fr-FR"/>
        </w:rPr>
        <w:t>. Pour l'UIT-T, le budget s'élève à environ 8,75% du budget de l'UIT (voir le Tableau 1 en annexe)</w:t>
      </w:r>
      <w:r w:rsidRPr="00BF1927">
        <w:rPr>
          <w:lang w:val="fr-FR"/>
        </w:rPr>
        <w:t>.</w:t>
      </w:r>
    </w:p>
    <w:p w14:paraId="07CC4CEA" w14:textId="307F08D9" w:rsidR="00E3274D" w:rsidRPr="00BF1927" w:rsidRDefault="00E3274D" w:rsidP="001E5674">
      <w:pPr>
        <w:pStyle w:val="enumlev1"/>
        <w:rPr>
          <w:lang w:val="fr-FR"/>
        </w:rPr>
      </w:pPr>
      <w:r w:rsidRPr="00BF1927">
        <w:rPr>
          <w:lang w:val="fr-FR"/>
        </w:rPr>
        <w:t>•</w:t>
      </w:r>
      <w:r w:rsidRPr="00BF1927">
        <w:rPr>
          <w:lang w:val="fr-FR"/>
        </w:rPr>
        <w:tab/>
      </w:r>
      <w:r w:rsidR="0007070E" w:rsidRPr="00BF1927">
        <w:rPr>
          <w:lang w:val="fr-FR"/>
        </w:rPr>
        <w:t>14 705</w:t>
      </w:r>
      <w:r w:rsidRPr="00BF1927">
        <w:rPr>
          <w:lang w:val="fr-FR"/>
        </w:rPr>
        <w:t xml:space="preserve"> CHF en 2024 (cette estimation comprend les dépenses liées à l'AMNT et aux réunions préparatoires connexes)</w:t>
      </w:r>
      <w:r w:rsidR="00CB24CF" w:rsidRPr="00BF1927">
        <w:rPr>
          <w:lang w:val="fr-FR"/>
        </w:rPr>
        <w:t>;</w:t>
      </w:r>
    </w:p>
    <w:p w14:paraId="741B5F43" w14:textId="26CDCF64" w:rsidR="006468EB" w:rsidRPr="00BF1927" w:rsidRDefault="00E3274D" w:rsidP="001E5674">
      <w:pPr>
        <w:pStyle w:val="enumlev1"/>
        <w:rPr>
          <w:lang w:val="fr-FR"/>
        </w:rPr>
      </w:pPr>
      <w:r w:rsidRPr="00BF1927">
        <w:rPr>
          <w:lang w:val="fr-FR"/>
        </w:rPr>
        <w:t>•</w:t>
      </w:r>
      <w:r w:rsidRPr="00BF1927">
        <w:rPr>
          <w:lang w:val="fr-FR"/>
        </w:rPr>
        <w:tab/>
        <w:t>14</w:t>
      </w:r>
      <w:r w:rsidR="00CB24CF" w:rsidRPr="00BF1927">
        <w:rPr>
          <w:lang w:val="fr-FR"/>
        </w:rPr>
        <w:t xml:space="preserve"> </w:t>
      </w:r>
      <w:r w:rsidRPr="00BF1927">
        <w:rPr>
          <w:lang w:val="fr-FR"/>
        </w:rPr>
        <w:t>098 CHF en 2025.</w:t>
      </w:r>
    </w:p>
    <w:p w14:paraId="27F702C3" w14:textId="1E63C947" w:rsidR="00E3274D" w:rsidRPr="00BF1927" w:rsidRDefault="00E3274D" w:rsidP="001E5674">
      <w:pPr>
        <w:rPr>
          <w:lang w:val="fr-FR"/>
        </w:rPr>
      </w:pPr>
      <w:r w:rsidRPr="00BF1927">
        <w:rPr>
          <w:lang w:val="fr-FR"/>
        </w:rPr>
        <w:lastRenderedPageBreak/>
        <w:t>2.2</w:t>
      </w:r>
      <w:r w:rsidRPr="00BF1927">
        <w:rPr>
          <w:lang w:val="fr-FR"/>
        </w:rPr>
        <w:tab/>
        <w:t>Les projets de dépenses de l'UIT-T pour l'année 2028 (voir le Tableau 2), sont estimées</w:t>
      </w:r>
      <w:r w:rsidR="001E5674" w:rsidRPr="00BF1927">
        <w:rPr>
          <w:lang w:val="fr-FR"/>
        </w:rPr>
        <w:t> </w:t>
      </w:r>
      <w:r w:rsidRPr="00BF1927">
        <w:rPr>
          <w:lang w:val="fr-FR"/>
        </w:rPr>
        <w:t>à:</w:t>
      </w:r>
    </w:p>
    <w:p w14:paraId="4A31AE08" w14:textId="6DD28AA8" w:rsidR="00E3274D" w:rsidRPr="00BF1927" w:rsidRDefault="00E3274D" w:rsidP="001E5674">
      <w:pPr>
        <w:pStyle w:val="enumlev1"/>
        <w:rPr>
          <w:lang w:val="fr-FR"/>
        </w:rPr>
      </w:pPr>
      <w:r w:rsidRPr="00BF1927">
        <w:rPr>
          <w:lang w:val="fr-FR"/>
        </w:rPr>
        <w:t>•</w:t>
      </w:r>
      <w:r w:rsidRPr="00BF1927">
        <w:rPr>
          <w:lang w:val="fr-FR"/>
        </w:rPr>
        <w:tab/>
      </w:r>
      <w:r w:rsidR="0007070E" w:rsidRPr="00BF1927">
        <w:rPr>
          <w:lang w:val="fr-FR"/>
        </w:rPr>
        <w:t>14 814</w:t>
      </w:r>
      <w:r w:rsidRPr="00BF1927">
        <w:rPr>
          <w:lang w:val="fr-FR"/>
        </w:rPr>
        <w:t xml:space="preserve"> CHF en 2028 (cette estimation comprend les dépenses liées à l'AMNT et aux réunions préparatoires connexes)</w:t>
      </w:r>
      <w:r w:rsidR="00CB24CF" w:rsidRPr="00BF1927">
        <w:rPr>
          <w:lang w:val="fr-FR"/>
        </w:rPr>
        <w:t>.</w:t>
      </w:r>
    </w:p>
    <w:p w14:paraId="3B5983F0" w14:textId="6EEE55C6" w:rsidR="00C71124" w:rsidRPr="00BF1927" w:rsidRDefault="00E3274D" w:rsidP="001E5674">
      <w:pPr>
        <w:rPr>
          <w:lang w:val="fr-FR"/>
        </w:rPr>
      </w:pPr>
      <w:r w:rsidRPr="00BF1927">
        <w:rPr>
          <w:lang w:val="fr-FR"/>
        </w:rPr>
        <w:t>2.3</w:t>
      </w:r>
      <w:r w:rsidRPr="00BF1927">
        <w:rPr>
          <w:lang w:val="fr-FR"/>
        </w:rPr>
        <w:tab/>
        <w:t>Toute nouvelle tâche identifiée par l'AMNT-24 est susceptible d'augmenter encore les dépenses estimées.</w:t>
      </w:r>
    </w:p>
    <w:p w14:paraId="6F2E9FF8" w14:textId="7219A71F" w:rsidR="00E3274D" w:rsidRPr="00BF1927" w:rsidRDefault="00E3274D" w:rsidP="001E5674">
      <w:pPr>
        <w:pStyle w:val="Heading1"/>
        <w:rPr>
          <w:lang w:val="fr-FR"/>
        </w:rPr>
      </w:pPr>
      <w:r w:rsidRPr="00BF1927">
        <w:rPr>
          <w:lang w:val="fr-FR"/>
        </w:rPr>
        <w:t>3</w:t>
      </w:r>
      <w:r w:rsidRPr="00BF1927">
        <w:rPr>
          <w:lang w:val="fr-FR"/>
        </w:rPr>
        <w:tab/>
      </w:r>
      <w:r w:rsidR="00CB24CF" w:rsidRPr="00BF1927">
        <w:rPr>
          <w:lang w:val="fr-FR"/>
        </w:rPr>
        <w:t>Contributions financières pour la période 2022-2023</w:t>
      </w:r>
    </w:p>
    <w:p w14:paraId="6ABBE43A" w14:textId="752D7225" w:rsidR="00E3274D" w:rsidRPr="00BF1927" w:rsidRDefault="00E3274D" w:rsidP="001E5674">
      <w:pPr>
        <w:rPr>
          <w:lang w:val="fr-FR"/>
        </w:rPr>
      </w:pPr>
      <w:r w:rsidRPr="00BF1927">
        <w:rPr>
          <w:lang w:val="fr-FR"/>
        </w:rPr>
        <w:t>3.1</w:t>
      </w:r>
      <w:r w:rsidRPr="00BF1927">
        <w:rPr>
          <w:lang w:val="fr-FR"/>
        </w:rPr>
        <w:tab/>
        <w:t>Le nombre de Membres du Secteur de l'UIT-T ainsi que le nombre d'Associés de l'UIT</w:t>
      </w:r>
      <w:r w:rsidR="0007070E" w:rsidRPr="00BF1927">
        <w:rPr>
          <w:lang w:val="fr-FR"/>
        </w:rPr>
        <w:noBreakHyphen/>
      </w:r>
      <w:r w:rsidRPr="00BF1927">
        <w:rPr>
          <w:lang w:val="fr-FR"/>
        </w:rPr>
        <w:t>T et d'établissements universitaires participant à ses travaux à la fin de chaque année de la période 2022-2023 sont présentés dans le Tableau 3.</w:t>
      </w:r>
    </w:p>
    <w:p w14:paraId="452F7E14" w14:textId="77777777" w:rsidR="00E3274D" w:rsidRPr="00BF1927" w:rsidRDefault="00E3274D" w:rsidP="001E5674">
      <w:pPr>
        <w:rPr>
          <w:lang w:val="fr-FR"/>
        </w:rPr>
      </w:pPr>
      <w:r w:rsidRPr="00BF1927">
        <w:rPr>
          <w:lang w:val="fr-FR"/>
        </w:rPr>
        <w:t>3.2</w:t>
      </w:r>
      <w:r w:rsidRPr="00BF1927">
        <w:rPr>
          <w:lang w:val="fr-FR"/>
        </w:rPr>
        <w:tab/>
        <w:t>Les contributions mises en recouvrement des Membres de Secteur et des Associés de l'UIT-T et des établissements universitaires participant à ses travaux pour les années 2022 à 2023 figurent dans le Tableau 4.</w:t>
      </w:r>
    </w:p>
    <w:p w14:paraId="4A04AC84" w14:textId="4C5CB846" w:rsidR="00E3274D" w:rsidRPr="00BF1927" w:rsidRDefault="00E3274D" w:rsidP="001E5674">
      <w:pPr>
        <w:rPr>
          <w:lang w:val="fr-FR"/>
        </w:rPr>
      </w:pPr>
      <w:r w:rsidRPr="00BF1927">
        <w:rPr>
          <w:lang w:val="fr-FR"/>
        </w:rPr>
        <w:t>3.3</w:t>
      </w:r>
      <w:r w:rsidRPr="00BF1927">
        <w:rPr>
          <w:lang w:val="fr-FR"/>
        </w:rPr>
        <w:tab/>
        <w:t xml:space="preserve">Le nombre de Membres du Secteur de l'UIT-T a augmenté de </w:t>
      </w:r>
      <w:r w:rsidR="0007070E" w:rsidRPr="00BF1927">
        <w:rPr>
          <w:lang w:val="fr-FR"/>
        </w:rPr>
        <w:t>2</w:t>
      </w:r>
      <w:r w:rsidRPr="00BF1927">
        <w:rPr>
          <w:lang w:val="fr-FR"/>
        </w:rPr>
        <w:t xml:space="preserve">% (soit </w:t>
      </w:r>
      <w:r w:rsidR="00BB207C" w:rsidRPr="00BF1927">
        <w:rPr>
          <w:lang w:val="fr-FR"/>
        </w:rPr>
        <w:t>6</w:t>
      </w:r>
      <w:r w:rsidRPr="00BF1927">
        <w:rPr>
          <w:lang w:val="fr-FR"/>
        </w:rPr>
        <w:t xml:space="preserve"> membres de plus) pendant la période 20</w:t>
      </w:r>
      <w:r w:rsidR="00BB207C" w:rsidRPr="00BF1927">
        <w:rPr>
          <w:lang w:val="fr-FR"/>
        </w:rPr>
        <w:t>22</w:t>
      </w:r>
      <w:r w:rsidRPr="00BF1927">
        <w:rPr>
          <w:lang w:val="fr-FR"/>
        </w:rPr>
        <w:t>-202</w:t>
      </w:r>
      <w:r w:rsidR="00BB207C" w:rsidRPr="00BF1927">
        <w:rPr>
          <w:lang w:val="fr-FR"/>
        </w:rPr>
        <w:t>3</w:t>
      </w:r>
      <w:r w:rsidRPr="00BF1927">
        <w:rPr>
          <w:lang w:val="fr-FR"/>
        </w:rPr>
        <w:t xml:space="preserve"> (avec 2</w:t>
      </w:r>
      <w:r w:rsidR="00BB207C" w:rsidRPr="00BF1927">
        <w:rPr>
          <w:lang w:val="fr-FR"/>
        </w:rPr>
        <w:t>63</w:t>
      </w:r>
      <w:r w:rsidRPr="00BF1927">
        <w:rPr>
          <w:lang w:val="fr-FR"/>
        </w:rPr>
        <w:t xml:space="preserve"> Membres de Secteur au 31 décembre 20</w:t>
      </w:r>
      <w:r w:rsidR="00BB207C" w:rsidRPr="00BF1927">
        <w:rPr>
          <w:lang w:val="fr-FR"/>
        </w:rPr>
        <w:t>22</w:t>
      </w:r>
      <w:r w:rsidRPr="00BF1927">
        <w:rPr>
          <w:lang w:val="fr-FR"/>
        </w:rPr>
        <w:t xml:space="preserve"> contre</w:t>
      </w:r>
      <w:r w:rsidR="00CB24CF" w:rsidRPr="00BF1927">
        <w:rPr>
          <w:lang w:val="fr-FR"/>
        </w:rPr>
        <w:t> </w:t>
      </w:r>
      <w:r w:rsidRPr="00BF1927">
        <w:rPr>
          <w:lang w:val="fr-FR"/>
        </w:rPr>
        <w:t>269 au 31 décembre 202</w:t>
      </w:r>
      <w:r w:rsidR="00BB207C" w:rsidRPr="00BF1927">
        <w:rPr>
          <w:lang w:val="fr-FR"/>
        </w:rPr>
        <w:t>3</w:t>
      </w:r>
      <w:r w:rsidRPr="00BF1927">
        <w:rPr>
          <w:lang w:val="fr-FR"/>
        </w:rPr>
        <w:t xml:space="preserve">). Le nombre d'Associés de l'UIT-T a augmenté de </w:t>
      </w:r>
      <w:r w:rsidR="00BB207C" w:rsidRPr="00BF1927">
        <w:rPr>
          <w:lang w:val="fr-FR"/>
        </w:rPr>
        <w:t>2,22</w:t>
      </w:r>
      <w:r w:rsidRPr="00BF1927">
        <w:rPr>
          <w:lang w:val="fr-FR"/>
        </w:rPr>
        <w:t>% entre</w:t>
      </w:r>
      <w:r w:rsidR="00CB24CF" w:rsidRPr="00BF1927">
        <w:rPr>
          <w:lang w:val="fr-FR"/>
        </w:rPr>
        <w:t> </w:t>
      </w:r>
      <w:r w:rsidRPr="00BF1927">
        <w:rPr>
          <w:lang w:val="fr-FR"/>
        </w:rPr>
        <w:t>20</w:t>
      </w:r>
      <w:r w:rsidR="00BB207C" w:rsidRPr="00BF1927">
        <w:rPr>
          <w:lang w:val="fr-FR"/>
        </w:rPr>
        <w:t>22</w:t>
      </w:r>
      <w:r w:rsidRPr="00BF1927">
        <w:rPr>
          <w:lang w:val="fr-FR"/>
        </w:rPr>
        <w:t xml:space="preserve"> et 202</w:t>
      </w:r>
      <w:r w:rsidR="00FB3D49" w:rsidRPr="00BF1927">
        <w:rPr>
          <w:lang w:val="fr-FR"/>
        </w:rPr>
        <w:t>3</w:t>
      </w:r>
      <w:r w:rsidRPr="00BF1927">
        <w:rPr>
          <w:lang w:val="fr-FR"/>
        </w:rPr>
        <w:t xml:space="preserve"> (avec </w:t>
      </w:r>
      <w:r w:rsidR="00DC2E88" w:rsidRPr="00BF1927">
        <w:rPr>
          <w:lang w:val="fr-FR"/>
        </w:rPr>
        <w:t>220</w:t>
      </w:r>
      <w:r w:rsidRPr="00BF1927">
        <w:rPr>
          <w:lang w:val="fr-FR"/>
        </w:rPr>
        <w:t xml:space="preserve"> Associés au 31 décembre 20</w:t>
      </w:r>
      <w:r w:rsidR="00FB3D49" w:rsidRPr="00BF1927">
        <w:rPr>
          <w:lang w:val="fr-FR"/>
        </w:rPr>
        <w:t>22</w:t>
      </w:r>
      <w:r w:rsidRPr="00BF1927">
        <w:rPr>
          <w:lang w:val="fr-FR"/>
        </w:rPr>
        <w:t xml:space="preserve"> contre </w:t>
      </w:r>
      <w:r w:rsidR="00DC2E88" w:rsidRPr="00BF1927">
        <w:rPr>
          <w:lang w:val="fr-FR"/>
        </w:rPr>
        <w:t>225</w:t>
      </w:r>
      <w:r w:rsidRPr="00BF1927">
        <w:rPr>
          <w:lang w:val="fr-FR"/>
        </w:rPr>
        <w:t xml:space="preserve"> au 31 décembre 202</w:t>
      </w:r>
      <w:r w:rsidR="00FB3D49" w:rsidRPr="00BF1927">
        <w:rPr>
          <w:lang w:val="fr-FR"/>
        </w:rPr>
        <w:t>3</w:t>
      </w:r>
      <w:r w:rsidRPr="00BF1927">
        <w:rPr>
          <w:lang w:val="fr-FR"/>
        </w:rPr>
        <w:t>, soit</w:t>
      </w:r>
      <w:r w:rsidR="00CB24CF" w:rsidRPr="00BF1927">
        <w:rPr>
          <w:lang w:val="fr-FR"/>
        </w:rPr>
        <w:t> 5</w:t>
      </w:r>
      <w:r w:rsidRPr="00BF1927">
        <w:rPr>
          <w:lang w:val="fr-FR"/>
        </w:rPr>
        <w:t xml:space="preserve"> Associés de plus). Le nombre d'établissements universitaires a également baissé entre 2022 et</w:t>
      </w:r>
      <w:r w:rsidR="00CB24CF" w:rsidRPr="00BF1927">
        <w:rPr>
          <w:lang w:val="fr-FR"/>
        </w:rPr>
        <w:t> </w:t>
      </w:r>
      <w:r w:rsidRPr="00BF1927">
        <w:rPr>
          <w:lang w:val="fr-FR"/>
        </w:rPr>
        <w:t>2023 (passant de 170 à 169</w:t>
      </w:r>
      <w:r w:rsidR="00CB24CF" w:rsidRPr="00BF1927">
        <w:rPr>
          <w:lang w:val="fr-FR"/>
        </w:rPr>
        <w:t xml:space="preserve"> soit 1 en moins</w:t>
      </w:r>
      <w:r w:rsidRPr="00BF1927">
        <w:rPr>
          <w:lang w:val="fr-FR"/>
        </w:rPr>
        <w:t xml:space="preserve">). Cette augmentation s'explique par l'intérêt </w:t>
      </w:r>
      <w:r w:rsidR="00CE5A78" w:rsidRPr="00BF1927">
        <w:rPr>
          <w:lang w:val="fr-FR"/>
        </w:rPr>
        <w:t>majeur</w:t>
      </w:r>
      <w:r w:rsidRPr="00BF1927">
        <w:rPr>
          <w:lang w:val="fr-FR"/>
        </w:rPr>
        <w:t xml:space="preserve"> que portent les établissements universitaires aux travaux de l'UIT-T et par le fait que, depuis </w:t>
      </w:r>
      <w:r w:rsidR="00EC5C77" w:rsidRPr="00BF1927">
        <w:rPr>
          <w:lang w:val="fr-FR"/>
        </w:rPr>
        <w:t>l'adoption, par la Conférence de plénipotentiaires de 2014, de la</w:t>
      </w:r>
      <w:r w:rsidRPr="00BF1927">
        <w:rPr>
          <w:lang w:val="fr-FR"/>
        </w:rPr>
        <w:t xml:space="preserve"> Résolution 169 relative à l'admission d'établissements universitaires à participer aux travaux des trois Secteurs</w:t>
      </w:r>
      <w:r w:rsidR="00EC5C77" w:rsidRPr="00BF1927">
        <w:rPr>
          <w:lang w:val="fr-FR"/>
        </w:rPr>
        <w:t xml:space="preserve"> (révisée à la</w:t>
      </w:r>
      <w:r w:rsidR="001E5674" w:rsidRPr="00BF1927">
        <w:rPr>
          <w:lang w:val="fr-FR"/>
        </w:rPr>
        <w:t> </w:t>
      </w:r>
      <w:r w:rsidR="00EC5C77" w:rsidRPr="00BF1927">
        <w:rPr>
          <w:lang w:val="fr-FR"/>
        </w:rPr>
        <w:t>PP-22</w:t>
      </w:r>
      <w:r w:rsidRPr="00BF1927">
        <w:rPr>
          <w:lang w:val="fr-FR"/>
        </w:rPr>
        <w:t>), les établissements universitaires sont considérés comme un seul et même groupe.</w:t>
      </w:r>
    </w:p>
    <w:p w14:paraId="305B2955" w14:textId="0968D52D" w:rsidR="00E3274D" w:rsidRPr="00BF1927" w:rsidRDefault="00E3274D" w:rsidP="001E5674">
      <w:pPr>
        <w:rPr>
          <w:lang w:val="fr-FR"/>
        </w:rPr>
      </w:pPr>
      <w:r w:rsidRPr="00BF1927">
        <w:rPr>
          <w:lang w:val="fr-FR"/>
        </w:rPr>
        <w:t>3.4</w:t>
      </w:r>
      <w:r w:rsidRPr="00BF1927">
        <w:rPr>
          <w:lang w:val="fr-FR"/>
        </w:rPr>
        <w:tab/>
        <w:t>Pendant la période 2022-2023, des recettes issues de contributions volontaires, de parrainages et de Fonds d'affectation spéciale ont été perçues à l'appui des activités du Secteur de l'UIT-T en vertu de la Résolution 34 (Rév. Genève, 2022) de l'AMNT, encourageant le financement de projets concrets, de groupes spécialisés et d'autres nouvelles initiatives, y compris les activités visant à contribuer à la réalisation des objectifs de la Résolution 44 (Rév. Genève, 2022) de l'AMNT pour réduire l'écart en matière de normalisation. Les montants reçus et dépensés sont indiqués dans le Tableau 5 pour chaque année de la période 2022-2023.</w:t>
      </w:r>
    </w:p>
    <w:p w14:paraId="344D7281" w14:textId="0A2A6392" w:rsidR="00E3274D" w:rsidRPr="00BF1927" w:rsidRDefault="00E3274D" w:rsidP="001E5674">
      <w:pPr>
        <w:pStyle w:val="Heading1"/>
        <w:rPr>
          <w:lang w:val="fr-FR"/>
        </w:rPr>
      </w:pPr>
      <w:r w:rsidRPr="00BF1927">
        <w:rPr>
          <w:lang w:val="fr-FR"/>
        </w:rPr>
        <w:t>4</w:t>
      </w:r>
      <w:r w:rsidRPr="00BF1927">
        <w:rPr>
          <w:lang w:val="fr-FR"/>
        </w:rPr>
        <w:tab/>
      </w:r>
      <w:r w:rsidR="00CB24CF" w:rsidRPr="00BF1927">
        <w:rPr>
          <w:lang w:val="fr-FR"/>
        </w:rPr>
        <w:t>Dépenses de l'UIT-T pour la période 2022-2023</w:t>
      </w:r>
    </w:p>
    <w:p w14:paraId="1A2E836D" w14:textId="78157075" w:rsidR="00E3274D" w:rsidRPr="00BF1927" w:rsidRDefault="00E3274D" w:rsidP="001E5674">
      <w:pPr>
        <w:rPr>
          <w:lang w:val="fr-FR"/>
        </w:rPr>
      </w:pPr>
      <w:r w:rsidRPr="00BF1927">
        <w:rPr>
          <w:lang w:val="fr-FR"/>
        </w:rPr>
        <w:t>4.1</w:t>
      </w:r>
      <w:r w:rsidRPr="00BF1927">
        <w:rPr>
          <w:lang w:val="fr-FR"/>
        </w:rPr>
        <w:tab/>
        <w:t xml:space="preserve">Pour </w:t>
      </w:r>
      <w:r w:rsidR="00EC5C77" w:rsidRPr="00BF1927">
        <w:rPr>
          <w:lang w:val="fr-FR"/>
        </w:rPr>
        <w:t>l</w:t>
      </w:r>
      <w:r w:rsidR="00CE5A78" w:rsidRPr="00BF1927">
        <w:rPr>
          <w:lang w:val="fr-FR"/>
        </w:rPr>
        <w:t>'exercice biennal</w:t>
      </w:r>
      <w:r w:rsidRPr="00BF1927">
        <w:rPr>
          <w:lang w:val="fr-FR"/>
        </w:rPr>
        <w:t xml:space="preserve"> </w:t>
      </w:r>
      <w:r w:rsidR="00FB3D49" w:rsidRPr="00BF1927">
        <w:rPr>
          <w:lang w:val="fr-FR"/>
        </w:rPr>
        <w:t>2022-2023</w:t>
      </w:r>
      <w:r w:rsidRPr="00BF1927">
        <w:rPr>
          <w:lang w:val="fr-FR"/>
        </w:rPr>
        <w:t>, les crédits budgétaires, les dépenses effectives et les écarts sont présentés par section dans le Tableau 6 et par catégorie de dépenses dans le Tableau 7.</w:t>
      </w:r>
    </w:p>
    <w:p w14:paraId="1E1BA51B" w14:textId="584B4706" w:rsidR="00FD7DD2" w:rsidRPr="00BF1927" w:rsidRDefault="00E3274D" w:rsidP="00D94B94">
      <w:pPr>
        <w:spacing w:before="840"/>
        <w:rPr>
          <w:lang w:val="fr-FR"/>
        </w:rPr>
      </w:pPr>
      <w:r w:rsidRPr="0088470A">
        <w:rPr>
          <w:lang w:val="fr-FR"/>
        </w:rPr>
        <w:t>Annexe 1</w:t>
      </w:r>
      <w:r w:rsidRPr="00BF1927">
        <w:rPr>
          <w:lang w:val="fr-FR"/>
        </w:rPr>
        <w:t>:</w:t>
      </w:r>
      <w:r w:rsidR="001E5674" w:rsidRPr="00BF1927">
        <w:rPr>
          <w:lang w:val="fr-FR"/>
        </w:rPr>
        <w:tab/>
      </w:r>
      <w:r w:rsidRPr="00BF1927">
        <w:rPr>
          <w:lang w:val="fr-FR"/>
        </w:rPr>
        <w:t>Tableaux 1 à 7</w:t>
      </w:r>
    </w:p>
    <w:p w14:paraId="18709FA1" w14:textId="1C162BF9" w:rsidR="001E5674" w:rsidRPr="00BF1927" w:rsidRDefault="001E567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BF1927">
        <w:rPr>
          <w:lang w:val="fr-FR"/>
        </w:rPr>
        <w:br w:type="page"/>
      </w:r>
    </w:p>
    <w:p w14:paraId="02D57E76" w14:textId="508546E7" w:rsidR="003E1298" w:rsidRDefault="00F20858" w:rsidP="00BF1927">
      <w:pPr>
        <w:pStyle w:val="AnnexNo"/>
        <w:spacing w:after="480"/>
        <w:rPr>
          <w:lang w:val="fr-FR"/>
        </w:rPr>
      </w:pPr>
      <w:r w:rsidRPr="00BF1927">
        <w:rPr>
          <w:lang w:val="fr-FR"/>
        </w:rPr>
        <w:lastRenderedPageBreak/>
        <w:t>ANNEXE 1</w:t>
      </w:r>
    </w:p>
    <w:p w14:paraId="23FDD9FF" w14:textId="12EA7DF8" w:rsidR="00F537D2" w:rsidRPr="00F537D2" w:rsidRDefault="00F537D2" w:rsidP="00F537D2">
      <w:pPr>
        <w:pStyle w:val="Figure"/>
        <w:rPr>
          <w:lang w:val="fr-FR"/>
        </w:rPr>
      </w:pPr>
      <w:r w:rsidRPr="00F537D2">
        <w:drawing>
          <wp:inline distT="0" distB="0" distL="0" distR="0" wp14:anchorId="2CDD0B92" wp14:editId="26C94861">
            <wp:extent cx="4994910" cy="23552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910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A3188" w14:textId="77777777" w:rsidR="00CE0337" w:rsidRPr="00BF1927" w:rsidRDefault="00CE0337" w:rsidP="00F537D2">
      <w:pPr>
        <w:spacing w:before="0"/>
        <w:rPr>
          <w:lang w:val="fr-FR"/>
        </w:rPr>
      </w:pPr>
      <w:bookmarkStart w:id="0" w:name="_Hlk177731961"/>
    </w:p>
    <w:p w14:paraId="1E3493AE" w14:textId="128545E7" w:rsidR="00FE0A57" w:rsidRPr="00BF1927" w:rsidRDefault="00BF1927" w:rsidP="00F537D2">
      <w:pPr>
        <w:pStyle w:val="Figure"/>
        <w:rPr>
          <w:lang w:val="fr-FR"/>
        </w:rPr>
      </w:pPr>
      <w:r w:rsidRPr="00F537D2">
        <w:drawing>
          <wp:inline distT="0" distB="0" distL="0" distR="0" wp14:anchorId="6ED08897" wp14:editId="44C9F33D">
            <wp:extent cx="3175000" cy="2374900"/>
            <wp:effectExtent l="0" t="0" r="6350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864CC" w14:textId="77777777" w:rsidR="00CE0337" w:rsidRPr="00BF1927" w:rsidRDefault="00CE0337" w:rsidP="00F537D2">
      <w:pPr>
        <w:spacing w:before="0"/>
        <w:rPr>
          <w:lang w:val="fr-FR"/>
        </w:rPr>
      </w:pPr>
    </w:p>
    <w:p w14:paraId="7079004F" w14:textId="373E50F6" w:rsidR="00FE0A57" w:rsidRPr="00BF1927" w:rsidRDefault="00BF1927" w:rsidP="00F537D2">
      <w:pPr>
        <w:pStyle w:val="Figure"/>
        <w:rPr>
          <w:lang w:val="fr-FR"/>
        </w:rPr>
      </w:pPr>
      <w:r w:rsidRPr="00F537D2">
        <w:drawing>
          <wp:inline distT="0" distB="0" distL="0" distR="0" wp14:anchorId="4433C3E9" wp14:editId="64A8B540">
            <wp:extent cx="3371850" cy="16573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6FB58" w14:textId="77777777" w:rsidR="00CE0337" w:rsidRPr="00BF1927" w:rsidRDefault="00CE0337" w:rsidP="00F537D2">
      <w:pPr>
        <w:spacing w:before="0"/>
        <w:rPr>
          <w:lang w:val="fr-FR"/>
        </w:rPr>
      </w:pPr>
    </w:p>
    <w:p w14:paraId="0DD47852" w14:textId="4DB11430" w:rsidR="00CE0337" w:rsidRPr="00BF1927" w:rsidRDefault="00BF1927" w:rsidP="00F537D2">
      <w:pPr>
        <w:pStyle w:val="Figure"/>
        <w:keepNext w:val="0"/>
        <w:keepLines w:val="0"/>
        <w:widowControl w:val="0"/>
        <w:rPr>
          <w:lang w:val="fr-FR"/>
        </w:rPr>
      </w:pPr>
      <w:r w:rsidRPr="00F537D2">
        <w:drawing>
          <wp:inline distT="0" distB="0" distL="0" distR="0" wp14:anchorId="76AE2AA8" wp14:editId="33909BAD">
            <wp:extent cx="3308350" cy="1460500"/>
            <wp:effectExtent l="0" t="0" r="6350" b="63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A795C" w14:textId="77777777" w:rsidR="00CE0337" w:rsidRPr="00BF1927" w:rsidRDefault="00CE0337" w:rsidP="00F537D2">
      <w:pPr>
        <w:rPr>
          <w:lang w:val="fr-FR"/>
        </w:rPr>
      </w:pPr>
    </w:p>
    <w:p w14:paraId="031C6355" w14:textId="208B93AF" w:rsidR="00FE0A57" w:rsidRDefault="00CE0337" w:rsidP="00F537D2">
      <w:pPr>
        <w:pStyle w:val="Figure"/>
        <w:rPr>
          <w:lang w:val="fr-FR"/>
        </w:rPr>
      </w:pPr>
      <w:r w:rsidRPr="00F537D2">
        <w:drawing>
          <wp:inline distT="0" distB="0" distL="0" distR="0" wp14:anchorId="2A2256E0" wp14:editId="104F0526">
            <wp:extent cx="3343275" cy="18288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D5AF2" w14:textId="77777777" w:rsidR="00F537D2" w:rsidRPr="00F537D2" w:rsidRDefault="00F537D2" w:rsidP="00F537D2">
      <w:pPr>
        <w:rPr>
          <w:lang w:val="fr-FR"/>
        </w:rPr>
      </w:pPr>
    </w:p>
    <w:p w14:paraId="1A2ED53A" w14:textId="0A8E4545" w:rsidR="00FE0A57" w:rsidRPr="00BF1927" w:rsidRDefault="00CD60FB" w:rsidP="00F537D2">
      <w:pPr>
        <w:pStyle w:val="Figure"/>
        <w:rPr>
          <w:lang w:val="fr-FR"/>
        </w:rPr>
      </w:pPr>
      <w:r w:rsidRPr="00F537D2">
        <w:drawing>
          <wp:inline distT="0" distB="0" distL="0" distR="0" wp14:anchorId="1DC3B141" wp14:editId="054ED546">
            <wp:extent cx="6120765" cy="227076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18C0A" w14:textId="4E26541E" w:rsidR="00CE0337" w:rsidRPr="00BF1927" w:rsidRDefault="00CE0337" w:rsidP="00F537D2">
      <w:pPr>
        <w:rPr>
          <w:lang w:val="fr-FR"/>
        </w:rPr>
      </w:pPr>
    </w:p>
    <w:p w14:paraId="2F75DFBC" w14:textId="4217C2DA" w:rsidR="00CE0337" w:rsidRPr="00BF1927" w:rsidRDefault="00397C61" w:rsidP="00F537D2">
      <w:pPr>
        <w:pStyle w:val="Figure"/>
        <w:rPr>
          <w:lang w:val="fr-FR"/>
        </w:rPr>
      </w:pPr>
      <w:r w:rsidRPr="00F537D2">
        <w:drawing>
          <wp:inline distT="0" distB="0" distL="0" distR="0" wp14:anchorId="32D867FF" wp14:editId="2A0B886B">
            <wp:extent cx="6120765" cy="2773680"/>
            <wp:effectExtent l="0" t="0" r="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7A5DCAB" w14:textId="5A597070" w:rsidR="00931298" w:rsidRPr="00BF1927" w:rsidRDefault="001F3600" w:rsidP="001E5674">
      <w:pPr>
        <w:spacing w:after="240"/>
        <w:jc w:val="center"/>
        <w:rPr>
          <w:lang w:val="fr-FR"/>
        </w:rPr>
      </w:pPr>
      <w:r w:rsidRPr="00BF1927">
        <w:rPr>
          <w:lang w:val="fr-FR"/>
        </w:rPr>
        <w:t>______________</w:t>
      </w:r>
    </w:p>
    <w:sectPr w:rsidR="00931298" w:rsidRPr="00BF1927" w:rsidSect="0078609B">
      <w:headerReference w:type="default" r:id="rId20"/>
      <w:footerReference w:type="even" r:id="rId21"/>
      <w:pgSz w:w="11907" w:h="16840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1546C" w14:textId="77777777" w:rsidR="00D449A9" w:rsidRDefault="00D449A9">
      <w:r>
        <w:separator/>
      </w:r>
    </w:p>
  </w:endnote>
  <w:endnote w:type="continuationSeparator" w:id="0">
    <w:p w14:paraId="53AE09DB" w14:textId="77777777" w:rsidR="00D449A9" w:rsidRDefault="00D449A9">
      <w:r>
        <w:continuationSeparator/>
      </w:r>
    </w:p>
  </w:endnote>
  <w:endnote w:type="continuationNotice" w:id="1">
    <w:p w14:paraId="282318F4" w14:textId="77777777" w:rsidR="00D449A9" w:rsidRDefault="00D449A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0C25A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7DCD5EE" w14:textId="57983DFE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537D2">
      <w:rPr>
        <w:noProof/>
      </w:rPr>
      <w:t>25.09.24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AB7C0" w14:textId="77777777" w:rsidR="00D449A9" w:rsidRDefault="00D449A9">
      <w:r>
        <w:rPr>
          <w:b/>
        </w:rPr>
        <w:t>_______________</w:t>
      </w:r>
    </w:p>
  </w:footnote>
  <w:footnote w:type="continuationSeparator" w:id="0">
    <w:p w14:paraId="66984B10" w14:textId="77777777" w:rsidR="00D449A9" w:rsidRDefault="00D449A9">
      <w:r>
        <w:continuationSeparator/>
      </w:r>
    </w:p>
  </w:footnote>
  <w:footnote w:type="continuationNotice" w:id="1">
    <w:p w14:paraId="2ABB5C20" w14:textId="77777777" w:rsidR="00D449A9" w:rsidRDefault="00D449A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5808B" w14:textId="77777777" w:rsidR="00A52D1A" w:rsidRDefault="00A52D1A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13E150A8" w14:textId="7A0348E8" w:rsidR="00A52D1A" w:rsidRPr="00A52D1A" w:rsidRDefault="00FE0A57" w:rsidP="00A52D1A">
    <w:pPr>
      <w:pStyle w:val="Header"/>
    </w:pPr>
    <w:r w:rsidRPr="00FE0A57">
      <w:rPr>
        <w:noProof/>
      </w:rPr>
      <w:t>WTSA-24/</w:t>
    </w:r>
    <w:r>
      <w:rPr>
        <w:noProof/>
      </w:rPr>
      <w:t>30</w:t>
    </w:r>
    <w:r w:rsidRPr="00FE0A57">
      <w:rPr>
        <w:noProof/>
      </w:rPr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61165E46"/>
    <w:multiLevelType w:val="hybridMultilevel"/>
    <w:tmpl w:val="D4E61906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410733690">
    <w:abstractNumId w:val="8"/>
  </w:num>
  <w:num w:numId="2" w16cid:durableId="183398080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993490953">
    <w:abstractNumId w:val="9"/>
  </w:num>
  <w:num w:numId="4" w16cid:durableId="502672822">
    <w:abstractNumId w:val="7"/>
  </w:num>
  <w:num w:numId="5" w16cid:durableId="649557218">
    <w:abstractNumId w:val="6"/>
  </w:num>
  <w:num w:numId="6" w16cid:durableId="41444328">
    <w:abstractNumId w:val="5"/>
  </w:num>
  <w:num w:numId="7" w16cid:durableId="257635785">
    <w:abstractNumId w:val="4"/>
  </w:num>
  <w:num w:numId="8" w16cid:durableId="1120077664">
    <w:abstractNumId w:val="3"/>
  </w:num>
  <w:num w:numId="9" w16cid:durableId="147748510">
    <w:abstractNumId w:val="2"/>
  </w:num>
  <w:num w:numId="10" w16cid:durableId="2007393657">
    <w:abstractNumId w:val="1"/>
  </w:num>
  <w:num w:numId="11" w16cid:durableId="2015645898">
    <w:abstractNumId w:val="0"/>
  </w:num>
  <w:num w:numId="12" w16cid:durableId="817921967">
    <w:abstractNumId w:val="12"/>
  </w:num>
  <w:num w:numId="13" w16cid:durableId="1108282572">
    <w:abstractNumId w:val="11"/>
  </w:num>
  <w:num w:numId="14" w16cid:durableId="1744210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0C3"/>
    <w:rsid w:val="0006471F"/>
    <w:rsid w:val="0007070E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208F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5674"/>
    <w:rsid w:val="001E6F73"/>
    <w:rsid w:val="001F3600"/>
    <w:rsid w:val="002009EA"/>
    <w:rsid w:val="00202CA0"/>
    <w:rsid w:val="00216B6D"/>
    <w:rsid w:val="00227105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31F4"/>
    <w:rsid w:val="00293F9A"/>
    <w:rsid w:val="002957A7"/>
    <w:rsid w:val="002A0BC9"/>
    <w:rsid w:val="002A1D23"/>
    <w:rsid w:val="002A5392"/>
    <w:rsid w:val="002B100E"/>
    <w:rsid w:val="002C4DC4"/>
    <w:rsid w:val="002C6531"/>
    <w:rsid w:val="002D151C"/>
    <w:rsid w:val="002D58BE"/>
    <w:rsid w:val="002E3AEE"/>
    <w:rsid w:val="002E561F"/>
    <w:rsid w:val="002F2D0C"/>
    <w:rsid w:val="00316B80"/>
    <w:rsid w:val="003251EA"/>
    <w:rsid w:val="00336B4E"/>
    <w:rsid w:val="0034635C"/>
    <w:rsid w:val="00377BD3"/>
    <w:rsid w:val="00384088"/>
    <w:rsid w:val="003879F0"/>
    <w:rsid w:val="0039169B"/>
    <w:rsid w:val="00394470"/>
    <w:rsid w:val="00397C61"/>
    <w:rsid w:val="003A7F8C"/>
    <w:rsid w:val="003B09A1"/>
    <w:rsid w:val="003B532E"/>
    <w:rsid w:val="003C30E1"/>
    <w:rsid w:val="003C33B7"/>
    <w:rsid w:val="003D0F8B"/>
    <w:rsid w:val="003E1298"/>
    <w:rsid w:val="003F020A"/>
    <w:rsid w:val="0041348E"/>
    <w:rsid w:val="004142ED"/>
    <w:rsid w:val="00420EDB"/>
    <w:rsid w:val="004373CA"/>
    <w:rsid w:val="004420C9"/>
    <w:rsid w:val="00443CCE"/>
    <w:rsid w:val="00462D00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23AF7"/>
    <w:rsid w:val="0055140B"/>
    <w:rsid w:val="00553247"/>
    <w:rsid w:val="0056747D"/>
    <w:rsid w:val="00581B01"/>
    <w:rsid w:val="00587F8C"/>
    <w:rsid w:val="00595780"/>
    <w:rsid w:val="005964AB"/>
    <w:rsid w:val="005A1A6A"/>
    <w:rsid w:val="005C099A"/>
    <w:rsid w:val="005C31A5"/>
    <w:rsid w:val="005D5F1F"/>
    <w:rsid w:val="005E10C9"/>
    <w:rsid w:val="005E61DD"/>
    <w:rsid w:val="006023DF"/>
    <w:rsid w:val="00602F64"/>
    <w:rsid w:val="0061005A"/>
    <w:rsid w:val="00622829"/>
    <w:rsid w:val="00623F15"/>
    <w:rsid w:val="006256C0"/>
    <w:rsid w:val="00643684"/>
    <w:rsid w:val="006468EB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8B3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4206"/>
    <w:rsid w:val="00785E1D"/>
    <w:rsid w:val="0078609B"/>
    <w:rsid w:val="00790D70"/>
    <w:rsid w:val="00797C4B"/>
    <w:rsid w:val="007C60C2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64CD2"/>
    <w:rsid w:val="00872FC8"/>
    <w:rsid w:val="00874789"/>
    <w:rsid w:val="008777B8"/>
    <w:rsid w:val="008845D0"/>
    <w:rsid w:val="0088470A"/>
    <w:rsid w:val="008A186A"/>
    <w:rsid w:val="008B1AEA"/>
    <w:rsid w:val="008B2FB7"/>
    <w:rsid w:val="008B43F2"/>
    <w:rsid w:val="008B6CFF"/>
    <w:rsid w:val="008E2A7A"/>
    <w:rsid w:val="008E4BBE"/>
    <w:rsid w:val="008E67E5"/>
    <w:rsid w:val="008F08A1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5D7"/>
    <w:rsid w:val="00B529AD"/>
    <w:rsid w:val="00B6324B"/>
    <w:rsid w:val="00B639E9"/>
    <w:rsid w:val="00B66385"/>
    <w:rsid w:val="00B66C2B"/>
    <w:rsid w:val="00B817CD"/>
    <w:rsid w:val="00B94AD0"/>
    <w:rsid w:val="00BA5265"/>
    <w:rsid w:val="00BB207C"/>
    <w:rsid w:val="00BB3A95"/>
    <w:rsid w:val="00BB6222"/>
    <w:rsid w:val="00BC2FB6"/>
    <w:rsid w:val="00BC7D84"/>
    <w:rsid w:val="00BD3E8F"/>
    <w:rsid w:val="00BF1927"/>
    <w:rsid w:val="00BF490E"/>
    <w:rsid w:val="00C0018F"/>
    <w:rsid w:val="00C0539A"/>
    <w:rsid w:val="00C120F4"/>
    <w:rsid w:val="00C16A5A"/>
    <w:rsid w:val="00C20466"/>
    <w:rsid w:val="00C20FF7"/>
    <w:rsid w:val="00C214ED"/>
    <w:rsid w:val="00C234E6"/>
    <w:rsid w:val="00C30155"/>
    <w:rsid w:val="00C324A8"/>
    <w:rsid w:val="00C34489"/>
    <w:rsid w:val="00C479FD"/>
    <w:rsid w:val="00C50EF4"/>
    <w:rsid w:val="00C54517"/>
    <w:rsid w:val="00C64CD8"/>
    <w:rsid w:val="00C701BF"/>
    <w:rsid w:val="00C71124"/>
    <w:rsid w:val="00C72D5C"/>
    <w:rsid w:val="00C77E1A"/>
    <w:rsid w:val="00C97C68"/>
    <w:rsid w:val="00CA1A47"/>
    <w:rsid w:val="00CB24CF"/>
    <w:rsid w:val="00CC247A"/>
    <w:rsid w:val="00CC54BA"/>
    <w:rsid w:val="00CD60FB"/>
    <w:rsid w:val="00CD70EF"/>
    <w:rsid w:val="00CD7CC4"/>
    <w:rsid w:val="00CE0337"/>
    <w:rsid w:val="00CE388F"/>
    <w:rsid w:val="00CE5A78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449A9"/>
    <w:rsid w:val="00D54009"/>
    <w:rsid w:val="00D5651D"/>
    <w:rsid w:val="00D57A34"/>
    <w:rsid w:val="00D643B3"/>
    <w:rsid w:val="00D74898"/>
    <w:rsid w:val="00D801ED"/>
    <w:rsid w:val="00D936BC"/>
    <w:rsid w:val="00D94B94"/>
    <w:rsid w:val="00D96530"/>
    <w:rsid w:val="00DA7E2F"/>
    <w:rsid w:val="00DC2E88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274D"/>
    <w:rsid w:val="00E45D05"/>
    <w:rsid w:val="00E55816"/>
    <w:rsid w:val="00E55AEF"/>
    <w:rsid w:val="00E6117A"/>
    <w:rsid w:val="00E765C9"/>
    <w:rsid w:val="00E82677"/>
    <w:rsid w:val="00E870AC"/>
    <w:rsid w:val="00E94DBA"/>
    <w:rsid w:val="00E976C1"/>
    <w:rsid w:val="00EA12E5"/>
    <w:rsid w:val="00EB55C6"/>
    <w:rsid w:val="00EC5C77"/>
    <w:rsid w:val="00EC7F04"/>
    <w:rsid w:val="00ED30BC"/>
    <w:rsid w:val="00F00DDC"/>
    <w:rsid w:val="00F01223"/>
    <w:rsid w:val="00F02766"/>
    <w:rsid w:val="00F05BD4"/>
    <w:rsid w:val="00F20858"/>
    <w:rsid w:val="00F2404A"/>
    <w:rsid w:val="00F3630D"/>
    <w:rsid w:val="00F4677D"/>
    <w:rsid w:val="00F528B4"/>
    <w:rsid w:val="00F537D2"/>
    <w:rsid w:val="00F60D05"/>
    <w:rsid w:val="00F6155B"/>
    <w:rsid w:val="00F65C19"/>
    <w:rsid w:val="00F7356B"/>
    <w:rsid w:val="00F80977"/>
    <w:rsid w:val="00F83F75"/>
    <w:rsid w:val="00F972D2"/>
    <w:rsid w:val="00FB3D49"/>
    <w:rsid w:val="00FC1DB9"/>
    <w:rsid w:val="00FD2546"/>
    <w:rsid w:val="00FD772E"/>
    <w:rsid w:val="00FD7DD2"/>
    <w:rsid w:val="00FE0144"/>
    <w:rsid w:val="00FE0A57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5C0BF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emf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00D931-8FF7-4E37-8670-BDDDE7305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AFDA2B-2506-42EE-9BAC-855001F4ABB4}">
  <ds:schemaRefs>
    <ds:schemaRef ds:uri="http://purl.org/dc/elements/1.1/"/>
    <ds:schemaRef ds:uri="990eeaed-7a61-4f76-b7b0-4bef4f5f64c0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2e1102ab-a52d-496e-9b5b-8442a937392e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688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WTSA-24 Document Template (French)</vt:lpstr>
    </vt:vector>
  </TitlesOfParts>
  <Manager>General Secretariat - Pool</Manager>
  <Company>International Telecommunication Union (ITU)</Company>
  <LinksUpToDate>false</LinksUpToDate>
  <CharactersWithSpaces>4436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WTSA-24 Document Template (French)</dc:title>
  <dc:subject>World Telecommunication Standardization Assembly</dc:subject>
  <dc:creator>Simão Campos-Neto</dc:creator>
  <cp:keywords>Template v2024.01.30 (draft)</cp:keywords>
  <dc:description>Template used by DPM and CPI for the WTSA-24</dc:description>
  <cp:lastModifiedBy>French</cp:lastModifiedBy>
  <cp:revision>7</cp:revision>
  <cp:lastPrinted>2016-06-06T07:49:00Z</cp:lastPrinted>
  <dcterms:created xsi:type="dcterms:W3CDTF">2024-09-25T11:10:00Z</dcterms:created>
  <dcterms:modified xsi:type="dcterms:W3CDTF">2024-09-25T12:00:00Z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