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1523"/>
        <w:gridCol w:w="703"/>
        <w:gridCol w:w="1286"/>
      </w:tblGrid>
      <w:tr w:rsidR="00A44736" w:rsidRPr="00C57224" w14:paraId="4028B182" w14:textId="77777777" w:rsidTr="00A44736">
        <w:trPr>
          <w:cantSplit/>
          <w:trHeight w:val="1132"/>
        </w:trPr>
        <w:tc>
          <w:tcPr>
            <w:tcW w:w="1270" w:type="dxa"/>
            <w:vAlign w:val="center"/>
          </w:tcPr>
          <w:p w14:paraId="6B234E42" w14:textId="77777777" w:rsidR="00A44736" w:rsidRPr="00C57224" w:rsidRDefault="00A44736" w:rsidP="002718BA">
            <w:pPr>
              <w:spacing w:before="0"/>
            </w:pPr>
            <w:bookmarkStart w:id="0" w:name="_Toc480527885"/>
            <w:bookmarkStart w:id="1" w:name="_Toc27414121"/>
            <w:bookmarkStart w:id="2" w:name="_Toc261186391"/>
            <w:r w:rsidRPr="00C57224">
              <w:rPr>
                <w:noProof/>
              </w:rPr>
              <w:drawing>
                <wp:inline distT="0" distB="0" distL="0" distR="0" wp14:anchorId="57ACAD07" wp14:editId="3A5648C6">
                  <wp:extent cx="681990" cy="681990"/>
                  <wp:effectExtent l="0" t="0" r="0" b="0"/>
                  <wp:docPr id="1345416214"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16214" name="Picture 1" descr="A logo of a flag&#10;&#10;Description automatically generated"/>
                          <pic:cNvPicPr/>
                        </pic:nvPicPr>
                        <pic:blipFill>
                          <a:blip r:embed="rId11"/>
                          <a:stretch>
                            <a:fillRect/>
                          </a:stretch>
                        </pic:blipFill>
                        <pic:spPr>
                          <a:xfrm>
                            <a:off x="0" y="0"/>
                            <a:ext cx="681990" cy="681990"/>
                          </a:xfrm>
                          <a:prstGeom prst="rect">
                            <a:avLst/>
                          </a:prstGeom>
                        </pic:spPr>
                      </pic:pic>
                    </a:graphicData>
                  </a:graphic>
                </wp:inline>
              </w:drawing>
            </w:r>
          </w:p>
        </w:tc>
        <w:tc>
          <w:tcPr>
            <w:tcW w:w="7083" w:type="dxa"/>
            <w:gridSpan w:val="3"/>
            <w:vAlign w:val="center"/>
          </w:tcPr>
          <w:p w14:paraId="447E268C" w14:textId="77777777" w:rsidR="00A44736" w:rsidRPr="00C57224" w:rsidRDefault="00A44736" w:rsidP="002718BA">
            <w:pPr>
              <w:pStyle w:val="TopHeader"/>
            </w:pPr>
            <w:r w:rsidRPr="00C57224">
              <w:t>World Telecommunication Standardization Assembly (WTSA-24)</w:t>
            </w:r>
            <w:r w:rsidRPr="00C57224">
              <w:br/>
            </w:r>
            <w:r w:rsidRPr="00C57224">
              <w:rPr>
                <w:sz w:val="18"/>
                <w:szCs w:val="18"/>
              </w:rPr>
              <w:t>New Delhi, 15–24 October 2024</w:t>
            </w:r>
          </w:p>
        </w:tc>
        <w:tc>
          <w:tcPr>
            <w:tcW w:w="1286" w:type="dxa"/>
            <w:tcBorders>
              <w:left w:val="nil"/>
            </w:tcBorders>
            <w:vAlign w:val="center"/>
          </w:tcPr>
          <w:p w14:paraId="3699AA58" w14:textId="77777777" w:rsidR="00A44736" w:rsidRPr="00C57224" w:rsidRDefault="00A44736" w:rsidP="002718BA">
            <w:pPr>
              <w:spacing w:before="0"/>
            </w:pPr>
            <w:r w:rsidRPr="00C57224">
              <w:rPr>
                <w:noProof/>
                <w:lang w:eastAsia="zh-CN"/>
              </w:rPr>
              <w:drawing>
                <wp:inline distT="0" distB="0" distL="0" distR="0" wp14:anchorId="68E5D2BD" wp14:editId="0AAD4D0B">
                  <wp:extent cx="669848" cy="706755"/>
                  <wp:effectExtent l="0" t="0" r="0" b="0"/>
                  <wp:docPr id="1492920270" name="Picture 1492920270" descr="A blue logo with a globe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0270" name="Picture 1492920270" descr="A blue logo with a globe and lightning bol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A44736" w:rsidRPr="00C57224" w14:paraId="3C3A35C7" w14:textId="77777777" w:rsidTr="00A44736">
        <w:trPr>
          <w:cantSplit/>
        </w:trPr>
        <w:tc>
          <w:tcPr>
            <w:tcW w:w="9639" w:type="dxa"/>
            <w:gridSpan w:val="5"/>
            <w:tcBorders>
              <w:bottom w:val="single" w:sz="12" w:space="0" w:color="auto"/>
            </w:tcBorders>
          </w:tcPr>
          <w:p w14:paraId="742EA343" w14:textId="77777777" w:rsidR="00A44736" w:rsidRPr="00C57224" w:rsidRDefault="00A44736" w:rsidP="002718BA">
            <w:pPr>
              <w:spacing w:before="0"/>
            </w:pPr>
          </w:p>
        </w:tc>
      </w:tr>
      <w:tr w:rsidR="00A44736" w:rsidRPr="00C57224" w14:paraId="66D5BF43" w14:textId="77777777" w:rsidTr="00A44736">
        <w:trPr>
          <w:cantSplit/>
        </w:trPr>
        <w:tc>
          <w:tcPr>
            <w:tcW w:w="6127" w:type="dxa"/>
            <w:gridSpan w:val="2"/>
            <w:tcBorders>
              <w:top w:val="single" w:sz="12" w:space="0" w:color="auto"/>
            </w:tcBorders>
          </w:tcPr>
          <w:p w14:paraId="202DF7A0" w14:textId="77777777" w:rsidR="00A44736" w:rsidRPr="00C57224" w:rsidRDefault="00A44736" w:rsidP="002718BA">
            <w:pPr>
              <w:spacing w:before="0"/>
              <w:rPr>
                <w:sz w:val="20"/>
              </w:rPr>
            </w:pPr>
          </w:p>
        </w:tc>
        <w:tc>
          <w:tcPr>
            <w:tcW w:w="3512" w:type="dxa"/>
            <w:gridSpan w:val="3"/>
          </w:tcPr>
          <w:p w14:paraId="1E8170EC" w14:textId="77777777" w:rsidR="00A44736" w:rsidRPr="00C57224" w:rsidRDefault="00A44736" w:rsidP="002718BA">
            <w:pPr>
              <w:spacing w:before="0"/>
              <w:rPr>
                <w:sz w:val="20"/>
              </w:rPr>
            </w:pPr>
          </w:p>
        </w:tc>
      </w:tr>
      <w:tr w:rsidR="00461B8B" w:rsidRPr="00C57224" w14:paraId="490E0C62" w14:textId="77777777" w:rsidTr="00B6020A">
        <w:trPr>
          <w:cantSplit/>
        </w:trPr>
        <w:tc>
          <w:tcPr>
            <w:tcW w:w="6127" w:type="dxa"/>
            <w:gridSpan w:val="2"/>
          </w:tcPr>
          <w:p w14:paraId="311749A7" w14:textId="63A8F4F5" w:rsidR="00461B8B" w:rsidRPr="00C57224" w:rsidRDefault="00461B8B" w:rsidP="002718BA">
            <w:pPr>
              <w:pStyle w:val="Committee"/>
            </w:pPr>
            <w:r w:rsidRPr="00C57224">
              <w:rPr>
                <w:rFonts w:eastAsia="Times New Roman" w:cs="Calibri"/>
              </w:rPr>
              <w:t>PLENARY MEETING</w:t>
            </w:r>
          </w:p>
        </w:tc>
        <w:tc>
          <w:tcPr>
            <w:tcW w:w="1523" w:type="dxa"/>
          </w:tcPr>
          <w:p w14:paraId="25396535" w14:textId="6BFC7889" w:rsidR="00461B8B" w:rsidRPr="00C57224" w:rsidRDefault="00461B8B" w:rsidP="00B6020A">
            <w:pPr>
              <w:pStyle w:val="Docnumber"/>
              <w:jc w:val="left"/>
              <w:rPr>
                <w:sz w:val="20"/>
                <w:szCs w:val="20"/>
              </w:rPr>
            </w:pPr>
            <w:r w:rsidRPr="00C57224">
              <w:rPr>
                <w:rFonts w:ascii="Verdana" w:eastAsia="Times New Roman" w:hAnsi="Verdana" w:cs="Times New Roman Bold"/>
                <w:bCs/>
                <w:sz w:val="20"/>
                <w:szCs w:val="20"/>
                <w:lang w:eastAsia="en-US"/>
              </w:rPr>
              <w:t>Document</w:t>
            </w:r>
          </w:p>
        </w:tc>
        <w:tc>
          <w:tcPr>
            <w:tcW w:w="1989" w:type="dxa"/>
            <w:gridSpan w:val="2"/>
          </w:tcPr>
          <w:p w14:paraId="65715D1D" w14:textId="60DBD162" w:rsidR="00461B8B" w:rsidRPr="00C57224" w:rsidRDefault="00461B8B" w:rsidP="00B6020A">
            <w:pPr>
              <w:pStyle w:val="Docnumber"/>
              <w:jc w:val="left"/>
              <w:rPr>
                <w:sz w:val="20"/>
                <w:szCs w:val="20"/>
              </w:rPr>
            </w:pPr>
            <w:r w:rsidRPr="00C57224">
              <w:rPr>
                <w:rFonts w:ascii="Verdana" w:eastAsia="Times New Roman" w:hAnsi="Verdana" w:cs="Times New Roman Bold"/>
                <w:bCs/>
                <w:sz w:val="20"/>
                <w:szCs w:val="20"/>
                <w:lang w:eastAsia="en-US"/>
              </w:rPr>
              <w:t>29-E</w:t>
            </w:r>
          </w:p>
        </w:tc>
      </w:tr>
      <w:tr w:rsidR="00A44736" w:rsidRPr="00C57224" w14:paraId="4CA14281" w14:textId="77777777" w:rsidTr="00A44736">
        <w:trPr>
          <w:cantSplit/>
        </w:trPr>
        <w:tc>
          <w:tcPr>
            <w:tcW w:w="6127" w:type="dxa"/>
            <w:gridSpan w:val="2"/>
          </w:tcPr>
          <w:p w14:paraId="3AFDE631" w14:textId="77777777" w:rsidR="00A44736" w:rsidRPr="00C57224" w:rsidRDefault="00A44736" w:rsidP="00A44736">
            <w:pPr>
              <w:spacing w:before="0"/>
              <w:rPr>
                <w:sz w:val="20"/>
              </w:rPr>
            </w:pPr>
          </w:p>
        </w:tc>
        <w:tc>
          <w:tcPr>
            <w:tcW w:w="3512" w:type="dxa"/>
            <w:gridSpan w:val="3"/>
          </w:tcPr>
          <w:p w14:paraId="3974B06E" w14:textId="336511CE" w:rsidR="00A44736" w:rsidRPr="00C57224" w:rsidRDefault="00A44736" w:rsidP="00B6020A">
            <w:pPr>
              <w:pStyle w:val="TopHeader"/>
              <w:spacing w:before="0"/>
              <w:rPr>
                <w:sz w:val="20"/>
                <w:szCs w:val="20"/>
              </w:rPr>
            </w:pPr>
            <w:r w:rsidRPr="00C57224">
              <w:rPr>
                <w:rFonts w:eastAsia="Times New Roman"/>
                <w:sz w:val="20"/>
              </w:rPr>
              <w:t>September 2024</w:t>
            </w:r>
          </w:p>
        </w:tc>
      </w:tr>
      <w:tr w:rsidR="00A44736" w:rsidRPr="00C57224" w14:paraId="66B4F7AE" w14:textId="77777777" w:rsidTr="00A44736">
        <w:trPr>
          <w:cantSplit/>
        </w:trPr>
        <w:tc>
          <w:tcPr>
            <w:tcW w:w="6127" w:type="dxa"/>
            <w:gridSpan w:val="2"/>
          </w:tcPr>
          <w:p w14:paraId="618120D5" w14:textId="77777777" w:rsidR="00A44736" w:rsidRPr="00C57224" w:rsidRDefault="00A44736" w:rsidP="00A44736">
            <w:pPr>
              <w:spacing w:before="0"/>
              <w:rPr>
                <w:sz w:val="20"/>
              </w:rPr>
            </w:pPr>
          </w:p>
        </w:tc>
        <w:tc>
          <w:tcPr>
            <w:tcW w:w="3512" w:type="dxa"/>
            <w:gridSpan w:val="3"/>
          </w:tcPr>
          <w:p w14:paraId="31D580A5" w14:textId="1D48BAA5" w:rsidR="00A44736" w:rsidRPr="00C57224" w:rsidRDefault="00A44736" w:rsidP="00B6020A">
            <w:pPr>
              <w:pStyle w:val="TopHeader"/>
              <w:spacing w:before="0"/>
              <w:rPr>
                <w:sz w:val="20"/>
                <w:szCs w:val="20"/>
              </w:rPr>
            </w:pPr>
            <w:r w:rsidRPr="00C57224">
              <w:rPr>
                <w:rFonts w:eastAsia="Times New Roman"/>
                <w:sz w:val="20"/>
              </w:rPr>
              <w:t>Original: English</w:t>
            </w:r>
          </w:p>
        </w:tc>
      </w:tr>
      <w:tr w:rsidR="00A44736" w:rsidRPr="00C57224" w14:paraId="4AAE9FE8" w14:textId="77777777" w:rsidTr="00A44736">
        <w:trPr>
          <w:cantSplit/>
        </w:trPr>
        <w:tc>
          <w:tcPr>
            <w:tcW w:w="9639" w:type="dxa"/>
            <w:gridSpan w:val="5"/>
          </w:tcPr>
          <w:p w14:paraId="478EC1D3" w14:textId="77777777" w:rsidR="00A44736" w:rsidRPr="00C57224" w:rsidRDefault="00A44736" w:rsidP="00A44736">
            <w:pPr>
              <w:spacing w:before="0"/>
              <w:rPr>
                <w:sz w:val="20"/>
              </w:rPr>
            </w:pPr>
          </w:p>
        </w:tc>
      </w:tr>
      <w:tr w:rsidR="00A44736" w:rsidRPr="00C57224" w14:paraId="3C83719B" w14:textId="77777777" w:rsidTr="00A44736">
        <w:trPr>
          <w:cantSplit/>
        </w:trPr>
        <w:tc>
          <w:tcPr>
            <w:tcW w:w="9639" w:type="dxa"/>
            <w:gridSpan w:val="5"/>
          </w:tcPr>
          <w:p w14:paraId="28396279" w14:textId="5C558F9A" w:rsidR="00A44736" w:rsidRPr="00C57224" w:rsidRDefault="00A44736" w:rsidP="00A44736">
            <w:pPr>
              <w:pStyle w:val="Source"/>
            </w:pPr>
            <w:r w:rsidRPr="00C57224">
              <w:rPr>
                <w:lang w:eastAsia="en-US"/>
              </w:rPr>
              <w:t>Director of TSB</w:t>
            </w:r>
          </w:p>
        </w:tc>
      </w:tr>
      <w:tr w:rsidR="00A44736" w:rsidRPr="00C57224" w14:paraId="2F16FCDB" w14:textId="77777777" w:rsidTr="00A44736">
        <w:trPr>
          <w:cantSplit/>
        </w:trPr>
        <w:tc>
          <w:tcPr>
            <w:tcW w:w="9639" w:type="dxa"/>
            <w:gridSpan w:val="5"/>
          </w:tcPr>
          <w:p w14:paraId="19AA2340" w14:textId="69F999FF" w:rsidR="00A44736" w:rsidRPr="00C57224" w:rsidRDefault="00A44736" w:rsidP="00A44736">
            <w:pPr>
              <w:pStyle w:val="Title1"/>
            </w:pPr>
            <w:r w:rsidRPr="00C57224">
              <w:rPr>
                <w:rFonts w:eastAsia="Times New Roman"/>
                <w:szCs w:val="28"/>
                <w:lang w:eastAsia="en-US"/>
              </w:rPr>
              <w:t>Report on activities in ITU-T over the 2022-2024 study period</w:t>
            </w:r>
          </w:p>
        </w:tc>
      </w:tr>
      <w:tr w:rsidR="00A44736" w:rsidRPr="00C57224" w14:paraId="37105705" w14:textId="77777777" w:rsidTr="00A44736">
        <w:trPr>
          <w:cantSplit/>
          <w:trHeight w:hRule="exact" w:val="240"/>
        </w:trPr>
        <w:tc>
          <w:tcPr>
            <w:tcW w:w="9639" w:type="dxa"/>
            <w:gridSpan w:val="5"/>
          </w:tcPr>
          <w:p w14:paraId="1FEF36A7" w14:textId="77777777" w:rsidR="00A44736" w:rsidRPr="00C57224" w:rsidRDefault="00A44736" w:rsidP="00A44736">
            <w:pPr>
              <w:pStyle w:val="Title2"/>
              <w:spacing w:before="0"/>
            </w:pPr>
          </w:p>
        </w:tc>
      </w:tr>
      <w:tr w:rsidR="00A44736" w:rsidRPr="00C57224" w14:paraId="2937DE91" w14:textId="77777777" w:rsidTr="00A44736">
        <w:trPr>
          <w:cantSplit/>
          <w:trHeight w:hRule="exact" w:val="240"/>
        </w:trPr>
        <w:tc>
          <w:tcPr>
            <w:tcW w:w="9639" w:type="dxa"/>
            <w:gridSpan w:val="5"/>
          </w:tcPr>
          <w:p w14:paraId="08E7370F" w14:textId="77777777" w:rsidR="00A44736" w:rsidRPr="00C57224" w:rsidRDefault="00A44736" w:rsidP="00A44736">
            <w:pPr>
              <w:pStyle w:val="Agendaitem"/>
              <w:spacing w:before="0"/>
              <w:rPr>
                <w:lang w:val="en-GB"/>
              </w:rPr>
            </w:pPr>
          </w:p>
        </w:tc>
      </w:tr>
    </w:tbl>
    <w:p w14:paraId="5F622948" w14:textId="77777777" w:rsidR="00A44736" w:rsidRPr="00C57224" w:rsidRDefault="00A44736" w:rsidP="00A44736"/>
    <w:tbl>
      <w:tblPr>
        <w:tblW w:w="5000" w:type="pct"/>
        <w:tblLayout w:type="fixed"/>
        <w:tblLook w:val="0000" w:firstRow="0" w:lastRow="0" w:firstColumn="0" w:lastColumn="0" w:noHBand="0" w:noVBand="0"/>
      </w:tblPr>
      <w:tblGrid>
        <w:gridCol w:w="1885"/>
        <w:gridCol w:w="3877"/>
        <w:gridCol w:w="3877"/>
      </w:tblGrid>
      <w:tr w:rsidR="00A44736" w:rsidRPr="00C57224" w14:paraId="650B718A" w14:textId="77777777" w:rsidTr="00A44736">
        <w:trPr>
          <w:cantSplit/>
        </w:trPr>
        <w:tc>
          <w:tcPr>
            <w:tcW w:w="1885" w:type="dxa"/>
          </w:tcPr>
          <w:p w14:paraId="53D6895E" w14:textId="77777777" w:rsidR="00A44736" w:rsidRPr="00C57224" w:rsidRDefault="00A44736" w:rsidP="002718BA">
            <w:r w:rsidRPr="00C57224">
              <w:rPr>
                <w:b/>
                <w:bCs/>
              </w:rPr>
              <w:t>Abstract:</w:t>
            </w:r>
          </w:p>
        </w:tc>
        <w:tc>
          <w:tcPr>
            <w:tcW w:w="7754" w:type="dxa"/>
            <w:gridSpan w:val="2"/>
          </w:tcPr>
          <w:p w14:paraId="6860CFA9" w14:textId="0FEB140B" w:rsidR="00A44736" w:rsidRPr="00C57224" w:rsidRDefault="00A44736" w:rsidP="002718BA">
            <w:pPr>
              <w:pStyle w:val="Abstract"/>
            </w:pPr>
            <w:r w:rsidRPr="00C57224">
              <w:rPr>
                <w:rFonts w:eastAsiaTheme="minorEastAsia"/>
              </w:rPr>
              <w:t>This report summarizes TSB facilitation of ITU-T activities in the 2022-2024 study period</w:t>
            </w:r>
            <w:r w:rsidRPr="00C57224">
              <w:t>.</w:t>
            </w:r>
          </w:p>
        </w:tc>
      </w:tr>
      <w:tr w:rsidR="00A44736" w:rsidRPr="00C57224" w14:paraId="72F870E9" w14:textId="77777777" w:rsidTr="00A44736">
        <w:trPr>
          <w:cantSplit/>
        </w:trPr>
        <w:tc>
          <w:tcPr>
            <w:tcW w:w="1885" w:type="dxa"/>
          </w:tcPr>
          <w:p w14:paraId="030FB199" w14:textId="77777777" w:rsidR="00A44736" w:rsidRPr="00C57224" w:rsidRDefault="00A44736" w:rsidP="00A44736">
            <w:pPr>
              <w:rPr>
                <w:b/>
                <w:bCs/>
              </w:rPr>
            </w:pPr>
            <w:r w:rsidRPr="00C57224">
              <w:rPr>
                <w:b/>
                <w:bCs/>
              </w:rPr>
              <w:t>Contact:</w:t>
            </w:r>
          </w:p>
        </w:tc>
        <w:tc>
          <w:tcPr>
            <w:tcW w:w="3877" w:type="dxa"/>
          </w:tcPr>
          <w:p w14:paraId="0C1CF4BB" w14:textId="16F60C6A" w:rsidR="00A44736" w:rsidRPr="00C57224" w:rsidRDefault="00A44736" w:rsidP="00A44736">
            <w:pPr>
              <w:tabs>
                <w:tab w:val="left" w:pos="794"/>
              </w:tabs>
            </w:pPr>
            <w:r w:rsidRPr="00C57224">
              <w:t xml:space="preserve">TSB Director </w:t>
            </w:r>
          </w:p>
        </w:tc>
        <w:tc>
          <w:tcPr>
            <w:tcW w:w="3877" w:type="dxa"/>
          </w:tcPr>
          <w:p w14:paraId="4DE55B9D" w14:textId="25AFB287" w:rsidR="00A44736" w:rsidRPr="00C57224" w:rsidRDefault="00A44736" w:rsidP="00A44736">
            <w:pPr>
              <w:tabs>
                <w:tab w:val="left" w:pos="794"/>
              </w:tabs>
            </w:pPr>
            <w:r w:rsidRPr="00C57224">
              <w:t>E-mail:</w:t>
            </w:r>
            <w:r w:rsidRPr="00C57224">
              <w:tab/>
            </w:r>
            <w:hyperlink r:id="rId13" w:history="1">
              <w:r w:rsidRPr="00C57224">
                <w:rPr>
                  <w:rStyle w:val="Hyperlink"/>
                </w:rPr>
                <w:t>tsbdir@itu.int</w:t>
              </w:r>
            </w:hyperlink>
          </w:p>
        </w:tc>
      </w:tr>
    </w:tbl>
    <w:p w14:paraId="48F3C564" w14:textId="77777777" w:rsidR="00A44736" w:rsidRPr="00C57224" w:rsidRDefault="00A44736" w:rsidP="000666B7">
      <w:pPr>
        <w:tabs>
          <w:tab w:val="left" w:pos="1134"/>
          <w:tab w:val="left" w:pos="1871"/>
          <w:tab w:val="left" w:pos="2268"/>
        </w:tabs>
        <w:overflowPunct w:val="0"/>
        <w:autoSpaceDE w:val="0"/>
        <w:autoSpaceDN w:val="0"/>
        <w:adjustRightInd w:val="0"/>
        <w:textAlignment w:val="baseline"/>
        <w:rPr>
          <w:rFonts w:eastAsia="Times New Roman"/>
          <w:szCs w:val="20"/>
          <w:lang w:eastAsia="en-US"/>
        </w:rPr>
      </w:pPr>
    </w:p>
    <w:p w14:paraId="79602B41" w14:textId="567469F3" w:rsidR="002726B3" w:rsidRPr="002726B3" w:rsidRDefault="002726B3" w:rsidP="002726B3">
      <w:pPr>
        <w:rPr>
          <w:highlight w:val="yellow"/>
        </w:rPr>
      </w:pPr>
      <w:r w:rsidRPr="002726B3">
        <w:rPr>
          <w:highlight w:val="yellow"/>
        </w:rPr>
        <w:br w:type="page"/>
      </w:r>
    </w:p>
    <w:p w14:paraId="58A3CBA3" w14:textId="77777777" w:rsidR="002726B3" w:rsidRPr="001E1939" w:rsidRDefault="002726B3" w:rsidP="00622B4A">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2726B3" w:rsidRPr="00D8148E" w14:paraId="7F2F041E" w14:textId="77777777" w:rsidTr="00622B4A">
        <w:trPr>
          <w:tblHeader/>
        </w:trPr>
        <w:tc>
          <w:tcPr>
            <w:tcW w:w="9889" w:type="dxa"/>
          </w:tcPr>
          <w:p w14:paraId="1EC8248D" w14:textId="77777777" w:rsidR="002726B3" w:rsidRPr="00D8148E" w:rsidRDefault="002726B3" w:rsidP="00622B4A">
            <w:pPr>
              <w:pStyle w:val="toc0"/>
            </w:pPr>
            <w:r w:rsidRPr="00D8148E">
              <w:tab/>
              <w:t>Page</w:t>
            </w:r>
          </w:p>
        </w:tc>
      </w:tr>
      <w:tr w:rsidR="002726B3" w:rsidRPr="00D8148E" w14:paraId="5E87494F" w14:textId="77777777" w:rsidTr="00622B4A">
        <w:tc>
          <w:tcPr>
            <w:tcW w:w="9889" w:type="dxa"/>
          </w:tcPr>
          <w:p w14:paraId="23B1B866" w14:textId="666C5A21" w:rsidR="005A6B33" w:rsidRDefault="002726B3">
            <w:pPr>
              <w:pStyle w:val="TOC1"/>
              <w:rPr>
                <w:rFonts w:asciiTheme="minorHAnsi" w:eastAsiaTheme="minorEastAsia" w:hAnsiTheme="minorHAnsi" w:cstheme="minorBidi"/>
                <w:kern w:val="2"/>
                <w:szCs w:val="24"/>
                <w:lang w:eastAsia="zh-CN"/>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79221056" w:history="1">
              <w:r w:rsidR="005A6B33" w:rsidRPr="00164F0E">
                <w:rPr>
                  <w:rStyle w:val="Hyperlink"/>
                  <w:rFonts w:ascii="Times New Roman Bold" w:hAnsi="Times New Roman Bold" w:cs="Times New Roman Bold"/>
                  <w:caps/>
                </w:rPr>
                <w:t>Executive Summary</w:t>
              </w:r>
              <w:r w:rsidR="005A6B33">
                <w:rPr>
                  <w:webHidden/>
                </w:rPr>
                <w:tab/>
              </w:r>
              <w:r w:rsidR="005A6B33">
                <w:rPr>
                  <w:webHidden/>
                </w:rPr>
                <w:fldChar w:fldCharType="begin"/>
              </w:r>
              <w:r w:rsidR="005A6B33">
                <w:rPr>
                  <w:webHidden/>
                </w:rPr>
                <w:instrText xml:space="preserve"> PAGEREF _Toc179221056 \h </w:instrText>
              </w:r>
              <w:r w:rsidR="005A6B33">
                <w:rPr>
                  <w:webHidden/>
                </w:rPr>
              </w:r>
              <w:r w:rsidR="005A6B33">
                <w:rPr>
                  <w:webHidden/>
                </w:rPr>
                <w:fldChar w:fldCharType="separate"/>
              </w:r>
              <w:r w:rsidR="00C63EF5">
                <w:rPr>
                  <w:webHidden/>
                </w:rPr>
                <w:t>4</w:t>
              </w:r>
              <w:r w:rsidR="005A6B33">
                <w:rPr>
                  <w:webHidden/>
                </w:rPr>
                <w:fldChar w:fldCharType="end"/>
              </w:r>
            </w:hyperlink>
          </w:p>
          <w:p w14:paraId="73FBF832" w14:textId="4883B13D"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57" w:history="1">
              <w:r w:rsidR="005A6B33" w:rsidRPr="00164F0E">
                <w:rPr>
                  <w:rStyle w:val="Hyperlink"/>
                </w:rPr>
                <w:t>Annex – Full report of activities in ITU-T in the study period</w:t>
              </w:r>
              <w:r w:rsidR="005A6B33">
                <w:rPr>
                  <w:webHidden/>
                </w:rPr>
                <w:tab/>
              </w:r>
              <w:r w:rsidR="005A6B33">
                <w:rPr>
                  <w:webHidden/>
                </w:rPr>
                <w:fldChar w:fldCharType="begin"/>
              </w:r>
              <w:r w:rsidR="005A6B33">
                <w:rPr>
                  <w:webHidden/>
                </w:rPr>
                <w:instrText xml:space="preserve"> PAGEREF _Toc179221057 \h </w:instrText>
              </w:r>
              <w:r w:rsidR="005A6B33">
                <w:rPr>
                  <w:webHidden/>
                </w:rPr>
              </w:r>
              <w:r w:rsidR="005A6B33">
                <w:rPr>
                  <w:webHidden/>
                </w:rPr>
                <w:fldChar w:fldCharType="separate"/>
              </w:r>
              <w:r w:rsidR="00C63EF5">
                <w:rPr>
                  <w:webHidden/>
                </w:rPr>
                <w:t>7</w:t>
              </w:r>
              <w:r w:rsidR="005A6B33">
                <w:rPr>
                  <w:webHidden/>
                </w:rPr>
                <w:fldChar w:fldCharType="end"/>
              </w:r>
            </w:hyperlink>
          </w:p>
          <w:p w14:paraId="246D7985" w14:textId="75B2F636"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58" w:history="1">
              <w:r w:rsidR="005A6B33" w:rsidRPr="00164F0E">
                <w:rPr>
                  <w:rStyle w:val="Hyperlink"/>
                </w:rPr>
                <w:t>1</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Study groups</w:t>
              </w:r>
              <w:r w:rsidR="005A6B33">
                <w:rPr>
                  <w:webHidden/>
                </w:rPr>
                <w:tab/>
              </w:r>
              <w:r w:rsidR="005A6B33">
                <w:rPr>
                  <w:webHidden/>
                </w:rPr>
                <w:fldChar w:fldCharType="begin"/>
              </w:r>
              <w:r w:rsidR="005A6B33">
                <w:rPr>
                  <w:webHidden/>
                </w:rPr>
                <w:instrText xml:space="preserve"> PAGEREF _Toc179221058 \h </w:instrText>
              </w:r>
              <w:r w:rsidR="005A6B33">
                <w:rPr>
                  <w:webHidden/>
                </w:rPr>
              </w:r>
              <w:r w:rsidR="005A6B33">
                <w:rPr>
                  <w:webHidden/>
                </w:rPr>
                <w:fldChar w:fldCharType="separate"/>
              </w:r>
              <w:r w:rsidR="00C63EF5">
                <w:rPr>
                  <w:webHidden/>
                </w:rPr>
                <w:t>7</w:t>
              </w:r>
              <w:r w:rsidR="005A6B33">
                <w:rPr>
                  <w:webHidden/>
                </w:rPr>
                <w:fldChar w:fldCharType="end"/>
              </w:r>
            </w:hyperlink>
          </w:p>
          <w:p w14:paraId="16DBB7C3" w14:textId="39D1A7E0"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59" w:history="1">
              <w:r w:rsidR="005A6B33" w:rsidRPr="00164F0E">
                <w:rPr>
                  <w:rStyle w:val="Hyperlink"/>
                </w:rPr>
                <w:t>2</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Focus groups</w:t>
              </w:r>
              <w:r w:rsidR="005A6B33">
                <w:rPr>
                  <w:webHidden/>
                </w:rPr>
                <w:tab/>
              </w:r>
              <w:r w:rsidR="005A6B33">
                <w:rPr>
                  <w:webHidden/>
                </w:rPr>
                <w:fldChar w:fldCharType="begin"/>
              </w:r>
              <w:r w:rsidR="005A6B33">
                <w:rPr>
                  <w:webHidden/>
                </w:rPr>
                <w:instrText xml:space="preserve"> PAGEREF _Toc179221059 \h </w:instrText>
              </w:r>
              <w:r w:rsidR="005A6B33">
                <w:rPr>
                  <w:webHidden/>
                </w:rPr>
              </w:r>
              <w:r w:rsidR="005A6B33">
                <w:rPr>
                  <w:webHidden/>
                </w:rPr>
                <w:fldChar w:fldCharType="separate"/>
              </w:r>
              <w:r w:rsidR="00C63EF5">
                <w:rPr>
                  <w:webHidden/>
                </w:rPr>
                <w:t>7</w:t>
              </w:r>
              <w:r w:rsidR="005A6B33">
                <w:rPr>
                  <w:webHidden/>
                </w:rPr>
                <w:fldChar w:fldCharType="end"/>
              </w:r>
            </w:hyperlink>
          </w:p>
          <w:p w14:paraId="06258285" w14:textId="4C822F9D"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60" w:history="1">
              <w:r w:rsidR="005A6B33" w:rsidRPr="00164F0E">
                <w:rPr>
                  <w:rStyle w:val="Hyperlink"/>
                </w:rPr>
                <w:t>3</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Workshops, symposia and webinars</w:t>
              </w:r>
              <w:r w:rsidR="005A6B33">
                <w:rPr>
                  <w:webHidden/>
                </w:rPr>
                <w:tab/>
              </w:r>
              <w:r w:rsidR="005A6B33">
                <w:rPr>
                  <w:webHidden/>
                </w:rPr>
                <w:fldChar w:fldCharType="begin"/>
              </w:r>
              <w:r w:rsidR="005A6B33">
                <w:rPr>
                  <w:webHidden/>
                </w:rPr>
                <w:instrText xml:space="preserve"> PAGEREF _Toc179221060 \h </w:instrText>
              </w:r>
              <w:r w:rsidR="005A6B33">
                <w:rPr>
                  <w:webHidden/>
                </w:rPr>
              </w:r>
              <w:r w:rsidR="005A6B33">
                <w:rPr>
                  <w:webHidden/>
                </w:rPr>
                <w:fldChar w:fldCharType="separate"/>
              </w:r>
              <w:r w:rsidR="00C63EF5">
                <w:rPr>
                  <w:webHidden/>
                </w:rPr>
                <w:t>8</w:t>
              </w:r>
              <w:r w:rsidR="005A6B33">
                <w:rPr>
                  <w:webHidden/>
                </w:rPr>
                <w:fldChar w:fldCharType="end"/>
              </w:r>
            </w:hyperlink>
          </w:p>
          <w:p w14:paraId="680CD126" w14:textId="13557A26"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61" w:history="1">
              <w:r w:rsidR="005A6B33" w:rsidRPr="00164F0E">
                <w:rPr>
                  <w:rStyle w:val="Hyperlink"/>
                </w:rPr>
                <w:t>4</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Remote participation</w:t>
              </w:r>
              <w:r w:rsidR="005A6B33">
                <w:rPr>
                  <w:webHidden/>
                </w:rPr>
                <w:tab/>
              </w:r>
              <w:r w:rsidR="005A6B33">
                <w:rPr>
                  <w:webHidden/>
                </w:rPr>
                <w:fldChar w:fldCharType="begin"/>
              </w:r>
              <w:r w:rsidR="005A6B33">
                <w:rPr>
                  <w:webHidden/>
                </w:rPr>
                <w:instrText xml:space="preserve"> PAGEREF _Toc179221061 \h </w:instrText>
              </w:r>
              <w:r w:rsidR="005A6B33">
                <w:rPr>
                  <w:webHidden/>
                </w:rPr>
              </w:r>
              <w:r w:rsidR="005A6B33">
                <w:rPr>
                  <w:webHidden/>
                </w:rPr>
                <w:fldChar w:fldCharType="separate"/>
              </w:r>
              <w:r w:rsidR="00C63EF5">
                <w:rPr>
                  <w:webHidden/>
                </w:rPr>
                <w:t>8</w:t>
              </w:r>
              <w:r w:rsidR="005A6B33">
                <w:rPr>
                  <w:webHidden/>
                </w:rPr>
                <w:fldChar w:fldCharType="end"/>
              </w:r>
            </w:hyperlink>
          </w:p>
          <w:p w14:paraId="4EC09EC8" w14:textId="348D528D"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62" w:history="1">
              <w:r w:rsidR="005A6B33" w:rsidRPr="00164F0E">
                <w:rPr>
                  <w:rStyle w:val="Hyperlink"/>
                </w:rPr>
                <w:t>5</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Collaboration initiatives</w:t>
              </w:r>
              <w:r w:rsidR="005A6B33">
                <w:rPr>
                  <w:webHidden/>
                </w:rPr>
                <w:tab/>
              </w:r>
              <w:r w:rsidR="005A6B33">
                <w:rPr>
                  <w:webHidden/>
                </w:rPr>
                <w:fldChar w:fldCharType="begin"/>
              </w:r>
              <w:r w:rsidR="005A6B33">
                <w:rPr>
                  <w:webHidden/>
                </w:rPr>
                <w:instrText xml:space="preserve"> PAGEREF _Toc179221062 \h </w:instrText>
              </w:r>
              <w:r w:rsidR="005A6B33">
                <w:rPr>
                  <w:webHidden/>
                </w:rPr>
              </w:r>
              <w:r w:rsidR="005A6B33">
                <w:rPr>
                  <w:webHidden/>
                </w:rPr>
                <w:fldChar w:fldCharType="separate"/>
              </w:r>
              <w:r w:rsidR="00C63EF5">
                <w:rPr>
                  <w:webHidden/>
                </w:rPr>
                <w:t>9</w:t>
              </w:r>
              <w:r w:rsidR="005A6B33">
                <w:rPr>
                  <w:webHidden/>
                </w:rPr>
                <w:fldChar w:fldCharType="end"/>
              </w:r>
            </w:hyperlink>
          </w:p>
          <w:p w14:paraId="4E9841C9" w14:textId="7C6F1A9B"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3" w:history="1">
              <w:r w:rsidR="005A6B33" w:rsidRPr="00164F0E">
                <w:rPr>
                  <w:rStyle w:val="Hyperlink"/>
                </w:rPr>
                <w:t>5.1</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World standards cooperation</w:t>
              </w:r>
              <w:r w:rsidR="005A6B33">
                <w:rPr>
                  <w:webHidden/>
                </w:rPr>
                <w:tab/>
              </w:r>
              <w:r w:rsidR="005A6B33">
                <w:rPr>
                  <w:webHidden/>
                </w:rPr>
                <w:fldChar w:fldCharType="begin"/>
              </w:r>
              <w:r w:rsidR="005A6B33">
                <w:rPr>
                  <w:webHidden/>
                </w:rPr>
                <w:instrText xml:space="preserve"> PAGEREF _Toc179221063 \h </w:instrText>
              </w:r>
              <w:r w:rsidR="005A6B33">
                <w:rPr>
                  <w:webHidden/>
                </w:rPr>
              </w:r>
              <w:r w:rsidR="005A6B33">
                <w:rPr>
                  <w:webHidden/>
                </w:rPr>
                <w:fldChar w:fldCharType="separate"/>
              </w:r>
              <w:r w:rsidR="00C63EF5">
                <w:rPr>
                  <w:webHidden/>
                </w:rPr>
                <w:t>9</w:t>
              </w:r>
              <w:r w:rsidR="005A6B33">
                <w:rPr>
                  <w:webHidden/>
                </w:rPr>
                <w:fldChar w:fldCharType="end"/>
              </w:r>
            </w:hyperlink>
          </w:p>
          <w:p w14:paraId="4220A1C6" w14:textId="456448BC"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4" w:history="1">
              <w:r w:rsidR="005A6B33" w:rsidRPr="00164F0E">
                <w:rPr>
                  <w:rStyle w:val="Hyperlink"/>
                </w:rPr>
                <w:t>5.2</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Artificial intelligence and machine learning</w:t>
              </w:r>
              <w:r w:rsidR="005A6B33">
                <w:rPr>
                  <w:webHidden/>
                </w:rPr>
                <w:tab/>
              </w:r>
              <w:r w:rsidR="005A6B33">
                <w:rPr>
                  <w:webHidden/>
                </w:rPr>
                <w:fldChar w:fldCharType="begin"/>
              </w:r>
              <w:r w:rsidR="005A6B33">
                <w:rPr>
                  <w:webHidden/>
                </w:rPr>
                <w:instrText xml:space="preserve"> PAGEREF _Toc179221064 \h </w:instrText>
              </w:r>
              <w:r w:rsidR="005A6B33">
                <w:rPr>
                  <w:webHidden/>
                </w:rPr>
              </w:r>
              <w:r w:rsidR="005A6B33">
                <w:rPr>
                  <w:webHidden/>
                </w:rPr>
                <w:fldChar w:fldCharType="separate"/>
              </w:r>
              <w:r w:rsidR="00C63EF5">
                <w:rPr>
                  <w:webHidden/>
                </w:rPr>
                <w:t>9</w:t>
              </w:r>
              <w:r w:rsidR="005A6B33">
                <w:rPr>
                  <w:webHidden/>
                </w:rPr>
                <w:fldChar w:fldCharType="end"/>
              </w:r>
            </w:hyperlink>
          </w:p>
          <w:p w14:paraId="78EAF607" w14:textId="6ABC576D"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5" w:history="1">
              <w:r w:rsidR="005A6B33" w:rsidRPr="00164F0E">
                <w:rPr>
                  <w:rStyle w:val="Hyperlink"/>
                </w:rPr>
                <w:t>5.3</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Digital transformation for cities and communities</w:t>
              </w:r>
              <w:r w:rsidR="005A6B33">
                <w:rPr>
                  <w:webHidden/>
                </w:rPr>
                <w:tab/>
              </w:r>
              <w:r w:rsidR="005A6B33">
                <w:rPr>
                  <w:webHidden/>
                </w:rPr>
                <w:fldChar w:fldCharType="begin"/>
              </w:r>
              <w:r w:rsidR="005A6B33">
                <w:rPr>
                  <w:webHidden/>
                </w:rPr>
                <w:instrText xml:space="preserve"> PAGEREF _Toc179221065 \h </w:instrText>
              </w:r>
              <w:r w:rsidR="005A6B33">
                <w:rPr>
                  <w:webHidden/>
                </w:rPr>
              </w:r>
              <w:r w:rsidR="005A6B33">
                <w:rPr>
                  <w:webHidden/>
                </w:rPr>
                <w:fldChar w:fldCharType="separate"/>
              </w:r>
              <w:r w:rsidR="00C63EF5">
                <w:rPr>
                  <w:webHidden/>
                </w:rPr>
                <w:t>12</w:t>
              </w:r>
              <w:r w:rsidR="005A6B33">
                <w:rPr>
                  <w:webHidden/>
                </w:rPr>
                <w:fldChar w:fldCharType="end"/>
              </w:r>
            </w:hyperlink>
          </w:p>
          <w:p w14:paraId="68ED6739" w14:textId="6DD1F16D"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6" w:history="1">
              <w:r w:rsidR="005A6B33" w:rsidRPr="00164F0E">
                <w:rPr>
                  <w:rStyle w:val="Hyperlink"/>
                </w:rPr>
                <w:t>5.4</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Digital financial inclusion and fintech</w:t>
              </w:r>
              <w:r w:rsidR="005A6B33">
                <w:rPr>
                  <w:webHidden/>
                </w:rPr>
                <w:tab/>
              </w:r>
              <w:r w:rsidR="005A6B33">
                <w:rPr>
                  <w:webHidden/>
                </w:rPr>
                <w:fldChar w:fldCharType="begin"/>
              </w:r>
              <w:r w:rsidR="005A6B33">
                <w:rPr>
                  <w:webHidden/>
                </w:rPr>
                <w:instrText xml:space="preserve"> PAGEREF _Toc179221066 \h </w:instrText>
              </w:r>
              <w:r w:rsidR="005A6B33">
                <w:rPr>
                  <w:webHidden/>
                </w:rPr>
              </w:r>
              <w:r w:rsidR="005A6B33">
                <w:rPr>
                  <w:webHidden/>
                </w:rPr>
                <w:fldChar w:fldCharType="separate"/>
              </w:r>
              <w:r w:rsidR="00C63EF5">
                <w:rPr>
                  <w:webHidden/>
                </w:rPr>
                <w:t>14</w:t>
              </w:r>
              <w:r w:rsidR="005A6B33">
                <w:rPr>
                  <w:webHidden/>
                </w:rPr>
                <w:fldChar w:fldCharType="end"/>
              </w:r>
            </w:hyperlink>
          </w:p>
          <w:p w14:paraId="769DD922" w14:textId="64B3F0AF"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7" w:history="1">
              <w:r w:rsidR="005A6B33" w:rsidRPr="00164F0E">
                <w:rPr>
                  <w:rStyle w:val="Hyperlink"/>
                </w:rPr>
                <w:t>5.5</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Intelligent transport systems</w:t>
              </w:r>
              <w:r w:rsidR="005A6B33">
                <w:rPr>
                  <w:webHidden/>
                </w:rPr>
                <w:tab/>
              </w:r>
              <w:r w:rsidR="005A6B33">
                <w:rPr>
                  <w:webHidden/>
                </w:rPr>
                <w:fldChar w:fldCharType="begin"/>
              </w:r>
              <w:r w:rsidR="005A6B33">
                <w:rPr>
                  <w:webHidden/>
                </w:rPr>
                <w:instrText xml:space="preserve"> PAGEREF _Toc179221067 \h </w:instrText>
              </w:r>
              <w:r w:rsidR="005A6B33">
                <w:rPr>
                  <w:webHidden/>
                </w:rPr>
              </w:r>
              <w:r w:rsidR="005A6B33">
                <w:rPr>
                  <w:webHidden/>
                </w:rPr>
                <w:fldChar w:fldCharType="separate"/>
              </w:r>
              <w:r w:rsidR="00C63EF5">
                <w:rPr>
                  <w:webHidden/>
                </w:rPr>
                <w:t>15</w:t>
              </w:r>
              <w:r w:rsidR="005A6B33">
                <w:rPr>
                  <w:webHidden/>
                </w:rPr>
                <w:fldChar w:fldCharType="end"/>
              </w:r>
            </w:hyperlink>
          </w:p>
          <w:p w14:paraId="209FEEFB" w14:textId="3DC74873"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8" w:history="1">
              <w:r w:rsidR="005A6B33" w:rsidRPr="00164F0E">
                <w:rPr>
                  <w:rStyle w:val="Hyperlink"/>
                </w:rPr>
                <w:t>5.6</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Green digital action</w:t>
              </w:r>
              <w:r w:rsidR="005A6B33">
                <w:rPr>
                  <w:webHidden/>
                </w:rPr>
                <w:tab/>
              </w:r>
              <w:r w:rsidR="005A6B33">
                <w:rPr>
                  <w:webHidden/>
                </w:rPr>
                <w:fldChar w:fldCharType="begin"/>
              </w:r>
              <w:r w:rsidR="005A6B33">
                <w:rPr>
                  <w:webHidden/>
                </w:rPr>
                <w:instrText xml:space="preserve"> PAGEREF _Toc179221068 \h </w:instrText>
              </w:r>
              <w:r w:rsidR="005A6B33">
                <w:rPr>
                  <w:webHidden/>
                </w:rPr>
              </w:r>
              <w:r w:rsidR="005A6B33">
                <w:rPr>
                  <w:webHidden/>
                </w:rPr>
                <w:fldChar w:fldCharType="separate"/>
              </w:r>
              <w:r w:rsidR="00C63EF5">
                <w:rPr>
                  <w:webHidden/>
                </w:rPr>
                <w:t>16</w:t>
              </w:r>
              <w:r w:rsidR="005A6B33">
                <w:rPr>
                  <w:webHidden/>
                </w:rPr>
                <w:fldChar w:fldCharType="end"/>
              </w:r>
            </w:hyperlink>
          </w:p>
          <w:p w14:paraId="329FCFF4" w14:textId="187C45C6"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69" w:history="1">
              <w:r w:rsidR="005A6B33" w:rsidRPr="00164F0E">
                <w:rPr>
                  <w:rStyle w:val="Hyperlink"/>
                </w:rPr>
                <w:t>5.7</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Submarine cables and climate action</w:t>
              </w:r>
              <w:r w:rsidR="005A6B33">
                <w:rPr>
                  <w:webHidden/>
                </w:rPr>
                <w:tab/>
              </w:r>
              <w:r w:rsidR="005A6B33">
                <w:rPr>
                  <w:webHidden/>
                </w:rPr>
                <w:fldChar w:fldCharType="begin"/>
              </w:r>
              <w:r w:rsidR="005A6B33">
                <w:rPr>
                  <w:webHidden/>
                </w:rPr>
                <w:instrText xml:space="preserve"> PAGEREF _Toc179221069 \h </w:instrText>
              </w:r>
              <w:r w:rsidR="005A6B33">
                <w:rPr>
                  <w:webHidden/>
                </w:rPr>
              </w:r>
              <w:r w:rsidR="005A6B33">
                <w:rPr>
                  <w:webHidden/>
                </w:rPr>
                <w:fldChar w:fldCharType="separate"/>
              </w:r>
              <w:r w:rsidR="00C63EF5">
                <w:rPr>
                  <w:webHidden/>
                </w:rPr>
                <w:t>17</w:t>
              </w:r>
              <w:r w:rsidR="005A6B33">
                <w:rPr>
                  <w:webHidden/>
                </w:rPr>
                <w:fldChar w:fldCharType="end"/>
              </w:r>
            </w:hyperlink>
          </w:p>
          <w:p w14:paraId="37F98308" w14:textId="4BFE410F"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70" w:history="1">
              <w:r w:rsidR="005A6B33" w:rsidRPr="00164F0E">
                <w:rPr>
                  <w:rStyle w:val="Hyperlink"/>
                </w:rPr>
                <w:t>5.8</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Safe listening and accessible telehealth</w:t>
              </w:r>
              <w:r w:rsidR="005A6B33">
                <w:rPr>
                  <w:webHidden/>
                </w:rPr>
                <w:tab/>
              </w:r>
              <w:r w:rsidR="005A6B33">
                <w:rPr>
                  <w:webHidden/>
                </w:rPr>
                <w:fldChar w:fldCharType="begin"/>
              </w:r>
              <w:r w:rsidR="005A6B33">
                <w:rPr>
                  <w:webHidden/>
                </w:rPr>
                <w:instrText xml:space="preserve"> PAGEREF _Toc179221070 \h </w:instrText>
              </w:r>
              <w:r w:rsidR="005A6B33">
                <w:rPr>
                  <w:webHidden/>
                </w:rPr>
              </w:r>
              <w:r w:rsidR="005A6B33">
                <w:rPr>
                  <w:webHidden/>
                </w:rPr>
                <w:fldChar w:fldCharType="separate"/>
              </w:r>
              <w:r w:rsidR="00C63EF5">
                <w:rPr>
                  <w:webHidden/>
                </w:rPr>
                <w:t>17</w:t>
              </w:r>
              <w:r w:rsidR="005A6B33">
                <w:rPr>
                  <w:webHidden/>
                </w:rPr>
                <w:fldChar w:fldCharType="end"/>
              </w:r>
            </w:hyperlink>
          </w:p>
          <w:p w14:paraId="7A249701" w14:textId="136E9CB5"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71" w:history="1">
              <w:r w:rsidR="005A6B33" w:rsidRPr="00164F0E">
                <w:rPr>
                  <w:rStyle w:val="Hyperlink"/>
                </w:rPr>
                <w:t>5.9</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CTO and CxO meetings</w:t>
              </w:r>
              <w:r w:rsidR="005A6B33">
                <w:rPr>
                  <w:webHidden/>
                </w:rPr>
                <w:tab/>
              </w:r>
              <w:r w:rsidR="005A6B33">
                <w:rPr>
                  <w:webHidden/>
                </w:rPr>
                <w:fldChar w:fldCharType="begin"/>
              </w:r>
              <w:r w:rsidR="005A6B33">
                <w:rPr>
                  <w:webHidden/>
                </w:rPr>
                <w:instrText xml:space="preserve"> PAGEREF _Toc179221071 \h </w:instrText>
              </w:r>
              <w:r w:rsidR="005A6B33">
                <w:rPr>
                  <w:webHidden/>
                </w:rPr>
              </w:r>
              <w:r w:rsidR="005A6B33">
                <w:rPr>
                  <w:webHidden/>
                </w:rPr>
                <w:fldChar w:fldCharType="separate"/>
              </w:r>
              <w:r w:rsidR="00C63EF5">
                <w:rPr>
                  <w:webHidden/>
                </w:rPr>
                <w:t>17</w:t>
              </w:r>
              <w:r w:rsidR="005A6B33">
                <w:rPr>
                  <w:webHidden/>
                </w:rPr>
                <w:fldChar w:fldCharType="end"/>
              </w:r>
            </w:hyperlink>
          </w:p>
          <w:p w14:paraId="68C1FE0B" w14:textId="50E418B6"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72" w:history="1">
              <w:r w:rsidR="005A6B33" w:rsidRPr="00164F0E">
                <w:rPr>
                  <w:rStyle w:val="Hyperlink"/>
                </w:rPr>
                <w:t>6</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Academia</w:t>
              </w:r>
              <w:r w:rsidR="005A6B33">
                <w:rPr>
                  <w:webHidden/>
                </w:rPr>
                <w:tab/>
              </w:r>
              <w:r w:rsidR="005A6B33">
                <w:rPr>
                  <w:webHidden/>
                </w:rPr>
                <w:fldChar w:fldCharType="begin"/>
              </w:r>
              <w:r w:rsidR="005A6B33">
                <w:rPr>
                  <w:webHidden/>
                </w:rPr>
                <w:instrText xml:space="preserve"> PAGEREF _Toc179221072 \h </w:instrText>
              </w:r>
              <w:r w:rsidR="005A6B33">
                <w:rPr>
                  <w:webHidden/>
                </w:rPr>
              </w:r>
              <w:r w:rsidR="005A6B33">
                <w:rPr>
                  <w:webHidden/>
                </w:rPr>
                <w:fldChar w:fldCharType="separate"/>
              </w:r>
              <w:r w:rsidR="00C63EF5">
                <w:rPr>
                  <w:webHidden/>
                </w:rPr>
                <w:t>18</w:t>
              </w:r>
              <w:r w:rsidR="005A6B33">
                <w:rPr>
                  <w:webHidden/>
                </w:rPr>
                <w:fldChar w:fldCharType="end"/>
              </w:r>
            </w:hyperlink>
          </w:p>
          <w:p w14:paraId="753BCF6C" w14:textId="717244B6"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73" w:history="1">
              <w:r w:rsidR="005A6B33" w:rsidRPr="00164F0E">
                <w:rPr>
                  <w:rStyle w:val="Hyperlink"/>
                </w:rPr>
                <w:t>6.1</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Journal</w:t>
              </w:r>
              <w:r w:rsidR="005A6B33">
                <w:rPr>
                  <w:webHidden/>
                </w:rPr>
                <w:tab/>
              </w:r>
              <w:r w:rsidR="005A6B33">
                <w:rPr>
                  <w:webHidden/>
                </w:rPr>
                <w:fldChar w:fldCharType="begin"/>
              </w:r>
              <w:r w:rsidR="005A6B33">
                <w:rPr>
                  <w:webHidden/>
                </w:rPr>
                <w:instrText xml:space="preserve"> PAGEREF _Toc179221073 \h </w:instrText>
              </w:r>
              <w:r w:rsidR="005A6B33">
                <w:rPr>
                  <w:webHidden/>
                </w:rPr>
              </w:r>
              <w:r w:rsidR="005A6B33">
                <w:rPr>
                  <w:webHidden/>
                </w:rPr>
                <w:fldChar w:fldCharType="separate"/>
              </w:r>
              <w:r w:rsidR="00C63EF5">
                <w:rPr>
                  <w:webHidden/>
                </w:rPr>
                <w:t>18</w:t>
              </w:r>
              <w:r w:rsidR="005A6B33">
                <w:rPr>
                  <w:webHidden/>
                </w:rPr>
                <w:fldChar w:fldCharType="end"/>
              </w:r>
            </w:hyperlink>
          </w:p>
          <w:p w14:paraId="129163DD" w14:textId="4461FBDB"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74" w:history="1">
              <w:r w:rsidR="005A6B33" w:rsidRPr="00164F0E">
                <w:rPr>
                  <w:rStyle w:val="Hyperlink"/>
                </w:rPr>
                <w:t>6.2</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Kaleidoscope academic conferences</w:t>
              </w:r>
              <w:r w:rsidR="005A6B33">
                <w:rPr>
                  <w:webHidden/>
                </w:rPr>
                <w:tab/>
              </w:r>
              <w:r w:rsidR="005A6B33">
                <w:rPr>
                  <w:webHidden/>
                </w:rPr>
                <w:fldChar w:fldCharType="begin"/>
              </w:r>
              <w:r w:rsidR="005A6B33">
                <w:rPr>
                  <w:webHidden/>
                </w:rPr>
                <w:instrText xml:space="preserve"> PAGEREF _Toc179221074 \h </w:instrText>
              </w:r>
              <w:r w:rsidR="005A6B33">
                <w:rPr>
                  <w:webHidden/>
                </w:rPr>
              </w:r>
              <w:r w:rsidR="005A6B33">
                <w:rPr>
                  <w:webHidden/>
                </w:rPr>
                <w:fldChar w:fldCharType="separate"/>
              </w:r>
              <w:r w:rsidR="00C63EF5">
                <w:rPr>
                  <w:webHidden/>
                </w:rPr>
                <w:t>19</w:t>
              </w:r>
              <w:r w:rsidR="005A6B33">
                <w:rPr>
                  <w:webHidden/>
                </w:rPr>
                <w:fldChar w:fldCharType="end"/>
              </w:r>
            </w:hyperlink>
          </w:p>
          <w:p w14:paraId="6EB0D20D" w14:textId="21C7A562"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75" w:history="1">
              <w:r w:rsidR="005A6B33" w:rsidRPr="00164F0E">
                <w:rPr>
                  <w:rStyle w:val="Hyperlink"/>
                </w:rPr>
                <w:t>7</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Conformity and interoperability programme</w:t>
              </w:r>
              <w:r w:rsidR="005A6B33">
                <w:rPr>
                  <w:webHidden/>
                </w:rPr>
                <w:tab/>
              </w:r>
              <w:r w:rsidR="005A6B33">
                <w:rPr>
                  <w:webHidden/>
                </w:rPr>
                <w:fldChar w:fldCharType="begin"/>
              </w:r>
              <w:r w:rsidR="005A6B33">
                <w:rPr>
                  <w:webHidden/>
                </w:rPr>
                <w:instrText xml:space="preserve"> PAGEREF _Toc179221075 \h </w:instrText>
              </w:r>
              <w:r w:rsidR="005A6B33">
                <w:rPr>
                  <w:webHidden/>
                </w:rPr>
              </w:r>
              <w:r w:rsidR="005A6B33">
                <w:rPr>
                  <w:webHidden/>
                </w:rPr>
                <w:fldChar w:fldCharType="separate"/>
              </w:r>
              <w:r w:rsidR="00C63EF5">
                <w:rPr>
                  <w:webHidden/>
                </w:rPr>
                <w:t>19</w:t>
              </w:r>
              <w:r w:rsidR="005A6B33">
                <w:rPr>
                  <w:webHidden/>
                </w:rPr>
                <w:fldChar w:fldCharType="end"/>
              </w:r>
            </w:hyperlink>
          </w:p>
          <w:p w14:paraId="1077227B" w14:textId="42D43C4B"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76" w:history="1">
              <w:r w:rsidR="005A6B33" w:rsidRPr="00164F0E">
                <w:rPr>
                  <w:rStyle w:val="Hyperlink"/>
                </w:rPr>
                <w:t>8</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Membership</w:t>
              </w:r>
              <w:r w:rsidR="005A6B33">
                <w:rPr>
                  <w:webHidden/>
                </w:rPr>
                <w:tab/>
              </w:r>
              <w:r w:rsidR="005A6B33">
                <w:rPr>
                  <w:webHidden/>
                </w:rPr>
                <w:fldChar w:fldCharType="begin"/>
              </w:r>
              <w:r w:rsidR="005A6B33">
                <w:rPr>
                  <w:webHidden/>
                </w:rPr>
                <w:instrText xml:space="preserve"> PAGEREF _Toc179221076 \h </w:instrText>
              </w:r>
              <w:r w:rsidR="005A6B33">
                <w:rPr>
                  <w:webHidden/>
                </w:rPr>
              </w:r>
              <w:r w:rsidR="005A6B33">
                <w:rPr>
                  <w:webHidden/>
                </w:rPr>
                <w:fldChar w:fldCharType="separate"/>
              </w:r>
              <w:r w:rsidR="00C63EF5">
                <w:rPr>
                  <w:webHidden/>
                </w:rPr>
                <w:t>21</w:t>
              </w:r>
              <w:r w:rsidR="005A6B33">
                <w:rPr>
                  <w:webHidden/>
                </w:rPr>
                <w:fldChar w:fldCharType="end"/>
              </w:r>
            </w:hyperlink>
          </w:p>
          <w:p w14:paraId="45726F92" w14:textId="66A48191"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77" w:history="1">
              <w:r w:rsidR="005A6B33" w:rsidRPr="00164F0E">
                <w:rPr>
                  <w:rStyle w:val="Hyperlink"/>
                </w:rPr>
                <w:t>9</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Bridging the standardization gap</w:t>
              </w:r>
              <w:r w:rsidR="005A6B33">
                <w:rPr>
                  <w:webHidden/>
                </w:rPr>
                <w:tab/>
              </w:r>
              <w:r w:rsidR="005A6B33">
                <w:rPr>
                  <w:webHidden/>
                </w:rPr>
                <w:fldChar w:fldCharType="begin"/>
              </w:r>
              <w:r w:rsidR="005A6B33">
                <w:rPr>
                  <w:webHidden/>
                </w:rPr>
                <w:instrText xml:space="preserve"> PAGEREF _Toc179221077 \h </w:instrText>
              </w:r>
              <w:r w:rsidR="005A6B33">
                <w:rPr>
                  <w:webHidden/>
                </w:rPr>
              </w:r>
              <w:r w:rsidR="005A6B33">
                <w:rPr>
                  <w:webHidden/>
                </w:rPr>
                <w:fldChar w:fldCharType="separate"/>
              </w:r>
              <w:r w:rsidR="00C63EF5">
                <w:rPr>
                  <w:webHidden/>
                </w:rPr>
                <w:t>23</w:t>
              </w:r>
              <w:r w:rsidR="005A6B33">
                <w:rPr>
                  <w:webHidden/>
                </w:rPr>
                <w:fldChar w:fldCharType="end"/>
              </w:r>
            </w:hyperlink>
          </w:p>
          <w:p w14:paraId="522F184B" w14:textId="6EF75F6A"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78" w:history="1">
              <w:r w:rsidR="005A6B33" w:rsidRPr="00164F0E">
                <w:rPr>
                  <w:rStyle w:val="Hyperlink"/>
                </w:rPr>
                <w:t>10</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Gender</w:t>
              </w:r>
              <w:r w:rsidR="005A6B33">
                <w:rPr>
                  <w:webHidden/>
                </w:rPr>
                <w:tab/>
              </w:r>
              <w:r w:rsidR="005A6B33">
                <w:rPr>
                  <w:webHidden/>
                </w:rPr>
                <w:fldChar w:fldCharType="begin"/>
              </w:r>
              <w:r w:rsidR="005A6B33">
                <w:rPr>
                  <w:webHidden/>
                </w:rPr>
                <w:instrText xml:space="preserve"> PAGEREF _Toc179221078 \h </w:instrText>
              </w:r>
              <w:r w:rsidR="005A6B33">
                <w:rPr>
                  <w:webHidden/>
                </w:rPr>
              </w:r>
              <w:r w:rsidR="005A6B33">
                <w:rPr>
                  <w:webHidden/>
                </w:rPr>
                <w:fldChar w:fldCharType="separate"/>
              </w:r>
              <w:r w:rsidR="00C63EF5">
                <w:rPr>
                  <w:webHidden/>
                </w:rPr>
                <w:t>24</w:t>
              </w:r>
              <w:r w:rsidR="005A6B33">
                <w:rPr>
                  <w:webHidden/>
                </w:rPr>
                <w:fldChar w:fldCharType="end"/>
              </w:r>
            </w:hyperlink>
          </w:p>
          <w:p w14:paraId="73C3D06E" w14:textId="06349E37"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79" w:history="1">
              <w:r w:rsidR="005A6B33" w:rsidRPr="00164F0E">
                <w:rPr>
                  <w:rStyle w:val="Hyperlink"/>
                </w:rPr>
                <w:t>11</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Publications</w:t>
              </w:r>
              <w:r w:rsidR="005A6B33">
                <w:rPr>
                  <w:webHidden/>
                </w:rPr>
                <w:tab/>
              </w:r>
              <w:r w:rsidR="005A6B33">
                <w:rPr>
                  <w:webHidden/>
                </w:rPr>
                <w:fldChar w:fldCharType="begin"/>
              </w:r>
              <w:r w:rsidR="005A6B33">
                <w:rPr>
                  <w:webHidden/>
                </w:rPr>
                <w:instrText xml:space="preserve"> PAGEREF _Toc179221079 \h </w:instrText>
              </w:r>
              <w:r w:rsidR="005A6B33">
                <w:rPr>
                  <w:webHidden/>
                </w:rPr>
              </w:r>
              <w:r w:rsidR="005A6B33">
                <w:rPr>
                  <w:webHidden/>
                </w:rPr>
                <w:fldChar w:fldCharType="separate"/>
              </w:r>
              <w:r w:rsidR="00C63EF5">
                <w:rPr>
                  <w:webHidden/>
                </w:rPr>
                <w:t>27</w:t>
              </w:r>
              <w:r w:rsidR="005A6B33">
                <w:rPr>
                  <w:webHidden/>
                </w:rPr>
                <w:fldChar w:fldCharType="end"/>
              </w:r>
            </w:hyperlink>
          </w:p>
          <w:p w14:paraId="3A200E56" w14:textId="19C0F6E1"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80" w:history="1">
              <w:r w:rsidR="005A6B33" w:rsidRPr="00164F0E">
                <w:rPr>
                  <w:rStyle w:val="Hyperlink"/>
                </w:rPr>
                <w:t>12</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Electronic working methods and database applications</w:t>
              </w:r>
              <w:r w:rsidR="005A6B33">
                <w:rPr>
                  <w:webHidden/>
                </w:rPr>
                <w:tab/>
              </w:r>
              <w:r w:rsidR="005A6B33">
                <w:rPr>
                  <w:webHidden/>
                </w:rPr>
                <w:fldChar w:fldCharType="begin"/>
              </w:r>
              <w:r w:rsidR="005A6B33">
                <w:rPr>
                  <w:webHidden/>
                </w:rPr>
                <w:instrText xml:space="preserve"> PAGEREF _Toc179221080 \h </w:instrText>
              </w:r>
              <w:r w:rsidR="005A6B33">
                <w:rPr>
                  <w:webHidden/>
                </w:rPr>
              </w:r>
              <w:r w:rsidR="005A6B33">
                <w:rPr>
                  <w:webHidden/>
                </w:rPr>
                <w:fldChar w:fldCharType="separate"/>
              </w:r>
              <w:r w:rsidR="00C63EF5">
                <w:rPr>
                  <w:webHidden/>
                </w:rPr>
                <w:t>29</w:t>
              </w:r>
              <w:r w:rsidR="005A6B33">
                <w:rPr>
                  <w:webHidden/>
                </w:rPr>
                <w:fldChar w:fldCharType="end"/>
              </w:r>
            </w:hyperlink>
          </w:p>
          <w:p w14:paraId="7AD2D52D" w14:textId="764C10B2"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81" w:history="1">
              <w:r w:rsidR="005A6B33" w:rsidRPr="00164F0E">
                <w:rPr>
                  <w:rStyle w:val="Hyperlink"/>
                </w:rPr>
                <w:t>12.1</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Tools and Applications</w:t>
              </w:r>
              <w:r w:rsidR="005A6B33">
                <w:rPr>
                  <w:webHidden/>
                </w:rPr>
                <w:tab/>
              </w:r>
              <w:r w:rsidR="005A6B33">
                <w:rPr>
                  <w:webHidden/>
                </w:rPr>
                <w:fldChar w:fldCharType="begin"/>
              </w:r>
              <w:r w:rsidR="005A6B33">
                <w:rPr>
                  <w:webHidden/>
                </w:rPr>
                <w:instrText xml:space="preserve"> PAGEREF _Toc179221081 \h </w:instrText>
              </w:r>
              <w:r w:rsidR="005A6B33">
                <w:rPr>
                  <w:webHidden/>
                </w:rPr>
              </w:r>
              <w:r w:rsidR="005A6B33">
                <w:rPr>
                  <w:webHidden/>
                </w:rPr>
                <w:fldChar w:fldCharType="separate"/>
              </w:r>
              <w:r w:rsidR="00C63EF5">
                <w:rPr>
                  <w:webHidden/>
                </w:rPr>
                <w:t>29</w:t>
              </w:r>
              <w:r w:rsidR="005A6B33">
                <w:rPr>
                  <w:webHidden/>
                </w:rPr>
                <w:fldChar w:fldCharType="end"/>
              </w:r>
            </w:hyperlink>
          </w:p>
          <w:p w14:paraId="05491AAF" w14:textId="2830BB3F" w:rsidR="005A6B33" w:rsidRDefault="00327645">
            <w:pPr>
              <w:pStyle w:val="TOC2"/>
              <w:tabs>
                <w:tab w:val="left" w:pos="1531"/>
              </w:tabs>
              <w:rPr>
                <w:rFonts w:asciiTheme="minorHAnsi" w:eastAsiaTheme="minorEastAsia" w:hAnsiTheme="minorHAnsi" w:cstheme="minorBidi"/>
                <w:kern w:val="2"/>
                <w:szCs w:val="24"/>
                <w:lang w:eastAsia="zh-CN"/>
                <w14:ligatures w14:val="standardContextual"/>
              </w:rPr>
            </w:pPr>
            <w:hyperlink w:anchor="_Toc179221082" w:history="1">
              <w:r w:rsidR="005A6B33" w:rsidRPr="00164F0E">
                <w:rPr>
                  <w:rStyle w:val="Hyperlink"/>
                </w:rPr>
                <w:t>12.2</w:t>
              </w:r>
              <w:r w:rsidR="005A6B33">
                <w:rPr>
                  <w:rFonts w:asciiTheme="minorHAnsi" w:eastAsiaTheme="minorEastAsia" w:hAnsiTheme="minorHAnsi" w:cstheme="minorBidi"/>
                  <w:kern w:val="2"/>
                  <w:szCs w:val="24"/>
                  <w:lang w:eastAsia="zh-CN"/>
                  <w14:ligatures w14:val="standardContextual"/>
                </w:rPr>
                <w:tab/>
              </w:r>
              <w:r w:rsidR="005A6B33" w:rsidRPr="00164F0E">
                <w:rPr>
                  <w:rStyle w:val="Hyperlink"/>
                </w:rPr>
                <w:t>Web applications</w:t>
              </w:r>
              <w:r w:rsidR="005A6B33">
                <w:rPr>
                  <w:webHidden/>
                </w:rPr>
                <w:tab/>
              </w:r>
              <w:r w:rsidR="005A6B33">
                <w:rPr>
                  <w:webHidden/>
                </w:rPr>
                <w:fldChar w:fldCharType="begin"/>
              </w:r>
              <w:r w:rsidR="005A6B33">
                <w:rPr>
                  <w:webHidden/>
                </w:rPr>
                <w:instrText xml:space="preserve"> PAGEREF _Toc179221082 \h </w:instrText>
              </w:r>
              <w:r w:rsidR="005A6B33">
                <w:rPr>
                  <w:webHidden/>
                </w:rPr>
              </w:r>
              <w:r w:rsidR="005A6B33">
                <w:rPr>
                  <w:webHidden/>
                </w:rPr>
                <w:fldChar w:fldCharType="separate"/>
              </w:r>
              <w:r w:rsidR="00C63EF5">
                <w:rPr>
                  <w:webHidden/>
                </w:rPr>
                <w:t>30</w:t>
              </w:r>
              <w:r w:rsidR="005A6B33">
                <w:rPr>
                  <w:webHidden/>
                </w:rPr>
                <w:fldChar w:fldCharType="end"/>
              </w:r>
            </w:hyperlink>
          </w:p>
          <w:p w14:paraId="60915E73" w14:textId="5B1BB3CA" w:rsidR="005A6B33" w:rsidRDefault="00327645">
            <w:pPr>
              <w:pStyle w:val="TOC1"/>
              <w:rPr>
                <w:rFonts w:asciiTheme="minorHAnsi" w:eastAsiaTheme="minorEastAsia" w:hAnsiTheme="minorHAnsi" w:cstheme="minorBidi"/>
                <w:kern w:val="2"/>
                <w:szCs w:val="24"/>
                <w:lang w:eastAsia="zh-CN"/>
                <w14:ligatures w14:val="standardContextual"/>
              </w:rPr>
            </w:pPr>
            <w:hyperlink w:anchor="_Toc179221083" w:history="1">
              <w:r w:rsidR="005A6B33" w:rsidRPr="00164F0E">
                <w:rPr>
                  <w:rStyle w:val="Hyperlink"/>
                </w:rPr>
                <w:t>Appendix I: Non-attendance of vice-chairs</w:t>
              </w:r>
              <w:r w:rsidR="005A6B33">
                <w:rPr>
                  <w:webHidden/>
                </w:rPr>
                <w:tab/>
              </w:r>
              <w:r w:rsidR="005A6B33">
                <w:rPr>
                  <w:webHidden/>
                </w:rPr>
                <w:fldChar w:fldCharType="begin"/>
              </w:r>
              <w:r w:rsidR="005A6B33">
                <w:rPr>
                  <w:webHidden/>
                </w:rPr>
                <w:instrText xml:space="preserve"> PAGEREF _Toc179221083 \h </w:instrText>
              </w:r>
              <w:r w:rsidR="005A6B33">
                <w:rPr>
                  <w:webHidden/>
                </w:rPr>
              </w:r>
              <w:r w:rsidR="005A6B33">
                <w:rPr>
                  <w:webHidden/>
                </w:rPr>
                <w:fldChar w:fldCharType="separate"/>
              </w:r>
              <w:r w:rsidR="00C63EF5">
                <w:rPr>
                  <w:webHidden/>
                </w:rPr>
                <w:t>34</w:t>
              </w:r>
              <w:r w:rsidR="005A6B33">
                <w:rPr>
                  <w:webHidden/>
                </w:rPr>
                <w:fldChar w:fldCharType="end"/>
              </w:r>
            </w:hyperlink>
          </w:p>
          <w:p w14:paraId="18ADCC67" w14:textId="43E1486E" w:rsidR="002726B3" w:rsidRPr="0060241A" w:rsidRDefault="002726B3" w:rsidP="00622B4A">
            <w:pPr>
              <w:pStyle w:val="TableofFigures"/>
              <w:rPr>
                <w:rFonts w:eastAsia="Times New Roman"/>
              </w:rPr>
            </w:pPr>
            <w:r>
              <w:rPr>
                <w:rFonts w:eastAsia="Batang"/>
              </w:rPr>
              <w:fldChar w:fldCharType="end"/>
            </w:r>
          </w:p>
        </w:tc>
      </w:tr>
    </w:tbl>
    <w:p w14:paraId="071436E4" w14:textId="77777777" w:rsidR="002726B3" w:rsidRDefault="002726B3" w:rsidP="00622B4A"/>
    <w:p w14:paraId="2D8A7E7A" w14:textId="77777777" w:rsidR="002726B3" w:rsidRPr="001E1939" w:rsidRDefault="002726B3" w:rsidP="00622B4A">
      <w:pPr>
        <w:keepNext/>
        <w:jc w:val="center"/>
        <w:rPr>
          <w:b/>
          <w:bCs/>
        </w:rPr>
      </w:pPr>
      <w:r w:rsidRPr="001E1939">
        <w:rPr>
          <w:b/>
          <w:bCs/>
        </w:rPr>
        <w:lastRenderedPageBreak/>
        <w:t>List of Tables</w:t>
      </w:r>
    </w:p>
    <w:tbl>
      <w:tblPr>
        <w:tblW w:w="9889" w:type="dxa"/>
        <w:tblLayout w:type="fixed"/>
        <w:tblLook w:val="04A0" w:firstRow="1" w:lastRow="0" w:firstColumn="1" w:lastColumn="0" w:noHBand="0" w:noVBand="1"/>
      </w:tblPr>
      <w:tblGrid>
        <w:gridCol w:w="9889"/>
      </w:tblGrid>
      <w:tr w:rsidR="002726B3" w:rsidRPr="00D8148E" w14:paraId="1781BAF3" w14:textId="77777777" w:rsidTr="00622B4A">
        <w:trPr>
          <w:tblHeader/>
        </w:trPr>
        <w:tc>
          <w:tcPr>
            <w:tcW w:w="9889" w:type="dxa"/>
          </w:tcPr>
          <w:p w14:paraId="3522EA42" w14:textId="77777777" w:rsidR="002726B3" w:rsidRPr="00D8148E" w:rsidRDefault="002726B3" w:rsidP="00622B4A">
            <w:pPr>
              <w:pStyle w:val="toc0"/>
              <w:keepNext/>
            </w:pPr>
            <w:r w:rsidRPr="00D8148E">
              <w:tab/>
              <w:t>Page</w:t>
            </w:r>
          </w:p>
        </w:tc>
      </w:tr>
      <w:tr w:rsidR="002726B3" w:rsidRPr="00D8148E" w14:paraId="475F9214" w14:textId="77777777" w:rsidTr="00622B4A">
        <w:tc>
          <w:tcPr>
            <w:tcW w:w="9889" w:type="dxa"/>
          </w:tcPr>
          <w:p w14:paraId="5B445E31" w14:textId="7AE3BB54" w:rsidR="00C63EF5" w:rsidRDefault="002726B3">
            <w:pPr>
              <w:pStyle w:val="TableofFigures"/>
              <w:rPr>
                <w:rFonts w:asciiTheme="minorHAnsi" w:eastAsiaTheme="minorEastAsia" w:hAnsiTheme="minorHAnsi" w:cstheme="minorBidi"/>
                <w:noProof/>
                <w:kern w:val="2"/>
                <w14:ligatures w14:val="standardContextual"/>
              </w:rPr>
            </w:pPr>
            <w:r w:rsidRPr="0060241A">
              <w:rPr>
                <w:rFonts w:eastAsia="Times New Roman"/>
              </w:rPr>
              <w:fldChar w:fldCharType="begin"/>
            </w:r>
            <w:r w:rsidRPr="0060241A">
              <w:rPr>
                <w:rFonts w:eastAsia="Times New Roman"/>
              </w:rPr>
              <w:instrText xml:space="preserve"> TOC \h \z \t "Table_No &amp; title</w:instrText>
            </w:r>
            <w:r>
              <w:rPr>
                <w:rFonts w:eastAsia="Times New Roman"/>
              </w:rPr>
              <w:instrText>" \t "</w:instrText>
            </w:r>
            <w:r w:rsidRPr="0060241A">
              <w:rPr>
                <w:rFonts w:eastAsia="Times New Roman"/>
              </w:rPr>
              <w:instrText>Table</w:instrText>
            </w:r>
            <w:r>
              <w:rPr>
                <w:rFonts w:eastAsia="Times New Roman"/>
              </w:rPr>
              <w:instrText>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179232460" w:history="1">
              <w:r w:rsidR="00C63EF5" w:rsidRPr="00DB77BB">
                <w:rPr>
                  <w:rStyle w:val="Hyperlink"/>
                  <w:noProof/>
                </w:rPr>
                <w:t>Table 1 – List of concluded ITU-T focus groups in the 2022-2024 study period</w:t>
              </w:r>
              <w:r w:rsidR="00C63EF5">
                <w:rPr>
                  <w:noProof/>
                  <w:webHidden/>
                </w:rPr>
                <w:tab/>
              </w:r>
              <w:r w:rsidR="00C63EF5">
                <w:rPr>
                  <w:noProof/>
                  <w:webHidden/>
                </w:rPr>
                <w:fldChar w:fldCharType="begin"/>
              </w:r>
              <w:r w:rsidR="00C63EF5">
                <w:rPr>
                  <w:noProof/>
                  <w:webHidden/>
                </w:rPr>
                <w:instrText xml:space="preserve"> PAGEREF _Toc179232460 \h </w:instrText>
              </w:r>
              <w:r w:rsidR="00C63EF5">
                <w:rPr>
                  <w:noProof/>
                  <w:webHidden/>
                </w:rPr>
              </w:r>
              <w:r w:rsidR="00C63EF5">
                <w:rPr>
                  <w:noProof/>
                  <w:webHidden/>
                </w:rPr>
                <w:fldChar w:fldCharType="separate"/>
              </w:r>
              <w:r w:rsidR="00C63EF5">
                <w:rPr>
                  <w:noProof/>
                  <w:webHidden/>
                </w:rPr>
                <w:t>7</w:t>
              </w:r>
              <w:r w:rsidR="00C63EF5">
                <w:rPr>
                  <w:noProof/>
                  <w:webHidden/>
                </w:rPr>
                <w:fldChar w:fldCharType="end"/>
              </w:r>
            </w:hyperlink>
          </w:p>
          <w:p w14:paraId="68DE541E" w14:textId="4EEC8366" w:rsidR="00C63EF5" w:rsidRDefault="00327645">
            <w:pPr>
              <w:pStyle w:val="TableofFigures"/>
              <w:rPr>
                <w:rFonts w:asciiTheme="minorHAnsi" w:eastAsiaTheme="minorEastAsia" w:hAnsiTheme="minorHAnsi" w:cstheme="minorBidi"/>
                <w:noProof/>
                <w:kern w:val="2"/>
                <w14:ligatures w14:val="standardContextual"/>
              </w:rPr>
            </w:pPr>
            <w:hyperlink w:anchor="_Toc179232461" w:history="1">
              <w:r w:rsidR="00C63EF5" w:rsidRPr="00DB77BB">
                <w:rPr>
                  <w:rStyle w:val="Hyperlink"/>
                  <w:noProof/>
                </w:rPr>
                <w:t>Table 2 – Evolution of ITU-T membership since 2012</w:t>
              </w:r>
              <w:r w:rsidR="00C63EF5">
                <w:rPr>
                  <w:noProof/>
                  <w:webHidden/>
                </w:rPr>
                <w:tab/>
              </w:r>
              <w:r w:rsidR="00C63EF5">
                <w:rPr>
                  <w:noProof/>
                  <w:webHidden/>
                </w:rPr>
                <w:fldChar w:fldCharType="begin"/>
              </w:r>
              <w:r w:rsidR="00C63EF5">
                <w:rPr>
                  <w:noProof/>
                  <w:webHidden/>
                </w:rPr>
                <w:instrText xml:space="preserve"> PAGEREF _Toc179232461 \h </w:instrText>
              </w:r>
              <w:r w:rsidR="00C63EF5">
                <w:rPr>
                  <w:noProof/>
                  <w:webHidden/>
                </w:rPr>
              </w:r>
              <w:r w:rsidR="00C63EF5">
                <w:rPr>
                  <w:noProof/>
                  <w:webHidden/>
                </w:rPr>
                <w:fldChar w:fldCharType="separate"/>
              </w:r>
              <w:r w:rsidR="00C63EF5">
                <w:rPr>
                  <w:noProof/>
                  <w:webHidden/>
                </w:rPr>
                <w:t>22</w:t>
              </w:r>
              <w:r w:rsidR="00C63EF5">
                <w:rPr>
                  <w:noProof/>
                  <w:webHidden/>
                </w:rPr>
                <w:fldChar w:fldCharType="end"/>
              </w:r>
            </w:hyperlink>
          </w:p>
          <w:p w14:paraId="344DE654" w14:textId="5C0BC393" w:rsidR="00C63EF5" w:rsidRDefault="00327645">
            <w:pPr>
              <w:pStyle w:val="TableofFigures"/>
              <w:rPr>
                <w:rFonts w:asciiTheme="minorHAnsi" w:eastAsiaTheme="minorEastAsia" w:hAnsiTheme="minorHAnsi" w:cstheme="minorBidi"/>
                <w:noProof/>
                <w:kern w:val="2"/>
                <w14:ligatures w14:val="standardContextual"/>
              </w:rPr>
            </w:pPr>
            <w:hyperlink w:anchor="_Toc179232462" w:history="1">
              <w:r w:rsidR="00C63EF5" w:rsidRPr="00DB77BB">
                <w:rPr>
                  <w:rStyle w:val="Hyperlink"/>
                  <w:noProof/>
                </w:rPr>
                <w:t>Table 3 – List of mailing lists and subscribers in the 2022-2024 study period</w:t>
              </w:r>
              <w:r w:rsidR="00C63EF5">
                <w:rPr>
                  <w:noProof/>
                  <w:webHidden/>
                </w:rPr>
                <w:tab/>
              </w:r>
              <w:r w:rsidR="00C63EF5">
                <w:rPr>
                  <w:noProof/>
                  <w:webHidden/>
                </w:rPr>
                <w:fldChar w:fldCharType="begin"/>
              </w:r>
              <w:r w:rsidR="00C63EF5">
                <w:rPr>
                  <w:noProof/>
                  <w:webHidden/>
                </w:rPr>
                <w:instrText xml:space="preserve"> PAGEREF _Toc179232462 \h </w:instrText>
              </w:r>
              <w:r w:rsidR="00C63EF5">
                <w:rPr>
                  <w:noProof/>
                  <w:webHidden/>
                </w:rPr>
              </w:r>
              <w:r w:rsidR="00C63EF5">
                <w:rPr>
                  <w:noProof/>
                  <w:webHidden/>
                </w:rPr>
                <w:fldChar w:fldCharType="separate"/>
              </w:r>
              <w:r w:rsidR="00C63EF5">
                <w:rPr>
                  <w:noProof/>
                  <w:webHidden/>
                </w:rPr>
                <w:t>33</w:t>
              </w:r>
              <w:r w:rsidR="00C63EF5">
                <w:rPr>
                  <w:noProof/>
                  <w:webHidden/>
                </w:rPr>
                <w:fldChar w:fldCharType="end"/>
              </w:r>
            </w:hyperlink>
          </w:p>
          <w:p w14:paraId="66EDAF00" w14:textId="2B89FFC8" w:rsidR="002726B3" w:rsidRPr="0060241A" w:rsidRDefault="002726B3" w:rsidP="00622B4A">
            <w:pPr>
              <w:pStyle w:val="TableofFigures"/>
              <w:rPr>
                <w:rFonts w:eastAsia="Times New Roman"/>
              </w:rPr>
            </w:pPr>
            <w:r w:rsidRPr="0060241A">
              <w:rPr>
                <w:rFonts w:eastAsia="Times New Roman"/>
              </w:rPr>
              <w:fldChar w:fldCharType="end"/>
            </w:r>
          </w:p>
        </w:tc>
      </w:tr>
    </w:tbl>
    <w:p w14:paraId="3873E581" w14:textId="77777777" w:rsidR="002726B3" w:rsidRDefault="002726B3" w:rsidP="00622B4A"/>
    <w:p w14:paraId="51385057" w14:textId="77777777" w:rsidR="002726B3" w:rsidRPr="001E1939" w:rsidRDefault="002726B3" w:rsidP="00622B4A">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2726B3" w:rsidRPr="00D8148E" w14:paraId="56A8C99D" w14:textId="77777777" w:rsidTr="00622B4A">
        <w:trPr>
          <w:tblHeader/>
        </w:trPr>
        <w:tc>
          <w:tcPr>
            <w:tcW w:w="9889" w:type="dxa"/>
          </w:tcPr>
          <w:p w14:paraId="786F0892" w14:textId="77777777" w:rsidR="002726B3" w:rsidRPr="00D8148E" w:rsidRDefault="002726B3" w:rsidP="00622B4A">
            <w:pPr>
              <w:pStyle w:val="toc0"/>
              <w:keepNext/>
            </w:pPr>
            <w:r w:rsidRPr="00D8148E">
              <w:tab/>
              <w:t>Page</w:t>
            </w:r>
          </w:p>
        </w:tc>
      </w:tr>
      <w:tr w:rsidR="002726B3" w:rsidRPr="00D8148E" w14:paraId="7F8F6601" w14:textId="77777777" w:rsidTr="00622B4A">
        <w:tc>
          <w:tcPr>
            <w:tcW w:w="9889" w:type="dxa"/>
          </w:tcPr>
          <w:p w14:paraId="7CA35912" w14:textId="5515BCC9" w:rsidR="005A6B33" w:rsidRDefault="002726B3">
            <w:pPr>
              <w:pStyle w:val="TableofFigures"/>
              <w:rPr>
                <w:rFonts w:asciiTheme="minorHAnsi" w:eastAsiaTheme="minorEastAsia" w:hAnsiTheme="minorHAnsi" w:cstheme="minorBidi"/>
                <w:noProof/>
                <w:kern w:val="2"/>
                <w:lang w:eastAsia="zh-CN"/>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179221086" w:history="1">
              <w:r w:rsidR="005A6B33" w:rsidRPr="00C570A4">
                <w:rPr>
                  <w:rStyle w:val="Hyperlink"/>
                  <w:noProof/>
                </w:rPr>
                <w:t>Figure 1 – Remote participation and e-meetings</w:t>
              </w:r>
              <w:r w:rsidR="005A6B33">
                <w:rPr>
                  <w:noProof/>
                  <w:webHidden/>
                </w:rPr>
                <w:tab/>
              </w:r>
              <w:r w:rsidR="005A6B33">
                <w:rPr>
                  <w:noProof/>
                  <w:webHidden/>
                </w:rPr>
                <w:fldChar w:fldCharType="begin"/>
              </w:r>
              <w:r w:rsidR="005A6B33">
                <w:rPr>
                  <w:noProof/>
                  <w:webHidden/>
                </w:rPr>
                <w:instrText xml:space="preserve"> PAGEREF _Toc179221086 \h </w:instrText>
              </w:r>
              <w:r w:rsidR="005A6B33">
                <w:rPr>
                  <w:noProof/>
                  <w:webHidden/>
                </w:rPr>
              </w:r>
              <w:r w:rsidR="005A6B33">
                <w:rPr>
                  <w:noProof/>
                  <w:webHidden/>
                </w:rPr>
                <w:fldChar w:fldCharType="separate"/>
              </w:r>
              <w:r w:rsidR="00C63EF5">
                <w:rPr>
                  <w:noProof/>
                  <w:webHidden/>
                </w:rPr>
                <w:t>8</w:t>
              </w:r>
              <w:r w:rsidR="005A6B33">
                <w:rPr>
                  <w:noProof/>
                  <w:webHidden/>
                </w:rPr>
                <w:fldChar w:fldCharType="end"/>
              </w:r>
            </w:hyperlink>
          </w:p>
          <w:p w14:paraId="219CF310" w14:textId="2CE8BDC3"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87" w:history="1">
              <w:r w:rsidR="005A6B33" w:rsidRPr="00C570A4">
                <w:rPr>
                  <w:rStyle w:val="Hyperlink"/>
                  <w:noProof/>
                </w:rPr>
                <w:t>Figure 2 – Evolution of ITU-T membership since 2012</w:t>
              </w:r>
              <w:r w:rsidR="005A6B33">
                <w:rPr>
                  <w:noProof/>
                  <w:webHidden/>
                </w:rPr>
                <w:tab/>
              </w:r>
              <w:r w:rsidR="005A6B33">
                <w:rPr>
                  <w:noProof/>
                  <w:webHidden/>
                </w:rPr>
                <w:fldChar w:fldCharType="begin"/>
              </w:r>
              <w:r w:rsidR="005A6B33">
                <w:rPr>
                  <w:noProof/>
                  <w:webHidden/>
                </w:rPr>
                <w:instrText xml:space="preserve"> PAGEREF _Toc179221087 \h </w:instrText>
              </w:r>
              <w:r w:rsidR="005A6B33">
                <w:rPr>
                  <w:noProof/>
                  <w:webHidden/>
                </w:rPr>
              </w:r>
              <w:r w:rsidR="005A6B33">
                <w:rPr>
                  <w:noProof/>
                  <w:webHidden/>
                </w:rPr>
                <w:fldChar w:fldCharType="separate"/>
              </w:r>
              <w:r w:rsidR="00C63EF5">
                <w:rPr>
                  <w:noProof/>
                  <w:webHidden/>
                </w:rPr>
                <w:t>22</w:t>
              </w:r>
              <w:r w:rsidR="005A6B33">
                <w:rPr>
                  <w:noProof/>
                  <w:webHidden/>
                </w:rPr>
                <w:fldChar w:fldCharType="end"/>
              </w:r>
            </w:hyperlink>
          </w:p>
          <w:p w14:paraId="1D257977" w14:textId="2CEC5572"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88" w:history="1">
              <w:r w:rsidR="005A6B33" w:rsidRPr="00C570A4">
                <w:rPr>
                  <w:rStyle w:val="Hyperlink"/>
                  <w:noProof/>
                </w:rPr>
                <w:t>Figure 3 – Awarded fellowships by region</w:t>
              </w:r>
              <w:r w:rsidR="005A6B33">
                <w:rPr>
                  <w:noProof/>
                  <w:webHidden/>
                </w:rPr>
                <w:tab/>
              </w:r>
              <w:r w:rsidR="005A6B33">
                <w:rPr>
                  <w:noProof/>
                  <w:webHidden/>
                </w:rPr>
                <w:fldChar w:fldCharType="begin"/>
              </w:r>
              <w:r w:rsidR="005A6B33">
                <w:rPr>
                  <w:noProof/>
                  <w:webHidden/>
                </w:rPr>
                <w:instrText xml:space="preserve"> PAGEREF _Toc179221088 \h </w:instrText>
              </w:r>
              <w:r w:rsidR="005A6B33">
                <w:rPr>
                  <w:noProof/>
                  <w:webHidden/>
                </w:rPr>
              </w:r>
              <w:r w:rsidR="005A6B33">
                <w:rPr>
                  <w:noProof/>
                  <w:webHidden/>
                </w:rPr>
                <w:fldChar w:fldCharType="separate"/>
              </w:r>
              <w:r w:rsidR="00C63EF5">
                <w:rPr>
                  <w:noProof/>
                  <w:webHidden/>
                </w:rPr>
                <w:t>24</w:t>
              </w:r>
              <w:r w:rsidR="005A6B33">
                <w:rPr>
                  <w:noProof/>
                  <w:webHidden/>
                </w:rPr>
                <w:fldChar w:fldCharType="end"/>
              </w:r>
            </w:hyperlink>
          </w:p>
          <w:p w14:paraId="41B19D1A" w14:textId="206EDC51"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89" w:history="1">
              <w:r w:rsidR="005A6B33" w:rsidRPr="00C570A4">
                <w:rPr>
                  <w:rStyle w:val="Hyperlink"/>
                  <w:noProof/>
                </w:rPr>
                <w:t>Figure 4 – Awarded fellowships by gender</w:t>
              </w:r>
              <w:r w:rsidR="005A6B33">
                <w:rPr>
                  <w:noProof/>
                  <w:webHidden/>
                </w:rPr>
                <w:tab/>
              </w:r>
              <w:r w:rsidR="005A6B33">
                <w:rPr>
                  <w:noProof/>
                  <w:webHidden/>
                </w:rPr>
                <w:fldChar w:fldCharType="begin"/>
              </w:r>
              <w:r w:rsidR="005A6B33">
                <w:rPr>
                  <w:noProof/>
                  <w:webHidden/>
                </w:rPr>
                <w:instrText xml:space="preserve"> PAGEREF _Toc179221089 \h </w:instrText>
              </w:r>
              <w:r w:rsidR="005A6B33">
                <w:rPr>
                  <w:noProof/>
                  <w:webHidden/>
                </w:rPr>
              </w:r>
              <w:r w:rsidR="005A6B33">
                <w:rPr>
                  <w:noProof/>
                  <w:webHidden/>
                </w:rPr>
                <w:fldChar w:fldCharType="separate"/>
              </w:r>
              <w:r w:rsidR="00C63EF5">
                <w:rPr>
                  <w:noProof/>
                  <w:webHidden/>
                </w:rPr>
                <w:t>24</w:t>
              </w:r>
              <w:r w:rsidR="005A6B33">
                <w:rPr>
                  <w:noProof/>
                  <w:webHidden/>
                </w:rPr>
                <w:fldChar w:fldCharType="end"/>
              </w:r>
            </w:hyperlink>
          </w:p>
          <w:p w14:paraId="55E4C43D" w14:textId="6CF11A84"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90" w:history="1">
              <w:r w:rsidR="005A6B33" w:rsidRPr="00C570A4">
                <w:rPr>
                  <w:rStyle w:val="Hyperlink"/>
                  <w:noProof/>
                </w:rPr>
                <w:t>Figure 5 – Women's participation in the past three WTSA</w:t>
              </w:r>
              <w:r w:rsidR="005A6B33">
                <w:rPr>
                  <w:noProof/>
                  <w:webHidden/>
                </w:rPr>
                <w:tab/>
              </w:r>
              <w:r w:rsidR="005A6B33">
                <w:rPr>
                  <w:noProof/>
                  <w:webHidden/>
                </w:rPr>
                <w:fldChar w:fldCharType="begin"/>
              </w:r>
              <w:r w:rsidR="005A6B33">
                <w:rPr>
                  <w:noProof/>
                  <w:webHidden/>
                </w:rPr>
                <w:instrText xml:space="preserve"> PAGEREF _Toc179221090 \h </w:instrText>
              </w:r>
              <w:r w:rsidR="005A6B33">
                <w:rPr>
                  <w:noProof/>
                  <w:webHidden/>
                </w:rPr>
              </w:r>
              <w:r w:rsidR="005A6B33">
                <w:rPr>
                  <w:noProof/>
                  <w:webHidden/>
                </w:rPr>
                <w:fldChar w:fldCharType="separate"/>
              </w:r>
              <w:r w:rsidR="00C63EF5">
                <w:rPr>
                  <w:noProof/>
                  <w:webHidden/>
                </w:rPr>
                <w:t>26</w:t>
              </w:r>
              <w:r w:rsidR="005A6B33">
                <w:rPr>
                  <w:noProof/>
                  <w:webHidden/>
                </w:rPr>
                <w:fldChar w:fldCharType="end"/>
              </w:r>
            </w:hyperlink>
          </w:p>
          <w:p w14:paraId="4449312D" w14:textId="601F3F96"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91" w:history="1">
              <w:r w:rsidR="005A6B33" w:rsidRPr="00C570A4">
                <w:rPr>
                  <w:rStyle w:val="Hyperlink"/>
                  <w:noProof/>
                </w:rPr>
                <w:t>Figure 6 – Women's share of ITU-T leadership position and participation in study groups and regional groups within study groups</w:t>
              </w:r>
              <w:r w:rsidR="005A6B33">
                <w:rPr>
                  <w:noProof/>
                  <w:webHidden/>
                </w:rPr>
                <w:tab/>
              </w:r>
              <w:r w:rsidR="005A6B33">
                <w:rPr>
                  <w:noProof/>
                  <w:webHidden/>
                </w:rPr>
                <w:fldChar w:fldCharType="begin"/>
              </w:r>
              <w:r w:rsidR="005A6B33">
                <w:rPr>
                  <w:noProof/>
                  <w:webHidden/>
                </w:rPr>
                <w:instrText xml:space="preserve"> PAGEREF _Toc179221091 \h </w:instrText>
              </w:r>
              <w:r w:rsidR="005A6B33">
                <w:rPr>
                  <w:noProof/>
                  <w:webHidden/>
                </w:rPr>
              </w:r>
              <w:r w:rsidR="005A6B33">
                <w:rPr>
                  <w:noProof/>
                  <w:webHidden/>
                </w:rPr>
                <w:fldChar w:fldCharType="separate"/>
              </w:r>
              <w:r w:rsidR="00C63EF5">
                <w:rPr>
                  <w:noProof/>
                  <w:webHidden/>
                </w:rPr>
                <w:t>26</w:t>
              </w:r>
              <w:r w:rsidR="005A6B33">
                <w:rPr>
                  <w:noProof/>
                  <w:webHidden/>
                </w:rPr>
                <w:fldChar w:fldCharType="end"/>
              </w:r>
            </w:hyperlink>
          </w:p>
          <w:p w14:paraId="46F05D18" w14:textId="48323521"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92" w:history="1">
              <w:r w:rsidR="005A6B33" w:rsidRPr="00C570A4">
                <w:rPr>
                  <w:rStyle w:val="Hyperlink"/>
                  <w:noProof/>
                </w:rPr>
                <w:t>Figure 7 – Women's participation in ITU-T statutory meetings by study period</w:t>
              </w:r>
              <w:r w:rsidR="005A6B33">
                <w:rPr>
                  <w:noProof/>
                  <w:webHidden/>
                </w:rPr>
                <w:tab/>
              </w:r>
              <w:r w:rsidR="005A6B33">
                <w:rPr>
                  <w:noProof/>
                  <w:webHidden/>
                </w:rPr>
                <w:fldChar w:fldCharType="begin"/>
              </w:r>
              <w:r w:rsidR="005A6B33">
                <w:rPr>
                  <w:noProof/>
                  <w:webHidden/>
                </w:rPr>
                <w:instrText xml:space="preserve"> PAGEREF _Toc179221092 \h </w:instrText>
              </w:r>
              <w:r w:rsidR="005A6B33">
                <w:rPr>
                  <w:noProof/>
                  <w:webHidden/>
                </w:rPr>
              </w:r>
              <w:r w:rsidR="005A6B33">
                <w:rPr>
                  <w:noProof/>
                  <w:webHidden/>
                </w:rPr>
                <w:fldChar w:fldCharType="separate"/>
              </w:r>
              <w:r w:rsidR="00C63EF5">
                <w:rPr>
                  <w:noProof/>
                  <w:webHidden/>
                </w:rPr>
                <w:t>26</w:t>
              </w:r>
              <w:r w:rsidR="005A6B33">
                <w:rPr>
                  <w:noProof/>
                  <w:webHidden/>
                </w:rPr>
                <w:fldChar w:fldCharType="end"/>
              </w:r>
            </w:hyperlink>
          </w:p>
          <w:p w14:paraId="0E304214" w14:textId="44365129" w:rsidR="005A6B33" w:rsidRDefault="00327645">
            <w:pPr>
              <w:pStyle w:val="TableofFigures"/>
              <w:rPr>
                <w:rFonts w:asciiTheme="minorHAnsi" w:eastAsiaTheme="minorEastAsia" w:hAnsiTheme="minorHAnsi" w:cstheme="minorBidi"/>
                <w:noProof/>
                <w:kern w:val="2"/>
                <w:lang w:eastAsia="zh-CN"/>
                <w14:ligatures w14:val="standardContextual"/>
              </w:rPr>
            </w:pPr>
            <w:hyperlink w:anchor="_Toc179221093" w:history="1">
              <w:r w:rsidR="005A6B33" w:rsidRPr="00C570A4">
                <w:rPr>
                  <w:rStyle w:val="Hyperlink"/>
                  <w:noProof/>
                </w:rPr>
                <w:t>Figure 8 – Number of Recommendations, amendments and Supplements  published per year since 2022</w:t>
              </w:r>
              <w:r w:rsidR="005A6B33">
                <w:rPr>
                  <w:noProof/>
                  <w:webHidden/>
                </w:rPr>
                <w:tab/>
              </w:r>
              <w:r w:rsidR="005A6B33">
                <w:rPr>
                  <w:noProof/>
                  <w:webHidden/>
                </w:rPr>
                <w:fldChar w:fldCharType="begin"/>
              </w:r>
              <w:r w:rsidR="005A6B33">
                <w:rPr>
                  <w:noProof/>
                  <w:webHidden/>
                </w:rPr>
                <w:instrText xml:space="preserve"> PAGEREF _Toc179221093 \h </w:instrText>
              </w:r>
              <w:r w:rsidR="005A6B33">
                <w:rPr>
                  <w:noProof/>
                  <w:webHidden/>
                </w:rPr>
              </w:r>
              <w:r w:rsidR="005A6B33">
                <w:rPr>
                  <w:noProof/>
                  <w:webHidden/>
                </w:rPr>
                <w:fldChar w:fldCharType="separate"/>
              </w:r>
              <w:r w:rsidR="00C63EF5">
                <w:rPr>
                  <w:noProof/>
                  <w:webHidden/>
                </w:rPr>
                <w:t>27</w:t>
              </w:r>
              <w:r w:rsidR="005A6B33">
                <w:rPr>
                  <w:noProof/>
                  <w:webHidden/>
                </w:rPr>
                <w:fldChar w:fldCharType="end"/>
              </w:r>
            </w:hyperlink>
          </w:p>
          <w:p w14:paraId="244B808D" w14:textId="6C63C35E" w:rsidR="002726B3" w:rsidRPr="0060241A" w:rsidRDefault="002726B3" w:rsidP="00622B4A">
            <w:pPr>
              <w:pStyle w:val="TableofFigures"/>
              <w:rPr>
                <w:rFonts w:eastAsia="Times New Roman"/>
              </w:rPr>
            </w:pPr>
            <w:r w:rsidRPr="0060241A">
              <w:rPr>
                <w:rFonts w:eastAsia="Times New Roman"/>
              </w:rPr>
              <w:fldChar w:fldCharType="end"/>
            </w:r>
          </w:p>
        </w:tc>
      </w:tr>
    </w:tbl>
    <w:p w14:paraId="3B492AD3" w14:textId="77777777" w:rsidR="002726B3" w:rsidRPr="007F15CA" w:rsidRDefault="002726B3" w:rsidP="00622B4A"/>
    <w:p w14:paraId="4B116658" w14:textId="35166539" w:rsidR="002726B3" w:rsidRPr="002726B3" w:rsidRDefault="002726B3" w:rsidP="002726B3">
      <w:pPr>
        <w:rPr>
          <w:highlight w:val="yellow"/>
        </w:rPr>
      </w:pPr>
      <w:r w:rsidRPr="002726B3">
        <w:rPr>
          <w:highlight w:val="yellow"/>
        </w:rPr>
        <w:br w:type="page"/>
      </w:r>
    </w:p>
    <w:p w14:paraId="507ABA7D" w14:textId="6F087B1C" w:rsidR="00AE5DF9" w:rsidRPr="008C152A" w:rsidRDefault="00136E7B" w:rsidP="008C152A">
      <w:pPr>
        <w:pStyle w:val="Heading1"/>
        <w:jc w:val="center"/>
        <w:rPr>
          <w:rFonts w:ascii="Times New Roman Bold" w:hAnsi="Times New Roman Bold" w:cs="Times New Roman Bold"/>
          <w:caps/>
        </w:rPr>
      </w:pPr>
      <w:bookmarkStart w:id="3" w:name="_Toc480527764"/>
      <w:bookmarkStart w:id="4" w:name="_Toc179219746"/>
      <w:bookmarkStart w:id="5" w:name="_Toc179221056"/>
      <w:r w:rsidRPr="008C152A">
        <w:rPr>
          <w:rFonts w:ascii="Times New Roman Bold" w:hAnsi="Times New Roman Bold" w:cs="Times New Roman Bold"/>
          <w:caps/>
        </w:rPr>
        <w:lastRenderedPageBreak/>
        <w:t>Executive Summary</w:t>
      </w:r>
      <w:bookmarkEnd w:id="3"/>
      <w:bookmarkEnd w:id="4"/>
      <w:bookmarkEnd w:id="5"/>
    </w:p>
    <w:p w14:paraId="151C8030" w14:textId="678664B0" w:rsidR="00A26387" w:rsidRPr="00C57224" w:rsidRDefault="00904210" w:rsidP="00904210">
      <w:r w:rsidRPr="00C57224">
        <w:t xml:space="preserve">ITU approved </w:t>
      </w:r>
      <w:r w:rsidR="001B037E" w:rsidRPr="00C57224">
        <w:t>over</w:t>
      </w:r>
      <w:r w:rsidR="000B5C99" w:rsidRPr="00C57224">
        <w:t xml:space="preserve"> </w:t>
      </w:r>
      <w:hyperlink r:id="rId14" w:history="1">
        <w:r w:rsidR="000B5C99" w:rsidRPr="00C57224">
          <w:rPr>
            <w:rStyle w:val="Hyperlink"/>
          </w:rPr>
          <w:t>900 new and revised ITU-T Recommendations and related texts</w:t>
        </w:r>
      </w:hyperlink>
      <w:r w:rsidR="001B037E" w:rsidRPr="00C57224">
        <w:t xml:space="preserve"> </w:t>
      </w:r>
      <w:r w:rsidR="000B5C99" w:rsidRPr="00C57224">
        <w:t xml:space="preserve">in </w:t>
      </w:r>
      <w:r w:rsidRPr="00C57224">
        <w:t xml:space="preserve">the study period. </w:t>
      </w:r>
      <w:r w:rsidR="00E0268D" w:rsidRPr="00C57224">
        <w:t xml:space="preserve">For all ITU-T Recommendations in force, see the </w:t>
      </w:r>
      <w:hyperlink r:id="rId15" w:history="1">
        <w:r w:rsidR="00E0268D" w:rsidRPr="00C57224">
          <w:rPr>
            <w:rStyle w:val="Hyperlink"/>
          </w:rPr>
          <w:t>catalogue of ITU-T Recommendations</w:t>
        </w:r>
      </w:hyperlink>
      <w:r w:rsidR="00E0268D" w:rsidRPr="00C57224">
        <w:t xml:space="preserve">. </w:t>
      </w:r>
      <w:r w:rsidRPr="00C57224">
        <w:t xml:space="preserve">Executive summaries of ITU-T study group meetings can be found on their respective </w:t>
      </w:r>
      <w:hyperlink r:id="rId16" w:history="1">
        <w:r w:rsidRPr="00C57224">
          <w:rPr>
            <w:rStyle w:val="Hyperlink"/>
          </w:rPr>
          <w:t>homepages</w:t>
        </w:r>
      </w:hyperlink>
      <w:r w:rsidRPr="00C57224">
        <w:t xml:space="preserve">. </w:t>
      </w:r>
      <w:hyperlink r:id="rId17" w:history="1">
        <w:r w:rsidRPr="00C57224">
          <w:rPr>
            <w:rStyle w:val="Hyperlink"/>
          </w:rPr>
          <w:t>WTSA-24 Contributions</w:t>
        </w:r>
      </w:hyperlink>
      <w:r w:rsidRPr="00C57224">
        <w:t xml:space="preserve"> </w:t>
      </w:r>
      <w:r w:rsidR="00873778" w:rsidRPr="00C57224">
        <w:t>numbered</w:t>
      </w:r>
      <w:r w:rsidR="000B5C99" w:rsidRPr="00C57224">
        <w:t xml:space="preserve"> one to 22 </w:t>
      </w:r>
      <w:r w:rsidR="00873778" w:rsidRPr="00C57224">
        <w:t>provide</w:t>
      </w:r>
      <w:r w:rsidRPr="00C57224">
        <w:t xml:space="preserve"> reports on study group activities and proposed Questions for the next study period. See </w:t>
      </w:r>
      <w:hyperlink w:anchor="_1_Achievements_in" w:history="1">
        <w:r w:rsidR="006B2934" w:rsidRPr="00C57224">
          <w:rPr>
            <w:rStyle w:val="Hyperlink"/>
          </w:rPr>
          <w:t>§</w:t>
        </w:r>
        <w:r w:rsidRPr="00C57224">
          <w:rPr>
            <w:rStyle w:val="Hyperlink"/>
          </w:rPr>
          <w:t>1</w:t>
        </w:r>
      </w:hyperlink>
      <w:r w:rsidRPr="00C57224">
        <w:t>.</w:t>
      </w:r>
    </w:p>
    <w:p w14:paraId="4C04376D" w14:textId="28B069ED" w:rsidR="00A26387" w:rsidRPr="00C57224" w:rsidRDefault="004F5EFE" w:rsidP="00904210">
      <w:r w:rsidRPr="00C57224">
        <w:t>Nine</w:t>
      </w:r>
      <w:r w:rsidR="00904210" w:rsidRPr="00C57224">
        <w:t xml:space="preserve"> ITU-T focus groups completed studies in the study period. </w:t>
      </w:r>
      <w:r w:rsidR="001B037E" w:rsidRPr="00C57224">
        <w:t xml:space="preserve">Two </w:t>
      </w:r>
      <w:r w:rsidR="00873778" w:rsidRPr="00C57224">
        <w:t xml:space="preserve">focus groups are active, addressing cost models for affordable data services and AI-native networks. </w:t>
      </w:r>
      <w:r w:rsidR="00904210" w:rsidRPr="00C57224">
        <w:t xml:space="preserve">Information on the activities and deliverables of ITU-T focus groups can be found on their respective </w:t>
      </w:r>
      <w:hyperlink r:id="rId18" w:history="1">
        <w:r w:rsidR="00904210" w:rsidRPr="00C57224">
          <w:rPr>
            <w:rStyle w:val="Hyperlink"/>
          </w:rPr>
          <w:t>homepages</w:t>
        </w:r>
      </w:hyperlink>
      <w:r w:rsidR="00904210" w:rsidRPr="00C57224">
        <w:t xml:space="preserve">. An index of focus groups and their timeframes is provided in </w:t>
      </w:r>
      <w:hyperlink w:anchor="_2_ITU-T_Focus" w:history="1">
        <w:r w:rsidR="006B2934" w:rsidRPr="00C57224">
          <w:rPr>
            <w:rStyle w:val="Hyperlink"/>
          </w:rPr>
          <w:t>§</w:t>
        </w:r>
        <w:r w:rsidR="00904210" w:rsidRPr="00C57224">
          <w:rPr>
            <w:rStyle w:val="Hyperlink"/>
          </w:rPr>
          <w:t>2</w:t>
        </w:r>
      </w:hyperlink>
      <w:r w:rsidR="00904210" w:rsidRPr="00C57224">
        <w:t>.</w:t>
      </w:r>
    </w:p>
    <w:p w14:paraId="6C085B32" w14:textId="7E80E149" w:rsidR="00A26387" w:rsidRPr="00C57224" w:rsidRDefault="00873778" w:rsidP="00873778">
      <w:r w:rsidRPr="00C57224">
        <w:t>Over 200</w:t>
      </w:r>
      <w:r w:rsidR="00904210" w:rsidRPr="00C57224">
        <w:t xml:space="preserve"> ITU-T </w:t>
      </w:r>
      <w:hyperlink r:id="rId19" w:history="1">
        <w:r w:rsidR="00904210" w:rsidRPr="00C57224">
          <w:rPr>
            <w:rStyle w:val="Hyperlink"/>
          </w:rPr>
          <w:t>workshops</w:t>
        </w:r>
        <w:r w:rsidRPr="00C57224">
          <w:rPr>
            <w:rStyle w:val="Hyperlink"/>
          </w:rPr>
          <w:t>,</w:t>
        </w:r>
        <w:r w:rsidR="00904210" w:rsidRPr="00C57224">
          <w:rPr>
            <w:rStyle w:val="Hyperlink"/>
          </w:rPr>
          <w:t xml:space="preserve"> symposi</w:t>
        </w:r>
        <w:r w:rsidRPr="00C57224">
          <w:rPr>
            <w:rStyle w:val="Hyperlink"/>
          </w:rPr>
          <w:t>a and webinars</w:t>
        </w:r>
      </w:hyperlink>
      <w:r w:rsidR="00904210" w:rsidRPr="00C57224">
        <w:t xml:space="preserve"> were organized in the reporting period, in addition to the near-daily programming of the year-round </w:t>
      </w:r>
      <w:hyperlink r:id="rId20">
        <w:r w:rsidR="00904210" w:rsidRPr="00C57224">
          <w:rPr>
            <w:rStyle w:val="Hyperlink"/>
          </w:rPr>
          <w:t>AI for Good</w:t>
        </w:r>
      </w:hyperlink>
      <w:r w:rsidR="00904210" w:rsidRPr="00C57224">
        <w:t xml:space="preserve"> digital platform. See </w:t>
      </w:r>
      <w:hyperlink w:anchor="_3_Workshops,_symposia" w:history="1">
        <w:r w:rsidR="006B2934" w:rsidRPr="00C57224">
          <w:rPr>
            <w:rStyle w:val="Hyperlink"/>
          </w:rPr>
          <w:t>§</w:t>
        </w:r>
        <w:r w:rsidR="00904210" w:rsidRPr="00C57224">
          <w:rPr>
            <w:rStyle w:val="Hyperlink"/>
          </w:rPr>
          <w:t>3</w:t>
        </w:r>
      </w:hyperlink>
      <w:r w:rsidR="00904210" w:rsidRPr="00C57224">
        <w:t>. TSB facilitated</w:t>
      </w:r>
      <w:r w:rsidR="001B037E" w:rsidRPr="00C57224">
        <w:t xml:space="preserve"> over 13,700 </w:t>
      </w:r>
      <w:proofErr w:type="spellStart"/>
      <w:r w:rsidR="001B037E" w:rsidRPr="00C57224">
        <w:t>e-meetings</w:t>
      </w:r>
      <w:proofErr w:type="spellEnd"/>
      <w:r w:rsidR="001B037E" w:rsidRPr="00C57224">
        <w:t xml:space="preserve"> with over 186,300 connections from January 2022 to September 2024. </w:t>
      </w:r>
      <w:hyperlink w:anchor="_4_Remote_participation" w:history="1">
        <w:r w:rsidR="001B037E" w:rsidRPr="00C57224">
          <w:rPr>
            <w:rStyle w:val="Hyperlink"/>
          </w:rPr>
          <w:t xml:space="preserve">See </w:t>
        </w:r>
        <w:r w:rsidR="006B2934" w:rsidRPr="00C57224">
          <w:rPr>
            <w:rStyle w:val="Hyperlink"/>
          </w:rPr>
          <w:t>§</w:t>
        </w:r>
        <w:r w:rsidR="001B037E" w:rsidRPr="00C57224">
          <w:rPr>
            <w:rStyle w:val="Hyperlink"/>
          </w:rPr>
          <w:t>4</w:t>
        </w:r>
      </w:hyperlink>
      <w:r w:rsidR="001B037E" w:rsidRPr="00C57224">
        <w:t>.</w:t>
      </w:r>
    </w:p>
    <w:p w14:paraId="7D1F0C88" w14:textId="576C93AD" w:rsidR="009F1C81" w:rsidRPr="00C57224" w:rsidRDefault="009F1C81" w:rsidP="00873778">
      <w:r w:rsidRPr="00C57224">
        <w:t>ITU-T hosts 26</w:t>
      </w:r>
      <w:r w:rsidR="00C72F61" w:rsidRPr="00C57224">
        <w:t>8</w:t>
      </w:r>
      <w:r w:rsidRPr="00C57224">
        <w:t xml:space="preserve"> Sector Members and 23</w:t>
      </w:r>
      <w:r w:rsidR="00C72F61" w:rsidRPr="00C57224">
        <w:t>4</w:t>
      </w:r>
      <w:r w:rsidRPr="00C57224">
        <w:t xml:space="preserve"> Associates. ITU Academia members now total 17</w:t>
      </w:r>
      <w:r w:rsidR="00C72F61" w:rsidRPr="00C57224">
        <w:t>2</w:t>
      </w:r>
      <w:r w:rsidRPr="00C57224">
        <w:t>. 7</w:t>
      </w:r>
      <w:r w:rsidR="00C72F61" w:rsidRPr="00C57224">
        <w:t>6</w:t>
      </w:r>
      <w:r w:rsidRPr="00C57224">
        <w:t xml:space="preserve"> of ITU-T's Associates are participating under the reduced fee structure for small and medium-sized enterprises which came into effect on 31 January 2020. See </w:t>
      </w:r>
      <w:hyperlink w:anchor="_7_Mainstreaming_accessibility" w:history="1">
        <w:r w:rsidR="006B2934" w:rsidRPr="00C57224">
          <w:rPr>
            <w:rStyle w:val="Hyperlink"/>
          </w:rPr>
          <w:t>§</w:t>
        </w:r>
        <w:r w:rsidR="00FB42DB" w:rsidRPr="00C57224">
          <w:rPr>
            <w:rStyle w:val="Hyperlink"/>
          </w:rPr>
          <w:t>8</w:t>
        </w:r>
      </w:hyperlink>
      <w:r w:rsidRPr="00C57224">
        <w:t>.</w:t>
      </w:r>
    </w:p>
    <w:p w14:paraId="601825C3" w14:textId="69609434" w:rsidR="00904210" w:rsidRPr="00C57224" w:rsidRDefault="009F1C81" w:rsidP="00873778">
      <w:r w:rsidRPr="00C57224">
        <w:t xml:space="preserve">TSB continuously enhances </w:t>
      </w:r>
      <w:r w:rsidR="00873778" w:rsidRPr="00C57224">
        <w:t>electronic working methods services and database applications</w:t>
      </w:r>
      <w:r w:rsidRPr="00C57224">
        <w:t xml:space="preserve"> and recent developments in this regard</w:t>
      </w:r>
      <w:r w:rsidR="00873778" w:rsidRPr="00C57224">
        <w:t xml:space="preserve"> includ</w:t>
      </w:r>
      <w:r w:rsidRPr="00C57224">
        <w:t>e the introduction of</w:t>
      </w:r>
      <w:r w:rsidR="00873778" w:rsidRPr="00C57224">
        <w:t xml:space="preserve"> the fifth version of </w:t>
      </w:r>
      <w:hyperlink r:id="rId21" w:history="1">
        <w:proofErr w:type="spellStart"/>
        <w:r w:rsidR="00873778" w:rsidRPr="00C57224">
          <w:rPr>
            <w:rStyle w:val="Hyperlink"/>
          </w:rPr>
          <w:t>MyWorkspace</w:t>
        </w:r>
        <w:proofErr w:type="spellEnd"/>
      </w:hyperlink>
      <w:r w:rsidR="00873778" w:rsidRPr="00C57224">
        <w:t xml:space="preserve">, new ITU-T websites </w:t>
      </w:r>
      <w:r w:rsidR="004F5EFE" w:rsidRPr="00C57224">
        <w:t xml:space="preserve">and </w:t>
      </w:r>
      <w:r w:rsidR="00873778" w:rsidRPr="00C57224">
        <w:t>additions to the ICT Standards Landscape application</w:t>
      </w:r>
      <w:r w:rsidRPr="00C57224">
        <w:t xml:space="preserve">. </w:t>
      </w:r>
      <w:r w:rsidR="00904210" w:rsidRPr="00C57224">
        <w:t xml:space="preserve">See </w:t>
      </w:r>
      <w:hyperlink w:anchor="_12_Electronic_working" w:history="1">
        <w:r w:rsidR="006B2934" w:rsidRPr="00C57224">
          <w:rPr>
            <w:rStyle w:val="Hyperlink"/>
          </w:rPr>
          <w:t>§</w:t>
        </w:r>
        <w:r w:rsidRPr="00C57224">
          <w:rPr>
            <w:rStyle w:val="Hyperlink"/>
          </w:rPr>
          <w:t>12</w:t>
        </w:r>
      </w:hyperlink>
      <w:r w:rsidR="00904210" w:rsidRPr="00C57224">
        <w:t>.</w:t>
      </w:r>
    </w:p>
    <w:p w14:paraId="6A819F73" w14:textId="32AD3387" w:rsidR="00554332" w:rsidRPr="00C57224" w:rsidRDefault="00327645" w:rsidP="00554332">
      <w:hyperlink r:id="rId22">
        <w:r w:rsidR="00554332" w:rsidRPr="00C57224">
          <w:rPr>
            <w:rStyle w:val="Hyperlink"/>
          </w:rPr>
          <w:t>AI for Good</w:t>
        </w:r>
      </w:hyperlink>
      <w:r w:rsidR="00554332" w:rsidRPr="00C57224">
        <w:t xml:space="preserve">, presented as a year-round digital platform, is the United Nations' primary platform for artificial intelligence (AI). AI for Good is supported by 47 UN partners and a range of industry sponsors. It is co-convened by the </w:t>
      </w:r>
      <w:r w:rsidR="004F5EFE" w:rsidRPr="00C57224">
        <w:t>g</w:t>
      </w:r>
      <w:r w:rsidR="00554332" w:rsidRPr="00C57224">
        <w:t xml:space="preserve">overnment of Switzerland. Over 37,000 people have created profiles on the </w:t>
      </w:r>
      <w:hyperlink r:id="rId23" w:history="1">
        <w:r w:rsidR="00554332" w:rsidRPr="00C57224">
          <w:rPr>
            <w:rStyle w:val="Hyperlink"/>
          </w:rPr>
          <w:t>AI for Good Neural Network</w:t>
        </w:r>
      </w:hyperlink>
      <w:r w:rsidR="00554332" w:rsidRPr="00C57224">
        <w:t xml:space="preserve"> since its launch in February 2022.</w:t>
      </w:r>
      <w:r w:rsidR="00554332" w:rsidRPr="00C57224">
        <w:rPr>
          <w:bCs/>
        </w:rPr>
        <w:t xml:space="preserve"> </w:t>
      </w:r>
      <w:r w:rsidR="00554332" w:rsidRPr="00C57224">
        <w:t xml:space="preserve">See </w:t>
      </w:r>
      <w:hyperlink w:anchor="_5.1_Artificial_intelligence" w:history="1">
        <w:r w:rsidR="006B2934" w:rsidRPr="00C57224">
          <w:rPr>
            <w:rStyle w:val="Hyperlink"/>
          </w:rPr>
          <w:t>§</w:t>
        </w:r>
        <w:r w:rsidR="00554332" w:rsidRPr="00C57224">
          <w:rPr>
            <w:rStyle w:val="Hyperlink"/>
          </w:rPr>
          <w:t>5.</w:t>
        </w:r>
        <w:r w:rsidR="00FB42DB" w:rsidRPr="00C57224">
          <w:rPr>
            <w:rStyle w:val="Hyperlink"/>
          </w:rPr>
          <w:t>2</w:t>
        </w:r>
      </w:hyperlink>
      <w:r w:rsidR="00554332" w:rsidRPr="00C57224">
        <w:t>.</w:t>
      </w:r>
    </w:p>
    <w:p w14:paraId="19393DB2" w14:textId="2A6B0F73" w:rsidR="00904210" w:rsidRPr="00C57224" w:rsidRDefault="004F5EFE" w:rsidP="00554332">
      <w:pPr>
        <w:pStyle w:val="NormalWeb"/>
        <w:shd w:val="clear" w:color="auto" w:fill="FFFFFF" w:themeFill="background1"/>
        <w:spacing w:before="120" w:beforeAutospacing="0" w:after="0" w:afterAutospacing="0"/>
        <w:textAlignment w:val="baseline"/>
      </w:pPr>
      <w:r w:rsidRPr="00C57224">
        <w:t>T</w:t>
      </w:r>
      <w:r w:rsidR="00904210" w:rsidRPr="00C57224">
        <w:t xml:space="preserve">he </w:t>
      </w:r>
      <w:hyperlink r:id="rId24" w:history="1">
        <w:r w:rsidR="00904210" w:rsidRPr="00C57224">
          <w:rPr>
            <w:rStyle w:val="Hyperlink"/>
          </w:rPr>
          <w:t>AI for Good Global Summit</w:t>
        </w:r>
      </w:hyperlink>
      <w:r w:rsidR="00904210" w:rsidRPr="00C57224">
        <w:t xml:space="preserve"> </w:t>
      </w:r>
      <w:r w:rsidR="00684F0D" w:rsidRPr="00C57224">
        <w:t>w</w:t>
      </w:r>
      <w:r w:rsidRPr="00C57224">
        <w:t>as</w:t>
      </w:r>
      <w:r w:rsidR="00684F0D" w:rsidRPr="00C57224">
        <w:t xml:space="preserve"> held in May 2024 and July 2023. The 2024 summit introduced a new </w:t>
      </w:r>
      <w:hyperlink r:id="rId25" w:anchor="day0" w:history="1">
        <w:r w:rsidR="00904210" w:rsidRPr="00C57224">
          <w:rPr>
            <w:rStyle w:val="Hyperlink"/>
          </w:rPr>
          <w:t>AI Governance Day</w:t>
        </w:r>
      </w:hyperlink>
      <w:r w:rsidR="00904210" w:rsidRPr="00C57224">
        <w:t xml:space="preserve"> </w:t>
      </w:r>
      <w:r w:rsidR="00684F0D" w:rsidRPr="00C57224">
        <w:t xml:space="preserve">and discussions </w:t>
      </w:r>
      <w:r w:rsidR="00904210" w:rsidRPr="00C57224">
        <w:t xml:space="preserve">emphasized that standards development and capacity building will make foundational contributions to global AI governance. See </w:t>
      </w:r>
      <w:hyperlink r:id="rId26" w:history="1">
        <w:r w:rsidR="00904210" w:rsidRPr="00C57224">
          <w:rPr>
            <w:rStyle w:val="Hyperlink"/>
          </w:rPr>
          <w:t>key reports</w:t>
        </w:r>
      </w:hyperlink>
      <w:r w:rsidR="00904210" w:rsidRPr="00C57224">
        <w:t xml:space="preserve"> published in</w:t>
      </w:r>
      <w:r w:rsidR="009F1C81" w:rsidRPr="00C57224">
        <w:t xml:space="preserve"> the study period and in connection with the 2024 summit</w:t>
      </w:r>
      <w:r w:rsidR="00904210" w:rsidRPr="00C57224">
        <w:t xml:space="preserve">. The summit was held conjunction with the </w:t>
      </w:r>
      <w:hyperlink r:id="rId27" w:history="1">
        <w:r w:rsidR="00904210" w:rsidRPr="00C57224">
          <w:rPr>
            <w:rStyle w:val="Hyperlink"/>
          </w:rPr>
          <w:t>World Summit on the Information Society +20 meeting</w:t>
        </w:r>
      </w:hyperlink>
      <w:r w:rsidR="00904210" w:rsidRPr="00C57224">
        <w:t xml:space="preserve"> with the aim of ensuring complementary perspectives on digital development.</w:t>
      </w:r>
      <w:r w:rsidR="00FB42DB" w:rsidRPr="00C57224">
        <w:t xml:space="preserve"> See </w:t>
      </w:r>
      <w:hyperlink w:anchor="_5.1_Artificial_intelligence" w:history="1">
        <w:r w:rsidR="006B2934" w:rsidRPr="00C57224">
          <w:rPr>
            <w:rStyle w:val="Hyperlink"/>
          </w:rPr>
          <w:t>§</w:t>
        </w:r>
        <w:r w:rsidR="00FB42DB" w:rsidRPr="00C57224">
          <w:rPr>
            <w:rStyle w:val="Hyperlink"/>
          </w:rPr>
          <w:t>5.2</w:t>
        </w:r>
      </w:hyperlink>
      <w:r w:rsidR="00904210" w:rsidRPr="00C57224">
        <w:t>.</w:t>
      </w:r>
    </w:p>
    <w:p w14:paraId="339FBA35" w14:textId="34A4D5C7" w:rsidR="00554332" w:rsidRPr="00C57224" w:rsidRDefault="00904210" w:rsidP="00904210">
      <w:r w:rsidRPr="00C57224">
        <w:t xml:space="preserve">At the </w:t>
      </w:r>
      <w:r w:rsidR="00684F0D" w:rsidRPr="00C57224">
        <w:t xml:space="preserve">2024 </w:t>
      </w:r>
      <w:r w:rsidRPr="00C57224">
        <w:t xml:space="preserve">summit, ITU, </w:t>
      </w:r>
      <w:r w:rsidR="00554332" w:rsidRPr="00C57224">
        <w:t xml:space="preserve">ISO and IEC </w:t>
      </w:r>
      <w:r w:rsidR="009F1C81" w:rsidRPr="00C57224">
        <w:t>highlighted their commitment to providing a unified framework for AI standards development and announced a new</w:t>
      </w:r>
      <w:r w:rsidR="00315313" w:rsidRPr="00C57224">
        <w:t xml:space="preserve"> </w:t>
      </w:r>
      <w:hyperlink r:id="rId28" w:history="1">
        <w:r w:rsidR="00315313" w:rsidRPr="00C57224">
          <w:rPr>
            <w:rStyle w:val="Hyperlink"/>
          </w:rPr>
          <w:t>AI and multimedia authenticity standards collaboration</w:t>
        </w:r>
      </w:hyperlink>
      <w:r w:rsidR="009F1C81" w:rsidRPr="00C57224">
        <w:t xml:space="preserve"> to drive coordinated standards development for AI watermarking, multimedia authenticity and deepfake detection. </w:t>
      </w:r>
      <w:r w:rsidR="00554332" w:rsidRPr="00C57224">
        <w:t>The three organization</w:t>
      </w:r>
      <w:r w:rsidR="00FB42DB" w:rsidRPr="00C57224">
        <w:t>s</w:t>
      </w:r>
      <w:r w:rsidR="00554332" w:rsidRPr="00C57224">
        <w:t xml:space="preserve"> are also co-organizing a new </w:t>
      </w:r>
      <w:hyperlink r:id="rId29" w:history="1">
        <w:r w:rsidR="00554332" w:rsidRPr="00C57224">
          <w:rPr>
            <w:rStyle w:val="Hyperlink"/>
            <w:lang w:eastAsia="en-US"/>
          </w:rPr>
          <w:t>International AI Standards Summit</w:t>
        </w:r>
      </w:hyperlink>
      <w:r w:rsidR="00554332" w:rsidRPr="00C57224">
        <w:rPr>
          <w:lang w:eastAsia="en-US"/>
        </w:rPr>
        <w:t>.</w:t>
      </w:r>
      <w:r w:rsidR="00FB42DB" w:rsidRPr="00C57224">
        <w:rPr>
          <w:lang w:eastAsia="en-US"/>
        </w:rPr>
        <w:t xml:space="preserve"> See </w:t>
      </w:r>
      <w:hyperlink w:anchor="_5.1_World_standards" w:history="1">
        <w:r w:rsidR="006B2934" w:rsidRPr="00C57224">
          <w:rPr>
            <w:rStyle w:val="Hyperlink"/>
            <w:lang w:eastAsia="en-US"/>
          </w:rPr>
          <w:t>§</w:t>
        </w:r>
        <w:r w:rsidR="00FB42DB" w:rsidRPr="00C57224">
          <w:rPr>
            <w:rStyle w:val="Hyperlink"/>
            <w:lang w:eastAsia="en-US"/>
          </w:rPr>
          <w:t>5.1</w:t>
        </w:r>
      </w:hyperlink>
      <w:r w:rsidR="00FB42DB" w:rsidRPr="00C57224">
        <w:rPr>
          <w:lang w:eastAsia="en-US"/>
        </w:rPr>
        <w:t>.</w:t>
      </w:r>
    </w:p>
    <w:p w14:paraId="032629D7" w14:textId="708BB989" w:rsidR="00554332" w:rsidRPr="00C57224" w:rsidRDefault="00554332" w:rsidP="00904210">
      <w:r w:rsidRPr="00C57224">
        <w:t xml:space="preserve">Key standards collaborations on AI also include the </w:t>
      </w:r>
      <w:hyperlink r:id="rId30" w:history="1">
        <w:r w:rsidRPr="00C57224">
          <w:rPr>
            <w:rStyle w:val="Hyperlink"/>
            <w:lang w:eastAsia="ko-KR"/>
          </w:rPr>
          <w:t>Global Initiative on AI for Health</w:t>
        </w:r>
      </w:hyperlink>
      <w:r w:rsidRPr="00C57224">
        <w:rPr>
          <w:rFonts w:eastAsia="Gulim"/>
          <w:lang w:eastAsia="ko-KR"/>
        </w:rPr>
        <w:t xml:space="preserve"> driven</w:t>
      </w:r>
      <w:r w:rsidRPr="00C57224">
        <w:t xml:space="preserve"> by ITU, WHO and WIPO and the </w:t>
      </w:r>
      <w:hyperlink r:id="rId31" w:history="1">
        <w:r w:rsidRPr="00C57224">
          <w:rPr>
            <w:rStyle w:val="Hyperlink"/>
          </w:rPr>
          <w:t>Global Initiative on Resilience to Natural Hazards through AI Solutions</w:t>
        </w:r>
      </w:hyperlink>
      <w:r w:rsidRPr="00C57224">
        <w:t xml:space="preserve"> driven by ITU, UNEP, UNFCCC, UPU and WMO. The initiatives build on the momentum created by the </w:t>
      </w:r>
      <w:hyperlink r:id="rId32" w:history="1">
        <w:r w:rsidRPr="00C57224">
          <w:rPr>
            <w:rStyle w:val="Hyperlink"/>
            <w:lang w:eastAsia="ko-KR"/>
          </w:rPr>
          <w:t>ITU-WHO Focus Group on AI for Health</w:t>
        </w:r>
      </w:hyperlink>
      <w:r w:rsidRPr="00C57224">
        <w:t xml:space="preserve"> and the </w:t>
      </w:r>
      <w:hyperlink r:id="rId33" w:history="1">
        <w:r w:rsidRPr="00C57224">
          <w:rPr>
            <w:rStyle w:val="Hyperlink"/>
            <w:lang w:eastAsia="ko-KR"/>
          </w:rPr>
          <w:t>ITU-WMO-UNEP Focus Group on AI for Natural Disaster Management</w:t>
        </w:r>
      </w:hyperlink>
      <w:r w:rsidRPr="00C57224">
        <w:t>. S</w:t>
      </w:r>
      <w:r w:rsidR="00904210" w:rsidRPr="00C57224">
        <w:t xml:space="preserve">ee </w:t>
      </w:r>
      <w:hyperlink w:anchor="_5.1_Artificial_intelligence" w:history="1">
        <w:r w:rsidR="006B2934" w:rsidRPr="00C57224">
          <w:rPr>
            <w:rStyle w:val="Hyperlink"/>
          </w:rPr>
          <w:t>§</w:t>
        </w:r>
        <w:r w:rsidR="00904210" w:rsidRPr="00C57224">
          <w:rPr>
            <w:rStyle w:val="Hyperlink"/>
          </w:rPr>
          <w:t>5.</w:t>
        </w:r>
        <w:r w:rsidR="00FB42DB" w:rsidRPr="00C57224">
          <w:rPr>
            <w:rStyle w:val="Hyperlink"/>
          </w:rPr>
          <w:t>2</w:t>
        </w:r>
      </w:hyperlink>
      <w:r w:rsidR="00904210" w:rsidRPr="00C57224">
        <w:t>.</w:t>
      </w:r>
    </w:p>
    <w:p w14:paraId="1B97A506" w14:textId="1EF8943A" w:rsidR="00E0268D" w:rsidRPr="00C57224" w:rsidRDefault="009F1C81" w:rsidP="00E0268D">
      <w:r w:rsidRPr="00C57224">
        <w:t>The</w:t>
      </w:r>
      <w:r w:rsidR="00461B8B" w:rsidRPr="00C57224">
        <w:t xml:space="preserve"> </w:t>
      </w:r>
      <w:hyperlink r:id="rId34" w:history="1">
        <w:r w:rsidRPr="00C57224">
          <w:rPr>
            <w:rStyle w:val="Hyperlink"/>
          </w:rPr>
          <w:t>AI for Good Impact Initiative</w:t>
        </w:r>
      </w:hyperlink>
      <w:r w:rsidRPr="00C57224">
        <w:t xml:space="preserve"> launched at the 2024 summit aims to expand the scope and impact of AI applications for sustainable development. The initiative includes a new </w:t>
      </w:r>
      <w:hyperlink r:id="rId35" w:history="1">
        <w:r w:rsidRPr="00C57224">
          <w:rPr>
            <w:rStyle w:val="Hyperlink"/>
          </w:rPr>
          <w:t>AI Skills Coalition</w:t>
        </w:r>
      </w:hyperlink>
      <w:r w:rsidRPr="00C57224">
        <w:t xml:space="preserve"> announced in September 2024. The initiative will link AI innovators with opportunities to scale and fund promising AI solutions for every UN Sustainable Development Goal equally across every region. Activities will include regional AI for Good Impact events;</w:t>
      </w:r>
      <w:r w:rsidR="00461B8B" w:rsidRPr="00C57224">
        <w:t xml:space="preserve"> </w:t>
      </w:r>
      <w:r w:rsidRPr="00C57224">
        <w:t>global competitions to crowdsource AI solutions and boost AI expertise;</w:t>
      </w:r>
      <w:r w:rsidR="00461B8B" w:rsidRPr="00C57224">
        <w:t xml:space="preserve"> </w:t>
      </w:r>
      <w:r w:rsidRPr="00C57224">
        <w:t>research and policy guidance on AI for sustainable development;</w:t>
      </w:r>
      <w:r w:rsidR="00461B8B" w:rsidRPr="00C57224">
        <w:t xml:space="preserve"> </w:t>
      </w:r>
      <w:r w:rsidRPr="00C57224">
        <w:t>and accelerators for startups and small and medium-sized enterprises.</w:t>
      </w:r>
      <w:r w:rsidR="00FB42DB" w:rsidRPr="00C57224">
        <w:t xml:space="preserve"> See </w:t>
      </w:r>
      <w:hyperlink w:anchor="_5.1_Artificial_intelligence" w:history="1">
        <w:r w:rsidR="006B2934" w:rsidRPr="00C57224">
          <w:rPr>
            <w:rStyle w:val="Hyperlink"/>
          </w:rPr>
          <w:t>§</w:t>
        </w:r>
        <w:r w:rsidR="00FB42DB" w:rsidRPr="00C57224">
          <w:rPr>
            <w:rStyle w:val="Hyperlink"/>
          </w:rPr>
          <w:t>5.2</w:t>
        </w:r>
      </w:hyperlink>
      <w:r w:rsidRPr="00C57224">
        <w:t>.</w:t>
      </w:r>
    </w:p>
    <w:p w14:paraId="088E3311" w14:textId="105706AD" w:rsidR="00E0268D" w:rsidRPr="00C57224" w:rsidRDefault="00E0268D" w:rsidP="00E0268D">
      <w:r w:rsidRPr="00C57224">
        <w:lastRenderedPageBreak/>
        <w:t>The new</w:t>
      </w:r>
      <w:r w:rsidR="00461B8B" w:rsidRPr="00C57224">
        <w:rPr>
          <w:i/>
          <w:iCs/>
        </w:rPr>
        <w:t xml:space="preserve"> </w:t>
      </w:r>
      <w:hyperlink r:id="rId36" w:tgtFrame="_blank" w:history="1">
        <w:r w:rsidRPr="00C57224">
          <w:rPr>
            <w:rStyle w:val="Hyperlink"/>
          </w:rPr>
          <w:t xml:space="preserve">Global Initiative on Virtual Worlds - Discovering the </w:t>
        </w:r>
        <w:proofErr w:type="spellStart"/>
        <w:r w:rsidRPr="00C57224">
          <w:rPr>
            <w:rStyle w:val="Hyperlink"/>
          </w:rPr>
          <w:t>CitiVerse</w:t>
        </w:r>
        <w:proofErr w:type="spellEnd"/>
      </w:hyperlink>
      <w:r w:rsidR="00461B8B" w:rsidRPr="00C57224">
        <w:rPr>
          <w:i/>
          <w:iCs/>
        </w:rPr>
        <w:t xml:space="preserve"> </w:t>
      </w:r>
      <w:r w:rsidRPr="00C57224">
        <w:t xml:space="preserve">announced at the first </w:t>
      </w:r>
      <w:hyperlink r:id="rId37" w:tgtFrame="_blank" w:history="1">
        <w:r w:rsidRPr="00C57224">
          <w:rPr>
            <w:rStyle w:val="Hyperlink"/>
          </w:rPr>
          <w:t>UN Virtual Worlds Day</w:t>
        </w:r>
      </w:hyperlink>
      <w:r w:rsidR="00461B8B" w:rsidRPr="00C57224">
        <w:t xml:space="preserve"> </w:t>
      </w:r>
      <w:r w:rsidR="004F5EFE" w:rsidRPr="00C57224">
        <w:t xml:space="preserve">in </w:t>
      </w:r>
      <w:r w:rsidRPr="00C57224">
        <w:t>June 2024</w:t>
      </w:r>
      <w:r w:rsidR="004F5EFE" w:rsidRPr="00C57224">
        <w:t xml:space="preserve"> organized by ITU together with 17 fellow UN agencies. The initiative</w:t>
      </w:r>
      <w:r w:rsidRPr="00C57224">
        <w:t xml:space="preserve"> will define norms and principles to guide the governance of metaverse solutions in cities for areas such as urban planning, education, and municipal services. Led by ITU, UNICC and Digital Dubai, the initiative will drive capacity development, facilitate sharing of best practices and develop a sandbox environment for cities to simulate virtual world scenarios. It will build on the work of the</w:t>
      </w:r>
      <w:r w:rsidR="00461B8B" w:rsidRPr="00C57224">
        <w:t xml:space="preserve"> </w:t>
      </w:r>
      <w:hyperlink r:id="rId38" w:history="1">
        <w:r w:rsidRPr="00C57224">
          <w:rPr>
            <w:rStyle w:val="Hyperlink"/>
          </w:rPr>
          <w:t>ITU Focus Group on metaverse</w:t>
        </w:r>
      </w:hyperlink>
      <w:r w:rsidRPr="00C57224">
        <w:t xml:space="preserve"> and complement the work of </w:t>
      </w:r>
      <w:hyperlink r:id="rId39" w:history="1">
        <w:r w:rsidRPr="00C57224">
          <w:rPr>
            <w:rStyle w:val="Hyperlink"/>
          </w:rPr>
          <w:t>ITU-T Study Group 20</w:t>
        </w:r>
      </w:hyperlink>
      <w:r w:rsidRPr="00C57224">
        <w:t xml:space="preserve"> and the </w:t>
      </w:r>
      <w:hyperlink r:id="rId40" w:history="1">
        <w:r w:rsidRPr="00C57224">
          <w:rPr>
            <w:rStyle w:val="Hyperlink"/>
          </w:rPr>
          <w:t>United for Smart Sustainable Cities (U4SSC) initiative</w:t>
        </w:r>
      </w:hyperlink>
      <w:r w:rsidRPr="00C57224">
        <w:t>. A new</w:t>
      </w:r>
      <w:r w:rsidR="00461B8B" w:rsidRPr="00C57224">
        <w:t xml:space="preserve"> </w:t>
      </w:r>
      <w:hyperlink r:id="rId41" w:anchor="p=1" w:tgtFrame="_blank" w:history="1">
        <w:r w:rsidRPr="00C57224">
          <w:rPr>
            <w:rStyle w:val="Hyperlink"/>
          </w:rPr>
          <w:t>UN Executive Briefing</w:t>
        </w:r>
      </w:hyperlink>
      <w:r w:rsidR="00461B8B" w:rsidRPr="00C57224">
        <w:t xml:space="preserve"> </w:t>
      </w:r>
      <w:r w:rsidRPr="00C57224">
        <w:t xml:space="preserve">launched at UN Virtual Worlds Day highlights the relevance of virtual worlds and the metaverse to the SDGs. See </w:t>
      </w:r>
      <w:hyperlink w:anchor="_5.2_Artificial_intelligence" w:history="1">
        <w:r w:rsidR="006B2934" w:rsidRPr="00C57224">
          <w:rPr>
            <w:rStyle w:val="Hyperlink"/>
          </w:rPr>
          <w:t>§</w:t>
        </w:r>
        <w:r w:rsidRPr="00C57224">
          <w:rPr>
            <w:rStyle w:val="Hyperlink"/>
          </w:rPr>
          <w:t>5.3</w:t>
        </w:r>
      </w:hyperlink>
      <w:r w:rsidRPr="00C57224">
        <w:t>.</w:t>
      </w:r>
    </w:p>
    <w:p w14:paraId="0872A399" w14:textId="417F95D1" w:rsidR="004F5EFE" w:rsidRPr="00C57224" w:rsidRDefault="00E0268D" w:rsidP="00904210">
      <w:r w:rsidRPr="00C57224">
        <w:t xml:space="preserve">The </w:t>
      </w:r>
      <w:hyperlink r:id="rId42">
        <w:r w:rsidRPr="00C57224">
          <w:rPr>
            <w:rStyle w:val="Hyperlink"/>
          </w:rPr>
          <w:t>U4SSC initiative</w:t>
        </w:r>
      </w:hyperlink>
      <w:r w:rsidRPr="00C57224">
        <w:t xml:space="preserve"> is supported by 19 UN bodies with the aim of achieving the SDG11 ("Make cities and human settlements inclusive, safe, resilient and sustainable"). Over 200 cities have adopted </w:t>
      </w:r>
      <w:hyperlink r:id="rId43" w:history="1">
        <w:r w:rsidRPr="00C57224">
          <w:rPr>
            <w:rStyle w:val="Hyperlink"/>
          </w:rPr>
          <w:t>U4SSC Key Performance Indicators</w:t>
        </w:r>
      </w:hyperlink>
      <w:r w:rsidRPr="00C57224">
        <w:t xml:space="preserve"> based on ITU standards. The results of these evaluations are shared by </w:t>
      </w:r>
      <w:hyperlink r:id="rId44" w:history="1">
        <w:r w:rsidRPr="00C57224">
          <w:rPr>
            <w:rStyle w:val="Hyperlink"/>
          </w:rPr>
          <w:t>city snapshots, factsheets, verification reports and case studies</w:t>
        </w:r>
      </w:hyperlink>
      <w:r w:rsidRPr="00C57224">
        <w:t xml:space="preserve">. </w:t>
      </w:r>
      <w:r w:rsidR="004F5EFE" w:rsidRPr="00C57224">
        <w:t xml:space="preserve">See </w:t>
      </w:r>
      <w:hyperlink w:anchor="_5.2_Artificial_intelligence" w:history="1">
        <w:r w:rsidR="006B2934" w:rsidRPr="00C57224">
          <w:rPr>
            <w:rStyle w:val="Hyperlink"/>
          </w:rPr>
          <w:t>§</w:t>
        </w:r>
        <w:r w:rsidR="004F5EFE" w:rsidRPr="00C57224">
          <w:rPr>
            <w:rStyle w:val="Hyperlink"/>
          </w:rPr>
          <w:t>5.3</w:t>
        </w:r>
      </w:hyperlink>
      <w:r w:rsidR="004F5EFE" w:rsidRPr="00C57224">
        <w:t>.</w:t>
      </w:r>
    </w:p>
    <w:p w14:paraId="13C39AFA" w14:textId="55D559DC" w:rsidR="00E0268D" w:rsidRPr="00C57224" w:rsidRDefault="00327645" w:rsidP="00904210">
      <w:hyperlink r:id="rId45" w:history="1">
        <w:r w:rsidR="004F5EFE" w:rsidRPr="00C57224">
          <w:rPr>
            <w:rStyle w:val="Hyperlink"/>
          </w:rPr>
          <w:t>ITU Digital Transformation Dialogues</w:t>
        </w:r>
      </w:hyperlink>
      <w:r w:rsidR="004F5EFE" w:rsidRPr="00C57224">
        <w:t xml:space="preserve"> feature fireside chats, ask the expert sessions and webinars on wide-ranging dimensions of digital transformation and supporting ITU standards. </w:t>
      </w:r>
      <w:r w:rsidR="00E0268D" w:rsidRPr="00C57224">
        <w:t>See</w:t>
      </w:r>
      <w:r w:rsidR="004F5EFE" w:rsidRPr="00C57224">
        <w:t xml:space="preserve"> also</w:t>
      </w:r>
      <w:r w:rsidR="00E0268D" w:rsidRPr="00C57224">
        <w:t xml:space="preserve"> </w:t>
      </w:r>
      <w:hyperlink r:id="rId46" w:history="1">
        <w:r w:rsidR="00E0268D" w:rsidRPr="00C57224">
          <w:rPr>
            <w:rStyle w:val="Hyperlink"/>
          </w:rPr>
          <w:t>key reports</w:t>
        </w:r>
      </w:hyperlink>
      <w:r w:rsidR="00E0268D" w:rsidRPr="00C57224">
        <w:t xml:space="preserve"> </w:t>
      </w:r>
      <w:r w:rsidR="004F5EFE" w:rsidRPr="00C57224">
        <w:t xml:space="preserve">on digital transformation for cities and communities </w:t>
      </w:r>
      <w:r w:rsidR="00E0268D" w:rsidRPr="00C57224">
        <w:t xml:space="preserve">published in the study period. See </w:t>
      </w:r>
      <w:hyperlink w:anchor="_5.2_Artificial_intelligence" w:history="1">
        <w:r w:rsidR="006B2934" w:rsidRPr="00C57224">
          <w:rPr>
            <w:rStyle w:val="Hyperlink"/>
          </w:rPr>
          <w:t>§</w:t>
        </w:r>
        <w:r w:rsidR="00E0268D" w:rsidRPr="00C57224">
          <w:rPr>
            <w:rStyle w:val="Hyperlink"/>
          </w:rPr>
          <w:t>5.3</w:t>
        </w:r>
      </w:hyperlink>
      <w:r w:rsidR="00E0268D" w:rsidRPr="00C57224">
        <w:t>.</w:t>
      </w:r>
    </w:p>
    <w:p w14:paraId="78C5C212" w14:textId="5D177C91" w:rsidR="00904210" w:rsidRPr="00C57224" w:rsidRDefault="00327645" w:rsidP="00904210">
      <w:hyperlink r:id="rId47" w:history="1">
        <w:r w:rsidR="00904210" w:rsidRPr="00C57224">
          <w:rPr>
            <w:rStyle w:val="Hyperlink"/>
          </w:rPr>
          <w:t>ITU Security Clinics for Digital Financial Services (DFS)</w:t>
        </w:r>
      </w:hyperlink>
      <w:r w:rsidR="00461B8B" w:rsidRPr="00C57224">
        <w:t xml:space="preserve"> </w:t>
      </w:r>
      <w:r w:rsidR="00904210" w:rsidRPr="00C57224">
        <w:t xml:space="preserve">offer guidance to regulators and DFS providers on adopting the security best practices developed under the </w:t>
      </w:r>
      <w:hyperlink r:id="rId48" w:history="1">
        <w:r w:rsidR="00904210" w:rsidRPr="00C57224">
          <w:rPr>
            <w:rStyle w:val="Hyperlink"/>
          </w:rPr>
          <w:t>Financial Inclusion Global Initiative (FIGI)</w:t>
        </w:r>
      </w:hyperlink>
      <w:r w:rsidR="00904210" w:rsidRPr="00C57224">
        <w:t>.</w:t>
      </w:r>
      <w:r w:rsidR="00461B8B" w:rsidRPr="00C57224">
        <w:t xml:space="preserve"> </w:t>
      </w:r>
      <w:r w:rsidR="00904210" w:rsidRPr="00C57224">
        <w:t xml:space="preserve">The </w:t>
      </w:r>
      <w:hyperlink r:id="rId49" w:history="1">
        <w:r w:rsidR="00904210" w:rsidRPr="00C57224">
          <w:rPr>
            <w:rStyle w:val="Hyperlink"/>
          </w:rPr>
          <w:t>ITU DFS Security Lab</w:t>
        </w:r>
      </w:hyperlink>
      <w:r w:rsidR="00461B8B" w:rsidRPr="00C57224">
        <w:t xml:space="preserve"> </w:t>
      </w:r>
      <w:r w:rsidR="00904210" w:rsidRPr="00C57224">
        <w:t>helps stakeholders to verify that these best practices are being followed. A growing number of countries as well as regional organizations are adopting the DFS security recommendations developed under FIGI and establishing their own DFS security labs with the support of ITU knowledge</w:t>
      </w:r>
      <w:r w:rsidR="00173416" w:rsidRPr="00C57224">
        <w:t xml:space="preserve"> </w:t>
      </w:r>
      <w:r w:rsidR="00904210" w:rsidRPr="00C57224">
        <w:t xml:space="preserve">transfer activities. </w:t>
      </w:r>
      <w:r w:rsidR="00E0268D" w:rsidRPr="00C57224">
        <w:t xml:space="preserve">An </w:t>
      </w:r>
      <w:hyperlink r:id="rId50" w:history="1">
        <w:r w:rsidR="00E0268D" w:rsidRPr="00C57224">
          <w:rPr>
            <w:rStyle w:val="Hyperlink"/>
          </w:rPr>
          <w:t>ITU Blockchain Secure Authentication Application Challenge</w:t>
        </w:r>
      </w:hyperlink>
      <w:r w:rsidR="00E0268D" w:rsidRPr="00C57224">
        <w:t xml:space="preserve"> organized jointly with FNSV Korea launched in April 2024. </w:t>
      </w:r>
      <w:r w:rsidR="00904210" w:rsidRPr="00C57224">
        <w:t xml:space="preserve">See </w:t>
      </w:r>
      <w:hyperlink w:anchor="_5.4_Digital_financial" w:history="1">
        <w:r w:rsidR="006B2934" w:rsidRPr="00C57224">
          <w:rPr>
            <w:rStyle w:val="Hyperlink"/>
          </w:rPr>
          <w:t>§</w:t>
        </w:r>
        <w:r w:rsidR="00904210" w:rsidRPr="00C57224">
          <w:rPr>
            <w:rStyle w:val="Hyperlink"/>
          </w:rPr>
          <w:t>5.</w:t>
        </w:r>
        <w:r w:rsidR="00FB42DB" w:rsidRPr="00C57224">
          <w:rPr>
            <w:rStyle w:val="Hyperlink"/>
          </w:rPr>
          <w:t>4</w:t>
        </w:r>
      </w:hyperlink>
      <w:r w:rsidR="00904210" w:rsidRPr="00C57224">
        <w:t>.</w:t>
      </w:r>
    </w:p>
    <w:p w14:paraId="2EEC7539" w14:textId="626CE517" w:rsidR="009F1C81" w:rsidRPr="00C57224" w:rsidRDefault="00327645" w:rsidP="00904210">
      <w:hyperlink r:id="rId51" w:history="1">
        <w:r w:rsidR="009F1C81" w:rsidRPr="00C57224">
          <w:rPr>
            <w:rStyle w:val="Hyperlink"/>
          </w:rPr>
          <w:t xml:space="preserve">ITU and the Linux Foundation are in the process of launching an </w:t>
        </w:r>
        <w:proofErr w:type="spellStart"/>
        <w:r w:rsidR="009F1C81" w:rsidRPr="00C57224">
          <w:rPr>
            <w:rStyle w:val="Hyperlink"/>
          </w:rPr>
          <w:t>OpenWallet</w:t>
        </w:r>
        <w:proofErr w:type="spellEnd"/>
        <w:r w:rsidR="009F1C81" w:rsidRPr="00C57224">
          <w:rPr>
            <w:rStyle w:val="Hyperlink"/>
          </w:rPr>
          <w:t xml:space="preserve"> Forum</w:t>
        </w:r>
      </w:hyperlink>
      <w:r w:rsidR="009F1C81" w:rsidRPr="00C57224">
        <w:t xml:space="preserve"> to stimulate global access to the digital wallets that form key technology building blocks for digital public infrastructure. It will place emphasis on the security and interoperability of digital wallets. The </w:t>
      </w:r>
      <w:proofErr w:type="spellStart"/>
      <w:r w:rsidR="009F1C81" w:rsidRPr="00C57224">
        <w:t>OpenWallet</w:t>
      </w:r>
      <w:proofErr w:type="spellEnd"/>
      <w:r w:rsidR="009F1C81" w:rsidRPr="00C57224">
        <w:t xml:space="preserve"> Forum will offer a platform for multistakeholder cooperation to integrate wide-ranging requirements from governments and companies into coordinated policies and technical standards for digital wallets. The forum will also be supported by UNICC and the </w:t>
      </w:r>
      <w:r w:rsidR="004F5EFE" w:rsidRPr="00C57224">
        <w:t>g</w:t>
      </w:r>
      <w:r w:rsidR="009F1C81" w:rsidRPr="00C57224">
        <w:t>overnment of Switzerland. See</w:t>
      </w:r>
      <w:r w:rsidR="00FB42DB" w:rsidRPr="00C57224">
        <w:t xml:space="preserve"> </w:t>
      </w:r>
      <w:hyperlink w:anchor="_5.4_Digital_financial" w:history="1">
        <w:r w:rsidR="006B2934" w:rsidRPr="00C57224">
          <w:rPr>
            <w:rStyle w:val="Hyperlink"/>
          </w:rPr>
          <w:t>§</w:t>
        </w:r>
        <w:r w:rsidR="00FB42DB" w:rsidRPr="00C57224">
          <w:rPr>
            <w:rStyle w:val="Hyperlink"/>
          </w:rPr>
          <w:t>5.4</w:t>
        </w:r>
      </w:hyperlink>
      <w:r w:rsidR="009F1C81" w:rsidRPr="00C57224">
        <w:t>.</w:t>
      </w:r>
    </w:p>
    <w:p w14:paraId="4A509376" w14:textId="1BEF077C" w:rsidR="00904210" w:rsidRPr="00C57224" w:rsidRDefault="00904210" w:rsidP="00904210">
      <w:r w:rsidRPr="00C57224">
        <w:t>T</w:t>
      </w:r>
      <w:r w:rsidR="00684F0D" w:rsidRPr="00C57224">
        <w:t xml:space="preserve">hree editions of the </w:t>
      </w:r>
      <w:hyperlink r:id="rId52" w:history="1">
        <w:r w:rsidRPr="00C57224">
          <w:rPr>
            <w:rStyle w:val="Hyperlink"/>
          </w:rPr>
          <w:t>Future Networked Car Symposium</w:t>
        </w:r>
      </w:hyperlink>
      <w:r w:rsidRPr="00C57224">
        <w:t xml:space="preserve"> organized by ITU and </w:t>
      </w:r>
      <w:r w:rsidR="004F5EFE" w:rsidRPr="00C57224">
        <w:t xml:space="preserve">UNECE </w:t>
      </w:r>
      <w:r w:rsidRPr="00C57224">
        <w:t>w</w:t>
      </w:r>
      <w:r w:rsidR="00684F0D" w:rsidRPr="00C57224">
        <w:t xml:space="preserve">ere held </w:t>
      </w:r>
      <w:r w:rsidRPr="00C57224">
        <w:t>online</w:t>
      </w:r>
      <w:r w:rsidR="00684F0D" w:rsidRPr="00C57224">
        <w:t xml:space="preserve"> March 2024, </w:t>
      </w:r>
      <w:proofErr w:type="gramStart"/>
      <w:r w:rsidR="00684F0D" w:rsidRPr="00C57224">
        <w:t>2023</w:t>
      </w:r>
      <w:proofErr w:type="gramEnd"/>
      <w:r w:rsidR="00684F0D" w:rsidRPr="00C57224">
        <w:t xml:space="preserve"> and 2022</w:t>
      </w:r>
      <w:r w:rsidRPr="00C57224">
        <w:t xml:space="preserve">. </w:t>
      </w:r>
      <w:r w:rsidR="00684F0D" w:rsidRPr="00C57224">
        <w:t xml:space="preserve">The first regional edition of the symposium was held in October 2023 in Doha, Qatar. </w:t>
      </w:r>
      <w:r w:rsidRPr="00C57224">
        <w:t xml:space="preserve">The </w:t>
      </w:r>
      <w:hyperlink r:id="rId53" w:history="1">
        <w:r w:rsidRPr="00C57224">
          <w:rPr>
            <w:rStyle w:val="Hyperlink"/>
          </w:rPr>
          <w:t>expert group on communications technology for automated driving</w:t>
        </w:r>
      </w:hyperlink>
      <w:r w:rsidRPr="00C57224">
        <w:t xml:space="preserve"> under the ITU-led </w:t>
      </w:r>
      <w:hyperlink r:id="rId54" w:history="1">
        <w:r w:rsidRPr="00C57224">
          <w:rPr>
            <w:rStyle w:val="Hyperlink"/>
          </w:rPr>
          <w:t>Collaboration on ITS Communication Standards</w:t>
        </w:r>
      </w:hyperlink>
      <w:r w:rsidRPr="00C57224">
        <w:t xml:space="preserve"> </w:t>
      </w:r>
      <w:r w:rsidR="00684F0D" w:rsidRPr="00C57224">
        <w:t xml:space="preserve">is currently operating two working groups on </w:t>
      </w:r>
      <w:r w:rsidR="00E0268D" w:rsidRPr="00C57224">
        <w:t>"</w:t>
      </w:r>
      <w:r w:rsidR="00684F0D" w:rsidRPr="00C57224">
        <w:t>vehicular communications for merging automatically into congested lanes</w:t>
      </w:r>
      <w:r w:rsidR="00E0268D" w:rsidRPr="00C57224">
        <w:t>"</w:t>
      </w:r>
      <w:r w:rsidR="00684F0D" w:rsidRPr="00C57224">
        <w:t xml:space="preserve"> and </w:t>
      </w:r>
      <w:r w:rsidR="00E0268D" w:rsidRPr="00C57224">
        <w:t>"</w:t>
      </w:r>
      <w:r w:rsidR="00684F0D" w:rsidRPr="00C57224">
        <w:t>vehicular communications for advanced emergency braking, including to protect vulnerable road users</w:t>
      </w:r>
      <w:r w:rsidR="00E0268D" w:rsidRPr="00C57224">
        <w:t>"</w:t>
      </w:r>
      <w:r w:rsidRPr="00C57224">
        <w:t xml:space="preserve">. See </w:t>
      </w:r>
      <w:hyperlink w:anchor="_5.3_Smart_cities" w:history="1">
        <w:r w:rsidR="006B2934" w:rsidRPr="00C57224">
          <w:rPr>
            <w:rStyle w:val="Hyperlink"/>
          </w:rPr>
          <w:t>§</w:t>
        </w:r>
        <w:r w:rsidRPr="00C57224">
          <w:rPr>
            <w:rStyle w:val="Hyperlink"/>
          </w:rPr>
          <w:t>5.5</w:t>
        </w:r>
      </w:hyperlink>
      <w:r w:rsidRPr="00C57224">
        <w:t>.</w:t>
      </w:r>
    </w:p>
    <w:p w14:paraId="2893BE1C" w14:textId="45BD0C0C" w:rsidR="000B1514" w:rsidRPr="00C57224" w:rsidRDefault="000B1514" w:rsidP="00904210">
      <w:pPr>
        <w:rPr>
          <w:lang w:eastAsia="en-US"/>
        </w:rPr>
      </w:pPr>
      <w:r w:rsidRPr="00C57224">
        <w:rPr>
          <w:lang w:eastAsia="en-US"/>
        </w:rPr>
        <w:t xml:space="preserve">ITU continues its </w:t>
      </w:r>
      <w:hyperlink r:id="rId55" w:history="1">
        <w:r w:rsidRPr="00C57224">
          <w:rPr>
            <w:rStyle w:val="Hyperlink"/>
            <w:lang w:eastAsia="en-US"/>
          </w:rPr>
          <w:t>Green Digital Action activities</w:t>
        </w:r>
      </w:hyperlink>
      <w:r w:rsidRPr="00C57224">
        <w:rPr>
          <w:lang w:eastAsia="en-US"/>
        </w:rPr>
        <w:t xml:space="preserve"> following their initiation with the </w:t>
      </w:r>
      <w:hyperlink r:id="rId56" w:history="1">
        <w:r w:rsidRPr="00C57224">
          <w:rPr>
            <w:rStyle w:val="Hyperlink"/>
            <w:lang w:eastAsia="en-US"/>
          </w:rPr>
          <w:t>Green Digital Action track at COP28</w:t>
        </w:r>
      </w:hyperlink>
      <w:r w:rsidRPr="00C57224">
        <w:rPr>
          <w:lang w:eastAsia="en-US"/>
        </w:rPr>
        <w:t xml:space="preserve"> in 2023 in Dubai, UAE, together with partners spanning governments, companies, industry associations, civil society and fellow UN agencies. TSB/ITU-T plays a leading role in the facilitation of Green Digital Action activities focused on standardization. </w:t>
      </w:r>
      <w:r w:rsidR="00FB42DB" w:rsidRPr="00C57224">
        <w:rPr>
          <w:lang w:eastAsia="en-US"/>
        </w:rPr>
        <w:t xml:space="preserve">See </w:t>
      </w:r>
      <w:hyperlink w:anchor="_5.6_Green_digital" w:history="1">
        <w:r w:rsidR="006B2934" w:rsidRPr="00C57224">
          <w:rPr>
            <w:rStyle w:val="Hyperlink"/>
            <w:lang w:eastAsia="en-US"/>
          </w:rPr>
          <w:t>§</w:t>
        </w:r>
        <w:r w:rsidR="00FB42DB" w:rsidRPr="00C57224">
          <w:rPr>
            <w:rStyle w:val="Hyperlink"/>
            <w:lang w:eastAsia="en-US"/>
          </w:rPr>
          <w:t>5.6</w:t>
        </w:r>
      </w:hyperlink>
      <w:r w:rsidR="00FB42DB" w:rsidRPr="00C57224">
        <w:rPr>
          <w:lang w:eastAsia="en-US"/>
        </w:rPr>
        <w:t>.</w:t>
      </w:r>
    </w:p>
    <w:p w14:paraId="5FA700EE" w14:textId="4367599D" w:rsidR="000B1514" w:rsidRPr="00C57224" w:rsidRDefault="000B1514" w:rsidP="000B1514">
      <w:pPr>
        <w:rPr>
          <w:lang w:eastAsia="en-US"/>
        </w:rPr>
      </w:pPr>
      <w:r w:rsidRPr="00C57224">
        <w:rPr>
          <w:lang w:eastAsia="en-US"/>
        </w:rPr>
        <w:t xml:space="preserve">The </w:t>
      </w:r>
      <w:hyperlink r:id="rId57" w:history="1">
        <w:r w:rsidRPr="00C57224">
          <w:rPr>
            <w:rStyle w:val="Hyperlink"/>
            <w:lang w:eastAsia="en-US"/>
          </w:rPr>
          <w:t>Joint Task Force</w:t>
        </w:r>
        <w:r w:rsidR="004F5EFE" w:rsidRPr="00C57224">
          <w:rPr>
            <w:rStyle w:val="Hyperlink"/>
            <w:lang w:eastAsia="en-US"/>
          </w:rPr>
          <w:t xml:space="preserve"> </w:t>
        </w:r>
        <w:r w:rsidRPr="00C57224">
          <w:rPr>
            <w:rStyle w:val="Hyperlink"/>
            <w:lang w:eastAsia="en-US"/>
          </w:rPr>
          <w:t>on</w:t>
        </w:r>
        <w:r w:rsidR="00461B8B" w:rsidRPr="00C57224">
          <w:rPr>
            <w:rStyle w:val="Hyperlink"/>
            <w:lang w:eastAsia="en-US"/>
          </w:rPr>
          <w:t xml:space="preserve"> </w:t>
        </w:r>
        <w:r w:rsidRPr="00C57224">
          <w:rPr>
            <w:rStyle w:val="Hyperlink"/>
            <w:lang w:eastAsia="en-US"/>
          </w:rPr>
          <w:t>SMART cable systems</w:t>
        </w:r>
      </w:hyperlink>
      <w:r w:rsidR="00461B8B" w:rsidRPr="00C57224">
        <w:rPr>
          <w:lang w:eastAsia="en-US"/>
        </w:rPr>
        <w:t xml:space="preserve"> </w:t>
      </w:r>
      <w:r w:rsidRPr="00C57224">
        <w:rPr>
          <w:lang w:eastAsia="en-US"/>
        </w:rPr>
        <w:t xml:space="preserve">supported by ITU, UNESCO-IOC and WMO is dedicated to advancing the concept of </w:t>
      </w:r>
      <w:r w:rsidR="00BA31D3" w:rsidRPr="00C57224">
        <w:rPr>
          <w:lang w:eastAsia="en-US"/>
        </w:rPr>
        <w:t>"</w:t>
      </w:r>
      <w:r w:rsidRPr="00C57224">
        <w:rPr>
          <w:lang w:eastAsia="en-US"/>
        </w:rPr>
        <w:t>Science Monitoring And Reliable Telecommunications (SMART) cable</w:t>
      </w:r>
      <w:r w:rsidR="00BA31D3" w:rsidRPr="00C57224">
        <w:rPr>
          <w:lang w:eastAsia="en-US"/>
        </w:rPr>
        <w:t>s"</w:t>
      </w:r>
      <w:r w:rsidRPr="00C57224">
        <w:rPr>
          <w:lang w:eastAsia="en-US"/>
        </w:rPr>
        <w:t xml:space="preserve">. </w:t>
      </w:r>
      <w:r w:rsidR="00DE33FE" w:rsidRPr="00C57224">
        <w:rPr>
          <w:lang w:eastAsia="en-US"/>
        </w:rPr>
        <w:t xml:space="preserve">The minimum set of requirements established by the Joint Task Force are feeding into ITU-T standardization work, with two new </w:t>
      </w:r>
      <w:r w:rsidR="00DE33FE">
        <w:rPr>
          <w:rFonts w:eastAsia="MS Mincho" w:hint="eastAsia"/>
        </w:rPr>
        <w:t>ITU-T Recommendations being approved in August 2024</w:t>
      </w:r>
      <w:r w:rsidR="00DE33FE" w:rsidRPr="00C57224">
        <w:rPr>
          <w:lang w:eastAsia="en-US"/>
        </w:rPr>
        <w:t xml:space="preserve"> on SMART submarine cable systems </w:t>
      </w:r>
      <w:hyperlink r:id="rId58" w:history="1">
        <w:r w:rsidR="00DE33FE" w:rsidRPr="00360BC6">
          <w:rPr>
            <w:rStyle w:val="Hyperlink"/>
            <w:rFonts w:eastAsia="MS Mincho" w:hint="eastAsia"/>
          </w:rPr>
          <w:t>G.9730.2</w:t>
        </w:r>
      </w:hyperlink>
      <w:r w:rsidR="00DE33FE">
        <w:rPr>
          <w:rFonts w:eastAsia="MS Mincho" w:hint="eastAsia"/>
        </w:rPr>
        <w:t xml:space="preserve"> </w:t>
      </w:r>
      <w:r w:rsidR="00DE33FE" w:rsidRPr="00C57224">
        <w:rPr>
          <w:lang w:eastAsia="en-US"/>
        </w:rPr>
        <w:t>(</w:t>
      </w:r>
      <w:r w:rsidR="00DE33FE" w:rsidRPr="00360BC6">
        <w:rPr>
          <w:rFonts w:eastAsia="MS Mincho" w:hint="eastAsia"/>
        </w:rPr>
        <w:t>ex</w:t>
      </w:r>
      <w:r w:rsidR="00DE33FE">
        <w:rPr>
          <w:rFonts w:eastAsia="MS Mincho" w:hint="eastAsia"/>
        </w:rPr>
        <w:t xml:space="preserve"> </w:t>
      </w:r>
      <w:proofErr w:type="spellStart"/>
      <w:r w:rsidR="00DE33FE">
        <w:rPr>
          <w:rFonts w:eastAsia="MS Mincho" w:hint="eastAsia"/>
        </w:rPr>
        <w:t>G.smart</w:t>
      </w:r>
      <w:proofErr w:type="spellEnd"/>
      <w:r w:rsidR="00DE33FE" w:rsidRPr="00360BC6">
        <w:rPr>
          <w:lang w:eastAsia="en-US"/>
        </w:rPr>
        <w:t xml:space="preserve">) and dedicated </w:t>
      </w:r>
      <w:r w:rsidR="00DE33FE" w:rsidRPr="00C57224">
        <w:rPr>
          <w:lang w:eastAsia="en-US"/>
        </w:rPr>
        <w:t>scientific sensing submarine cable system</w:t>
      </w:r>
      <w:r w:rsidR="00DE33FE">
        <w:rPr>
          <w:rFonts w:eastAsia="MS Mincho" w:hint="eastAsia"/>
        </w:rPr>
        <w:t xml:space="preserve"> </w:t>
      </w:r>
      <w:hyperlink r:id="rId59" w:history="1">
        <w:r w:rsidR="00DE33FE" w:rsidRPr="00360BC6">
          <w:rPr>
            <w:rStyle w:val="Hyperlink"/>
            <w:rFonts w:eastAsia="MS Mincho" w:hint="eastAsia"/>
          </w:rPr>
          <w:t>G.9730.1</w:t>
        </w:r>
      </w:hyperlink>
      <w:r w:rsidR="00DE33FE" w:rsidRPr="00360BC6">
        <w:rPr>
          <w:lang w:eastAsia="en-US"/>
        </w:rPr>
        <w:t xml:space="preserve"> (</w:t>
      </w:r>
      <w:r w:rsidR="00DE33FE" w:rsidRPr="00360BC6">
        <w:rPr>
          <w:rFonts w:eastAsia="MS Mincho" w:hint="eastAsia"/>
        </w:rPr>
        <w:t xml:space="preserve">ex </w:t>
      </w:r>
      <w:hyperlink r:id="rId60" w:history="1">
        <w:proofErr w:type="spellStart"/>
        <w:r w:rsidR="00DE33FE" w:rsidRPr="00360BC6">
          <w:rPr>
            <w:rStyle w:val="Hyperlink"/>
            <w:color w:val="auto"/>
            <w:lang w:eastAsia="en-US"/>
          </w:rPr>
          <w:t>G.dsssc</w:t>
        </w:r>
        <w:proofErr w:type="spellEnd"/>
      </w:hyperlink>
      <w:r w:rsidR="00DE33FE" w:rsidRPr="00360BC6">
        <w:rPr>
          <w:lang w:eastAsia="en-US"/>
        </w:rPr>
        <w:t>).</w:t>
      </w:r>
      <w:r w:rsidR="00FB42DB" w:rsidRPr="00C57224">
        <w:rPr>
          <w:lang w:eastAsia="en-US"/>
        </w:rPr>
        <w:t xml:space="preserve"> </w:t>
      </w:r>
      <w:r w:rsidRPr="00C57224">
        <w:rPr>
          <w:lang w:eastAsia="en-US"/>
        </w:rPr>
        <w:t xml:space="preserve">In addition, work is underway on </w:t>
      </w:r>
      <w:r w:rsidR="00FB42DB" w:rsidRPr="00C57224">
        <w:rPr>
          <w:lang w:eastAsia="en-US"/>
        </w:rPr>
        <w:lastRenderedPageBreak/>
        <w:t xml:space="preserve">an </w:t>
      </w:r>
      <w:r w:rsidRPr="00C57224">
        <w:rPr>
          <w:lang w:eastAsia="en-US"/>
        </w:rPr>
        <w:t>impact assessment framework for evaluating how ICT-based subsea infrastructure could support climate, environmental and biodiversity monitoring</w:t>
      </w:r>
      <w:r w:rsidR="00FB42DB" w:rsidRPr="00C57224">
        <w:rPr>
          <w:lang w:eastAsia="en-US"/>
        </w:rPr>
        <w:t xml:space="preserve">. See </w:t>
      </w:r>
      <w:hyperlink w:anchor="_5.7_Submarine_cables" w:history="1">
        <w:r w:rsidR="006B2934" w:rsidRPr="00C57224">
          <w:rPr>
            <w:rStyle w:val="Hyperlink"/>
            <w:lang w:eastAsia="en-US"/>
          </w:rPr>
          <w:t>§</w:t>
        </w:r>
        <w:r w:rsidR="00FB42DB" w:rsidRPr="00C57224">
          <w:rPr>
            <w:rStyle w:val="Hyperlink"/>
            <w:lang w:eastAsia="en-US"/>
          </w:rPr>
          <w:t>5.7</w:t>
        </w:r>
      </w:hyperlink>
      <w:r w:rsidR="00FB42DB" w:rsidRPr="00C57224">
        <w:rPr>
          <w:lang w:eastAsia="en-US"/>
        </w:rPr>
        <w:t>.</w:t>
      </w:r>
    </w:p>
    <w:p w14:paraId="330E70E7" w14:textId="2ED2726D" w:rsidR="000B1514" w:rsidRPr="00C57224" w:rsidRDefault="000B1514" w:rsidP="000B1514">
      <w:pPr>
        <w:rPr>
          <w:lang w:eastAsia="en-US"/>
        </w:rPr>
      </w:pPr>
      <w:r w:rsidRPr="00C57224">
        <w:rPr>
          <w:lang w:eastAsia="en-US"/>
        </w:rPr>
        <w:t>ITU and WHO continue working together global guidelines for safe listening with devices, in venues and in video gaming and esports</w:t>
      </w:r>
      <w:r w:rsidR="00FB42DB" w:rsidRPr="00C57224">
        <w:rPr>
          <w:lang w:eastAsia="en-US"/>
        </w:rPr>
        <w:t xml:space="preserve">, contributing to the </w:t>
      </w:r>
      <w:hyperlink r:id="rId61" w:history="1">
        <w:r w:rsidR="00FB42DB" w:rsidRPr="00C57224">
          <w:rPr>
            <w:rStyle w:val="Hyperlink"/>
            <w:lang w:eastAsia="en-US"/>
          </w:rPr>
          <w:t>WHO Make Listening Safe initiative</w:t>
        </w:r>
      </w:hyperlink>
      <w:r w:rsidRPr="00C57224">
        <w:rPr>
          <w:lang w:eastAsia="en-US"/>
        </w:rPr>
        <w:t>. Consent was achieved in August 2024 on a new ITU-WHO standard for safe listening in video gameplay and esports</w:t>
      </w:r>
      <w:r w:rsidR="00FB42DB" w:rsidRPr="00C57224">
        <w:rPr>
          <w:lang w:eastAsia="en-US"/>
        </w:rPr>
        <w:t xml:space="preserve">. The work </w:t>
      </w:r>
      <w:r w:rsidRPr="00C57224">
        <w:rPr>
          <w:lang w:eastAsia="en-US"/>
        </w:rPr>
        <w:t>buil</w:t>
      </w:r>
      <w:r w:rsidR="00FB42DB" w:rsidRPr="00C57224">
        <w:rPr>
          <w:lang w:eastAsia="en-US"/>
        </w:rPr>
        <w:t>ds</w:t>
      </w:r>
      <w:r w:rsidRPr="00C57224">
        <w:rPr>
          <w:lang w:eastAsia="en-US"/>
        </w:rPr>
        <w:t xml:space="preserve"> on the success of ITU-WHO collaboration on</w:t>
      </w:r>
      <w:r w:rsidR="004F5EFE" w:rsidRPr="00C57224">
        <w:rPr>
          <w:lang w:eastAsia="en-US"/>
        </w:rPr>
        <w:t xml:space="preserve"> a joint standard for</w:t>
      </w:r>
      <w:r w:rsidRPr="00C57224">
        <w:rPr>
          <w:lang w:eastAsia="en-US"/>
        </w:rPr>
        <w:t xml:space="preserve"> safe listening with devices, particularly music players</w:t>
      </w:r>
      <w:r w:rsidR="00FB42DB" w:rsidRPr="00C57224">
        <w:rPr>
          <w:lang w:eastAsia="en-US"/>
        </w:rPr>
        <w:t xml:space="preserve">. See </w:t>
      </w:r>
      <w:hyperlink r:id="rId62" w:history="1">
        <w:r w:rsidR="00FB42DB" w:rsidRPr="00C57224">
          <w:rPr>
            <w:rStyle w:val="Hyperlink"/>
            <w:lang w:eastAsia="en-US"/>
          </w:rPr>
          <w:t>all safe listening workshops</w:t>
        </w:r>
      </w:hyperlink>
      <w:r w:rsidR="00FB42DB" w:rsidRPr="00C57224">
        <w:rPr>
          <w:lang w:eastAsia="en-US"/>
        </w:rPr>
        <w:t xml:space="preserve"> co-organized by ITU and WHO. In addition, a new </w:t>
      </w:r>
      <w:hyperlink r:id="rId63" w:history="1">
        <w:r w:rsidR="00FB42DB" w:rsidRPr="00C57224">
          <w:rPr>
            <w:rStyle w:val="Hyperlink"/>
            <w:lang w:eastAsia="en-US"/>
          </w:rPr>
          <w:t>ITU-WHO implementation toolkit</w:t>
        </w:r>
      </w:hyperlink>
      <w:r w:rsidR="00FB42DB" w:rsidRPr="00C57224">
        <w:rPr>
          <w:lang w:eastAsia="en-US"/>
        </w:rPr>
        <w:t xml:space="preserve"> for the ITU-WHO</w:t>
      </w:r>
      <w:r w:rsidR="004F5EFE" w:rsidRPr="00C57224">
        <w:rPr>
          <w:lang w:eastAsia="en-US"/>
        </w:rPr>
        <w:t xml:space="preserve"> standard </w:t>
      </w:r>
      <w:r w:rsidR="00FB42DB" w:rsidRPr="00C57224">
        <w:rPr>
          <w:lang w:eastAsia="en-US"/>
        </w:rPr>
        <w:t xml:space="preserve">on the accessibility of telehealth services was published in September 2024. See </w:t>
      </w:r>
      <w:hyperlink w:anchor="_5.8_Safe_listening" w:history="1">
        <w:r w:rsidR="006B2934" w:rsidRPr="00C57224">
          <w:rPr>
            <w:rStyle w:val="Hyperlink"/>
            <w:lang w:eastAsia="en-US"/>
          </w:rPr>
          <w:t>§</w:t>
        </w:r>
        <w:r w:rsidR="00FB42DB" w:rsidRPr="00C57224">
          <w:rPr>
            <w:rStyle w:val="Hyperlink"/>
            <w:lang w:eastAsia="en-US"/>
          </w:rPr>
          <w:t>5.8</w:t>
        </w:r>
      </w:hyperlink>
      <w:r w:rsidR="00FB42DB" w:rsidRPr="00C57224">
        <w:rPr>
          <w:lang w:eastAsia="en-US"/>
        </w:rPr>
        <w:t>.</w:t>
      </w:r>
    </w:p>
    <w:p w14:paraId="21F82311" w14:textId="7CF3377D" w:rsidR="00A26387" w:rsidRPr="00C57224" w:rsidRDefault="00327645" w:rsidP="00904210">
      <w:hyperlink r:id="rId64" w:history="1">
        <w:r w:rsidR="000B1514" w:rsidRPr="00C57224">
          <w:rPr>
            <w:rStyle w:val="Hyperlink"/>
            <w:rFonts w:eastAsiaTheme="majorEastAsia"/>
            <w:bCs/>
          </w:rPr>
          <w:t xml:space="preserve">CTO and </w:t>
        </w:r>
        <w:proofErr w:type="spellStart"/>
        <w:r w:rsidR="000B1514" w:rsidRPr="00C57224">
          <w:rPr>
            <w:rStyle w:val="Hyperlink"/>
            <w:rFonts w:eastAsiaTheme="majorEastAsia"/>
            <w:bCs/>
          </w:rPr>
          <w:t>CxO</w:t>
        </w:r>
        <w:proofErr w:type="spellEnd"/>
        <w:r w:rsidR="000B1514" w:rsidRPr="00C57224">
          <w:rPr>
            <w:rStyle w:val="Hyperlink"/>
            <w:rFonts w:eastAsiaTheme="majorEastAsia"/>
            <w:bCs/>
          </w:rPr>
          <w:t xml:space="preserve"> meetings</w:t>
        </w:r>
      </w:hyperlink>
      <w:r w:rsidR="000B1514" w:rsidRPr="00C57224">
        <w:t xml:space="preserve"> bring high-level industry executives together with the senior management of TSB to exchange views on industry priorities and related standardization activities. The most recent </w:t>
      </w:r>
      <w:hyperlink r:id="rId65" w:history="1">
        <w:proofErr w:type="spellStart"/>
        <w:r w:rsidR="000B1514" w:rsidRPr="00C57224">
          <w:rPr>
            <w:rStyle w:val="Hyperlink"/>
          </w:rPr>
          <w:t>CxO</w:t>
        </w:r>
        <w:proofErr w:type="spellEnd"/>
        <w:r w:rsidR="000B1514" w:rsidRPr="00C57224">
          <w:rPr>
            <w:rStyle w:val="Hyperlink"/>
          </w:rPr>
          <w:t xml:space="preserve"> Roundtable</w:t>
        </w:r>
      </w:hyperlink>
      <w:r w:rsidR="000B1514" w:rsidRPr="00C57224">
        <w:t xml:space="preserve"> was held in December 2023 at the Telecom Review Leader's Summit in Dubai, UAE, with additional participation online</w:t>
      </w:r>
      <w:r w:rsidR="00FB42DB" w:rsidRPr="00C57224">
        <w:t xml:space="preserve"> (s</w:t>
      </w:r>
      <w:r w:rsidR="000B1514" w:rsidRPr="00C57224">
        <w:t xml:space="preserve">ee meeting </w:t>
      </w:r>
      <w:hyperlink r:id="rId66" w:history="1">
        <w:r w:rsidR="000B1514" w:rsidRPr="00C57224">
          <w:rPr>
            <w:rStyle w:val="Hyperlink"/>
          </w:rPr>
          <w:t>communiqué</w:t>
        </w:r>
      </w:hyperlink>
      <w:r w:rsidR="00FB42DB" w:rsidRPr="00C57224">
        <w:t>)</w:t>
      </w:r>
      <w:r w:rsidR="000B1514" w:rsidRPr="00C57224">
        <w:t xml:space="preserve"> The previous </w:t>
      </w:r>
      <w:hyperlink r:id="rId67" w:history="1">
        <w:proofErr w:type="spellStart"/>
        <w:r w:rsidR="000B1514" w:rsidRPr="00C57224">
          <w:rPr>
            <w:rStyle w:val="Hyperlink"/>
          </w:rPr>
          <w:t>CxO</w:t>
        </w:r>
        <w:proofErr w:type="spellEnd"/>
        <w:r w:rsidR="000B1514" w:rsidRPr="00C57224">
          <w:rPr>
            <w:rStyle w:val="Hyperlink"/>
          </w:rPr>
          <w:t xml:space="preserve"> Meeting</w:t>
        </w:r>
      </w:hyperlink>
      <w:r w:rsidR="000B1514" w:rsidRPr="00C57224">
        <w:t xml:space="preserve"> was held in December 2022 at the Telecom Review Leader's Summit in Dubai, UAE, with additional participation online</w:t>
      </w:r>
      <w:r w:rsidR="00FB42DB" w:rsidRPr="00C57224">
        <w:t xml:space="preserve"> (s</w:t>
      </w:r>
      <w:r w:rsidR="000B1514" w:rsidRPr="00C57224">
        <w:t xml:space="preserve">ee meeting </w:t>
      </w:r>
      <w:hyperlink r:id="rId68" w:history="1">
        <w:r w:rsidR="000B1514" w:rsidRPr="00C57224">
          <w:rPr>
            <w:rStyle w:val="Hyperlink"/>
          </w:rPr>
          <w:t>communiqué</w:t>
        </w:r>
      </w:hyperlink>
      <w:r w:rsidR="00FB42DB" w:rsidRPr="00C57224">
        <w:t xml:space="preserve">). See </w:t>
      </w:r>
      <w:hyperlink w:anchor="_5.9_CTO_and" w:history="1">
        <w:r w:rsidR="006B2934" w:rsidRPr="00C57224">
          <w:rPr>
            <w:rStyle w:val="Hyperlink"/>
          </w:rPr>
          <w:t>§</w:t>
        </w:r>
        <w:r w:rsidR="00FB42DB" w:rsidRPr="00C57224">
          <w:rPr>
            <w:rStyle w:val="Hyperlink"/>
          </w:rPr>
          <w:t>5.9</w:t>
        </w:r>
      </w:hyperlink>
      <w:r w:rsidR="00FB42DB" w:rsidRPr="00C57224">
        <w:t>.</w:t>
      </w:r>
    </w:p>
    <w:p w14:paraId="2E629780" w14:textId="48C87A14" w:rsidR="00A26387" w:rsidRPr="00C57224" w:rsidRDefault="00327645" w:rsidP="00904210">
      <w:hyperlink r:id="rId69" w:history="1">
        <w:r w:rsidR="00904210" w:rsidRPr="00C57224">
          <w:rPr>
            <w:rStyle w:val="Hyperlink"/>
          </w:rPr>
          <w:t>ITU Academia membership</w:t>
        </w:r>
      </w:hyperlink>
      <w:r w:rsidR="00904210" w:rsidRPr="00C57224">
        <w:t xml:space="preserve">, the </w:t>
      </w:r>
      <w:hyperlink r:id="rId70" w:history="1">
        <w:r w:rsidR="00904210" w:rsidRPr="00C57224">
          <w:rPr>
            <w:rStyle w:val="Hyperlink"/>
          </w:rPr>
          <w:t>ITU Journal on Future and Evolving Technologies</w:t>
        </w:r>
      </w:hyperlink>
      <w:r w:rsidR="00904210" w:rsidRPr="00C57224">
        <w:t xml:space="preserve"> and </w:t>
      </w:r>
      <w:hyperlink r:id="rId71" w:history="1">
        <w:r w:rsidR="00904210" w:rsidRPr="00C57224">
          <w:rPr>
            <w:rStyle w:val="Hyperlink"/>
          </w:rPr>
          <w:t>ITU Kaleidoscope conferences</w:t>
        </w:r>
      </w:hyperlink>
      <w:r w:rsidR="00904210" w:rsidRPr="00C57224">
        <w:t xml:space="preserve"> </w:t>
      </w:r>
      <w:r w:rsidR="00E0268D" w:rsidRPr="00C57224">
        <w:t>are</w:t>
      </w:r>
      <w:r w:rsidR="00904210" w:rsidRPr="00C57224">
        <w:t xml:space="preserve"> key avenues for academics to engage in ITU</w:t>
      </w:r>
      <w:r w:rsidR="007C2FC3" w:rsidRPr="00C57224">
        <w:t>'</w:t>
      </w:r>
      <w:r w:rsidR="00904210" w:rsidRPr="00C57224">
        <w:t xml:space="preserve">s work. See </w:t>
      </w:r>
      <w:hyperlink w:anchor="_4_Academia" w:history="1">
        <w:r w:rsidR="006B2934" w:rsidRPr="00C57224">
          <w:rPr>
            <w:rStyle w:val="Hyperlink"/>
          </w:rPr>
          <w:t>§</w:t>
        </w:r>
        <w:r w:rsidR="00904210" w:rsidRPr="00C57224">
          <w:rPr>
            <w:rStyle w:val="Hyperlink"/>
          </w:rPr>
          <w:t>6</w:t>
        </w:r>
      </w:hyperlink>
      <w:r w:rsidR="00904210" w:rsidRPr="00C57224">
        <w:t>.</w:t>
      </w:r>
    </w:p>
    <w:p w14:paraId="0EB6BA1C" w14:textId="2E0407EB" w:rsidR="00A26387" w:rsidRPr="00C57224" w:rsidRDefault="00904210" w:rsidP="00904210">
      <w:r w:rsidRPr="00C57224">
        <w:t xml:space="preserve">The ITU Journal – free of charge to both readers and authors – offers comprehensive coverage of communications and networking. </w:t>
      </w:r>
      <w:r w:rsidR="000B1514" w:rsidRPr="00C57224">
        <w:t>The online journal welcomes research submissions on all relevant topics, all year long</w:t>
      </w:r>
      <w:r w:rsidRPr="00C57224">
        <w:t xml:space="preserve">. The journal </w:t>
      </w:r>
      <w:r w:rsidR="004F5EFE" w:rsidRPr="00C57224">
        <w:t xml:space="preserve">also </w:t>
      </w:r>
      <w:r w:rsidRPr="00C57224">
        <w:t>includes</w:t>
      </w:r>
      <w:r w:rsidR="00461B8B" w:rsidRPr="00C57224">
        <w:t xml:space="preserve"> </w:t>
      </w:r>
      <w:hyperlink r:id="rId72" w:tgtFrame="_blank" w:history="1">
        <w:r w:rsidRPr="00C57224">
          <w:rPr>
            <w:rStyle w:val="Hyperlink"/>
          </w:rPr>
          <w:t>recorded webinar discussions</w:t>
        </w:r>
      </w:hyperlink>
      <w:r w:rsidR="00461B8B" w:rsidRPr="00C57224">
        <w:t xml:space="preserve"> </w:t>
      </w:r>
      <w:r w:rsidRPr="00C57224">
        <w:t xml:space="preserve">with researchers and industry leaders. See </w:t>
      </w:r>
      <w:hyperlink w:anchor="_6.1_ITU_Journal" w:history="1">
        <w:r w:rsidR="006B2934" w:rsidRPr="00C57224">
          <w:rPr>
            <w:rStyle w:val="Hyperlink"/>
          </w:rPr>
          <w:t>§</w:t>
        </w:r>
        <w:r w:rsidRPr="00C57224">
          <w:rPr>
            <w:rStyle w:val="Hyperlink"/>
          </w:rPr>
          <w:t>6.1</w:t>
        </w:r>
      </w:hyperlink>
      <w:r w:rsidRPr="00C57224">
        <w:t>.</w:t>
      </w:r>
      <w:r w:rsidR="000B1514" w:rsidRPr="00C57224">
        <w:t xml:space="preserve"> </w:t>
      </w:r>
      <w:hyperlink r:id="rId73" w:history="1">
        <w:r w:rsidRPr="00C57224">
          <w:rPr>
            <w:rStyle w:val="Hyperlink"/>
            <w:iCs/>
          </w:rPr>
          <w:t>ITU Kaleidoscope 2024: Innovation and digital transformation for a sustainable world</w:t>
        </w:r>
      </w:hyperlink>
      <w:r w:rsidRPr="00C57224">
        <w:t xml:space="preserve"> be</w:t>
      </w:r>
      <w:r w:rsidR="00684F0D" w:rsidRPr="00C57224">
        <w:t>ing</w:t>
      </w:r>
      <w:r w:rsidRPr="00C57224">
        <w:t xml:space="preserve"> held in conjunction with WTSA-24</w:t>
      </w:r>
      <w:r w:rsidR="00684F0D" w:rsidRPr="00C57224">
        <w:t xml:space="preserve"> </w:t>
      </w:r>
      <w:r w:rsidRPr="00C57224">
        <w:t>place</w:t>
      </w:r>
      <w:r w:rsidR="00684F0D" w:rsidRPr="00C57224">
        <w:t>s</w:t>
      </w:r>
      <w:r w:rsidRPr="00C57224">
        <w:t xml:space="preserve"> emphasis on how international standards can contribute to the achievement of the SDGs. See </w:t>
      </w:r>
      <w:hyperlink w:anchor="_6.2_ITU_Kaleidoscope" w:history="1">
        <w:r w:rsidR="006B2934" w:rsidRPr="00C57224">
          <w:rPr>
            <w:rStyle w:val="Hyperlink"/>
          </w:rPr>
          <w:t>§</w:t>
        </w:r>
        <w:r w:rsidRPr="00C57224">
          <w:rPr>
            <w:rStyle w:val="Hyperlink"/>
          </w:rPr>
          <w:t>6.2</w:t>
        </w:r>
      </w:hyperlink>
      <w:r w:rsidRPr="00C57224">
        <w:t>.</w:t>
      </w:r>
    </w:p>
    <w:p w14:paraId="24FF860C" w14:textId="78C85E2F" w:rsidR="00904210" w:rsidRPr="00C57224" w:rsidRDefault="00904210" w:rsidP="00904210">
      <w:r w:rsidRPr="00C57224">
        <w:t xml:space="preserve">ITU's re-envisioned </w:t>
      </w:r>
      <w:hyperlink r:id="rId74" w:history="1">
        <w:r w:rsidRPr="00C57224">
          <w:rPr>
            <w:rStyle w:val="Hyperlink"/>
          </w:rPr>
          <w:t xml:space="preserve">Bridging the Standardization Gap (BSG) </w:t>
        </w:r>
        <w:r w:rsidR="00E0268D" w:rsidRPr="00C57224">
          <w:rPr>
            <w:rStyle w:val="Hyperlink"/>
          </w:rPr>
          <w:t>p</w:t>
        </w:r>
        <w:r w:rsidRPr="00C57224">
          <w:rPr>
            <w:rStyle w:val="Hyperlink"/>
          </w:rPr>
          <w:t>rogramme</w:t>
        </w:r>
      </w:hyperlink>
      <w:r w:rsidRPr="00C57224">
        <w:t xml:space="preserve"> includes two main strategic pillars – </w:t>
      </w:r>
      <w:r w:rsidRPr="00C57224">
        <w:rPr>
          <w:i/>
          <w:iCs/>
        </w:rPr>
        <w:t>Development</w:t>
      </w:r>
      <w:r w:rsidRPr="00C57224">
        <w:t xml:space="preserve"> and </w:t>
      </w:r>
      <w:r w:rsidRPr="00C57224">
        <w:rPr>
          <w:i/>
          <w:iCs/>
        </w:rPr>
        <w:t>Implementation –</w:t>
      </w:r>
      <w:r w:rsidRPr="00C57224">
        <w:t xml:space="preserve"> supported by </w:t>
      </w:r>
      <w:r w:rsidRPr="00C57224">
        <w:rPr>
          <w:i/>
          <w:iCs/>
        </w:rPr>
        <w:t xml:space="preserve">Resources </w:t>
      </w:r>
      <w:r w:rsidRPr="00C57224">
        <w:t xml:space="preserve">and </w:t>
      </w:r>
      <w:r w:rsidRPr="00C57224">
        <w:rPr>
          <w:i/>
          <w:iCs/>
        </w:rPr>
        <w:t>Partnership</w:t>
      </w:r>
      <w:r w:rsidRPr="00C57224">
        <w:t xml:space="preserve">. Japan's Ministry of Internal Affairs and Communications continues to fund the BSG programme. </w:t>
      </w:r>
      <w:r w:rsidR="0031215C" w:rsidRPr="00C57224">
        <w:t xml:space="preserve">318 fellowships were awarded </w:t>
      </w:r>
      <w:r w:rsidRPr="00C57224">
        <w:t>from January</w:t>
      </w:r>
      <w:r w:rsidR="0031215C" w:rsidRPr="00C57224">
        <w:t xml:space="preserve"> 2022</w:t>
      </w:r>
      <w:r w:rsidRPr="00C57224">
        <w:t xml:space="preserve"> to June 2024. </w:t>
      </w:r>
      <w:r w:rsidR="0031215C" w:rsidRPr="00C57224">
        <w:t>Over 50 BSG capacity building events were held in the study period, primarily addressing standards development but also WTSA and electronic working methods and tools. S</w:t>
      </w:r>
      <w:r w:rsidRPr="00C57224">
        <w:t xml:space="preserve">ee </w:t>
      </w:r>
      <w:hyperlink w:anchor="_9_Bridging_the" w:history="1">
        <w:r w:rsidR="006B2934" w:rsidRPr="00C57224">
          <w:rPr>
            <w:rStyle w:val="Hyperlink"/>
          </w:rPr>
          <w:t>§</w:t>
        </w:r>
        <w:r w:rsidRPr="00C57224">
          <w:rPr>
            <w:rStyle w:val="Hyperlink"/>
          </w:rPr>
          <w:t>9</w:t>
        </w:r>
      </w:hyperlink>
      <w:r w:rsidRPr="00C57224">
        <w:t>.</w:t>
      </w:r>
    </w:p>
    <w:p w14:paraId="79C649EC" w14:textId="00BCAF1E" w:rsidR="00904210" w:rsidRPr="00C57224" w:rsidRDefault="00904210" w:rsidP="00904210">
      <w:r w:rsidRPr="00C57224">
        <w:t xml:space="preserve">TSB remains dedicated to integrating a gender perspective in all of its activities and programmes, leveraging the framework of ITU Gender Task Force and the </w:t>
      </w:r>
      <w:hyperlink r:id="rId75" w:history="1">
        <w:r w:rsidRPr="00C57224">
          <w:rPr>
            <w:rStyle w:val="Hyperlink"/>
          </w:rPr>
          <w:t>Network of Women in ITU-T</w:t>
        </w:r>
      </w:hyperlink>
      <w:r w:rsidRPr="00C57224">
        <w:t>. Gender parity objectives for WTSA-24, supported by the NOW4WTSA-24 campaign, encourage</w:t>
      </w:r>
      <w:r w:rsidR="00684F0D" w:rsidRPr="00C57224">
        <w:t>d</w:t>
      </w:r>
      <w:r w:rsidRPr="00C57224">
        <w:t xml:space="preserve"> Member States to pledge support for growth in the number of women in ITU-T leadership positions and the target of 35 per cent female participation at WTSA-24. Six </w:t>
      </w:r>
      <w:proofErr w:type="spellStart"/>
      <w:r w:rsidR="00684F0D" w:rsidRPr="00C57224">
        <w:t>NoW</w:t>
      </w:r>
      <w:proofErr w:type="spellEnd"/>
      <w:r w:rsidR="00684F0D" w:rsidRPr="00C57224">
        <w:t xml:space="preserve"> in ITU-T </w:t>
      </w:r>
      <w:r w:rsidRPr="00C57224">
        <w:t xml:space="preserve">Regional Representatives </w:t>
      </w:r>
      <w:r w:rsidR="00684F0D" w:rsidRPr="00C57224">
        <w:t xml:space="preserve">for WTSA-24 were </w:t>
      </w:r>
      <w:r w:rsidRPr="00C57224">
        <w:t xml:space="preserve">appointed by Regional Telecommunication Organizations. See </w:t>
      </w:r>
      <w:hyperlink w:anchor="_10_Gender" w:history="1">
        <w:r w:rsidR="006B2934" w:rsidRPr="00C57224">
          <w:rPr>
            <w:rStyle w:val="Hyperlink"/>
          </w:rPr>
          <w:t>§</w:t>
        </w:r>
        <w:r w:rsidRPr="00C57224">
          <w:rPr>
            <w:rStyle w:val="Hyperlink"/>
          </w:rPr>
          <w:t>10</w:t>
        </w:r>
      </w:hyperlink>
      <w:r w:rsidRPr="00C57224">
        <w:t>.</w:t>
      </w:r>
    </w:p>
    <w:p w14:paraId="1E4C33AF" w14:textId="25F49C12" w:rsidR="00904210" w:rsidRPr="00C57224" w:rsidRDefault="00461B8B" w:rsidP="00904210">
      <w:r w:rsidRPr="00C57224">
        <w:t>Fourteen</w:t>
      </w:r>
      <w:r w:rsidR="00904210" w:rsidRPr="00C57224">
        <w:t xml:space="preserve"> testing labs with competence to test the conformance of products with ITU-T Recommendation</w:t>
      </w:r>
      <w:r w:rsidR="00FB42DB" w:rsidRPr="00C57224">
        <w:t>s</w:t>
      </w:r>
      <w:r w:rsidR="00904210" w:rsidRPr="00C57224">
        <w:t xml:space="preserve"> have been listed in the </w:t>
      </w:r>
      <w:hyperlink r:id="rId76" w:tgtFrame="_blank" w:history="1">
        <w:r w:rsidR="00904210" w:rsidRPr="00C57224">
          <w:rPr>
            <w:rStyle w:val="Hyperlink"/>
          </w:rPr>
          <w:t>ITU Testing Laboratories Database</w:t>
        </w:r>
      </w:hyperlink>
      <w:r w:rsidR="00904210" w:rsidRPr="00C57224">
        <w:t xml:space="preserve"> for ITU-recognized facilities. The testing lab recognition scheme, supported by the </w:t>
      </w:r>
      <w:hyperlink r:id="rId77" w:tgtFrame="_blank" w:history="1">
        <w:r w:rsidR="00904210" w:rsidRPr="00C57224">
          <w:rPr>
            <w:rStyle w:val="Hyperlink"/>
          </w:rPr>
          <w:t>ITU-T Conformity Assessment Steering Committee</w:t>
        </w:r>
      </w:hyperlink>
      <w:r w:rsidR="00904210" w:rsidRPr="00C57224">
        <w:t xml:space="preserve">, is an initiative under the </w:t>
      </w:r>
      <w:hyperlink r:id="rId78" w:history="1">
        <w:r w:rsidR="00904210" w:rsidRPr="00C57224">
          <w:rPr>
            <w:rStyle w:val="Hyperlink"/>
          </w:rPr>
          <w:t>ITU Conformity and Interoperability programme</w:t>
        </w:r>
      </w:hyperlink>
      <w:r w:rsidR="00904210" w:rsidRPr="00C57224">
        <w:t xml:space="preserve">. See </w:t>
      </w:r>
      <w:hyperlink w:anchor="_7_Conformity_and" w:history="1">
        <w:r w:rsidR="006B2934" w:rsidRPr="00C57224">
          <w:rPr>
            <w:rStyle w:val="Hyperlink"/>
          </w:rPr>
          <w:t>§</w:t>
        </w:r>
        <w:r w:rsidR="00904210" w:rsidRPr="00C57224">
          <w:rPr>
            <w:rStyle w:val="Hyperlink"/>
          </w:rPr>
          <w:t>7</w:t>
        </w:r>
      </w:hyperlink>
      <w:r w:rsidR="00904210" w:rsidRPr="00C57224">
        <w:t>.</w:t>
      </w:r>
    </w:p>
    <w:p w14:paraId="3B170EFC" w14:textId="32C09F0C" w:rsidR="004F5029" w:rsidRPr="00C57224" w:rsidRDefault="00904210" w:rsidP="0070173D">
      <w:r w:rsidRPr="00C57224">
        <w:t xml:space="preserve">Over </w:t>
      </w:r>
      <w:r w:rsidR="000B1514" w:rsidRPr="00C57224">
        <w:t>860</w:t>
      </w:r>
      <w:r w:rsidRPr="00C57224">
        <w:t xml:space="preserve"> ITU-T Recommendations and Supplements were published in</w:t>
      </w:r>
      <w:r w:rsidR="000B1514" w:rsidRPr="00C57224">
        <w:t xml:space="preserve"> the study period</w:t>
      </w:r>
      <w:r w:rsidRPr="00C57224">
        <w:t>. TSB continues to collect all new terms and definitions proposed by ITU-T study groups, entering them into the online</w:t>
      </w:r>
      <w:r w:rsidR="00E0268D" w:rsidRPr="00C57224">
        <w:t xml:space="preserve"> </w:t>
      </w:r>
      <w:hyperlink r:id="rId79" w:anchor="/" w:history="1">
        <w:r w:rsidR="00E0268D" w:rsidRPr="00C57224">
          <w:rPr>
            <w:rStyle w:val="Hyperlink"/>
            <w:lang w:eastAsia="en-US"/>
          </w:rPr>
          <w:t>ITU Terms and Definitions database</w:t>
        </w:r>
      </w:hyperlink>
      <w:r w:rsidRPr="00C57224">
        <w:t xml:space="preserve">. TSB continues to translate all Recommendations approved under the Traditional Approval Process as well as all TSAG reports. On request, TSB translated </w:t>
      </w:r>
      <w:r w:rsidR="000B1514" w:rsidRPr="00C57224">
        <w:t>ten</w:t>
      </w:r>
      <w:r w:rsidRPr="00C57224">
        <w:t xml:space="preserve"> Recommendations approved under the Alternative Approval Process in the</w:t>
      </w:r>
      <w:r w:rsidR="000B1514" w:rsidRPr="00C57224">
        <w:t xml:space="preserve"> study period</w:t>
      </w:r>
      <w:r w:rsidRPr="00C57224">
        <w:t xml:space="preserve">. See </w:t>
      </w:r>
      <w:hyperlink w:anchor="_11_Publications" w:history="1">
        <w:r w:rsidR="006B2934" w:rsidRPr="00C57224">
          <w:rPr>
            <w:rStyle w:val="Hyperlink"/>
          </w:rPr>
          <w:t>§</w:t>
        </w:r>
        <w:r w:rsidRPr="00C57224">
          <w:rPr>
            <w:rStyle w:val="Hyperlink"/>
          </w:rPr>
          <w:t>1</w:t>
        </w:r>
        <w:r w:rsidR="00FB42DB" w:rsidRPr="00C57224">
          <w:rPr>
            <w:rStyle w:val="Hyperlink"/>
          </w:rPr>
          <w:t>1</w:t>
        </w:r>
      </w:hyperlink>
      <w:r w:rsidRPr="00C57224">
        <w:t>.</w:t>
      </w:r>
    </w:p>
    <w:p w14:paraId="33FB7DEB" w14:textId="2F7B36C2" w:rsidR="00682E93" w:rsidRPr="00C57224" w:rsidRDefault="004F5029" w:rsidP="004F5029">
      <w:pPr>
        <w:spacing w:before="0"/>
      </w:pPr>
      <w:r w:rsidRPr="00C57224">
        <w:br w:type="page"/>
      </w:r>
    </w:p>
    <w:p w14:paraId="2939E2DC" w14:textId="541EE1F4" w:rsidR="00136E7B" w:rsidRPr="00C57224" w:rsidRDefault="5EE8545A" w:rsidP="00B621AB">
      <w:pPr>
        <w:pStyle w:val="Title4"/>
      </w:pPr>
      <w:bookmarkStart w:id="6" w:name="_Toc480527765"/>
      <w:bookmarkStart w:id="7" w:name="_Toc179219747"/>
      <w:bookmarkStart w:id="8" w:name="_Toc179221057"/>
      <w:bookmarkStart w:id="9" w:name="_Toc462664184"/>
      <w:bookmarkStart w:id="10" w:name="_Toc475550127"/>
      <w:bookmarkStart w:id="11" w:name="_Toc416161323"/>
      <w:bookmarkStart w:id="12" w:name="_Toc438553934"/>
      <w:bookmarkStart w:id="13" w:name="_Toc453929055"/>
      <w:bookmarkStart w:id="14" w:name="_Toc453932927"/>
      <w:bookmarkStart w:id="15" w:name="_Toc454295831"/>
      <w:bookmarkStart w:id="16" w:name="_Toc418526228"/>
      <w:bookmarkStart w:id="17" w:name="_Toc462664185"/>
      <w:r w:rsidRPr="00C57224">
        <w:lastRenderedPageBreak/>
        <w:t xml:space="preserve">Annex – Full </w:t>
      </w:r>
      <w:r w:rsidR="00A9765D" w:rsidRPr="00C57224">
        <w:t>r</w:t>
      </w:r>
      <w:r w:rsidRPr="00C57224">
        <w:t xml:space="preserve">eport of activities in ITU-T </w:t>
      </w:r>
      <w:r w:rsidR="00526CBB" w:rsidRPr="00C57224">
        <w:t>in the study period</w:t>
      </w:r>
      <w:bookmarkEnd w:id="6"/>
      <w:bookmarkEnd w:id="7"/>
      <w:bookmarkEnd w:id="8"/>
    </w:p>
    <w:p w14:paraId="1C91FA37" w14:textId="5229676D" w:rsidR="00A63A18" w:rsidRPr="00C57224" w:rsidRDefault="00136E7B" w:rsidP="000B3E92">
      <w:pPr>
        <w:pStyle w:val="Heading1"/>
        <w:spacing w:before="240"/>
      </w:pPr>
      <w:bookmarkStart w:id="18" w:name="_1_Achievements_in"/>
      <w:bookmarkStart w:id="19" w:name="_1_ITU-T_Study"/>
      <w:bookmarkStart w:id="20" w:name="_Toc179219748"/>
      <w:bookmarkStart w:id="21" w:name="_Toc179221058"/>
      <w:bookmarkStart w:id="22" w:name="_Toc480527766"/>
      <w:bookmarkEnd w:id="18"/>
      <w:bookmarkEnd w:id="19"/>
      <w:r w:rsidRPr="00C57224">
        <w:t>1</w:t>
      </w:r>
      <w:r w:rsidRPr="00C57224">
        <w:tab/>
      </w:r>
      <w:r w:rsidR="0026304D" w:rsidRPr="00C57224">
        <w:t>S</w:t>
      </w:r>
      <w:r w:rsidR="00F17FE4" w:rsidRPr="00C57224">
        <w:t xml:space="preserve">tudy </w:t>
      </w:r>
      <w:r w:rsidR="00B44AD8" w:rsidRPr="00C57224">
        <w:t>g</w:t>
      </w:r>
      <w:r w:rsidR="00F17FE4" w:rsidRPr="00C57224">
        <w:t>roups</w:t>
      </w:r>
      <w:bookmarkEnd w:id="20"/>
      <w:bookmarkEnd w:id="21"/>
    </w:p>
    <w:p w14:paraId="47C61FD1" w14:textId="3F732E80" w:rsidR="00A26387" w:rsidRPr="00C57224" w:rsidRDefault="003D3598" w:rsidP="003D3598">
      <w:r w:rsidRPr="00C57224">
        <w:t>ITU approved</w:t>
      </w:r>
      <w:r w:rsidR="00EF6426" w:rsidRPr="00C57224">
        <w:t xml:space="preserve"> </w:t>
      </w:r>
      <w:r w:rsidR="001B037E" w:rsidRPr="00C57224">
        <w:t xml:space="preserve">over </w:t>
      </w:r>
      <w:hyperlink r:id="rId80" w:history="1">
        <w:r w:rsidR="001B037E" w:rsidRPr="00C57224">
          <w:rPr>
            <w:rStyle w:val="Hyperlink"/>
          </w:rPr>
          <w:t>900</w:t>
        </w:r>
        <w:r w:rsidR="00A406A6" w:rsidRPr="00C57224">
          <w:rPr>
            <w:rStyle w:val="Hyperlink"/>
          </w:rPr>
          <w:t xml:space="preserve"> </w:t>
        </w:r>
        <w:r w:rsidRPr="00C57224">
          <w:rPr>
            <w:rStyle w:val="Hyperlink"/>
          </w:rPr>
          <w:t>new and revised ITU-T Recommendations</w:t>
        </w:r>
        <w:r w:rsidR="00EF6426" w:rsidRPr="00C57224">
          <w:rPr>
            <w:rStyle w:val="Hyperlink"/>
          </w:rPr>
          <w:t xml:space="preserve"> and related texts</w:t>
        </w:r>
      </w:hyperlink>
      <w:r w:rsidR="00D56A4B" w:rsidRPr="00C57224">
        <w:t xml:space="preserve"> </w:t>
      </w:r>
      <w:r w:rsidR="008607C9" w:rsidRPr="00C57224">
        <w:t>in the study period</w:t>
      </w:r>
      <w:r w:rsidR="00EF6426" w:rsidRPr="00C57224">
        <w:t>.</w:t>
      </w:r>
      <w:r w:rsidR="007C17D2" w:rsidRPr="00C57224">
        <w:t xml:space="preserve"> </w:t>
      </w:r>
      <w:r w:rsidR="00EF6426" w:rsidRPr="00C57224">
        <w:t xml:space="preserve">For all ITU-T Recommendations in force, see </w:t>
      </w:r>
      <w:r w:rsidR="00FC1E81" w:rsidRPr="00C57224">
        <w:t xml:space="preserve">the </w:t>
      </w:r>
      <w:hyperlink r:id="rId81" w:history="1">
        <w:r w:rsidR="00EF6426" w:rsidRPr="00C57224">
          <w:rPr>
            <w:rStyle w:val="Hyperlink"/>
          </w:rPr>
          <w:t>catalogue of ITU-T Recommendations</w:t>
        </w:r>
      </w:hyperlink>
      <w:r w:rsidR="007C17D2" w:rsidRPr="00C57224">
        <w:t>.</w:t>
      </w:r>
    </w:p>
    <w:p w14:paraId="5B6F76CA" w14:textId="61F8F0CB" w:rsidR="00A26387" w:rsidRPr="00C57224" w:rsidRDefault="00EE273D" w:rsidP="006941EA">
      <w:r w:rsidRPr="00C57224">
        <w:t>Executive summaries of ITU</w:t>
      </w:r>
      <w:r w:rsidR="004B3675" w:rsidRPr="00C57224">
        <w:t>-T</w:t>
      </w:r>
      <w:r w:rsidRPr="00C57224">
        <w:t xml:space="preserve"> study group (SG) meetings can be found on their respective </w:t>
      </w:r>
      <w:hyperlink r:id="rId82" w:history="1">
        <w:r w:rsidRPr="00C57224">
          <w:rPr>
            <w:rStyle w:val="Hyperlink"/>
          </w:rPr>
          <w:t>homepages</w:t>
        </w:r>
      </w:hyperlink>
      <w:r w:rsidR="00950F9F" w:rsidRPr="00C57224">
        <w:t>.</w:t>
      </w:r>
      <w:bookmarkStart w:id="23" w:name="_1.1_AI-based_mapping"/>
      <w:bookmarkEnd w:id="23"/>
    </w:p>
    <w:p w14:paraId="50E16B40" w14:textId="6BE215E9" w:rsidR="006941EA" w:rsidRPr="00C57224" w:rsidRDefault="006941EA" w:rsidP="006941EA">
      <w:r w:rsidRPr="00C57224">
        <w:t xml:space="preserve">ITU-T </w:t>
      </w:r>
      <w:r w:rsidR="00DE7459" w:rsidRPr="00C57224">
        <w:t>study group</w:t>
      </w:r>
      <w:r w:rsidR="0018467E" w:rsidRPr="00C57224">
        <w:t xml:space="preserve"> reports to WTSA-24</w:t>
      </w:r>
      <w:r w:rsidRPr="00C57224">
        <w:t>:</w:t>
      </w:r>
    </w:p>
    <w:p w14:paraId="5A46572B" w14:textId="758AABC5" w:rsidR="000A66DC" w:rsidRPr="00C57224" w:rsidRDefault="00327645" w:rsidP="004B4E80">
      <w:pPr>
        <w:numPr>
          <w:ilvl w:val="0"/>
          <w:numId w:val="21"/>
        </w:numPr>
        <w:spacing w:before="60"/>
        <w:ind w:left="714" w:hanging="357"/>
      </w:pPr>
      <w:hyperlink r:id="rId83" w:history="1">
        <w:r w:rsidR="000A66DC" w:rsidRPr="00C57224">
          <w:rPr>
            <w:rStyle w:val="Hyperlink"/>
          </w:rPr>
          <w:t>SG2</w:t>
        </w:r>
      </w:hyperlink>
      <w:r w:rsidR="000A66DC" w:rsidRPr="00C57224">
        <w:t xml:space="preserve">: </w:t>
      </w:r>
      <w:r w:rsidR="0018467E" w:rsidRPr="00C57224">
        <w:t xml:space="preserve">General </w:t>
      </w:r>
      <w:r w:rsidR="0071650C" w:rsidRPr="00C57224">
        <w:t>(</w:t>
      </w:r>
      <w:hyperlink r:id="rId84" w:history="1">
        <w:r w:rsidR="0071650C" w:rsidRPr="00C57224">
          <w:rPr>
            <w:rStyle w:val="Hyperlink"/>
          </w:rPr>
          <w:t>C1</w:t>
        </w:r>
      </w:hyperlink>
      <w:r w:rsidR="0018467E" w:rsidRPr="00C57224">
        <w:t xml:space="preserve">); Questions proposed for </w:t>
      </w:r>
      <w:r w:rsidR="0071650C" w:rsidRPr="00C57224">
        <w:t xml:space="preserve">the </w:t>
      </w:r>
      <w:r w:rsidR="0018467E" w:rsidRPr="00C57224">
        <w:t>next study period</w:t>
      </w:r>
      <w:r w:rsidR="0071650C" w:rsidRPr="00C57224">
        <w:t xml:space="preserve"> (</w:t>
      </w:r>
      <w:hyperlink r:id="rId85" w:history="1">
        <w:r w:rsidR="0071650C" w:rsidRPr="00C57224">
          <w:rPr>
            <w:rStyle w:val="Hyperlink"/>
          </w:rPr>
          <w:t>C2</w:t>
        </w:r>
      </w:hyperlink>
      <w:r w:rsidR="0071650C" w:rsidRPr="00C57224">
        <w:t>)</w:t>
      </w:r>
    </w:p>
    <w:p w14:paraId="0C96EA63" w14:textId="203822F6" w:rsidR="006941EA" w:rsidRPr="00C57224" w:rsidRDefault="00327645" w:rsidP="004B4E80">
      <w:pPr>
        <w:numPr>
          <w:ilvl w:val="0"/>
          <w:numId w:val="21"/>
        </w:numPr>
        <w:spacing w:before="60"/>
        <w:ind w:left="714" w:hanging="357"/>
      </w:pPr>
      <w:hyperlink r:id="rId86" w:history="1">
        <w:r w:rsidR="006941EA" w:rsidRPr="00C57224">
          <w:rPr>
            <w:rStyle w:val="Hyperlink"/>
          </w:rPr>
          <w:t>SG3</w:t>
        </w:r>
      </w:hyperlink>
      <w:r w:rsidR="003A5841" w:rsidRPr="00C57224">
        <w:t xml:space="preserve">: </w:t>
      </w:r>
      <w:r w:rsidR="0071650C" w:rsidRPr="00C57224">
        <w:t>General (</w:t>
      </w:r>
      <w:hyperlink r:id="rId87" w:history="1">
        <w:r w:rsidR="0071650C" w:rsidRPr="00C57224">
          <w:rPr>
            <w:rStyle w:val="Hyperlink"/>
          </w:rPr>
          <w:t>C3</w:t>
        </w:r>
      </w:hyperlink>
      <w:r w:rsidR="0071650C" w:rsidRPr="00C57224">
        <w:t>); Questions proposed for the next study period (</w:t>
      </w:r>
      <w:hyperlink r:id="rId88" w:history="1">
        <w:r w:rsidR="0071650C" w:rsidRPr="00C57224">
          <w:rPr>
            <w:rStyle w:val="Hyperlink"/>
          </w:rPr>
          <w:t>C4</w:t>
        </w:r>
      </w:hyperlink>
      <w:r w:rsidR="0071650C" w:rsidRPr="00C57224">
        <w:t>)</w:t>
      </w:r>
    </w:p>
    <w:p w14:paraId="14AA9ABB" w14:textId="34815EFA" w:rsidR="006941EA" w:rsidRPr="00C57224" w:rsidRDefault="00327645" w:rsidP="004B4E80">
      <w:pPr>
        <w:numPr>
          <w:ilvl w:val="0"/>
          <w:numId w:val="21"/>
        </w:numPr>
        <w:spacing w:before="60"/>
        <w:ind w:left="714" w:hanging="357"/>
      </w:pPr>
      <w:hyperlink r:id="rId89" w:history="1">
        <w:r w:rsidR="006941EA" w:rsidRPr="00C57224">
          <w:rPr>
            <w:rStyle w:val="Hyperlink"/>
          </w:rPr>
          <w:t>SG5</w:t>
        </w:r>
      </w:hyperlink>
      <w:r w:rsidR="006941EA" w:rsidRPr="00C57224">
        <w:t xml:space="preserve">: </w:t>
      </w:r>
      <w:r w:rsidR="0071650C" w:rsidRPr="00C57224">
        <w:t>General (</w:t>
      </w:r>
      <w:hyperlink r:id="rId90" w:history="1">
        <w:r w:rsidR="0071650C" w:rsidRPr="00C57224">
          <w:rPr>
            <w:rStyle w:val="Hyperlink"/>
          </w:rPr>
          <w:t>C5</w:t>
        </w:r>
      </w:hyperlink>
      <w:r w:rsidR="0071650C" w:rsidRPr="00C57224">
        <w:t>); Questions proposed for the next study period (</w:t>
      </w:r>
      <w:hyperlink r:id="rId91" w:history="1">
        <w:r w:rsidR="0071650C" w:rsidRPr="00C57224">
          <w:rPr>
            <w:rStyle w:val="Hyperlink"/>
          </w:rPr>
          <w:t>C6</w:t>
        </w:r>
      </w:hyperlink>
      <w:r w:rsidR="0071650C" w:rsidRPr="00C57224">
        <w:t>)</w:t>
      </w:r>
    </w:p>
    <w:p w14:paraId="6FFEA556" w14:textId="74960553" w:rsidR="006941EA" w:rsidRPr="00C57224" w:rsidRDefault="00327645" w:rsidP="004B4E80">
      <w:pPr>
        <w:numPr>
          <w:ilvl w:val="0"/>
          <w:numId w:val="21"/>
        </w:numPr>
        <w:spacing w:before="60"/>
        <w:ind w:left="714" w:hanging="357"/>
      </w:pPr>
      <w:hyperlink r:id="rId92" w:history="1">
        <w:r w:rsidR="006941EA" w:rsidRPr="00C57224">
          <w:rPr>
            <w:rStyle w:val="Hyperlink"/>
          </w:rPr>
          <w:t>SG9</w:t>
        </w:r>
      </w:hyperlink>
      <w:r w:rsidR="006941EA" w:rsidRPr="00C57224">
        <w:t xml:space="preserve">: </w:t>
      </w:r>
      <w:r w:rsidR="0071650C" w:rsidRPr="00C57224">
        <w:t>General (</w:t>
      </w:r>
      <w:hyperlink r:id="rId93" w:history="1">
        <w:r w:rsidR="0071650C" w:rsidRPr="00C57224">
          <w:rPr>
            <w:rStyle w:val="Hyperlink"/>
          </w:rPr>
          <w:t>C7</w:t>
        </w:r>
      </w:hyperlink>
      <w:r w:rsidR="0071650C" w:rsidRPr="00C57224">
        <w:t>); Questions proposed for the next study period (</w:t>
      </w:r>
      <w:hyperlink r:id="rId94" w:history="1">
        <w:r w:rsidR="0071650C" w:rsidRPr="00C57224">
          <w:rPr>
            <w:rStyle w:val="Hyperlink"/>
          </w:rPr>
          <w:t>C8</w:t>
        </w:r>
      </w:hyperlink>
      <w:r w:rsidR="0071650C" w:rsidRPr="00C57224">
        <w:t>)</w:t>
      </w:r>
    </w:p>
    <w:p w14:paraId="1719D74B" w14:textId="21C98189" w:rsidR="006941EA" w:rsidRPr="00C57224" w:rsidRDefault="00327645" w:rsidP="004B4E80">
      <w:pPr>
        <w:numPr>
          <w:ilvl w:val="0"/>
          <w:numId w:val="21"/>
        </w:numPr>
        <w:spacing w:before="60"/>
        <w:ind w:left="714" w:hanging="357"/>
      </w:pPr>
      <w:hyperlink r:id="rId95" w:history="1">
        <w:r w:rsidR="006941EA" w:rsidRPr="00C57224">
          <w:rPr>
            <w:rStyle w:val="Hyperlink"/>
          </w:rPr>
          <w:t>SG11</w:t>
        </w:r>
      </w:hyperlink>
      <w:r w:rsidR="006941EA" w:rsidRPr="00C57224">
        <w:t xml:space="preserve">: </w:t>
      </w:r>
      <w:r w:rsidR="0071650C" w:rsidRPr="00C57224">
        <w:t>General (</w:t>
      </w:r>
      <w:hyperlink r:id="rId96" w:history="1">
        <w:r w:rsidR="004C10F5" w:rsidRPr="00C57224">
          <w:rPr>
            <w:rStyle w:val="Hyperlink"/>
          </w:rPr>
          <w:t>C9</w:t>
        </w:r>
      </w:hyperlink>
      <w:r w:rsidR="0071650C" w:rsidRPr="00C57224">
        <w:t>); Questions proposed for the next study period (</w:t>
      </w:r>
      <w:hyperlink r:id="rId97" w:history="1">
        <w:r w:rsidR="004C10F5" w:rsidRPr="00C57224">
          <w:rPr>
            <w:rStyle w:val="Hyperlink"/>
          </w:rPr>
          <w:t>C10</w:t>
        </w:r>
      </w:hyperlink>
      <w:r w:rsidR="0071650C" w:rsidRPr="00C57224">
        <w:t>)</w:t>
      </w:r>
    </w:p>
    <w:p w14:paraId="5565263F" w14:textId="1088A28E" w:rsidR="006941EA" w:rsidRPr="00C57224" w:rsidRDefault="00327645" w:rsidP="004B4E80">
      <w:pPr>
        <w:numPr>
          <w:ilvl w:val="0"/>
          <w:numId w:val="21"/>
        </w:numPr>
        <w:spacing w:before="60"/>
        <w:ind w:left="714" w:hanging="357"/>
      </w:pPr>
      <w:hyperlink r:id="rId98" w:history="1">
        <w:r w:rsidR="006941EA" w:rsidRPr="00C57224">
          <w:rPr>
            <w:rStyle w:val="Hyperlink"/>
          </w:rPr>
          <w:t>SG12</w:t>
        </w:r>
      </w:hyperlink>
      <w:r w:rsidR="006941EA" w:rsidRPr="00C57224">
        <w:t>:</w:t>
      </w:r>
      <w:r w:rsidR="00D84240" w:rsidRPr="00C57224">
        <w:t xml:space="preserve"> </w:t>
      </w:r>
      <w:r w:rsidR="0071650C" w:rsidRPr="00C57224">
        <w:t>General (</w:t>
      </w:r>
      <w:hyperlink r:id="rId99" w:history="1">
        <w:r w:rsidR="004C10F5" w:rsidRPr="00C57224">
          <w:rPr>
            <w:rStyle w:val="Hyperlink"/>
          </w:rPr>
          <w:t>C11</w:t>
        </w:r>
      </w:hyperlink>
      <w:r w:rsidR="0071650C" w:rsidRPr="00C57224">
        <w:t>); Questions proposed for the next study period (</w:t>
      </w:r>
      <w:hyperlink r:id="rId100" w:history="1">
        <w:r w:rsidR="004C10F5" w:rsidRPr="00C57224">
          <w:rPr>
            <w:rStyle w:val="Hyperlink"/>
          </w:rPr>
          <w:t>C12</w:t>
        </w:r>
      </w:hyperlink>
      <w:r w:rsidR="0071650C" w:rsidRPr="00C57224">
        <w:t>)</w:t>
      </w:r>
    </w:p>
    <w:p w14:paraId="24791C19" w14:textId="01B037C6" w:rsidR="006941EA" w:rsidRPr="00C57224" w:rsidRDefault="00327645" w:rsidP="004B4E80">
      <w:pPr>
        <w:numPr>
          <w:ilvl w:val="0"/>
          <w:numId w:val="21"/>
        </w:numPr>
        <w:spacing w:before="60"/>
        <w:ind w:left="714" w:hanging="357"/>
      </w:pPr>
      <w:hyperlink r:id="rId101" w:history="1">
        <w:r w:rsidR="006941EA" w:rsidRPr="00C57224">
          <w:rPr>
            <w:rStyle w:val="Hyperlink"/>
          </w:rPr>
          <w:t>SG13</w:t>
        </w:r>
      </w:hyperlink>
      <w:r w:rsidR="006941EA" w:rsidRPr="00C57224">
        <w:t xml:space="preserve">: </w:t>
      </w:r>
      <w:r w:rsidR="0071650C" w:rsidRPr="00C57224">
        <w:t>General (</w:t>
      </w:r>
      <w:hyperlink r:id="rId102" w:history="1">
        <w:r w:rsidR="004C10F5" w:rsidRPr="00C57224">
          <w:rPr>
            <w:rStyle w:val="Hyperlink"/>
          </w:rPr>
          <w:t>C13</w:t>
        </w:r>
      </w:hyperlink>
      <w:r w:rsidR="0071650C" w:rsidRPr="00C57224">
        <w:t>); Questions proposed for the next study period (</w:t>
      </w:r>
      <w:hyperlink r:id="rId103" w:history="1">
        <w:r w:rsidR="004C10F5" w:rsidRPr="00C57224">
          <w:rPr>
            <w:rStyle w:val="Hyperlink"/>
          </w:rPr>
          <w:t>C14</w:t>
        </w:r>
      </w:hyperlink>
      <w:r w:rsidR="0071650C" w:rsidRPr="00C57224">
        <w:t>)</w:t>
      </w:r>
    </w:p>
    <w:p w14:paraId="5C86AF73" w14:textId="4798844D" w:rsidR="00257C97" w:rsidRPr="00C57224" w:rsidRDefault="00327645" w:rsidP="004B4E80">
      <w:pPr>
        <w:numPr>
          <w:ilvl w:val="0"/>
          <w:numId w:val="21"/>
        </w:numPr>
        <w:spacing w:before="60"/>
        <w:ind w:left="714" w:hanging="357"/>
      </w:pPr>
      <w:hyperlink r:id="rId104" w:history="1">
        <w:r w:rsidR="00257C97" w:rsidRPr="00C57224">
          <w:rPr>
            <w:rStyle w:val="Hyperlink"/>
          </w:rPr>
          <w:t>SG15</w:t>
        </w:r>
      </w:hyperlink>
      <w:r w:rsidR="00257C97" w:rsidRPr="00C57224">
        <w:t xml:space="preserve">: </w:t>
      </w:r>
      <w:r w:rsidR="0071650C" w:rsidRPr="00C57224">
        <w:t>General (</w:t>
      </w:r>
      <w:hyperlink r:id="rId105" w:history="1">
        <w:r w:rsidR="004C10F5" w:rsidRPr="00C57224">
          <w:rPr>
            <w:rStyle w:val="Hyperlink"/>
          </w:rPr>
          <w:t>C15</w:t>
        </w:r>
      </w:hyperlink>
      <w:r w:rsidR="0071650C" w:rsidRPr="00C57224">
        <w:t>); Questions proposed for the next study period (</w:t>
      </w:r>
      <w:hyperlink r:id="rId106" w:history="1">
        <w:r w:rsidR="004C10F5" w:rsidRPr="00C57224">
          <w:rPr>
            <w:rStyle w:val="Hyperlink"/>
          </w:rPr>
          <w:t>C16</w:t>
        </w:r>
      </w:hyperlink>
      <w:r w:rsidR="0071650C" w:rsidRPr="00C57224">
        <w:t>)</w:t>
      </w:r>
    </w:p>
    <w:p w14:paraId="3CFFA543" w14:textId="265F3514" w:rsidR="00A61119" w:rsidRPr="00C57224" w:rsidRDefault="00327645" w:rsidP="004B4E80">
      <w:pPr>
        <w:numPr>
          <w:ilvl w:val="0"/>
          <w:numId w:val="21"/>
        </w:numPr>
        <w:spacing w:before="60"/>
        <w:ind w:left="714" w:hanging="357"/>
      </w:pPr>
      <w:hyperlink r:id="rId107" w:history="1">
        <w:r w:rsidR="00A61119" w:rsidRPr="00C57224">
          <w:rPr>
            <w:rStyle w:val="Hyperlink"/>
          </w:rPr>
          <w:t>SG16</w:t>
        </w:r>
      </w:hyperlink>
      <w:r w:rsidR="00A61119" w:rsidRPr="00C57224">
        <w:t xml:space="preserve">: </w:t>
      </w:r>
      <w:r w:rsidR="0071650C" w:rsidRPr="00C57224">
        <w:t>General (</w:t>
      </w:r>
      <w:hyperlink r:id="rId108" w:history="1">
        <w:r w:rsidR="004C10F5" w:rsidRPr="00C57224">
          <w:rPr>
            <w:rStyle w:val="Hyperlink"/>
          </w:rPr>
          <w:t>C17</w:t>
        </w:r>
      </w:hyperlink>
      <w:r w:rsidR="0071650C" w:rsidRPr="00C57224">
        <w:t>); Questions proposed for the next study period (</w:t>
      </w:r>
      <w:hyperlink r:id="rId109" w:history="1">
        <w:r w:rsidR="004C10F5" w:rsidRPr="00C57224">
          <w:rPr>
            <w:rStyle w:val="Hyperlink"/>
          </w:rPr>
          <w:t>C18</w:t>
        </w:r>
      </w:hyperlink>
      <w:r w:rsidR="0071650C" w:rsidRPr="00C57224">
        <w:t>)</w:t>
      </w:r>
    </w:p>
    <w:p w14:paraId="5594205B" w14:textId="2C3AF252" w:rsidR="006941EA" w:rsidRPr="00C57224" w:rsidRDefault="00327645" w:rsidP="004B4E80">
      <w:pPr>
        <w:numPr>
          <w:ilvl w:val="0"/>
          <w:numId w:val="21"/>
        </w:numPr>
        <w:spacing w:before="60"/>
        <w:ind w:left="714" w:hanging="357"/>
      </w:pPr>
      <w:hyperlink r:id="rId110" w:history="1">
        <w:r w:rsidR="006941EA" w:rsidRPr="00C57224">
          <w:rPr>
            <w:rStyle w:val="Hyperlink"/>
          </w:rPr>
          <w:t>SG17</w:t>
        </w:r>
      </w:hyperlink>
      <w:r w:rsidR="006941EA" w:rsidRPr="00C57224">
        <w:t xml:space="preserve">: </w:t>
      </w:r>
      <w:r w:rsidR="0071650C" w:rsidRPr="00C57224">
        <w:t>General (</w:t>
      </w:r>
      <w:hyperlink r:id="rId111" w:history="1">
        <w:r w:rsidR="004C10F5" w:rsidRPr="00C57224">
          <w:rPr>
            <w:rStyle w:val="Hyperlink"/>
          </w:rPr>
          <w:t>C19</w:t>
        </w:r>
      </w:hyperlink>
      <w:r w:rsidR="0071650C" w:rsidRPr="00C57224">
        <w:t>); Questions proposed for the next study period (</w:t>
      </w:r>
      <w:hyperlink r:id="rId112" w:history="1">
        <w:r w:rsidR="004C10F5" w:rsidRPr="00C57224">
          <w:rPr>
            <w:rStyle w:val="Hyperlink"/>
          </w:rPr>
          <w:t>C20</w:t>
        </w:r>
      </w:hyperlink>
      <w:r w:rsidR="0071650C" w:rsidRPr="00C57224">
        <w:t>)</w:t>
      </w:r>
    </w:p>
    <w:p w14:paraId="2EAA3028" w14:textId="057FD275" w:rsidR="006941EA" w:rsidRPr="00C57224" w:rsidRDefault="00327645" w:rsidP="004B4E80">
      <w:pPr>
        <w:numPr>
          <w:ilvl w:val="0"/>
          <w:numId w:val="21"/>
        </w:numPr>
        <w:spacing w:before="60"/>
        <w:ind w:left="714" w:hanging="357"/>
      </w:pPr>
      <w:hyperlink r:id="rId113" w:history="1">
        <w:r w:rsidR="006941EA" w:rsidRPr="00C57224">
          <w:rPr>
            <w:rStyle w:val="Hyperlink"/>
          </w:rPr>
          <w:t>SG20</w:t>
        </w:r>
      </w:hyperlink>
      <w:r w:rsidR="006941EA" w:rsidRPr="00C57224">
        <w:t xml:space="preserve">: </w:t>
      </w:r>
      <w:r w:rsidR="0071650C" w:rsidRPr="00C57224">
        <w:t>General (</w:t>
      </w:r>
      <w:hyperlink r:id="rId114" w:history="1">
        <w:r w:rsidR="004C10F5" w:rsidRPr="00C57224">
          <w:rPr>
            <w:rStyle w:val="Hyperlink"/>
          </w:rPr>
          <w:t>C21</w:t>
        </w:r>
      </w:hyperlink>
      <w:r w:rsidR="0071650C" w:rsidRPr="00C57224">
        <w:t>); Questions proposed for the next study period (</w:t>
      </w:r>
      <w:hyperlink r:id="rId115" w:history="1">
        <w:r w:rsidR="004C10F5" w:rsidRPr="00C57224">
          <w:rPr>
            <w:rStyle w:val="Hyperlink"/>
          </w:rPr>
          <w:t>C22</w:t>
        </w:r>
      </w:hyperlink>
      <w:r w:rsidR="0071650C" w:rsidRPr="00C57224">
        <w:t>)</w:t>
      </w:r>
    </w:p>
    <w:p w14:paraId="27560394" w14:textId="77777777" w:rsidR="00A26387" w:rsidRPr="00C57224" w:rsidRDefault="00391B7F" w:rsidP="00BB7AB2">
      <w:pPr>
        <w:spacing w:after="120"/>
      </w:pPr>
      <w:r w:rsidRPr="00C57224">
        <w:t>No Chairs were absent from any meetings in the study period.</w:t>
      </w:r>
      <w:r w:rsidR="0073478A" w:rsidRPr="00C57224">
        <w:t xml:space="preserve"> </w:t>
      </w:r>
      <w:r w:rsidR="00BB5842" w:rsidRPr="00C57224">
        <w:t xml:space="preserve">The </w:t>
      </w:r>
      <w:r w:rsidR="0073478A" w:rsidRPr="00C57224">
        <w:t>a</w:t>
      </w:r>
      <w:r w:rsidR="00BB5842" w:rsidRPr="00C57224">
        <w:t>ppendix</w:t>
      </w:r>
      <w:r w:rsidR="0073478A" w:rsidRPr="00C57224">
        <w:t xml:space="preserve"> to this report </w:t>
      </w:r>
      <w:r w:rsidR="00E96F5A" w:rsidRPr="00C57224">
        <w:t xml:space="preserve">lists </w:t>
      </w:r>
      <w:r w:rsidR="00D73518" w:rsidRPr="00C57224">
        <w:t>V</w:t>
      </w:r>
      <w:r w:rsidR="00E96F5A" w:rsidRPr="00C57224">
        <w:t>ice-</w:t>
      </w:r>
      <w:r w:rsidR="00D73518" w:rsidRPr="00C57224">
        <w:t>C</w:t>
      </w:r>
      <w:r w:rsidR="00E96F5A" w:rsidRPr="00C57224">
        <w:t>hair</w:t>
      </w:r>
      <w:r w:rsidR="00BB7AB2" w:rsidRPr="00C57224">
        <w:t>s</w:t>
      </w:r>
      <w:r w:rsidR="00E96F5A" w:rsidRPr="00C57224">
        <w:t xml:space="preserve"> not in attendance at study group meetings held in the </w:t>
      </w:r>
      <w:r w:rsidR="00747696" w:rsidRPr="00C57224">
        <w:t xml:space="preserve">study </w:t>
      </w:r>
      <w:r w:rsidR="00E96F5A" w:rsidRPr="00C57224">
        <w:t>period</w:t>
      </w:r>
      <w:r w:rsidR="005C297D" w:rsidRPr="00C57224">
        <w:t>, reported in accordance with PP Resolution 208</w:t>
      </w:r>
      <w:bookmarkStart w:id="24" w:name="_Hlk177662354"/>
      <w:r w:rsidR="005C297D" w:rsidRPr="00C57224">
        <w:t>.</w:t>
      </w:r>
    </w:p>
    <w:p w14:paraId="51BFBDF5" w14:textId="724049A4" w:rsidR="00F45943" w:rsidRPr="00C57224" w:rsidRDefault="00F45943" w:rsidP="00A62912">
      <w:pPr>
        <w:pStyle w:val="Heading1"/>
        <w:spacing w:before="240"/>
        <w:ind w:left="0" w:firstLine="0"/>
      </w:pPr>
      <w:bookmarkStart w:id="25" w:name="_2_ITU-T_Focus"/>
      <w:bookmarkStart w:id="26" w:name="_Toc179219749"/>
      <w:bookmarkStart w:id="27" w:name="_Toc179221059"/>
      <w:bookmarkStart w:id="28" w:name="_Hlk60057887"/>
      <w:bookmarkEnd w:id="24"/>
      <w:bookmarkEnd w:id="25"/>
      <w:r w:rsidRPr="00C57224">
        <w:rPr>
          <w:rFonts w:eastAsiaTheme="minorEastAsia"/>
        </w:rPr>
        <w:t>2</w:t>
      </w:r>
      <w:r w:rsidRPr="00C57224">
        <w:rPr>
          <w:rFonts w:eastAsiaTheme="minorEastAsia"/>
        </w:rPr>
        <w:tab/>
      </w:r>
      <w:r w:rsidR="0026304D" w:rsidRPr="00C57224">
        <w:t>F</w:t>
      </w:r>
      <w:r w:rsidRPr="00C57224">
        <w:t xml:space="preserve">ocus </w:t>
      </w:r>
      <w:r w:rsidR="00B44AD8" w:rsidRPr="00C57224">
        <w:t>g</w:t>
      </w:r>
      <w:r w:rsidRPr="00C57224">
        <w:t>roups</w:t>
      </w:r>
      <w:bookmarkEnd w:id="26"/>
      <w:bookmarkEnd w:id="27"/>
    </w:p>
    <w:p w14:paraId="42996B01" w14:textId="4C7E8093" w:rsidR="00A26387" w:rsidRPr="00C57224" w:rsidRDefault="00446E16" w:rsidP="001039F7">
      <w:pPr>
        <w:rPr>
          <w:lang w:eastAsia="en-US"/>
        </w:rPr>
      </w:pPr>
      <w:r w:rsidRPr="00C57224">
        <w:rPr>
          <w:lang w:eastAsia="en-US"/>
        </w:rPr>
        <w:t xml:space="preserve">The </w:t>
      </w:r>
      <w:hyperlink r:id="rId116" w:history="1">
        <w:r w:rsidRPr="00C57224">
          <w:rPr>
            <w:rStyle w:val="Hyperlink"/>
            <w:lang w:eastAsia="en-US"/>
          </w:rPr>
          <w:t>ITU-T Focus Group on Cost Models for Affordable Data Services (FG-CD)</w:t>
        </w:r>
      </w:hyperlink>
      <w:r w:rsidRPr="00C57224">
        <w:rPr>
          <w:lang w:eastAsia="en-US"/>
        </w:rPr>
        <w:t xml:space="preserve">, established in March 2023, </w:t>
      </w:r>
      <w:r w:rsidR="008D17E9" w:rsidRPr="00C57224">
        <w:rPr>
          <w:lang w:eastAsia="en-US"/>
        </w:rPr>
        <w:t>reports to SG3.</w:t>
      </w:r>
    </w:p>
    <w:p w14:paraId="05CB1DBD" w14:textId="18EEAE35" w:rsidR="00A26387" w:rsidRPr="00C57224" w:rsidRDefault="002F3472" w:rsidP="001039F7">
      <w:pPr>
        <w:rPr>
          <w:lang w:eastAsia="en-US"/>
        </w:rPr>
      </w:pPr>
      <w:r w:rsidRPr="00C57224">
        <w:rPr>
          <w:lang w:eastAsia="en-US"/>
        </w:rPr>
        <w:t xml:space="preserve">The </w:t>
      </w:r>
      <w:hyperlink r:id="rId117" w:history="1">
        <w:r w:rsidR="00747696" w:rsidRPr="00C57224">
          <w:rPr>
            <w:rStyle w:val="Hyperlink"/>
            <w:lang w:eastAsia="en-US"/>
          </w:rPr>
          <w:t xml:space="preserve">ITU-T Focus Group on AI Native for Telecommunication Networks </w:t>
        </w:r>
        <w:r w:rsidRPr="00C57224">
          <w:rPr>
            <w:rStyle w:val="Hyperlink"/>
            <w:lang w:eastAsia="en-US"/>
          </w:rPr>
          <w:t>(FG-AINN)</w:t>
        </w:r>
      </w:hyperlink>
      <w:r w:rsidR="008D17E9" w:rsidRPr="00C57224">
        <w:rPr>
          <w:lang w:eastAsia="en-US"/>
        </w:rPr>
        <w:t xml:space="preserve">, established in </w:t>
      </w:r>
      <w:r w:rsidR="00747696" w:rsidRPr="00C57224">
        <w:rPr>
          <w:lang w:eastAsia="en-US"/>
        </w:rPr>
        <w:t>March 2024</w:t>
      </w:r>
      <w:r w:rsidR="008D17E9" w:rsidRPr="00C57224">
        <w:rPr>
          <w:lang w:eastAsia="en-US"/>
        </w:rPr>
        <w:t>, reports to SG13</w:t>
      </w:r>
      <w:r w:rsidR="004F5EFE" w:rsidRPr="00C57224">
        <w:rPr>
          <w:lang w:eastAsia="en-US"/>
        </w:rPr>
        <w:t>.</w:t>
      </w:r>
    </w:p>
    <w:p w14:paraId="32CACE3E" w14:textId="1D0B330C" w:rsidR="001039F7" w:rsidRDefault="00F26CBA" w:rsidP="002C6547">
      <w:pPr>
        <w:pStyle w:val="Normalbeforetable"/>
      </w:pPr>
      <w:r w:rsidRPr="00C57224">
        <w:t xml:space="preserve">Below lists the </w:t>
      </w:r>
      <w:r w:rsidR="007F6669" w:rsidRPr="00C57224">
        <w:t xml:space="preserve">ITU-T </w:t>
      </w:r>
      <w:r w:rsidR="00B632AF" w:rsidRPr="00C57224">
        <w:t>f</w:t>
      </w:r>
      <w:r w:rsidR="007F6669" w:rsidRPr="00C57224">
        <w:t xml:space="preserve">ocus </w:t>
      </w:r>
      <w:r w:rsidR="00B632AF" w:rsidRPr="00C57224">
        <w:t>g</w:t>
      </w:r>
      <w:r w:rsidR="007F6669" w:rsidRPr="00C57224">
        <w:t xml:space="preserve">roups </w:t>
      </w:r>
      <w:r w:rsidR="008827C4" w:rsidRPr="00C57224">
        <w:t xml:space="preserve">(FGs) </w:t>
      </w:r>
      <w:r w:rsidR="00446E16" w:rsidRPr="00C57224">
        <w:t>that completed their studies during the 2022-2024 study period</w:t>
      </w:r>
      <w:r w:rsidRPr="00C57224">
        <w:t xml:space="preserve">. </w:t>
      </w:r>
      <w:r w:rsidR="003D374A" w:rsidRPr="00C57224">
        <w:t>I</w:t>
      </w:r>
      <w:r w:rsidR="00662A03" w:rsidRPr="00C57224">
        <w:t>nformation on the activities and deliverables o</w:t>
      </w:r>
      <w:r w:rsidR="00110DDB" w:rsidRPr="00C57224">
        <w:t xml:space="preserve">f each group can be found on their respective homepages. </w:t>
      </w:r>
      <w:r w:rsidRPr="00C57224">
        <w:t xml:space="preserve">See also </w:t>
      </w:r>
      <w:r w:rsidR="222CFC9C" w:rsidRPr="00C57224">
        <w:t>the</w:t>
      </w:r>
      <w:r w:rsidR="00136186" w:rsidRPr="00C57224">
        <w:t xml:space="preserve"> </w:t>
      </w:r>
      <w:hyperlink r:id="rId118" w:history="1">
        <w:r w:rsidR="00136186" w:rsidRPr="00C57224">
          <w:rPr>
            <w:rStyle w:val="Hyperlink"/>
          </w:rPr>
          <w:t xml:space="preserve">ITU-T </w:t>
        </w:r>
        <w:r w:rsidR="00B632AF" w:rsidRPr="00C57224">
          <w:rPr>
            <w:rStyle w:val="Hyperlink"/>
          </w:rPr>
          <w:t>f</w:t>
        </w:r>
        <w:r w:rsidR="00136186" w:rsidRPr="00C57224">
          <w:rPr>
            <w:rStyle w:val="Hyperlink"/>
          </w:rPr>
          <w:t xml:space="preserve">ocus </w:t>
        </w:r>
        <w:r w:rsidR="00B632AF" w:rsidRPr="00C57224">
          <w:rPr>
            <w:rStyle w:val="Hyperlink"/>
          </w:rPr>
          <w:t>g</w:t>
        </w:r>
        <w:r w:rsidR="00136186" w:rsidRPr="00C57224">
          <w:rPr>
            <w:rStyle w:val="Hyperlink"/>
          </w:rPr>
          <w:t>roups homepage</w:t>
        </w:r>
      </w:hyperlink>
      <w:r w:rsidR="007F6669" w:rsidRPr="00C57224">
        <w:t>.</w:t>
      </w:r>
    </w:p>
    <w:p w14:paraId="44D1F5F1" w14:textId="49FE01B9" w:rsidR="002726B3" w:rsidRPr="00C57224" w:rsidRDefault="002726B3" w:rsidP="004B4E80">
      <w:pPr>
        <w:pStyle w:val="TableNotitle"/>
      </w:pPr>
      <w:bookmarkStart w:id="29" w:name="_Toc179232460"/>
      <w:r>
        <w:t xml:space="preserve">Table 1 – List of </w:t>
      </w:r>
      <w:r w:rsidR="004B4E80">
        <w:t>concluded ITU-T focus groups in the 2022-2024 study period</w:t>
      </w:r>
      <w:bookmarkEnd w:id="29"/>
    </w:p>
    <w:tbl>
      <w:tblPr>
        <w:tblStyle w:val="TableGrid"/>
        <w:tblW w:w="102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0"/>
        <w:gridCol w:w="1276"/>
        <w:gridCol w:w="1275"/>
      </w:tblGrid>
      <w:tr w:rsidR="00662A03" w:rsidRPr="00C57224" w14:paraId="5814C1CC" w14:textId="5164C4E1" w:rsidTr="0010061B">
        <w:trPr>
          <w:tblHeader/>
          <w:jc w:val="center"/>
        </w:trPr>
        <w:tc>
          <w:tcPr>
            <w:tcW w:w="7650" w:type="dxa"/>
            <w:tcBorders>
              <w:top w:val="single" w:sz="12" w:space="0" w:color="auto"/>
              <w:bottom w:val="single" w:sz="12" w:space="0" w:color="auto"/>
            </w:tcBorders>
            <w:shd w:val="clear" w:color="auto" w:fill="auto"/>
          </w:tcPr>
          <w:p w14:paraId="240B52D0" w14:textId="77EE6629" w:rsidR="00662A03" w:rsidRPr="00C57224" w:rsidRDefault="00446E16" w:rsidP="0010061B">
            <w:pPr>
              <w:pStyle w:val="Tablehead"/>
            </w:pPr>
            <w:bookmarkStart w:id="30" w:name="_2.1_Active_groups"/>
            <w:bookmarkEnd w:id="30"/>
            <w:r w:rsidRPr="00C57224">
              <w:t xml:space="preserve">Concluded </w:t>
            </w:r>
            <w:r w:rsidR="00034F7C" w:rsidRPr="00C57224">
              <w:t xml:space="preserve">ITU-T </w:t>
            </w:r>
            <w:r w:rsidRPr="00C57224">
              <w:t>focus groups</w:t>
            </w:r>
          </w:p>
        </w:tc>
        <w:tc>
          <w:tcPr>
            <w:tcW w:w="1276" w:type="dxa"/>
            <w:tcBorders>
              <w:top w:val="single" w:sz="12" w:space="0" w:color="auto"/>
              <w:bottom w:val="single" w:sz="12" w:space="0" w:color="auto"/>
            </w:tcBorders>
            <w:shd w:val="clear" w:color="auto" w:fill="auto"/>
          </w:tcPr>
          <w:p w14:paraId="6174C775" w14:textId="77777777" w:rsidR="00662A03" w:rsidRPr="00C57224" w:rsidRDefault="00662A03" w:rsidP="002C6547">
            <w:pPr>
              <w:pStyle w:val="Tablehead"/>
            </w:pPr>
            <w:r w:rsidRPr="00C57224">
              <w:t>Start date</w:t>
            </w:r>
          </w:p>
        </w:tc>
        <w:tc>
          <w:tcPr>
            <w:tcW w:w="1275" w:type="dxa"/>
            <w:tcBorders>
              <w:top w:val="single" w:sz="12" w:space="0" w:color="auto"/>
              <w:bottom w:val="single" w:sz="12" w:space="0" w:color="auto"/>
            </w:tcBorders>
            <w:shd w:val="clear" w:color="auto" w:fill="auto"/>
          </w:tcPr>
          <w:p w14:paraId="21E1C49B" w14:textId="251FD2AC" w:rsidR="00662A03" w:rsidRPr="00C57224" w:rsidRDefault="00662A03" w:rsidP="002C6547">
            <w:pPr>
              <w:pStyle w:val="Tablehead"/>
            </w:pPr>
            <w:r w:rsidRPr="00C57224">
              <w:t>End date</w:t>
            </w:r>
          </w:p>
        </w:tc>
      </w:tr>
      <w:tr w:rsidR="00446E16" w:rsidRPr="00C57224" w14:paraId="1188CD7A" w14:textId="77777777" w:rsidTr="0010061B">
        <w:trPr>
          <w:jc w:val="center"/>
        </w:trPr>
        <w:tc>
          <w:tcPr>
            <w:tcW w:w="7650" w:type="dxa"/>
            <w:tcBorders>
              <w:top w:val="single" w:sz="12" w:space="0" w:color="auto"/>
            </w:tcBorders>
            <w:shd w:val="clear" w:color="auto" w:fill="auto"/>
          </w:tcPr>
          <w:p w14:paraId="7A2A6683" w14:textId="3A82BA74" w:rsidR="00446E16" w:rsidRPr="00C57224" w:rsidRDefault="00327645" w:rsidP="0010061B">
            <w:pPr>
              <w:pStyle w:val="Tabletext"/>
            </w:pPr>
            <w:hyperlink r:id="rId119" w:tgtFrame="_blank" w:tooltip="https://www.itu.int/en/itu-t/focusgroups/ai4a/pages/default.aspx" w:history="1">
              <w:r w:rsidR="00446E16" w:rsidRPr="00C57224">
                <w:rPr>
                  <w:rStyle w:val="Hyperlink"/>
                </w:rPr>
                <w:t>AI and IoT for Digital Agriculture (FG-AI4A)</w:t>
              </w:r>
            </w:hyperlink>
          </w:p>
        </w:tc>
        <w:tc>
          <w:tcPr>
            <w:tcW w:w="1276" w:type="dxa"/>
            <w:tcBorders>
              <w:top w:val="single" w:sz="12" w:space="0" w:color="auto"/>
            </w:tcBorders>
            <w:shd w:val="clear" w:color="auto" w:fill="auto"/>
          </w:tcPr>
          <w:p w14:paraId="47ABB03E" w14:textId="591138E5" w:rsidR="00446E16" w:rsidRPr="00C57224" w:rsidRDefault="00446E16" w:rsidP="002C6547">
            <w:pPr>
              <w:pStyle w:val="Tabletext"/>
              <w:jc w:val="center"/>
            </w:pPr>
            <w:r w:rsidRPr="00C57224">
              <w:t>2021-10</w:t>
            </w:r>
          </w:p>
        </w:tc>
        <w:tc>
          <w:tcPr>
            <w:tcW w:w="1275" w:type="dxa"/>
            <w:tcBorders>
              <w:top w:val="single" w:sz="12" w:space="0" w:color="auto"/>
            </w:tcBorders>
            <w:shd w:val="clear" w:color="auto" w:fill="auto"/>
          </w:tcPr>
          <w:p w14:paraId="20950FB8" w14:textId="6946F206" w:rsidR="00446E16" w:rsidRPr="00C57224" w:rsidRDefault="00446E16" w:rsidP="002C6547">
            <w:pPr>
              <w:pStyle w:val="Tabletext"/>
              <w:jc w:val="center"/>
            </w:pPr>
            <w:r w:rsidRPr="00C57224">
              <w:t>2024-06</w:t>
            </w:r>
          </w:p>
        </w:tc>
      </w:tr>
      <w:tr w:rsidR="002803B0" w:rsidRPr="00C57224" w14:paraId="168FA035" w14:textId="77777777" w:rsidTr="0010061B">
        <w:trPr>
          <w:jc w:val="center"/>
        </w:trPr>
        <w:tc>
          <w:tcPr>
            <w:tcW w:w="7650" w:type="dxa"/>
            <w:shd w:val="clear" w:color="auto" w:fill="auto"/>
          </w:tcPr>
          <w:p w14:paraId="3DC08775" w14:textId="2811B3F5" w:rsidR="002803B0" w:rsidRPr="00C57224" w:rsidRDefault="00327645" w:rsidP="0010061B">
            <w:pPr>
              <w:pStyle w:val="Tabletext"/>
            </w:pPr>
            <w:hyperlink r:id="rId120" w:history="1">
              <w:r w:rsidR="00446E16" w:rsidRPr="00C57224">
                <w:rPr>
                  <w:rStyle w:val="Hyperlink"/>
                </w:rPr>
                <w:t>Metaverse (FG-MV)</w:t>
              </w:r>
            </w:hyperlink>
          </w:p>
        </w:tc>
        <w:tc>
          <w:tcPr>
            <w:tcW w:w="1276" w:type="dxa"/>
            <w:shd w:val="clear" w:color="auto" w:fill="auto"/>
          </w:tcPr>
          <w:p w14:paraId="1E195691" w14:textId="10725546" w:rsidR="002803B0" w:rsidRPr="00C57224" w:rsidRDefault="00446E16" w:rsidP="002C6547">
            <w:pPr>
              <w:pStyle w:val="Tabletext"/>
              <w:jc w:val="center"/>
            </w:pPr>
            <w:r w:rsidRPr="00C57224">
              <w:t>2022-12</w:t>
            </w:r>
          </w:p>
        </w:tc>
        <w:tc>
          <w:tcPr>
            <w:tcW w:w="1275" w:type="dxa"/>
            <w:shd w:val="clear" w:color="auto" w:fill="auto"/>
          </w:tcPr>
          <w:p w14:paraId="4D1AC1F5" w14:textId="71B7353B" w:rsidR="002803B0" w:rsidRPr="00C57224" w:rsidRDefault="00446E16" w:rsidP="002C6547">
            <w:pPr>
              <w:pStyle w:val="Tabletext"/>
              <w:jc w:val="center"/>
            </w:pPr>
            <w:r w:rsidRPr="00C57224">
              <w:t>2024-06</w:t>
            </w:r>
          </w:p>
        </w:tc>
      </w:tr>
      <w:tr w:rsidR="002803B0" w:rsidRPr="00C57224" w14:paraId="43D26C4D" w14:textId="77777777" w:rsidTr="0010061B">
        <w:trPr>
          <w:jc w:val="center"/>
        </w:trPr>
        <w:tc>
          <w:tcPr>
            <w:tcW w:w="7650" w:type="dxa"/>
            <w:shd w:val="clear" w:color="auto" w:fill="auto"/>
          </w:tcPr>
          <w:p w14:paraId="2830DDAF" w14:textId="696A845B" w:rsidR="002803B0" w:rsidRPr="00C57224" w:rsidRDefault="00327645" w:rsidP="0010061B">
            <w:pPr>
              <w:pStyle w:val="Tabletext"/>
            </w:pPr>
            <w:hyperlink r:id="rId121" w:history="1">
              <w:r w:rsidR="00446E16" w:rsidRPr="00C57224">
                <w:rPr>
                  <w:rStyle w:val="Hyperlink"/>
                </w:rPr>
                <w:t>Testbeds Federations for IMT-2020 and Beyond (FG-</w:t>
              </w:r>
              <w:proofErr w:type="spellStart"/>
              <w:r w:rsidR="00446E16" w:rsidRPr="00C57224">
                <w:rPr>
                  <w:rStyle w:val="Hyperlink"/>
                </w:rPr>
                <w:t>TBFxG</w:t>
              </w:r>
              <w:proofErr w:type="spellEnd"/>
              <w:r w:rsidR="00446E16" w:rsidRPr="00C57224">
                <w:rPr>
                  <w:rStyle w:val="Hyperlink"/>
                </w:rPr>
                <w:t>)</w:t>
              </w:r>
            </w:hyperlink>
          </w:p>
        </w:tc>
        <w:tc>
          <w:tcPr>
            <w:tcW w:w="1276" w:type="dxa"/>
            <w:shd w:val="clear" w:color="auto" w:fill="auto"/>
          </w:tcPr>
          <w:p w14:paraId="75B54256" w14:textId="36B9109E" w:rsidR="002803B0" w:rsidRPr="00C57224" w:rsidRDefault="00446E16" w:rsidP="002C6547">
            <w:pPr>
              <w:pStyle w:val="Tabletext"/>
              <w:jc w:val="center"/>
            </w:pPr>
            <w:r w:rsidRPr="00C57224">
              <w:t>2021-12</w:t>
            </w:r>
          </w:p>
        </w:tc>
        <w:tc>
          <w:tcPr>
            <w:tcW w:w="1275" w:type="dxa"/>
            <w:shd w:val="clear" w:color="auto" w:fill="auto"/>
          </w:tcPr>
          <w:p w14:paraId="45BECD2F" w14:textId="7BD2DA2F" w:rsidR="002803B0" w:rsidRPr="00C57224" w:rsidRDefault="00446E16" w:rsidP="002C6547">
            <w:pPr>
              <w:pStyle w:val="Tabletext"/>
              <w:jc w:val="center"/>
            </w:pPr>
            <w:r w:rsidRPr="00C57224">
              <w:t>2024-04</w:t>
            </w:r>
          </w:p>
        </w:tc>
      </w:tr>
      <w:tr w:rsidR="002803B0" w:rsidRPr="00C57224" w14:paraId="04958893" w14:textId="77777777" w:rsidTr="0010061B">
        <w:trPr>
          <w:jc w:val="center"/>
        </w:trPr>
        <w:tc>
          <w:tcPr>
            <w:tcW w:w="7650" w:type="dxa"/>
            <w:shd w:val="clear" w:color="auto" w:fill="auto"/>
          </w:tcPr>
          <w:p w14:paraId="0D421302" w14:textId="4BACDB47" w:rsidR="002803B0" w:rsidRPr="00C57224" w:rsidRDefault="00327645" w:rsidP="0010061B">
            <w:pPr>
              <w:pStyle w:val="Tabletext"/>
            </w:pPr>
            <w:hyperlink r:id="rId122" w:tgtFrame="_blank" w:tooltip="https://www.itu.int/en/itu-t/focusgroups/ai4ndm/pages/default.aspx" w:history="1">
              <w:r w:rsidR="00446E16" w:rsidRPr="00C57224">
                <w:rPr>
                  <w:rStyle w:val="Hyperlink"/>
                </w:rPr>
                <w:t>AI for Natural Disaster Management (FG-AI4NDM)</w:t>
              </w:r>
            </w:hyperlink>
          </w:p>
        </w:tc>
        <w:tc>
          <w:tcPr>
            <w:tcW w:w="1276" w:type="dxa"/>
            <w:shd w:val="clear" w:color="auto" w:fill="auto"/>
          </w:tcPr>
          <w:p w14:paraId="3ADFE672" w14:textId="17635D71" w:rsidR="002803B0" w:rsidRPr="00C57224" w:rsidRDefault="00446E16" w:rsidP="002C6547">
            <w:pPr>
              <w:pStyle w:val="Tabletext"/>
              <w:jc w:val="center"/>
            </w:pPr>
            <w:r w:rsidRPr="00C57224">
              <w:t>2020-12</w:t>
            </w:r>
          </w:p>
        </w:tc>
        <w:tc>
          <w:tcPr>
            <w:tcW w:w="1275" w:type="dxa"/>
            <w:shd w:val="clear" w:color="auto" w:fill="auto"/>
          </w:tcPr>
          <w:p w14:paraId="3A986CDF" w14:textId="508B7E34" w:rsidR="002803B0" w:rsidRPr="00C57224" w:rsidRDefault="00446E16" w:rsidP="002C6547">
            <w:pPr>
              <w:pStyle w:val="Tabletext"/>
              <w:jc w:val="center"/>
            </w:pPr>
            <w:r w:rsidRPr="00C57224">
              <w:t>2024-03</w:t>
            </w:r>
          </w:p>
        </w:tc>
      </w:tr>
      <w:tr w:rsidR="002803B0" w:rsidRPr="00C57224" w14:paraId="3D4665FF" w14:textId="77777777" w:rsidTr="0010061B">
        <w:trPr>
          <w:jc w:val="center"/>
        </w:trPr>
        <w:tc>
          <w:tcPr>
            <w:tcW w:w="7650" w:type="dxa"/>
            <w:shd w:val="clear" w:color="auto" w:fill="auto"/>
          </w:tcPr>
          <w:p w14:paraId="3A9D9302" w14:textId="5FB33137" w:rsidR="002803B0" w:rsidRPr="00C57224" w:rsidRDefault="00327645" w:rsidP="0010061B">
            <w:pPr>
              <w:pStyle w:val="Tabletext"/>
            </w:pPr>
            <w:hyperlink r:id="rId123" w:tgtFrame="_blank" w:tooltip="https://www.itu.int/en/itu-t/focusgroups/an/pages/default.aspx" w:history="1">
              <w:r w:rsidR="002803B0" w:rsidRPr="00C57224">
                <w:rPr>
                  <w:rStyle w:val="Hyperlink"/>
                </w:rPr>
                <w:t>Autonomous Networks (FG-AN)</w:t>
              </w:r>
            </w:hyperlink>
          </w:p>
        </w:tc>
        <w:tc>
          <w:tcPr>
            <w:tcW w:w="1276" w:type="dxa"/>
            <w:shd w:val="clear" w:color="auto" w:fill="auto"/>
          </w:tcPr>
          <w:p w14:paraId="4A1D81BA" w14:textId="7583189E" w:rsidR="002803B0" w:rsidRPr="00C57224" w:rsidRDefault="002803B0" w:rsidP="002C6547">
            <w:pPr>
              <w:pStyle w:val="Tabletext"/>
              <w:jc w:val="center"/>
            </w:pPr>
            <w:r w:rsidRPr="00C57224">
              <w:t>2020-12</w:t>
            </w:r>
          </w:p>
        </w:tc>
        <w:tc>
          <w:tcPr>
            <w:tcW w:w="1275" w:type="dxa"/>
            <w:shd w:val="clear" w:color="auto" w:fill="auto"/>
          </w:tcPr>
          <w:p w14:paraId="690699C7" w14:textId="4F86576D" w:rsidR="002803B0" w:rsidRPr="00C57224" w:rsidRDefault="002803B0" w:rsidP="002C6547">
            <w:pPr>
              <w:pStyle w:val="Tabletext"/>
              <w:jc w:val="center"/>
            </w:pPr>
            <w:r w:rsidRPr="00C57224">
              <w:t>2024-0</w:t>
            </w:r>
            <w:r w:rsidR="00F138B0" w:rsidRPr="00C57224">
              <w:t>1</w:t>
            </w:r>
          </w:p>
        </w:tc>
      </w:tr>
      <w:tr w:rsidR="00170AB2" w:rsidRPr="00C57224" w14:paraId="70D1EACB" w14:textId="77777777" w:rsidTr="0010061B">
        <w:trPr>
          <w:jc w:val="center"/>
        </w:trPr>
        <w:tc>
          <w:tcPr>
            <w:tcW w:w="7650" w:type="dxa"/>
            <w:shd w:val="clear" w:color="auto" w:fill="auto"/>
          </w:tcPr>
          <w:p w14:paraId="1B12C70E" w14:textId="14EC921F" w:rsidR="00170AB2" w:rsidRPr="00C57224" w:rsidRDefault="00327645" w:rsidP="0010061B">
            <w:pPr>
              <w:pStyle w:val="Tabletext"/>
            </w:pPr>
            <w:hyperlink r:id="rId124" w:tgtFrame="_blank" w:tooltip="https://www.itu.int/en/itu-t/focusgroups/ai4h/pages/default.aspx" w:history="1">
              <w:r w:rsidR="002D70B4" w:rsidRPr="00C57224">
                <w:rPr>
                  <w:rStyle w:val="Hyperlink"/>
                </w:rPr>
                <w:t>AI for Health (FG-AI4H)</w:t>
              </w:r>
            </w:hyperlink>
          </w:p>
        </w:tc>
        <w:tc>
          <w:tcPr>
            <w:tcW w:w="1276" w:type="dxa"/>
            <w:shd w:val="clear" w:color="auto" w:fill="auto"/>
          </w:tcPr>
          <w:p w14:paraId="3A6B372F" w14:textId="310E3E6F" w:rsidR="00170AB2" w:rsidRPr="00C57224" w:rsidRDefault="002D70B4" w:rsidP="002C6547">
            <w:pPr>
              <w:pStyle w:val="Tabletext"/>
              <w:jc w:val="center"/>
            </w:pPr>
            <w:r w:rsidRPr="00C57224">
              <w:t>2018-07</w:t>
            </w:r>
          </w:p>
        </w:tc>
        <w:tc>
          <w:tcPr>
            <w:tcW w:w="1275" w:type="dxa"/>
            <w:shd w:val="clear" w:color="auto" w:fill="auto"/>
          </w:tcPr>
          <w:p w14:paraId="3E30CA69" w14:textId="00B3FCFF" w:rsidR="00170AB2" w:rsidRPr="00C57224" w:rsidRDefault="00170AB2" w:rsidP="002C6547">
            <w:pPr>
              <w:pStyle w:val="Tabletext"/>
              <w:jc w:val="center"/>
            </w:pPr>
            <w:r w:rsidRPr="00C57224">
              <w:t>202</w:t>
            </w:r>
            <w:r w:rsidR="002D70B4" w:rsidRPr="00C57224">
              <w:t>3</w:t>
            </w:r>
            <w:r w:rsidRPr="00C57224">
              <w:t>-</w:t>
            </w:r>
            <w:r w:rsidR="002D70B4" w:rsidRPr="00C57224">
              <w:t>09</w:t>
            </w:r>
          </w:p>
        </w:tc>
      </w:tr>
      <w:tr w:rsidR="00662A03" w:rsidRPr="00C57224" w14:paraId="39EAE5AD" w14:textId="6D40321E" w:rsidTr="0010061B">
        <w:trPr>
          <w:jc w:val="center"/>
        </w:trPr>
        <w:tc>
          <w:tcPr>
            <w:tcW w:w="7650" w:type="dxa"/>
            <w:shd w:val="clear" w:color="auto" w:fill="auto"/>
          </w:tcPr>
          <w:p w14:paraId="2F5B9756" w14:textId="0A5BD850" w:rsidR="00662A03" w:rsidRPr="00C57224" w:rsidRDefault="00327645" w:rsidP="0010061B">
            <w:pPr>
              <w:pStyle w:val="Tabletext"/>
            </w:pPr>
            <w:hyperlink r:id="rId125" w:tgtFrame="_blank" w:tooltip="https://www.itu.int/en/itu-t/focusgroups/ai4ee/pages/default.aspx" w:history="1">
              <w:r w:rsidR="002D70B4" w:rsidRPr="00C57224">
                <w:rPr>
                  <w:rStyle w:val="Hyperlink"/>
                </w:rPr>
                <w:t>Environmental Efficiency for AI and other Emerging Technologies (FG-AI4EE)</w:t>
              </w:r>
            </w:hyperlink>
          </w:p>
        </w:tc>
        <w:tc>
          <w:tcPr>
            <w:tcW w:w="1276" w:type="dxa"/>
            <w:shd w:val="clear" w:color="auto" w:fill="auto"/>
          </w:tcPr>
          <w:p w14:paraId="67C98B1E" w14:textId="4E082F6E" w:rsidR="00662A03" w:rsidRPr="00C57224" w:rsidRDefault="002D70B4" w:rsidP="002C6547">
            <w:pPr>
              <w:pStyle w:val="Tabletext"/>
              <w:jc w:val="center"/>
            </w:pPr>
            <w:r w:rsidRPr="00C57224">
              <w:t>2019-05</w:t>
            </w:r>
          </w:p>
        </w:tc>
        <w:tc>
          <w:tcPr>
            <w:tcW w:w="1275" w:type="dxa"/>
            <w:shd w:val="clear" w:color="auto" w:fill="auto"/>
          </w:tcPr>
          <w:p w14:paraId="52CF917F" w14:textId="75BDCF32" w:rsidR="00662A03" w:rsidRPr="00C57224" w:rsidRDefault="002D70B4" w:rsidP="002C6547">
            <w:pPr>
              <w:pStyle w:val="Tabletext"/>
              <w:jc w:val="center"/>
            </w:pPr>
            <w:r w:rsidRPr="00C57224">
              <w:t>2022-12</w:t>
            </w:r>
          </w:p>
        </w:tc>
      </w:tr>
      <w:tr w:rsidR="00662A03" w:rsidRPr="00C57224" w14:paraId="02886003" w14:textId="000DA4DC" w:rsidTr="0010061B">
        <w:trPr>
          <w:jc w:val="center"/>
        </w:trPr>
        <w:tc>
          <w:tcPr>
            <w:tcW w:w="7650" w:type="dxa"/>
            <w:shd w:val="clear" w:color="auto" w:fill="auto"/>
          </w:tcPr>
          <w:p w14:paraId="0379E748" w14:textId="3823ECE8" w:rsidR="00662A03" w:rsidRPr="00C57224" w:rsidRDefault="00327645" w:rsidP="0010061B">
            <w:pPr>
              <w:pStyle w:val="Tabletext"/>
            </w:pPr>
            <w:hyperlink r:id="rId126" w:tgtFrame="_blank" w:tooltip="https://www.itu.int/en/itu-t/focusgroups/ai4ad/pages/default.aspx" w:history="1">
              <w:r w:rsidR="002D70B4" w:rsidRPr="00C57224">
                <w:rPr>
                  <w:rStyle w:val="Hyperlink"/>
                </w:rPr>
                <w:t>AI for Autonomous and Assisted Driving (FG-AI4AD)</w:t>
              </w:r>
            </w:hyperlink>
          </w:p>
        </w:tc>
        <w:tc>
          <w:tcPr>
            <w:tcW w:w="1276" w:type="dxa"/>
            <w:shd w:val="clear" w:color="auto" w:fill="auto"/>
          </w:tcPr>
          <w:p w14:paraId="76AA68EE" w14:textId="059E2C53" w:rsidR="00662A03" w:rsidRPr="00C57224" w:rsidRDefault="002D70B4" w:rsidP="002C6547">
            <w:pPr>
              <w:pStyle w:val="Tabletext"/>
              <w:jc w:val="center"/>
            </w:pPr>
            <w:r w:rsidRPr="00C57224">
              <w:t>2019-10</w:t>
            </w:r>
          </w:p>
        </w:tc>
        <w:tc>
          <w:tcPr>
            <w:tcW w:w="1275" w:type="dxa"/>
            <w:shd w:val="clear" w:color="auto" w:fill="auto"/>
          </w:tcPr>
          <w:p w14:paraId="267A38BB" w14:textId="16E84F46" w:rsidR="00662A03" w:rsidRPr="00C57224" w:rsidRDefault="00034F7C" w:rsidP="002C6547">
            <w:pPr>
              <w:pStyle w:val="Tabletext"/>
              <w:jc w:val="center"/>
            </w:pPr>
            <w:r w:rsidRPr="00C57224">
              <w:t>202</w:t>
            </w:r>
            <w:r w:rsidR="00821700" w:rsidRPr="00C57224">
              <w:t>2</w:t>
            </w:r>
            <w:r w:rsidRPr="00C57224">
              <w:t>-</w:t>
            </w:r>
            <w:r w:rsidR="007D6E1F" w:rsidRPr="00C57224">
              <w:t>09</w:t>
            </w:r>
          </w:p>
        </w:tc>
      </w:tr>
      <w:tr w:rsidR="002D70B4" w:rsidRPr="00C57224" w14:paraId="5A9F3509" w14:textId="77777777" w:rsidTr="0010061B">
        <w:trPr>
          <w:jc w:val="center"/>
        </w:trPr>
        <w:tc>
          <w:tcPr>
            <w:tcW w:w="7650" w:type="dxa"/>
            <w:shd w:val="clear" w:color="auto" w:fill="auto"/>
          </w:tcPr>
          <w:p w14:paraId="6BBE74D8" w14:textId="38370BF0" w:rsidR="002D70B4" w:rsidRPr="00C57224" w:rsidRDefault="00327645" w:rsidP="0010061B">
            <w:pPr>
              <w:pStyle w:val="Tabletext"/>
            </w:pPr>
            <w:hyperlink r:id="rId127" w:tgtFrame="_blank" w:tooltip="https://www.itu.int/en/itu-t/focusgroups/vm/pages/default.aspx" w:history="1">
              <w:r w:rsidR="002D70B4" w:rsidRPr="00C57224">
                <w:rPr>
                  <w:rStyle w:val="Hyperlink"/>
                </w:rPr>
                <w:t>Vehicular Multimedia (FG-VM)</w:t>
              </w:r>
            </w:hyperlink>
          </w:p>
        </w:tc>
        <w:tc>
          <w:tcPr>
            <w:tcW w:w="1276" w:type="dxa"/>
            <w:shd w:val="clear" w:color="auto" w:fill="auto"/>
          </w:tcPr>
          <w:p w14:paraId="0495757D" w14:textId="01F6BFD1" w:rsidR="002D70B4" w:rsidRPr="00C57224" w:rsidRDefault="002D70B4" w:rsidP="002C6547">
            <w:pPr>
              <w:pStyle w:val="Tabletext"/>
              <w:jc w:val="center"/>
            </w:pPr>
            <w:r w:rsidRPr="00C57224">
              <w:t>2018-07</w:t>
            </w:r>
          </w:p>
        </w:tc>
        <w:tc>
          <w:tcPr>
            <w:tcW w:w="1275" w:type="dxa"/>
            <w:shd w:val="clear" w:color="auto" w:fill="auto"/>
          </w:tcPr>
          <w:p w14:paraId="74C8E8FD" w14:textId="452FEA1A" w:rsidR="002D70B4" w:rsidRPr="00C57224" w:rsidRDefault="002D70B4" w:rsidP="002C6547">
            <w:pPr>
              <w:pStyle w:val="Tabletext"/>
              <w:jc w:val="center"/>
            </w:pPr>
            <w:r w:rsidRPr="00C57224">
              <w:t>2022-09</w:t>
            </w:r>
          </w:p>
        </w:tc>
      </w:tr>
    </w:tbl>
    <w:p w14:paraId="60647DF0" w14:textId="1AB2433E" w:rsidR="005E1EFB" w:rsidRPr="00C57224" w:rsidRDefault="005E1EFB" w:rsidP="005E1EFB">
      <w:pPr>
        <w:pStyle w:val="Heading1"/>
        <w:spacing w:before="240"/>
        <w:rPr>
          <w:rFonts w:eastAsiaTheme="minorEastAsia"/>
        </w:rPr>
      </w:pPr>
      <w:bookmarkStart w:id="31" w:name="_2.8_IPTV_and"/>
      <w:bookmarkStart w:id="32" w:name="a353677d2-7347-4cd3-8301-15d8ee365aeb"/>
      <w:bookmarkStart w:id="33" w:name="_3.4_e-Health"/>
      <w:bookmarkStart w:id="34" w:name="_3.6_Aviation_applications"/>
      <w:bookmarkStart w:id="35" w:name="_6.5_Focus_Group"/>
      <w:bookmarkStart w:id="36" w:name="_7.5_Focus_Group"/>
      <w:bookmarkStart w:id="37" w:name="_7.2_TSB_Director’s"/>
      <w:bookmarkStart w:id="38" w:name="_13_Chief_Technology"/>
      <w:bookmarkStart w:id="39" w:name="_8.1_ITU-UNECE_event"/>
      <w:bookmarkStart w:id="40" w:name="_8.3_3rd_ITU"/>
      <w:bookmarkStart w:id="41" w:name="_8.5_Standards_collaboration,"/>
      <w:bookmarkStart w:id="42" w:name="_8.6_Montevideo_forum"/>
      <w:bookmarkStart w:id="43" w:name="_8.8_Accessible_Inclusion"/>
      <w:bookmarkStart w:id="44" w:name="_10_Chief_Technology"/>
      <w:bookmarkStart w:id="45" w:name="_3_Collaboration_initiatives"/>
      <w:bookmarkStart w:id="46" w:name="_3_Workshops_and"/>
      <w:bookmarkStart w:id="47" w:name="_3_Workshops,_symposia"/>
      <w:bookmarkStart w:id="48" w:name="_Toc179219750"/>
      <w:bookmarkStart w:id="49" w:name="_Toc179221060"/>
      <w:bookmarkEnd w:id="9"/>
      <w:bookmarkEnd w:id="10"/>
      <w:bookmarkEnd w:id="11"/>
      <w:bookmarkEnd w:id="12"/>
      <w:bookmarkEnd w:id="13"/>
      <w:bookmarkEnd w:id="14"/>
      <w:bookmarkEnd w:id="15"/>
      <w:bookmarkEnd w:id="16"/>
      <w:bookmarkEnd w:id="17"/>
      <w:bookmarkEnd w:id="22"/>
      <w:bookmarkEnd w:id="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57224">
        <w:rPr>
          <w:rFonts w:eastAsiaTheme="minorEastAsia"/>
        </w:rPr>
        <w:lastRenderedPageBreak/>
        <w:t>3</w:t>
      </w:r>
      <w:r w:rsidRPr="00C57224">
        <w:rPr>
          <w:rFonts w:eastAsiaTheme="minorEastAsia"/>
        </w:rPr>
        <w:tab/>
        <w:t>Workshops</w:t>
      </w:r>
      <w:r w:rsidR="002D70B4" w:rsidRPr="00C57224">
        <w:rPr>
          <w:rFonts w:eastAsiaTheme="minorEastAsia"/>
        </w:rPr>
        <w:t>, symposia and webinars</w:t>
      </w:r>
      <w:bookmarkEnd w:id="48"/>
      <w:bookmarkEnd w:id="49"/>
    </w:p>
    <w:p w14:paraId="332C9052" w14:textId="727B9C2B" w:rsidR="00A26387" w:rsidRPr="00C57224" w:rsidRDefault="00381E2F" w:rsidP="005E1EFB">
      <w:r w:rsidRPr="00C57224">
        <w:t xml:space="preserve">Over 200 </w:t>
      </w:r>
      <w:r w:rsidR="005E1EFB" w:rsidRPr="00C57224">
        <w:t>ITU-T workshops</w:t>
      </w:r>
      <w:r w:rsidR="002D70B4" w:rsidRPr="00C57224">
        <w:t xml:space="preserve">, </w:t>
      </w:r>
      <w:r w:rsidR="005E1EFB" w:rsidRPr="00C57224">
        <w:t xml:space="preserve">symposia </w:t>
      </w:r>
      <w:r w:rsidR="002D70B4" w:rsidRPr="00C57224">
        <w:t xml:space="preserve">and webinars </w:t>
      </w:r>
      <w:r w:rsidR="005E1EFB" w:rsidRPr="00C57224">
        <w:t>were organized in the</w:t>
      </w:r>
      <w:r w:rsidR="002F3472" w:rsidRPr="00C57224">
        <w:t xml:space="preserve"> study period</w:t>
      </w:r>
      <w:r w:rsidR="005E1EFB" w:rsidRPr="00C57224">
        <w:t xml:space="preserve">, in addition to the weekly programming of the year-round </w:t>
      </w:r>
      <w:hyperlink r:id="rId128">
        <w:r w:rsidR="005E1EFB" w:rsidRPr="00C57224">
          <w:rPr>
            <w:rStyle w:val="Hyperlink"/>
          </w:rPr>
          <w:t>AI for Good</w:t>
        </w:r>
      </w:hyperlink>
      <w:r w:rsidR="005E1EFB" w:rsidRPr="00C57224">
        <w:t xml:space="preserve"> digital platform. A listing of all past and planned </w:t>
      </w:r>
      <w:r w:rsidR="002F3472" w:rsidRPr="00C57224">
        <w:t xml:space="preserve">open-to-all </w:t>
      </w:r>
      <w:r w:rsidR="005E1EFB" w:rsidRPr="00C57224">
        <w:t xml:space="preserve">events can be found on the </w:t>
      </w:r>
      <w:hyperlink r:id="rId129" w:history="1">
        <w:r w:rsidR="005E1EFB" w:rsidRPr="00C57224">
          <w:rPr>
            <w:rStyle w:val="Hyperlink"/>
          </w:rPr>
          <w:t xml:space="preserve">ITU-T </w:t>
        </w:r>
        <w:r w:rsidR="00674896" w:rsidRPr="00C57224">
          <w:rPr>
            <w:rStyle w:val="Hyperlink"/>
          </w:rPr>
          <w:t xml:space="preserve">workshops </w:t>
        </w:r>
        <w:r w:rsidR="005E1EFB" w:rsidRPr="00C57224">
          <w:rPr>
            <w:rStyle w:val="Hyperlink"/>
          </w:rPr>
          <w:t>homepage</w:t>
        </w:r>
      </w:hyperlink>
      <w:r w:rsidR="005E1EFB" w:rsidRPr="00C57224">
        <w:t xml:space="preserve">. </w:t>
      </w:r>
      <w:r w:rsidR="00674896" w:rsidRPr="00C57224">
        <w:t xml:space="preserve">For all Digital Transformation Dialogues, see dedicated </w:t>
      </w:r>
      <w:hyperlink r:id="rId130" w:history="1">
        <w:r w:rsidR="00674896" w:rsidRPr="00C57224">
          <w:rPr>
            <w:rStyle w:val="Hyperlink"/>
          </w:rPr>
          <w:t>web page</w:t>
        </w:r>
      </w:hyperlink>
      <w:r w:rsidR="00674896" w:rsidRPr="00C57224">
        <w:t>.</w:t>
      </w:r>
    </w:p>
    <w:p w14:paraId="1805CE1F" w14:textId="77777777" w:rsidR="00A26387" w:rsidRPr="00C57224" w:rsidRDefault="005E1EFB" w:rsidP="005E1EFB">
      <w:r w:rsidRPr="00C57224">
        <w:t>ITU</w:t>
      </w:r>
      <w:r w:rsidR="00DE7459" w:rsidRPr="00C57224">
        <w:t>-T</w:t>
      </w:r>
      <w:r w:rsidRPr="00C57224">
        <w:t xml:space="preserve"> workshops</w:t>
      </w:r>
      <w:r w:rsidR="000A66DC" w:rsidRPr="00C57224">
        <w:t xml:space="preserve">, </w:t>
      </w:r>
      <w:r w:rsidRPr="00C57224">
        <w:t xml:space="preserve">symposia </w:t>
      </w:r>
      <w:r w:rsidR="000A66DC" w:rsidRPr="00C57224">
        <w:t xml:space="preserve">and webinars </w:t>
      </w:r>
      <w:r w:rsidRPr="00C57224">
        <w:t>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58A6F4AF" w:rsidR="005E1EFB" w:rsidRPr="00C57224" w:rsidRDefault="005E1EFB" w:rsidP="005E1EFB">
      <w:pPr>
        <w:pStyle w:val="Heading1"/>
        <w:spacing w:before="240"/>
        <w:rPr>
          <w:rFonts w:eastAsiaTheme="minorEastAsia"/>
        </w:rPr>
      </w:pPr>
      <w:bookmarkStart w:id="50" w:name="_4_Virtual_meetings"/>
      <w:bookmarkStart w:id="51" w:name="_4_Electronic_working"/>
      <w:bookmarkStart w:id="52" w:name="_4_Remote_participation"/>
      <w:bookmarkStart w:id="53" w:name="_Toc179219751"/>
      <w:bookmarkStart w:id="54" w:name="_Toc179221061"/>
      <w:bookmarkStart w:id="55" w:name="_Hlk135236206"/>
      <w:bookmarkEnd w:id="50"/>
      <w:bookmarkEnd w:id="51"/>
      <w:bookmarkEnd w:id="52"/>
      <w:r w:rsidRPr="00C57224">
        <w:rPr>
          <w:rFonts w:eastAsiaTheme="minorEastAsia"/>
        </w:rPr>
        <w:t>4</w:t>
      </w:r>
      <w:r w:rsidRPr="00C57224">
        <w:rPr>
          <w:rFonts w:eastAsiaTheme="minorEastAsia"/>
        </w:rPr>
        <w:tab/>
      </w:r>
      <w:r w:rsidR="003C7FC9" w:rsidRPr="00C57224">
        <w:rPr>
          <w:rFonts w:eastAsiaTheme="minorEastAsia"/>
        </w:rPr>
        <w:t>Remote participation</w:t>
      </w:r>
      <w:bookmarkEnd w:id="53"/>
      <w:bookmarkEnd w:id="54"/>
    </w:p>
    <w:p w14:paraId="74214325" w14:textId="2C42A79E" w:rsidR="003C7FC9" w:rsidRPr="00C57224" w:rsidRDefault="003C7FC9" w:rsidP="003C7FC9">
      <w:bookmarkStart w:id="56" w:name="_Hlk178155835"/>
      <w:bookmarkStart w:id="57" w:name="_Hlk155876914"/>
      <w:proofErr w:type="spellStart"/>
      <w:r w:rsidRPr="00C57224">
        <w:rPr>
          <w:color w:val="000000"/>
        </w:rPr>
        <w:t>MyMeetings</w:t>
      </w:r>
      <w:proofErr w:type="spellEnd"/>
      <w:r w:rsidRPr="00C57224">
        <w:rPr>
          <w:color w:val="000000"/>
        </w:rPr>
        <w:t>, the ITU-T open-source solution for electronic meetings introduced by TSB in January 2019, is the main platform to organize ITU-T statutory meetings. The tool features some important elements found in ITU-T physical meetings, including lists of participants and their affiliations, multilingual support, moderated floor requests and captioning. In addition, the tool includes several layers of access control to ensure that only registered participants can access statutory meetings.</w:t>
      </w:r>
    </w:p>
    <w:p w14:paraId="25515A0A" w14:textId="063D4ED8" w:rsidR="003C7FC9" w:rsidRPr="00C57224" w:rsidRDefault="003C7FC9" w:rsidP="00F138B0">
      <w:proofErr w:type="spellStart"/>
      <w:r w:rsidRPr="00C57224">
        <w:rPr>
          <w:color w:val="000000"/>
        </w:rPr>
        <w:t>MyMeetings</w:t>
      </w:r>
      <w:proofErr w:type="spellEnd"/>
      <w:r w:rsidR="00461B8B" w:rsidRPr="00C57224">
        <w:rPr>
          <w:color w:val="000000"/>
        </w:rPr>
        <w:t xml:space="preserve"> </w:t>
      </w:r>
      <w:r w:rsidRPr="00C57224">
        <w:rPr>
          <w:color w:val="000000"/>
        </w:rPr>
        <w:t>is also used to host Rapporteur Group Meetings and non-statutory events, such as webinars. Other electronic meeting tools, such as Zoom, are also provided by TSB for hosting fully online and any on-demand ad-hoc meetings.</w:t>
      </w:r>
    </w:p>
    <w:bookmarkEnd w:id="56"/>
    <w:bookmarkEnd w:id="57"/>
    <w:p w14:paraId="74699B0A" w14:textId="14827ADE" w:rsidR="00A26387" w:rsidRPr="00C57224" w:rsidRDefault="005E1EFB" w:rsidP="005E1EFB">
      <w:r w:rsidRPr="00C57224">
        <w:t xml:space="preserve">Statistics on </w:t>
      </w:r>
      <w:proofErr w:type="spellStart"/>
      <w:r w:rsidRPr="00C57224">
        <w:t>e-meetings</w:t>
      </w:r>
      <w:proofErr w:type="spellEnd"/>
      <w:r w:rsidRPr="00C57224">
        <w:t xml:space="preserve"> </w:t>
      </w:r>
      <w:r w:rsidR="00375546" w:rsidRPr="00C57224">
        <w:t>since 20</w:t>
      </w:r>
      <w:r w:rsidR="00782221" w:rsidRPr="00C57224">
        <w:t>20</w:t>
      </w:r>
      <w:r w:rsidR="00375546" w:rsidRPr="00C57224">
        <w:t xml:space="preserve"> </w:t>
      </w:r>
      <w:r w:rsidRPr="00C57224">
        <w:t>are shown below</w:t>
      </w:r>
      <w:r w:rsidR="001D0D37">
        <w:t xml:space="preserve"> and illustrated in Figure 1</w:t>
      </w:r>
      <w:r w:rsidRPr="00C57224">
        <w:t>.</w:t>
      </w:r>
    </w:p>
    <w:p w14:paraId="1D23999E" w14:textId="51458E1C" w:rsidR="005E1EFB" w:rsidRPr="00C57224" w:rsidRDefault="005E1EFB" w:rsidP="00246621">
      <w:pPr>
        <w:numPr>
          <w:ilvl w:val="0"/>
          <w:numId w:val="32"/>
        </w:numPr>
        <w:tabs>
          <w:tab w:val="clear" w:pos="720"/>
        </w:tabs>
        <w:rPr>
          <w:lang w:eastAsia="en-US"/>
        </w:rPr>
      </w:pPr>
      <w:r w:rsidRPr="00C57224">
        <w:rPr>
          <w:lang w:eastAsia="en-US"/>
        </w:rPr>
        <w:t xml:space="preserve">2020: 4,220 </w:t>
      </w:r>
      <w:proofErr w:type="spellStart"/>
      <w:r w:rsidRPr="00C57224">
        <w:rPr>
          <w:lang w:eastAsia="en-US"/>
        </w:rPr>
        <w:t>e-meetings</w:t>
      </w:r>
      <w:proofErr w:type="spellEnd"/>
      <w:r w:rsidRPr="00C57224">
        <w:rPr>
          <w:lang w:eastAsia="en-US"/>
        </w:rPr>
        <w:t xml:space="preserve">; 77,693 </w:t>
      </w:r>
      <w:r w:rsidR="006D651E" w:rsidRPr="00C57224">
        <w:rPr>
          <w:lang w:eastAsia="en-US"/>
        </w:rPr>
        <w:t>connections</w:t>
      </w:r>
    </w:p>
    <w:p w14:paraId="79C8F233" w14:textId="00A619FA" w:rsidR="005E1EFB" w:rsidRPr="00C57224" w:rsidRDefault="005E1EFB" w:rsidP="00246621">
      <w:pPr>
        <w:numPr>
          <w:ilvl w:val="0"/>
          <w:numId w:val="32"/>
        </w:numPr>
        <w:tabs>
          <w:tab w:val="clear" w:pos="720"/>
        </w:tabs>
        <w:rPr>
          <w:lang w:eastAsia="en-US"/>
        </w:rPr>
      </w:pPr>
      <w:r w:rsidRPr="00C57224">
        <w:rPr>
          <w:lang w:eastAsia="en-US"/>
        </w:rPr>
        <w:t xml:space="preserve">2021: 4,671 </w:t>
      </w:r>
      <w:proofErr w:type="spellStart"/>
      <w:r w:rsidRPr="00C57224">
        <w:rPr>
          <w:lang w:eastAsia="en-US"/>
        </w:rPr>
        <w:t>e-meetings</w:t>
      </w:r>
      <w:proofErr w:type="spellEnd"/>
      <w:r w:rsidRPr="00C57224">
        <w:rPr>
          <w:lang w:eastAsia="en-US"/>
        </w:rPr>
        <w:t xml:space="preserve">; 87,302 </w:t>
      </w:r>
      <w:r w:rsidR="006D651E" w:rsidRPr="00C57224">
        <w:rPr>
          <w:lang w:eastAsia="en-US"/>
        </w:rPr>
        <w:t>connections</w:t>
      </w:r>
    </w:p>
    <w:p w14:paraId="103FE357" w14:textId="3BC8B2F7" w:rsidR="00375546" w:rsidRPr="00C57224" w:rsidRDefault="005E1EFB" w:rsidP="00246621">
      <w:pPr>
        <w:numPr>
          <w:ilvl w:val="0"/>
          <w:numId w:val="32"/>
        </w:numPr>
        <w:tabs>
          <w:tab w:val="clear" w:pos="720"/>
        </w:tabs>
        <w:rPr>
          <w:lang w:eastAsia="en-US"/>
        </w:rPr>
      </w:pPr>
      <w:r w:rsidRPr="00C57224">
        <w:rPr>
          <w:lang w:eastAsia="en-US"/>
        </w:rPr>
        <w:t>2022</w:t>
      </w:r>
      <w:r w:rsidR="00375546" w:rsidRPr="00C57224">
        <w:rPr>
          <w:lang w:eastAsia="en-US"/>
        </w:rPr>
        <w:t xml:space="preserve">: 5,430 </w:t>
      </w:r>
      <w:proofErr w:type="spellStart"/>
      <w:r w:rsidR="00375546" w:rsidRPr="00C57224">
        <w:rPr>
          <w:lang w:eastAsia="en-US"/>
        </w:rPr>
        <w:t>e-meetings</w:t>
      </w:r>
      <w:proofErr w:type="spellEnd"/>
      <w:r w:rsidR="00375546" w:rsidRPr="00C57224">
        <w:rPr>
          <w:lang w:eastAsia="en-US"/>
        </w:rPr>
        <w:t xml:space="preserve">; 78,270 </w:t>
      </w:r>
      <w:r w:rsidR="006D651E" w:rsidRPr="00C57224">
        <w:rPr>
          <w:lang w:eastAsia="en-US"/>
        </w:rPr>
        <w:t>connections</w:t>
      </w:r>
    </w:p>
    <w:p w14:paraId="2D008A63" w14:textId="0484DADD" w:rsidR="005E1EFB" w:rsidRPr="00C57224" w:rsidRDefault="00375546" w:rsidP="00246621">
      <w:pPr>
        <w:numPr>
          <w:ilvl w:val="0"/>
          <w:numId w:val="32"/>
        </w:numPr>
        <w:tabs>
          <w:tab w:val="clear" w:pos="720"/>
        </w:tabs>
        <w:rPr>
          <w:lang w:eastAsia="en-US"/>
        </w:rPr>
      </w:pPr>
      <w:bookmarkStart w:id="58" w:name="_Hlk155880752"/>
      <w:r w:rsidRPr="00C57224">
        <w:rPr>
          <w:lang w:eastAsia="en-US"/>
        </w:rPr>
        <w:t>2023</w:t>
      </w:r>
      <w:r w:rsidR="005E1EFB" w:rsidRPr="00C57224">
        <w:rPr>
          <w:lang w:eastAsia="en-US"/>
        </w:rPr>
        <w:t xml:space="preserve">: </w:t>
      </w:r>
      <w:r w:rsidR="0061337E" w:rsidRPr="00C57224">
        <w:rPr>
          <w:lang w:eastAsia="en-US"/>
        </w:rPr>
        <w:t>4</w:t>
      </w:r>
      <w:r w:rsidRPr="00C57224">
        <w:rPr>
          <w:lang w:eastAsia="en-US"/>
        </w:rPr>
        <w:t>,</w:t>
      </w:r>
      <w:r w:rsidR="0061337E" w:rsidRPr="00C57224">
        <w:rPr>
          <w:lang w:eastAsia="en-US"/>
        </w:rPr>
        <w:t>1</w:t>
      </w:r>
      <w:r w:rsidRPr="00C57224">
        <w:rPr>
          <w:lang w:eastAsia="en-US"/>
        </w:rPr>
        <w:t xml:space="preserve">43 </w:t>
      </w:r>
      <w:proofErr w:type="spellStart"/>
      <w:r w:rsidRPr="00C57224">
        <w:rPr>
          <w:lang w:eastAsia="en-US"/>
        </w:rPr>
        <w:t>e-meetings</w:t>
      </w:r>
      <w:proofErr w:type="spellEnd"/>
      <w:r w:rsidRPr="00C57224">
        <w:rPr>
          <w:lang w:eastAsia="en-US"/>
        </w:rPr>
        <w:t xml:space="preserve">; </w:t>
      </w:r>
      <w:r w:rsidR="006D651E" w:rsidRPr="00C57224">
        <w:rPr>
          <w:lang w:eastAsia="en-US"/>
        </w:rPr>
        <w:t>68</w:t>
      </w:r>
      <w:r w:rsidRPr="00C57224">
        <w:rPr>
          <w:lang w:eastAsia="en-US"/>
        </w:rPr>
        <w:t xml:space="preserve">,734 </w:t>
      </w:r>
      <w:r w:rsidR="006D651E" w:rsidRPr="00C57224">
        <w:rPr>
          <w:lang w:eastAsia="en-US"/>
        </w:rPr>
        <w:t>connections</w:t>
      </w:r>
    </w:p>
    <w:p w14:paraId="3A78F4B9" w14:textId="77777777" w:rsidR="00A26387" w:rsidRPr="001D79C6" w:rsidRDefault="00782221" w:rsidP="00246621">
      <w:pPr>
        <w:numPr>
          <w:ilvl w:val="0"/>
          <w:numId w:val="32"/>
        </w:numPr>
        <w:tabs>
          <w:tab w:val="clear" w:pos="720"/>
        </w:tabs>
        <w:rPr>
          <w:lang w:eastAsia="en-US"/>
        </w:rPr>
      </w:pPr>
      <w:r w:rsidRPr="001D79C6">
        <w:rPr>
          <w:lang w:eastAsia="en-US"/>
        </w:rPr>
        <w:t xml:space="preserve">2024: </w:t>
      </w:r>
      <w:r w:rsidR="00ED5FD2" w:rsidRPr="001D79C6">
        <w:rPr>
          <w:lang w:eastAsia="en-US"/>
        </w:rPr>
        <w:t>4</w:t>
      </w:r>
      <w:r w:rsidRPr="001D79C6">
        <w:rPr>
          <w:lang w:eastAsia="en-US"/>
        </w:rPr>
        <w:t>,</w:t>
      </w:r>
      <w:r w:rsidR="00ED5FD2" w:rsidRPr="001D79C6">
        <w:rPr>
          <w:lang w:eastAsia="en-US"/>
        </w:rPr>
        <w:t>172</w:t>
      </w:r>
      <w:r w:rsidRPr="001D79C6">
        <w:rPr>
          <w:lang w:eastAsia="en-US"/>
        </w:rPr>
        <w:t xml:space="preserve"> </w:t>
      </w:r>
      <w:proofErr w:type="spellStart"/>
      <w:r w:rsidRPr="001D79C6">
        <w:rPr>
          <w:lang w:eastAsia="en-US"/>
        </w:rPr>
        <w:t>e-meetings</w:t>
      </w:r>
      <w:proofErr w:type="spellEnd"/>
      <w:r w:rsidRPr="001D79C6">
        <w:rPr>
          <w:lang w:eastAsia="en-US"/>
        </w:rPr>
        <w:t>; 3</w:t>
      </w:r>
      <w:r w:rsidR="00ED5FD2" w:rsidRPr="001D79C6">
        <w:rPr>
          <w:lang w:eastAsia="en-US"/>
        </w:rPr>
        <w:t>9</w:t>
      </w:r>
      <w:r w:rsidRPr="001D79C6">
        <w:rPr>
          <w:lang w:eastAsia="en-US"/>
        </w:rPr>
        <w:t>,</w:t>
      </w:r>
      <w:r w:rsidR="00ED5FD2" w:rsidRPr="001D79C6">
        <w:rPr>
          <w:lang w:eastAsia="en-US"/>
        </w:rPr>
        <w:t>3</w:t>
      </w:r>
      <w:r w:rsidRPr="001D79C6">
        <w:rPr>
          <w:lang w:eastAsia="en-US"/>
        </w:rPr>
        <w:t>84 connections (*until mid-</w:t>
      </w:r>
      <w:r w:rsidR="00ED5FD2" w:rsidRPr="001D79C6">
        <w:rPr>
          <w:lang w:eastAsia="en-US"/>
        </w:rPr>
        <w:t>September</w:t>
      </w:r>
      <w:r w:rsidRPr="001D79C6">
        <w:rPr>
          <w:lang w:eastAsia="en-US"/>
        </w:rPr>
        <w:t xml:space="preserve"> 2024)</w:t>
      </w:r>
      <w:bookmarkEnd w:id="58"/>
    </w:p>
    <w:p w14:paraId="0EA416CA" w14:textId="1C927AAD" w:rsidR="00F1761F" w:rsidRPr="00C57224" w:rsidRDefault="00ED5FD2" w:rsidP="00F1761F">
      <w:pPr>
        <w:jc w:val="center"/>
        <w:rPr>
          <w:noProof/>
          <w:highlight w:val="yellow"/>
        </w:rPr>
      </w:pPr>
      <w:r w:rsidRPr="00C57224">
        <w:rPr>
          <w:noProof/>
        </w:rPr>
        <w:drawing>
          <wp:inline distT="0" distB="0" distL="0" distR="0" wp14:anchorId="5BC66002" wp14:editId="30B992F0">
            <wp:extent cx="4572000" cy="2743200"/>
            <wp:effectExtent l="0" t="0" r="0" b="0"/>
            <wp:docPr id="491991750" name="Chart 1">
              <a:extLst xmlns:a="http://schemas.openxmlformats.org/drawingml/2006/main">
                <a:ext uri="{FF2B5EF4-FFF2-40B4-BE49-F238E27FC236}">
                  <a16:creationId xmlns:a16="http://schemas.microsoft.com/office/drawing/2014/main" id="{1CC667F2-AB80-D138-E883-EBB1C5C90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4D04DD76" w14:textId="24A6ADA3" w:rsidR="005E1EFB" w:rsidRPr="00C57224" w:rsidRDefault="005E1EFB" w:rsidP="001376E9">
      <w:pPr>
        <w:pStyle w:val="FigureNotitle"/>
      </w:pPr>
      <w:bookmarkStart w:id="59" w:name="_Toc179221086"/>
      <w:r w:rsidRPr="00C57224">
        <w:t xml:space="preserve">Figure 1 – Remote participation and </w:t>
      </w:r>
      <w:proofErr w:type="spellStart"/>
      <w:r w:rsidRPr="00C57224">
        <w:t>e-meetings</w:t>
      </w:r>
      <w:bookmarkEnd w:id="59"/>
      <w:proofErr w:type="spellEnd"/>
    </w:p>
    <w:p w14:paraId="7C1D7A30" w14:textId="77777777" w:rsidR="002C6547" w:rsidRPr="002C6547" w:rsidRDefault="002C6547" w:rsidP="002C6547">
      <w:bookmarkStart w:id="60" w:name="_Hlk178605526"/>
      <w:bookmarkEnd w:id="55"/>
      <w:r w:rsidRPr="002C6547">
        <w:br w:type="page"/>
      </w:r>
    </w:p>
    <w:p w14:paraId="682B4B7A" w14:textId="7FC9CF2A" w:rsidR="005404EF" w:rsidRPr="00C57224" w:rsidRDefault="005E1EFB" w:rsidP="000B3E92">
      <w:pPr>
        <w:pStyle w:val="Heading1"/>
        <w:spacing w:before="240"/>
        <w:ind w:left="0" w:firstLine="0"/>
      </w:pPr>
      <w:bookmarkStart w:id="61" w:name="_Toc179219752"/>
      <w:bookmarkStart w:id="62" w:name="_Toc179221062"/>
      <w:r w:rsidRPr="00C57224">
        <w:rPr>
          <w:rFonts w:eastAsiaTheme="minorEastAsia"/>
        </w:rPr>
        <w:lastRenderedPageBreak/>
        <w:t>5</w:t>
      </w:r>
      <w:r w:rsidR="005404EF" w:rsidRPr="00C57224">
        <w:rPr>
          <w:rFonts w:eastAsiaTheme="minorEastAsia"/>
        </w:rPr>
        <w:tab/>
      </w:r>
      <w:r w:rsidR="0032052C" w:rsidRPr="00C57224">
        <w:t>C</w:t>
      </w:r>
      <w:r w:rsidR="005404EF" w:rsidRPr="00C57224">
        <w:t>ollaboration initiatives</w:t>
      </w:r>
      <w:bookmarkStart w:id="63" w:name="_Hlk92281632"/>
      <w:bookmarkEnd w:id="61"/>
      <w:bookmarkEnd w:id="62"/>
    </w:p>
    <w:p w14:paraId="168C7545" w14:textId="1FF6058D" w:rsidR="00A26387" w:rsidRPr="00C57224" w:rsidRDefault="003F7B77" w:rsidP="003F7B77">
      <w:pPr>
        <w:rPr>
          <w:lang w:eastAsia="en-US"/>
        </w:rPr>
      </w:pPr>
      <w:r w:rsidRPr="00C57224">
        <w:rPr>
          <w:lang w:eastAsia="en-US"/>
        </w:rPr>
        <w:t>Memoranda of Understanding</w:t>
      </w:r>
      <w:r w:rsidR="00AF0C1E" w:rsidRPr="00C57224">
        <w:rPr>
          <w:lang w:eastAsia="en-US"/>
        </w:rPr>
        <w:t xml:space="preserve"> </w:t>
      </w:r>
      <w:r w:rsidRPr="00C57224">
        <w:rPr>
          <w:lang w:eastAsia="en-US"/>
        </w:rPr>
        <w:t xml:space="preserve">and Cooperation Agreements are available on the </w:t>
      </w:r>
      <w:hyperlink r:id="rId132" w:history="1">
        <w:r w:rsidRPr="00C57224">
          <w:rPr>
            <w:rStyle w:val="Hyperlink"/>
            <w:lang w:eastAsia="en-US"/>
          </w:rPr>
          <w:t>external cooperation web page</w:t>
        </w:r>
      </w:hyperlink>
      <w:r w:rsidRPr="00C57224">
        <w:rPr>
          <w:lang w:eastAsia="en-US"/>
        </w:rPr>
        <w:t>.</w:t>
      </w:r>
    </w:p>
    <w:p w14:paraId="6E0B0DBE" w14:textId="3E843433" w:rsidR="0070287C" w:rsidRPr="00C57224" w:rsidRDefault="00AB23B7" w:rsidP="0070287C">
      <w:pPr>
        <w:pStyle w:val="Heading2"/>
      </w:pPr>
      <w:bookmarkStart w:id="64" w:name="_5.1_World_standards"/>
      <w:bookmarkStart w:id="65" w:name="_Toc179219753"/>
      <w:bookmarkStart w:id="66" w:name="_Toc179221063"/>
      <w:bookmarkEnd w:id="64"/>
      <w:r w:rsidRPr="00C57224">
        <w:t>5.1</w:t>
      </w:r>
      <w:r>
        <w:tab/>
      </w:r>
      <w:r w:rsidR="0070287C" w:rsidRPr="00C57224">
        <w:t>World standards cooperation</w:t>
      </w:r>
      <w:bookmarkEnd w:id="65"/>
      <w:bookmarkEnd w:id="66"/>
    </w:p>
    <w:p w14:paraId="2C28FCCB" w14:textId="70519ADF" w:rsidR="003B1493" w:rsidRPr="00C57224" w:rsidRDefault="003B1493" w:rsidP="003B1493">
      <w:pPr>
        <w:rPr>
          <w:lang w:eastAsia="en-US"/>
        </w:rPr>
      </w:pPr>
      <w:r w:rsidRPr="00C57224">
        <w:rPr>
          <w:lang w:eastAsia="en-US"/>
        </w:rPr>
        <w:t xml:space="preserve">The </w:t>
      </w:r>
      <w:hyperlink r:id="rId133" w:history="1">
        <w:r w:rsidRPr="00C57224">
          <w:rPr>
            <w:rStyle w:val="Hyperlink"/>
            <w:lang w:eastAsia="en-US"/>
          </w:rPr>
          <w:t>World Standards Cooperation</w:t>
        </w:r>
      </w:hyperlink>
      <w:r w:rsidRPr="00C57224">
        <w:rPr>
          <w:lang w:eastAsia="en-US"/>
        </w:rPr>
        <w:t xml:space="preserve"> was established in 2001 by the International Telecommunication Union (ITU), the International Organization for Standardization (ISO) and the International Electrotechnical Commission (IEC) to strengthen and advance the voluntary consensus-based international standards systems of ITU, ISO and IEC.</w:t>
      </w:r>
    </w:p>
    <w:p w14:paraId="0EEED8B4" w14:textId="2F7BC810" w:rsidR="006B715F" w:rsidRPr="00C57224" w:rsidRDefault="006B715F" w:rsidP="003B1493">
      <w:pPr>
        <w:rPr>
          <w:lang w:eastAsia="en-US"/>
        </w:rPr>
      </w:pPr>
      <w:r w:rsidRPr="00C57224">
        <w:rPr>
          <w:b/>
          <w:bCs/>
          <w:lang w:eastAsia="en-US"/>
        </w:rPr>
        <w:t>AI standards development:</w:t>
      </w:r>
      <w:r w:rsidRPr="00C57224">
        <w:rPr>
          <w:lang w:eastAsia="en-US"/>
        </w:rPr>
        <w:t xml:space="preserve"> </w:t>
      </w:r>
      <w:r w:rsidR="003B1493" w:rsidRPr="00C57224">
        <w:rPr>
          <w:lang w:eastAsia="en-US"/>
        </w:rPr>
        <w:t xml:space="preserve">At the </w:t>
      </w:r>
      <w:hyperlink r:id="rId134" w:history="1">
        <w:r w:rsidR="003B1493" w:rsidRPr="00C57224">
          <w:rPr>
            <w:rStyle w:val="Hyperlink"/>
            <w:lang w:eastAsia="en-US"/>
          </w:rPr>
          <w:t>AI for Good Global Summit 2024</w:t>
        </w:r>
      </w:hyperlink>
      <w:r w:rsidR="003B1493" w:rsidRPr="00C57224">
        <w:rPr>
          <w:lang w:eastAsia="en-US"/>
        </w:rPr>
        <w:t>, ITU, ISO and IEC highlighted their commitment to providing a unified framework for AI standards development</w:t>
      </w:r>
      <w:r w:rsidRPr="00C57224">
        <w:rPr>
          <w:lang w:eastAsia="en-US"/>
        </w:rPr>
        <w:t>.</w:t>
      </w:r>
    </w:p>
    <w:p w14:paraId="4053A436" w14:textId="3FF8D489" w:rsidR="006B715F" w:rsidRPr="00C57224" w:rsidRDefault="006B715F" w:rsidP="006B715F">
      <w:pPr>
        <w:pStyle w:val="NormalWeb"/>
        <w:shd w:val="clear" w:color="auto" w:fill="FFFFFF" w:themeFill="background1"/>
        <w:spacing w:before="120" w:beforeAutospacing="0" w:after="0" w:afterAutospacing="0"/>
        <w:textAlignment w:val="baseline"/>
      </w:pPr>
      <w:r w:rsidRPr="00C57224">
        <w:t xml:space="preserve">The new </w:t>
      </w:r>
      <w:hyperlink r:id="rId135" w:history="1">
        <w:r w:rsidRPr="00C57224">
          <w:rPr>
            <w:rStyle w:val="Hyperlink"/>
          </w:rPr>
          <w:t>AI and multimedia authenticity standards collaboration</w:t>
        </w:r>
      </w:hyperlink>
      <w:r w:rsidRPr="00C57224">
        <w:t xml:space="preserve"> will drive coordinated standards development for AI watermarking, multimedia authenticity and deepfake detection. The collaboration initiative is led by the World Standards Cooperation and currently also includes the Content Authenticity Initiative, the Coalition for Content Provenance and Authenticity and the ITU-ISO-IEC Joint Photographic Experts Group. </w:t>
      </w:r>
      <w:r w:rsidRPr="00C57224">
        <w:rPr>
          <w:lang w:eastAsia="en-US"/>
        </w:rPr>
        <w:t xml:space="preserve">A </w:t>
      </w:r>
      <w:hyperlink r:id="rId136" w:history="1">
        <w:r w:rsidRPr="00C57224">
          <w:rPr>
            <w:rStyle w:val="Hyperlink"/>
            <w:lang w:eastAsia="en-US"/>
          </w:rPr>
          <w:t>new report</w:t>
        </w:r>
      </w:hyperlink>
      <w:r w:rsidRPr="00C57224">
        <w:rPr>
          <w:lang w:eastAsia="en-US"/>
        </w:rPr>
        <w:t xml:space="preserve"> provides a comprehensive overview of the workshop at the AI for Good Global Summit 2024 that initiated the launch of the initiative.</w:t>
      </w:r>
    </w:p>
    <w:p w14:paraId="1B553C5C" w14:textId="04425238" w:rsidR="00A26387" w:rsidRPr="00C57224" w:rsidRDefault="006B715F" w:rsidP="003B1493">
      <w:pPr>
        <w:rPr>
          <w:lang w:eastAsia="en-US"/>
        </w:rPr>
      </w:pPr>
      <w:r w:rsidRPr="00C57224">
        <w:rPr>
          <w:lang w:eastAsia="en-US"/>
        </w:rPr>
        <w:t xml:space="preserve">The new </w:t>
      </w:r>
      <w:hyperlink r:id="rId137" w:history="1">
        <w:r w:rsidRPr="00C57224">
          <w:rPr>
            <w:rStyle w:val="Hyperlink"/>
            <w:lang w:eastAsia="en-US"/>
          </w:rPr>
          <w:t>International AI Standards Summit</w:t>
        </w:r>
      </w:hyperlink>
      <w:r w:rsidRPr="00C57224">
        <w:rPr>
          <w:lang w:eastAsia="en-US"/>
        </w:rPr>
        <w:t xml:space="preserve"> organized by the World Standards Cooperation aims at ensuring comprehensive standards for the fast-evolving AI landscape</w:t>
      </w:r>
      <w:r w:rsidR="000B5C99" w:rsidRPr="00C57224">
        <w:rPr>
          <w:lang w:eastAsia="en-US"/>
        </w:rPr>
        <w:t>.</w:t>
      </w:r>
      <w:r w:rsidRPr="00C57224">
        <w:rPr>
          <w:lang w:eastAsia="en-US"/>
        </w:rPr>
        <w:t xml:space="preserve"> The first edition will be held alongside WTSA-24.</w:t>
      </w:r>
    </w:p>
    <w:p w14:paraId="1BD73AF8" w14:textId="11D31055" w:rsidR="00A26387" w:rsidRPr="00C57224" w:rsidRDefault="006B715F" w:rsidP="003B1493">
      <w:pPr>
        <w:rPr>
          <w:lang w:eastAsia="en-US"/>
        </w:rPr>
      </w:pPr>
      <w:r w:rsidRPr="00C57224">
        <w:rPr>
          <w:b/>
          <w:bCs/>
          <w:lang w:eastAsia="en-US"/>
        </w:rPr>
        <w:t xml:space="preserve">Global Digital Compact: </w:t>
      </w:r>
      <w:r w:rsidRPr="00C57224">
        <w:rPr>
          <w:lang w:eastAsia="en-US"/>
        </w:rPr>
        <w:t xml:space="preserve">The World Standards Cooperation issued a </w:t>
      </w:r>
      <w:hyperlink r:id="rId138" w:history="1">
        <w:r w:rsidRPr="00C57224">
          <w:rPr>
            <w:rStyle w:val="Hyperlink"/>
            <w:lang w:eastAsia="en-US"/>
          </w:rPr>
          <w:t>statement</w:t>
        </w:r>
      </w:hyperlink>
      <w:r w:rsidRPr="00C57224">
        <w:rPr>
          <w:lang w:eastAsia="en-US"/>
        </w:rPr>
        <w:t xml:space="preserve"> emphasizing that the principles underlying a Global Digital Compact as well as the WSIS+20 review process must be reflected by international standards if they are to remain integral to the development and application of digital technologies.</w:t>
      </w:r>
    </w:p>
    <w:p w14:paraId="5CDE0142" w14:textId="586B4953" w:rsidR="006B715F" w:rsidRPr="00C57224" w:rsidRDefault="006B715F" w:rsidP="003B1493">
      <w:pPr>
        <w:rPr>
          <w:lang w:eastAsia="en-US"/>
        </w:rPr>
      </w:pPr>
      <w:r w:rsidRPr="00C57224">
        <w:rPr>
          <w:b/>
          <w:bCs/>
          <w:lang w:eastAsia="en-US"/>
        </w:rPr>
        <w:t xml:space="preserve">UN Climate Change Conferences: </w:t>
      </w:r>
      <w:r w:rsidRPr="00C57224">
        <w:rPr>
          <w:lang w:eastAsia="en-US"/>
        </w:rPr>
        <w:t xml:space="preserve">The World Standards Cooperation issued a </w:t>
      </w:r>
      <w:hyperlink r:id="rId139" w:history="1">
        <w:r w:rsidRPr="00C57224">
          <w:rPr>
            <w:rStyle w:val="Hyperlink"/>
            <w:lang w:eastAsia="en-US"/>
          </w:rPr>
          <w:t>statement</w:t>
        </w:r>
      </w:hyperlink>
      <w:r w:rsidRPr="00C57224">
        <w:rPr>
          <w:lang w:eastAsia="en-US"/>
        </w:rPr>
        <w:t xml:space="preserve"> at COP28 on the importance of</w:t>
      </w:r>
      <w:r w:rsidR="00461B8B" w:rsidRPr="00C57224">
        <w:rPr>
          <w:lang w:eastAsia="en-US"/>
        </w:rPr>
        <w:t xml:space="preserve"> </w:t>
      </w:r>
      <w:r w:rsidRPr="00C57224">
        <w:rPr>
          <w:lang w:eastAsia="en-US"/>
        </w:rPr>
        <w:t xml:space="preserve">sustainability being built into technical standards development by design, and standards helping the world reach net-zero emissions and achieve a resource-efficient circular and low-carbon economy. ISO and IEC were also key partners </w:t>
      </w:r>
      <w:r w:rsidR="000B5C99" w:rsidRPr="00C57224">
        <w:rPr>
          <w:lang w:eastAsia="en-US"/>
        </w:rPr>
        <w:t>in</w:t>
      </w:r>
      <w:r w:rsidRPr="00C57224">
        <w:rPr>
          <w:lang w:eastAsia="en-US"/>
        </w:rPr>
        <w:t xml:space="preserve"> ITU</w:t>
      </w:r>
      <w:r w:rsidR="007C2FC3" w:rsidRPr="00C57224">
        <w:rPr>
          <w:lang w:eastAsia="en-US"/>
        </w:rPr>
        <w:t>'</w:t>
      </w:r>
      <w:r w:rsidRPr="00C57224">
        <w:rPr>
          <w:lang w:eastAsia="en-US"/>
        </w:rPr>
        <w:t xml:space="preserve">s </w:t>
      </w:r>
      <w:hyperlink r:id="rId140" w:history="1">
        <w:r w:rsidRPr="00C57224">
          <w:rPr>
            <w:rStyle w:val="Hyperlink"/>
            <w:lang w:eastAsia="en-US"/>
          </w:rPr>
          <w:t>Green Digital Action activities</w:t>
        </w:r>
      </w:hyperlink>
      <w:r w:rsidRPr="00C57224">
        <w:rPr>
          <w:lang w:eastAsia="en-US"/>
        </w:rPr>
        <w:t xml:space="preserve"> at CO29.</w:t>
      </w:r>
    </w:p>
    <w:p w14:paraId="6E6A511F" w14:textId="4B4E63F9" w:rsidR="00A26387" w:rsidRPr="00C57224" w:rsidRDefault="006B715F" w:rsidP="006B715F">
      <w:pPr>
        <w:rPr>
          <w:lang w:eastAsia="en-US"/>
        </w:rPr>
      </w:pPr>
      <w:r w:rsidRPr="00C57224">
        <w:rPr>
          <w:b/>
          <w:bCs/>
          <w:lang w:eastAsia="en-US"/>
        </w:rPr>
        <w:t xml:space="preserve">G20 International Standards Summits: </w:t>
      </w:r>
      <w:r w:rsidRPr="00C57224">
        <w:rPr>
          <w:lang w:eastAsia="en-US"/>
        </w:rPr>
        <w:t xml:space="preserve">The World Standards Cooperation arranges </w:t>
      </w:r>
      <w:hyperlink r:id="rId141" w:history="1">
        <w:r w:rsidRPr="00C57224">
          <w:rPr>
            <w:rStyle w:val="Hyperlink"/>
            <w:lang w:eastAsia="en-US"/>
          </w:rPr>
          <w:t>International Standards Summits</w:t>
        </w:r>
      </w:hyperlink>
      <w:r w:rsidRPr="00C57224">
        <w:rPr>
          <w:lang w:eastAsia="en-US"/>
        </w:rPr>
        <w:t xml:space="preserve"> as</w:t>
      </w:r>
      <w:r w:rsidR="003B1493" w:rsidRPr="00C57224">
        <w:rPr>
          <w:lang w:eastAsia="en-US"/>
        </w:rPr>
        <w:t xml:space="preserve"> part of G20 activities on the value of international standards to sustainable development. Three such events have been held under the G20 Presidencies of Indonesia (2022), Italy (2021) and Saudi Arabia (2020). </w:t>
      </w:r>
      <w:r w:rsidRPr="00C57224">
        <w:rPr>
          <w:lang w:eastAsia="en-US"/>
        </w:rPr>
        <w:t>Discussions are underway on the potential to organize the</w:t>
      </w:r>
      <w:r w:rsidR="003B1493" w:rsidRPr="00C57224">
        <w:rPr>
          <w:lang w:eastAsia="en-US"/>
        </w:rPr>
        <w:t xml:space="preserve"> next such summit together with Brazil.</w:t>
      </w:r>
    </w:p>
    <w:p w14:paraId="5778C2FE" w14:textId="4B1093B4" w:rsidR="003B1493" w:rsidRPr="00C57224" w:rsidRDefault="006B715F" w:rsidP="006B715F">
      <w:pPr>
        <w:rPr>
          <w:lang w:eastAsia="en-US"/>
        </w:rPr>
      </w:pPr>
      <w:r w:rsidRPr="00C57224">
        <w:rPr>
          <w:lang w:eastAsia="en-US"/>
        </w:rPr>
        <w:t xml:space="preserve">The </w:t>
      </w:r>
      <w:hyperlink r:id="rId142" w:history="1">
        <w:r w:rsidRPr="00C57224">
          <w:rPr>
            <w:rStyle w:val="Hyperlink"/>
            <w:lang w:eastAsia="en-US"/>
          </w:rPr>
          <w:t xml:space="preserve">G20 </w:t>
        </w:r>
        <w:r w:rsidR="0026304D" w:rsidRPr="00C57224">
          <w:rPr>
            <w:rStyle w:val="Hyperlink"/>
            <w:lang w:eastAsia="en-US"/>
          </w:rPr>
          <w:t xml:space="preserve">Ministerial </w:t>
        </w:r>
        <w:r w:rsidRPr="00C57224">
          <w:rPr>
            <w:rStyle w:val="Hyperlink"/>
            <w:lang w:eastAsia="en-US"/>
          </w:rPr>
          <w:t xml:space="preserve">Declaration </w:t>
        </w:r>
        <w:r w:rsidR="0026304D" w:rsidRPr="00C57224">
          <w:rPr>
            <w:rStyle w:val="Hyperlink"/>
            <w:lang w:eastAsia="en-US"/>
          </w:rPr>
          <w:t>on Digital Inclusion for All</w:t>
        </w:r>
      </w:hyperlink>
      <w:r w:rsidR="0026304D" w:rsidRPr="00C57224">
        <w:rPr>
          <w:lang w:eastAsia="en-US"/>
        </w:rPr>
        <w:t xml:space="preserve"> issued on 13 September </w:t>
      </w:r>
      <w:r w:rsidRPr="00C57224">
        <w:rPr>
          <w:lang w:eastAsia="en-US"/>
        </w:rPr>
        <w:t xml:space="preserve">2024 </w:t>
      </w:r>
      <w:r w:rsidR="0026304D" w:rsidRPr="00C57224">
        <w:rPr>
          <w:lang w:eastAsia="en-US"/>
        </w:rPr>
        <w:t xml:space="preserve">recognizes the importance of international standards, including open standards, and that </w:t>
      </w:r>
      <w:r w:rsidR="0026304D" w:rsidRPr="00C57224">
        <w:rPr>
          <w:rFonts w:hint="cs"/>
          <w:lang w:eastAsia="en-US"/>
        </w:rPr>
        <w:t>content authentication and provenance mechanisms</w:t>
      </w:r>
      <w:r w:rsidR="0026304D" w:rsidRPr="00C57224">
        <w:rPr>
          <w:lang w:eastAsia="en-US"/>
        </w:rPr>
        <w:t xml:space="preserve"> </w:t>
      </w:r>
      <w:r w:rsidR="0026304D" w:rsidRPr="00C57224">
        <w:rPr>
          <w:rFonts w:hint="cs"/>
          <w:lang w:eastAsia="en-US"/>
        </w:rPr>
        <w:t>and related technical standards may help identify AI-generated content, and enable users to</w:t>
      </w:r>
      <w:r w:rsidR="0026304D" w:rsidRPr="00C57224">
        <w:rPr>
          <w:lang w:eastAsia="en-US"/>
        </w:rPr>
        <w:t xml:space="preserve"> </w:t>
      </w:r>
      <w:r w:rsidR="0026304D" w:rsidRPr="00C57224">
        <w:rPr>
          <w:rFonts w:hint="cs"/>
          <w:lang w:eastAsia="en-US"/>
        </w:rPr>
        <w:t>identify information manipulation</w:t>
      </w:r>
      <w:r w:rsidR="0026304D" w:rsidRPr="00C57224">
        <w:rPr>
          <w:lang w:eastAsia="en-US"/>
        </w:rPr>
        <w:t>.</w:t>
      </w:r>
    </w:p>
    <w:p w14:paraId="19CA6868" w14:textId="4B37B865" w:rsidR="00A26387" w:rsidRPr="00C57224" w:rsidRDefault="006B715F" w:rsidP="003F7B77">
      <w:pPr>
        <w:rPr>
          <w:lang w:eastAsia="en-US"/>
        </w:rPr>
      </w:pPr>
      <w:r w:rsidRPr="00C57224">
        <w:rPr>
          <w:b/>
          <w:bCs/>
          <w:lang w:eastAsia="en-US"/>
        </w:rPr>
        <w:t xml:space="preserve">World Standards Day, 14 October: </w:t>
      </w:r>
      <w:r w:rsidRPr="00C57224">
        <w:rPr>
          <w:lang w:eastAsia="en-US"/>
        </w:rPr>
        <w:t xml:space="preserve">The World Standards Cooperation leads the celebration of </w:t>
      </w:r>
      <w:hyperlink r:id="rId143" w:history="1">
        <w:r w:rsidRPr="00C57224">
          <w:rPr>
            <w:rStyle w:val="Hyperlink"/>
            <w:lang w:eastAsia="en-US"/>
          </w:rPr>
          <w:t>World Standards Day</w:t>
        </w:r>
      </w:hyperlink>
      <w:r w:rsidRPr="00C57224">
        <w:rPr>
          <w:lang w:eastAsia="en-US"/>
        </w:rPr>
        <w:t xml:space="preserve">. "A Shared Vision for a Better World" is the theme of World Standards Day for a multi-year campaign launched in 2021 aimed at raising awareness of how international standards contribute to the UN Sustainable Development Goals (SDGs). </w:t>
      </w:r>
      <w:hyperlink r:id="rId144" w:history="1">
        <w:r w:rsidRPr="00C57224">
          <w:rPr>
            <w:rStyle w:val="Hyperlink"/>
            <w:lang w:eastAsia="en-US"/>
          </w:rPr>
          <w:t>All past editions of World Standards Day</w:t>
        </w:r>
      </w:hyperlink>
      <w:r w:rsidRPr="00C57224">
        <w:rPr>
          <w:lang w:eastAsia="en-US"/>
        </w:rPr>
        <w:t>.</w:t>
      </w:r>
    </w:p>
    <w:p w14:paraId="1C38D1D1" w14:textId="3547B253" w:rsidR="005404EF" w:rsidRPr="00C57224" w:rsidRDefault="00AB23B7" w:rsidP="000B3E92">
      <w:pPr>
        <w:pStyle w:val="Heading2"/>
      </w:pPr>
      <w:bookmarkStart w:id="67" w:name="_5.1_Artificial_intelligence"/>
      <w:bookmarkStart w:id="68" w:name="_Toc179219754"/>
      <w:bookmarkStart w:id="69" w:name="_Toc179221064"/>
      <w:bookmarkStart w:id="70" w:name="_Hlk119497450"/>
      <w:bookmarkEnd w:id="67"/>
      <w:r w:rsidRPr="00C57224">
        <w:t>5.2</w:t>
      </w:r>
      <w:r>
        <w:tab/>
      </w:r>
      <w:r w:rsidR="005404EF" w:rsidRPr="00C57224">
        <w:t>Artificial intelligence and machine learning</w:t>
      </w:r>
      <w:bookmarkEnd w:id="68"/>
      <w:bookmarkEnd w:id="69"/>
    </w:p>
    <w:p w14:paraId="501FEAC3" w14:textId="1342EE7D" w:rsidR="005F55A3" w:rsidRPr="002C6547" w:rsidRDefault="00327645" w:rsidP="002C6547">
      <w:hyperlink r:id="rId145">
        <w:r w:rsidR="0009233E" w:rsidRPr="002C6547">
          <w:rPr>
            <w:rStyle w:val="Hyperlink"/>
          </w:rPr>
          <w:t>AI for Good</w:t>
        </w:r>
      </w:hyperlink>
      <w:r w:rsidR="0009233E" w:rsidRPr="002C6547">
        <w:t xml:space="preserve"> is the United Nations</w:t>
      </w:r>
      <w:r w:rsidR="00980239" w:rsidRPr="002C6547">
        <w:t>' primary</w:t>
      </w:r>
      <w:r w:rsidR="0009233E" w:rsidRPr="002C6547">
        <w:t xml:space="preserve"> platform for </w:t>
      </w:r>
      <w:r w:rsidR="00DE7459" w:rsidRPr="002C6547">
        <w:t>artificial intelligence (</w:t>
      </w:r>
      <w:r w:rsidR="0009233E" w:rsidRPr="002C6547">
        <w:t>AI</w:t>
      </w:r>
      <w:r w:rsidR="00DE7459" w:rsidRPr="002C6547">
        <w:t>)</w:t>
      </w:r>
      <w:r w:rsidR="0009233E" w:rsidRPr="002C6547">
        <w:t>. It is the world</w:t>
      </w:r>
      <w:r w:rsidR="007C2FC3" w:rsidRPr="002C6547">
        <w:t>'</w:t>
      </w:r>
      <w:r w:rsidR="0009233E" w:rsidRPr="002C6547">
        <w:t>s premier platform to advance AI</w:t>
      </w:r>
      <w:r w:rsidR="007C2FC3" w:rsidRPr="002C6547">
        <w:t>'</w:t>
      </w:r>
      <w:r w:rsidR="0009233E" w:rsidRPr="002C6547">
        <w:t xml:space="preserve">s contribution to sustainable development. </w:t>
      </w:r>
      <w:r w:rsidR="00821700" w:rsidRPr="002C6547">
        <w:t xml:space="preserve">AI for Good is supported </w:t>
      </w:r>
      <w:r w:rsidR="00821700" w:rsidRPr="002C6547">
        <w:lastRenderedPageBreak/>
        <w:t>by 4</w:t>
      </w:r>
      <w:r w:rsidR="005F55A3" w:rsidRPr="002C6547">
        <w:t>7</w:t>
      </w:r>
      <w:r w:rsidR="00821700" w:rsidRPr="002C6547">
        <w:t xml:space="preserve"> UN partners </w:t>
      </w:r>
      <w:r w:rsidR="0018643A" w:rsidRPr="002C6547">
        <w:t xml:space="preserve">and a range </w:t>
      </w:r>
      <w:r w:rsidR="00391B7F" w:rsidRPr="002C6547">
        <w:t xml:space="preserve">of </w:t>
      </w:r>
      <w:r w:rsidR="00821700" w:rsidRPr="002C6547">
        <w:t>industry sponsors</w:t>
      </w:r>
      <w:r w:rsidR="00633809" w:rsidRPr="002C6547">
        <w:t>. It is</w:t>
      </w:r>
      <w:r w:rsidR="00980239" w:rsidRPr="002C6547">
        <w:t xml:space="preserve"> co-convened by the government of Switzerland</w:t>
      </w:r>
      <w:r w:rsidR="005F55A3" w:rsidRPr="002C6547">
        <w:t>.</w:t>
      </w:r>
    </w:p>
    <w:p w14:paraId="06298B4C" w14:textId="77777777" w:rsidR="00A26387" w:rsidRPr="002C6547" w:rsidRDefault="0026304D" w:rsidP="002C6547">
      <w:r w:rsidRPr="002C6547">
        <w:t>The following section offers updates on the AI for Good digital platform, annual global summits, standards collaborations</w:t>
      </w:r>
      <w:r w:rsidR="005C297D" w:rsidRPr="002C6547">
        <w:t xml:space="preserve"> and capacity building initiatives</w:t>
      </w:r>
      <w:r w:rsidRPr="002C6547">
        <w:t>.</w:t>
      </w:r>
    </w:p>
    <w:p w14:paraId="61953F4F" w14:textId="1E38DAAB" w:rsidR="0026304D" w:rsidRPr="00C57224" w:rsidRDefault="00FB3DF2" w:rsidP="002C6547">
      <w:pPr>
        <w:pStyle w:val="Headingb"/>
      </w:pPr>
      <w:r w:rsidRPr="00C57224">
        <w:t>All year, always online</w:t>
      </w:r>
    </w:p>
    <w:p w14:paraId="56C078FB" w14:textId="35CC48D9" w:rsidR="00FB3DF2" w:rsidRPr="002C6547" w:rsidRDefault="005F55A3" w:rsidP="002C6547">
      <w:r w:rsidRPr="002C6547">
        <w:t xml:space="preserve">In addition to annual summits, </w:t>
      </w:r>
      <w:r w:rsidR="00FB3DF2" w:rsidRPr="002C6547">
        <w:t xml:space="preserve">AI for Good is presented as a year-round digital platform – featuring near-daily </w:t>
      </w:r>
      <w:hyperlink r:id="rId146">
        <w:r w:rsidR="00FB3DF2" w:rsidRPr="002C6547">
          <w:rPr>
            <w:rStyle w:val="Hyperlink"/>
          </w:rPr>
          <w:t>programming</w:t>
        </w:r>
      </w:hyperlink>
      <w:r w:rsidR="00FB3DF2" w:rsidRPr="002C6547">
        <w:t xml:space="preserve"> – where AI innovators and problem owners learn, build and connect to help identify practical AI solutions to advance the SDGs. The </w:t>
      </w:r>
      <w:hyperlink r:id="rId147" w:history="1">
        <w:r w:rsidR="00FB3DF2" w:rsidRPr="002C6547">
          <w:rPr>
            <w:rStyle w:val="Hyperlink"/>
          </w:rPr>
          <w:t>AI for Good Neural Network</w:t>
        </w:r>
      </w:hyperlink>
      <w:r w:rsidR="00FB3DF2" w:rsidRPr="002C6547">
        <w:t xml:space="preserve"> features AI-enabled smart matching to help users build connections, link innovative ideas with social impact opportunities</w:t>
      </w:r>
      <w:r w:rsidR="008440EC" w:rsidRPr="002C6547">
        <w:t xml:space="preserve"> </w:t>
      </w:r>
      <w:r w:rsidR="00FB3DF2" w:rsidRPr="002C6547">
        <w:t>and discuss AI applications for social good. Over 37,000 people have created profiles on the Neural Network since its launch in February 2022.</w:t>
      </w:r>
    </w:p>
    <w:p w14:paraId="2C5AF6A8" w14:textId="795F517A" w:rsidR="00A26387" w:rsidRPr="002C6547" w:rsidRDefault="00327645" w:rsidP="002C6547">
      <w:hyperlink r:id="rId148" w:history="1">
        <w:r w:rsidR="00FB3DF2" w:rsidRPr="002C6547">
          <w:rPr>
            <w:rStyle w:val="Hyperlink"/>
          </w:rPr>
          <w:t>Key reports</w:t>
        </w:r>
      </w:hyperlink>
      <w:r w:rsidR="00FB3DF2" w:rsidRPr="002C6547">
        <w:t xml:space="preserve"> published</w:t>
      </w:r>
      <w:r w:rsidR="008440EC" w:rsidRPr="002C6547">
        <w:t xml:space="preserve"> in the study period</w:t>
      </w:r>
      <w:r w:rsidR="00FB3DF2" w:rsidRPr="002C6547">
        <w:t>:</w:t>
      </w:r>
    </w:p>
    <w:p w14:paraId="5F099167" w14:textId="291F2F01" w:rsidR="00FB3DF2" w:rsidRPr="00C57224" w:rsidRDefault="00FB3DF2" w:rsidP="00FB3DF2">
      <w:pPr>
        <w:numPr>
          <w:ilvl w:val="0"/>
          <w:numId w:val="32"/>
        </w:numPr>
        <w:rPr>
          <w:lang w:eastAsia="en-US"/>
        </w:rPr>
      </w:pPr>
      <w:r w:rsidRPr="00C57224">
        <w:rPr>
          <w:lang w:eastAsia="en-US"/>
        </w:rPr>
        <w:t>AI Governance Day - From Principles to Implementation</w:t>
      </w:r>
    </w:p>
    <w:p w14:paraId="7E88608F" w14:textId="77777777" w:rsidR="00A26387" w:rsidRPr="00C57224" w:rsidRDefault="00FB3DF2" w:rsidP="00FB3DF2">
      <w:pPr>
        <w:numPr>
          <w:ilvl w:val="0"/>
          <w:numId w:val="32"/>
        </w:numPr>
        <w:rPr>
          <w:lang w:eastAsia="en-US"/>
        </w:rPr>
      </w:pPr>
      <w:r w:rsidRPr="00C57224">
        <w:rPr>
          <w:lang w:eastAsia="en-US"/>
        </w:rPr>
        <w:t>AI for Good Global Summit 2024 Snapshot Report</w:t>
      </w:r>
    </w:p>
    <w:p w14:paraId="04F9B132" w14:textId="363DDE5D" w:rsidR="00FB3DF2" w:rsidRPr="00C57224" w:rsidRDefault="00FB3DF2" w:rsidP="00FB3DF2">
      <w:pPr>
        <w:numPr>
          <w:ilvl w:val="0"/>
          <w:numId w:val="32"/>
        </w:numPr>
        <w:rPr>
          <w:lang w:eastAsia="en-US"/>
        </w:rPr>
      </w:pPr>
      <w:r w:rsidRPr="00C57224">
        <w:rPr>
          <w:lang w:eastAsia="en-US"/>
        </w:rPr>
        <w:t>AI Standardization Roundtable Report - The Future of AI, Regulation and Industry Development</w:t>
      </w:r>
    </w:p>
    <w:p w14:paraId="7A0F7C9D" w14:textId="77777777" w:rsidR="00FB3DF2" w:rsidRPr="00C57224" w:rsidRDefault="00FB3DF2" w:rsidP="00FB3DF2">
      <w:pPr>
        <w:numPr>
          <w:ilvl w:val="0"/>
          <w:numId w:val="32"/>
        </w:numPr>
        <w:rPr>
          <w:rFonts w:eastAsia="Calibri"/>
        </w:rPr>
      </w:pPr>
      <w:r w:rsidRPr="00C57224">
        <w:rPr>
          <w:rFonts w:eastAsia="Calibri"/>
        </w:rPr>
        <w:t>UN System White Paper on AI Governance</w:t>
      </w:r>
    </w:p>
    <w:p w14:paraId="3F2C8EBE" w14:textId="77777777" w:rsidR="00FB3DF2" w:rsidRPr="00C57224" w:rsidRDefault="00FB3DF2" w:rsidP="00FB3DF2">
      <w:pPr>
        <w:numPr>
          <w:ilvl w:val="0"/>
          <w:numId w:val="32"/>
        </w:numPr>
        <w:rPr>
          <w:rFonts w:eastAsia="Calibri"/>
        </w:rPr>
      </w:pPr>
      <w:r w:rsidRPr="00C57224">
        <w:rPr>
          <w:rFonts w:eastAsia="Calibri"/>
        </w:rPr>
        <w:t>UN Activities on AI</w:t>
      </w:r>
    </w:p>
    <w:p w14:paraId="2B6CE4AB" w14:textId="77777777" w:rsidR="00FB3DF2" w:rsidRPr="00C57224" w:rsidRDefault="00FB3DF2" w:rsidP="00FB3DF2">
      <w:pPr>
        <w:numPr>
          <w:ilvl w:val="0"/>
          <w:numId w:val="32"/>
        </w:numPr>
        <w:rPr>
          <w:lang w:eastAsia="en-US"/>
        </w:rPr>
      </w:pPr>
      <w:r w:rsidRPr="00C57224">
        <w:rPr>
          <w:lang w:eastAsia="en-US"/>
        </w:rPr>
        <w:t>AI for Good - Innovate for Impact 2024</w:t>
      </w:r>
    </w:p>
    <w:p w14:paraId="0B8D3F34" w14:textId="77777777" w:rsidR="00FB3DF2" w:rsidRPr="00C57224" w:rsidRDefault="00FB3DF2" w:rsidP="00FB3DF2">
      <w:pPr>
        <w:numPr>
          <w:ilvl w:val="0"/>
          <w:numId w:val="32"/>
        </w:numPr>
        <w:rPr>
          <w:lang w:eastAsia="en-US"/>
        </w:rPr>
      </w:pPr>
      <w:r w:rsidRPr="00C57224">
        <w:rPr>
          <w:lang w:eastAsia="en-US"/>
        </w:rPr>
        <w:t>AI Ready - Analysis Towards a Standardized Readiness Framework</w:t>
      </w:r>
    </w:p>
    <w:p w14:paraId="44BE6184" w14:textId="77777777" w:rsidR="00FB3DF2" w:rsidRPr="00C57224" w:rsidRDefault="00FB3DF2" w:rsidP="00FB3DF2">
      <w:pPr>
        <w:numPr>
          <w:ilvl w:val="0"/>
          <w:numId w:val="32"/>
        </w:numPr>
        <w:rPr>
          <w:lang w:eastAsia="en-US"/>
        </w:rPr>
      </w:pPr>
      <w:r w:rsidRPr="00C57224">
        <w:rPr>
          <w:lang w:eastAsia="en-US"/>
        </w:rPr>
        <w:t>Report on Detecting Deepfakes and Generative AI - Standards for AI Watermarking and Multimedia Authenticity Workshop</w:t>
      </w:r>
    </w:p>
    <w:p w14:paraId="56AFE490" w14:textId="77777777" w:rsidR="00FB3DF2" w:rsidRPr="00C57224" w:rsidRDefault="00FB3DF2" w:rsidP="00FB3DF2">
      <w:pPr>
        <w:numPr>
          <w:ilvl w:val="0"/>
          <w:numId w:val="32"/>
        </w:numPr>
        <w:rPr>
          <w:lang w:eastAsia="en-US"/>
        </w:rPr>
      </w:pPr>
      <w:r w:rsidRPr="00C57224">
        <w:rPr>
          <w:lang w:eastAsia="en-US"/>
        </w:rPr>
        <w:t>Crowdsourcing AI and Machine Learning solutions for SDGs - ITU AI/ML Challenges 2024 Report</w:t>
      </w:r>
    </w:p>
    <w:p w14:paraId="509E210B" w14:textId="77777777" w:rsidR="00A26387" w:rsidRPr="00C57224" w:rsidRDefault="00FB3DF2" w:rsidP="00FB3DF2">
      <w:pPr>
        <w:numPr>
          <w:ilvl w:val="0"/>
          <w:numId w:val="32"/>
        </w:numPr>
        <w:rPr>
          <w:lang w:eastAsia="en-US"/>
        </w:rPr>
      </w:pPr>
      <w:r w:rsidRPr="00C57224">
        <w:rPr>
          <w:lang w:eastAsia="en-US"/>
        </w:rPr>
        <w:t>AI and the Environment – International Standards for AI and the Environment</w:t>
      </w:r>
    </w:p>
    <w:p w14:paraId="190932D8" w14:textId="500450D7" w:rsidR="00FB3DF2" w:rsidRPr="00C57224" w:rsidRDefault="00FB3DF2" w:rsidP="00FB3DF2">
      <w:pPr>
        <w:numPr>
          <w:ilvl w:val="0"/>
          <w:numId w:val="32"/>
        </w:numPr>
        <w:rPr>
          <w:rFonts w:eastAsia="Calibri"/>
        </w:rPr>
      </w:pPr>
      <w:r w:rsidRPr="00C57224">
        <w:rPr>
          <w:rFonts w:eastAsia="Calibri"/>
        </w:rPr>
        <w:t>UN Activities on AI</w:t>
      </w:r>
    </w:p>
    <w:p w14:paraId="28CC4AD8" w14:textId="77777777" w:rsidR="00A26387" w:rsidRPr="00C57224" w:rsidRDefault="00FB3DF2" w:rsidP="00FB3DF2">
      <w:pPr>
        <w:numPr>
          <w:ilvl w:val="0"/>
          <w:numId w:val="32"/>
        </w:numPr>
        <w:rPr>
          <w:lang w:eastAsia="en-US"/>
        </w:rPr>
      </w:pPr>
      <w:r w:rsidRPr="00C57224">
        <w:rPr>
          <w:lang w:eastAsia="en-US"/>
        </w:rPr>
        <w:t>AI for Good Global Summit 2023 Snapshot Report</w:t>
      </w:r>
    </w:p>
    <w:p w14:paraId="36C7F761" w14:textId="1EAB32E5" w:rsidR="0026304D" w:rsidRPr="00C57224" w:rsidRDefault="0026304D" w:rsidP="00B77B76">
      <w:pPr>
        <w:pStyle w:val="Headingb"/>
      </w:pPr>
      <w:r w:rsidRPr="00C57224">
        <w:t>Global summits</w:t>
      </w:r>
    </w:p>
    <w:p w14:paraId="54ABC7F3" w14:textId="469D1E8D" w:rsidR="00585327" w:rsidRPr="00C57224" w:rsidRDefault="00EB377F" w:rsidP="00FD391D">
      <w:r w:rsidRPr="00C57224">
        <w:rPr>
          <w:b/>
          <w:bCs/>
        </w:rPr>
        <w:t>AI for Good Global Summit 2024:</w:t>
      </w:r>
      <w:r w:rsidR="00ED4367" w:rsidRPr="00C57224">
        <w:rPr>
          <w:b/>
          <w:bCs/>
        </w:rPr>
        <w:t xml:space="preserve"> </w:t>
      </w:r>
      <w:r w:rsidR="00ED4367" w:rsidRPr="00C57224">
        <w:t xml:space="preserve">Discussions at the </w:t>
      </w:r>
      <w:hyperlink r:id="rId149" w:history="1">
        <w:r w:rsidRPr="00C57224">
          <w:rPr>
            <w:rStyle w:val="Hyperlink"/>
          </w:rPr>
          <w:t>AI for Good Global Summit</w:t>
        </w:r>
      </w:hyperlink>
      <w:r w:rsidRPr="00C57224">
        <w:t xml:space="preserve"> in Geneva, 30-31 May 2024, </w:t>
      </w:r>
      <w:r w:rsidR="00ED4367" w:rsidRPr="00C57224">
        <w:t xml:space="preserve">and </w:t>
      </w:r>
      <w:hyperlink r:id="rId150" w:anchor="day0" w:history="1">
        <w:r w:rsidR="00ED4367" w:rsidRPr="00C57224">
          <w:rPr>
            <w:rStyle w:val="Hyperlink"/>
          </w:rPr>
          <w:t>AI Governance Day</w:t>
        </w:r>
      </w:hyperlink>
      <w:r w:rsidR="00ED4367" w:rsidRPr="00C57224">
        <w:t xml:space="preserve"> on 29 May emphasized th</w:t>
      </w:r>
      <w:r w:rsidR="00381454" w:rsidRPr="00C57224">
        <w:t>at</w:t>
      </w:r>
      <w:r w:rsidR="00ED4367" w:rsidRPr="00C57224">
        <w:t xml:space="preserve"> standards development and capacity building will make foundational contributions to global AI governance</w:t>
      </w:r>
      <w:r w:rsidRPr="00C57224">
        <w:t>.</w:t>
      </w:r>
      <w:r w:rsidR="005F55A3" w:rsidRPr="00C57224">
        <w:t xml:space="preserve"> See the </w:t>
      </w:r>
      <w:hyperlink r:id="rId151" w:history="1">
        <w:r w:rsidR="005F55A3" w:rsidRPr="00C57224">
          <w:rPr>
            <w:rStyle w:val="Hyperlink"/>
          </w:rPr>
          <w:t xml:space="preserve">AI for Good </w:t>
        </w:r>
        <w:r w:rsidR="008440EC" w:rsidRPr="00C57224">
          <w:rPr>
            <w:rStyle w:val="Hyperlink"/>
          </w:rPr>
          <w:t xml:space="preserve">Global </w:t>
        </w:r>
        <w:r w:rsidR="005F55A3" w:rsidRPr="00C57224">
          <w:rPr>
            <w:rStyle w:val="Hyperlink"/>
          </w:rPr>
          <w:t>Summit 2024 Snapshot Report</w:t>
        </w:r>
      </w:hyperlink>
      <w:r w:rsidR="005F55A3" w:rsidRPr="00C57224">
        <w:t>.</w:t>
      </w:r>
    </w:p>
    <w:p w14:paraId="749DAC16" w14:textId="54851079" w:rsidR="005F55A3" w:rsidRPr="00C57224" w:rsidRDefault="00585327" w:rsidP="00FD391D">
      <w:r w:rsidRPr="00C57224">
        <w:t xml:space="preserve">The summit showcased innovations in generative AI, robotics, and brain-machine interfaces that can accelerate progress in areas such as climate action, accessibility, health, education and disaster response. </w:t>
      </w:r>
      <w:bookmarkStart w:id="71" w:name="_Hlk172568153"/>
      <w:r w:rsidR="00EB377F" w:rsidRPr="00C57224">
        <w:t xml:space="preserve">The </w:t>
      </w:r>
      <w:r w:rsidRPr="00C57224">
        <w:t xml:space="preserve">summit </w:t>
      </w:r>
      <w:r w:rsidR="00ED4367" w:rsidRPr="00C57224">
        <w:t xml:space="preserve">was held </w:t>
      </w:r>
      <w:r w:rsidR="00EB377F" w:rsidRPr="00C57224">
        <w:t xml:space="preserve">conjunction with the </w:t>
      </w:r>
      <w:hyperlink r:id="rId152" w:history="1">
        <w:r w:rsidR="00EB377F" w:rsidRPr="00C57224">
          <w:rPr>
            <w:rStyle w:val="Hyperlink"/>
          </w:rPr>
          <w:t>World Summit on the Information Society (WSIS) +20 meeting</w:t>
        </w:r>
      </w:hyperlink>
      <w:r w:rsidR="00DC1B0E" w:rsidRPr="00C57224">
        <w:t xml:space="preserve"> in Geneva, 27-31 May, </w:t>
      </w:r>
      <w:r w:rsidR="00381454" w:rsidRPr="00C57224">
        <w:t xml:space="preserve">with the aim of ensuring </w:t>
      </w:r>
      <w:r w:rsidR="00EB377F" w:rsidRPr="00C57224">
        <w:t>complementary perspectives on digital development.</w:t>
      </w:r>
      <w:bookmarkEnd w:id="71"/>
    </w:p>
    <w:p w14:paraId="620CE6C2" w14:textId="1BC0D733" w:rsidR="005F55A3" w:rsidRPr="00C57224" w:rsidRDefault="00FB3DF2" w:rsidP="00FD391D">
      <w:r w:rsidRPr="00C57224">
        <w:t>At AI Governance Day, ITU and UNESCO launched</w:t>
      </w:r>
      <w:r w:rsidR="00461B8B" w:rsidRPr="00C57224">
        <w:t xml:space="preserve"> </w:t>
      </w:r>
      <w:hyperlink r:id="rId153" w:history="1">
        <w:r w:rsidRPr="00C57224">
          <w:rPr>
            <w:rStyle w:val="Hyperlink"/>
          </w:rPr>
          <w:t>UN Activities on Artificial Intelligence</w:t>
        </w:r>
      </w:hyperlink>
      <w:r w:rsidRPr="00C57224">
        <w:t xml:space="preserve">, a compilation of more than 400 projects by 47 UN agencies </w:t>
      </w:r>
      <w:r w:rsidR="005F55A3" w:rsidRPr="00C57224">
        <w:t>encompassing</w:t>
      </w:r>
      <w:r w:rsidRPr="00C57224">
        <w:t xml:space="preserve"> all 17 SDGs.</w:t>
      </w:r>
    </w:p>
    <w:p w14:paraId="441D7D3E" w14:textId="77777777" w:rsidR="005F55A3" w:rsidRPr="00C57224" w:rsidRDefault="00FB3DF2" w:rsidP="00FD391D">
      <w:r w:rsidRPr="00C57224">
        <w:t xml:space="preserve">A partnership between ITU and the United Nations University announced at the summit aims to tap into the wealth of knowledge within the AI for Good community, including nearly 10,000 AI experts from academic institutions around the world. The resulting flagship report will offer this </w:t>
      </w:r>
      <w:r w:rsidRPr="00C57224">
        <w:lastRenderedPageBreak/>
        <w:t>expertise as a resource for stakeholders, helping them create innovative solutions and make informed decisions as they navigate the evolving world of AI.</w:t>
      </w:r>
    </w:p>
    <w:p w14:paraId="04E9880D" w14:textId="27398456" w:rsidR="00A26387" w:rsidRPr="00C57224" w:rsidRDefault="00FB3DF2" w:rsidP="00FD391D">
      <w:pPr>
        <w:rPr>
          <w:bCs/>
        </w:rPr>
      </w:pPr>
      <w:r w:rsidRPr="00C57224">
        <w:rPr>
          <w:b/>
          <w:bCs/>
        </w:rPr>
        <w:t xml:space="preserve">AI for Good Global Summit 2023: </w:t>
      </w:r>
      <w:bookmarkStart w:id="72" w:name="_Hlk120615371"/>
      <w:r w:rsidRPr="00C57224">
        <w:t xml:space="preserve">The </w:t>
      </w:r>
      <w:hyperlink r:id="rId154" w:history="1">
        <w:r w:rsidRPr="00C57224">
          <w:rPr>
            <w:rStyle w:val="Hyperlink"/>
          </w:rPr>
          <w:t>AI for Good Global Summit</w:t>
        </w:r>
      </w:hyperlink>
      <w:r w:rsidRPr="00C57224">
        <w:t xml:space="preserve"> in Geneva, 6-7 July 2023,</w:t>
      </w:r>
      <w:r w:rsidR="005F55A3" w:rsidRPr="00C57224">
        <w:t xml:space="preserve"> </w:t>
      </w:r>
      <w:r w:rsidRPr="00C57224">
        <w:t xml:space="preserve">featured world-renowned experts in AI and humanitarian action and the world's largest-ever gathering of humanoid and specialized robots. </w:t>
      </w:r>
      <w:bookmarkEnd w:id="72"/>
      <w:r w:rsidRPr="00C57224">
        <w:rPr>
          <w:bCs/>
        </w:rPr>
        <w:t xml:space="preserve">The summit </w:t>
      </w:r>
      <w:bookmarkStart w:id="73" w:name="_Hlk120615385"/>
      <w:r w:rsidRPr="00C57224">
        <w:rPr>
          <w:bCs/>
        </w:rPr>
        <w:t>was preceded by expert-oriented ML workshops, 4-5 July, drawing on expertise from the AI for Good Discovery programme.</w:t>
      </w:r>
      <w:bookmarkEnd w:id="73"/>
      <w:r w:rsidRPr="00C57224">
        <w:rPr>
          <w:bCs/>
        </w:rPr>
        <w:t xml:space="preserve"> </w:t>
      </w:r>
      <w:r w:rsidR="005F55A3" w:rsidRPr="00C57224">
        <w:rPr>
          <w:bCs/>
        </w:rPr>
        <w:t xml:space="preserve">See the </w:t>
      </w:r>
      <w:hyperlink r:id="rId155" w:history="1">
        <w:r w:rsidR="005F55A3" w:rsidRPr="00C57224">
          <w:rPr>
            <w:rStyle w:val="Hyperlink"/>
            <w:bCs/>
          </w:rPr>
          <w:t>AI for Good Global Summit 2023 Snapshot Report</w:t>
        </w:r>
      </w:hyperlink>
      <w:r w:rsidR="005F55A3" w:rsidRPr="00C57224">
        <w:rPr>
          <w:bCs/>
        </w:rPr>
        <w:t>.</w:t>
      </w:r>
    </w:p>
    <w:p w14:paraId="18053A28" w14:textId="77777777" w:rsidR="00A26387" w:rsidRPr="00C57224" w:rsidRDefault="005F55A3" w:rsidP="00FD391D">
      <w:pPr>
        <w:rPr>
          <w:bCs/>
        </w:rPr>
      </w:pPr>
      <w:r w:rsidRPr="00C57224">
        <w:rPr>
          <w:bCs/>
        </w:rPr>
        <w:t>The 2024 and 2023 summits followed summits in 2019, 2018 and 2017.</w:t>
      </w:r>
    </w:p>
    <w:p w14:paraId="5BC000E4" w14:textId="77777777" w:rsidR="00A26387" w:rsidRPr="00C57224" w:rsidRDefault="005C297D" w:rsidP="00B77B76">
      <w:pPr>
        <w:pStyle w:val="Headingb"/>
      </w:pPr>
      <w:r w:rsidRPr="00C57224">
        <w:t>Standards collaborations</w:t>
      </w:r>
    </w:p>
    <w:p w14:paraId="6EB166B3" w14:textId="02007C3B" w:rsidR="00A26387" w:rsidRPr="00C57224" w:rsidRDefault="005C297D" w:rsidP="00FD391D">
      <w:r w:rsidRPr="00C57224">
        <w:rPr>
          <w:b/>
          <w:bCs/>
        </w:rPr>
        <w:t>Multimedia authenticity:</w:t>
      </w:r>
      <w:r w:rsidRPr="00C57224">
        <w:t xml:space="preserve"> At the AI for Good Global Summit 2024, ITU, ISO and IEC highlighted their commitment to providing a unified framework for AI standards development and announced a new</w:t>
      </w:r>
      <w:r w:rsidR="00461B8B" w:rsidRPr="00C57224">
        <w:t xml:space="preserve"> </w:t>
      </w:r>
      <w:hyperlink r:id="rId156" w:history="1">
        <w:r w:rsidRPr="00C57224">
          <w:rPr>
            <w:rStyle w:val="Hyperlink"/>
          </w:rPr>
          <w:t>AI and multimedia authenticity standards collaboration</w:t>
        </w:r>
      </w:hyperlink>
      <w:r w:rsidRPr="00C57224">
        <w:t xml:space="preserve"> to drive coordinated standards development for AI watermarking, multimedia authenticity and deepfake detection.</w:t>
      </w:r>
    </w:p>
    <w:p w14:paraId="1CD9C7EC" w14:textId="77777777" w:rsidR="00A26387" w:rsidRPr="00C57224" w:rsidRDefault="005C297D" w:rsidP="00FD391D">
      <w:r w:rsidRPr="00C57224">
        <w:t xml:space="preserve">The collaboration initiative is led by the World Standards Cooperation (ITU, ISO and IEC). </w:t>
      </w:r>
      <w:bookmarkStart w:id="74" w:name="_Hlk178681621"/>
      <w:r w:rsidRPr="00C57224">
        <w:t>In addition to ITU, ISO and IEC, the initiative currently includes the Content Authenticity Initiative, the Coalition for Content Provenance and Authenticity</w:t>
      </w:r>
      <w:bookmarkEnd w:id="74"/>
      <w:r w:rsidRPr="00C57224">
        <w:t xml:space="preserve"> and the ITU-ISO-IEC Joint Photographic Experts Group.</w:t>
      </w:r>
    </w:p>
    <w:p w14:paraId="1CC48F59" w14:textId="15A02381" w:rsidR="00A26387" w:rsidRPr="00C57224" w:rsidRDefault="005C297D" w:rsidP="00FD391D">
      <w:r w:rsidRPr="00C57224">
        <w:t xml:space="preserve">A </w:t>
      </w:r>
      <w:hyperlink r:id="rId157" w:history="1">
        <w:r w:rsidRPr="00C57224">
          <w:rPr>
            <w:rStyle w:val="Hyperlink"/>
          </w:rPr>
          <w:t>new report</w:t>
        </w:r>
      </w:hyperlink>
      <w:r w:rsidRPr="00C57224">
        <w:t xml:space="preserve"> provides a comprehensive overview of the workshop at the AI for Good Global Summit 2024 that initiated the launch of the initiative.</w:t>
      </w:r>
    </w:p>
    <w:p w14:paraId="20E41D4F" w14:textId="09BB700E" w:rsidR="00A26387" w:rsidRPr="00C57224" w:rsidRDefault="005C297D" w:rsidP="00FD391D">
      <w:r w:rsidRPr="00C57224">
        <w:rPr>
          <w:b/>
          <w:bCs/>
        </w:rPr>
        <w:t>Health:</w:t>
      </w:r>
      <w:r w:rsidRPr="00C57224">
        <w:t xml:space="preserve"> The </w:t>
      </w:r>
      <w:hyperlink r:id="rId158" w:history="1">
        <w:r w:rsidRPr="00C57224">
          <w:rPr>
            <w:rStyle w:val="Hyperlink"/>
          </w:rPr>
          <w:t>Global Initiative on AI for Health</w:t>
        </w:r>
      </w:hyperlink>
      <w:r w:rsidRPr="00C57224">
        <w:t xml:space="preserve"> driven by ITU, WHO and WIPO – announced at the AI for Good Global Summit 2023 – aims to ensure that AI fulfils its potential to support diagnosis and treatment, along with more efficient and inclusive healthcare services. The global initiative aims to develop technical standards and policy guidance, facilitate knowledge and data sharing, and support evidence-based decisions on the introduction of AI solutions for health.</w:t>
      </w:r>
    </w:p>
    <w:p w14:paraId="2A59B0D8" w14:textId="38A2669B" w:rsidR="005C297D" w:rsidRPr="00C57224" w:rsidRDefault="005C297D" w:rsidP="00FD391D">
      <w:pPr>
        <w:rPr>
          <w:bCs/>
        </w:rPr>
      </w:pPr>
      <w:r w:rsidRPr="00C57224">
        <w:t xml:space="preserve">The initiative builds on the momentum created by the </w:t>
      </w:r>
      <w:hyperlink r:id="rId159" w:history="1">
        <w:r w:rsidRPr="00C57224">
          <w:rPr>
            <w:rStyle w:val="Hyperlink"/>
          </w:rPr>
          <w:t>ITU-WHO Focus Group on AI for Health</w:t>
        </w:r>
      </w:hyperlink>
      <w:r w:rsidRPr="00C57224">
        <w:t>.</w:t>
      </w:r>
      <w:bookmarkStart w:id="75" w:name="_Hlk172568332"/>
    </w:p>
    <w:p w14:paraId="3B5BA26E" w14:textId="464F7BFF" w:rsidR="00A26387" w:rsidRPr="00C57224" w:rsidRDefault="005C297D" w:rsidP="00FD391D">
      <w:r w:rsidRPr="00C57224">
        <w:rPr>
          <w:b/>
          <w:bCs/>
        </w:rPr>
        <w:t>Disaster risk reduction:</w:t>
      </w:r>
      <w:r w:rsidRPr="00C57224">
        <w:t xml:space="preserve"> The </w:t>
      </w:r>
      <w:hyperlink r:id="rId160" w:history="1">
        <w:r w:rsidRPr="00C57224">
          <w:rPr>
            <w:rStyle w:val="Hyperlink"/>
          </w:rPr>
          <w:t>Global Initiative on Resilience to Natural Hazards through AI Solutions</w:t>
        </w:r>
      </w:hyperlink>
      <w:r w:rsidRPr="00C57224">
        <w:t xml:space="preserve"> driven by ITU, UNEP, UNFCCC, UPU and WMO – announced at the AI for Good Global Summit 2024 – aims to explore AI use cases for resilience, provide expert guidance, and support research, innovation, and standards development. It also aims to create an AI readiness framework to assess and improve national capacities for using AI in disaster management.</w:t>
      </w:r>
    </w:p>
    <w:p w14:paraId="6CA817FF" w14:textId="3A36A67D" w:rsidR="005C297D" w:rsidRPr="00C57224" w:rsidRDefault="005C297D" w:rsidP="00FD391D">
      <w:pPr>
        <w:rPr>
          <w:bCs/>
        </w:rPr>
      </w:pPr>
      <w:r w:rsidRPr="00C57224">
        <w:t xml:space="preserve">The initiative builds on the momentum created by the </w:t>
      </w:r>
      <w:hyperlink r:id="rId161" w:history="1">
        <w:r w:rsidR="00554332" w:rsidRPr="00C57224">
          <w:rPr>
            <w:rStyle w:val="Hyperlink"/>
          </w:rPr>
          <w:t xml:space="preserve">ITU-WMO-UNEP </w:t>
        </w:r>
        <w:r w:rsidRPr="00C57224">
          <w:rPr>
            <w:rStyle w:val="Hyperlink"/>
          </w:rPr>
          <w:t>Focus Group on AI for Natural Disaster Management</w:t>
        </w:r>
      </w:hyperlink>
      <w:r w:rsidRPr="00C57224">
        <w:t>.</w:t>
      </w:r>
      <w:bookmarkEnd w:id="75"/>
    </w:p>
    <w:p w14:paraId="22BFA139" w14:textId="77777777" w:rsidR="00A26387" w:rsidRPr="00C57224" w:rsidRDefault="0026304D" w:rsidP="00B77B76">
      <w:pPr>
        <w:pStyle w:val="Headingb"/>
      </w:pPr>
      <w:r w:rsidRPr="00C57224">
        <w:t>Capacity building</w:t>
      </w:r>
    </w:p>
    <w:p w14:paraId="5CF2C0B3" w14:textId="46DC4AAC" w:rsidR="00A26387" w:rsidRPr="00C57224" w:rsidRDefault="003C4A56" w:rsidP="00FD391D">
      <w:r w:rsidRPr="00C57224">
        <w:rPr>
          <w:b/>
          <w:bCs/>
        </w:rPr>
        <w:t>Impact Initiative:</w:t>
      </w:r>
      <w:r w:rsidRPr="00C57224">
        <w:t xml:space="preserve"> </w:t>
      </w:r>
      <w:r w:rsidR="00381454" w:rsidRPr="00C57224">
        <w:t>The</w:t>
      </w:r>
      <w:r w:rsidR="00461B8B" w:rsidRPr="00C57224">
        <w:t xml:space="preserve"> </w:t>
      </w:r>
      <w:hyperlink r:id="rId162" w:history="1">
        <w:r w:rsidR="00381454" w:rsidRPr="00C57224">
          <w:rPr>
            <w:rStyle w:val="Hyperlink"/>
          </w:rPr>
          <w:t>AI for Good Impact Initiative</w:t>
        </w:r>
      </w:hyperlink>
      <w:r w:rsidR="00C60C0E" w:rsidRPr="00C57224">
        <w:t xml:space="preserve"> </w:t>
      </w:r>
      <w:r w:rsidR="00381454" w:rsidRPr="00C57224">
        <w:t xml:space="preserve">launched at the </w:t>
      </w:r>
      <w:r w:rsidR="00FB3DF2" w:rsidRPr="00C57224">
        <w:t xml:space="preserve">2024 </w:t>
      </w:r>
      <w:r w:rsidR="00381454" w:rsidRPr="00C57224">
        <w:t xml:space="preserve">summit aims to expand the scope and impact of AI applications for sustainable development. </w:t>
      </w:r>
      <w:r w:rsidR="00C60C0E" w:rsidRPr="00C57224">
        <w:t xml:space="preserve">The initiative includes </w:t>
      </w:r>
      <w:r w:rsidR="000663C3" w:rsidRPr="00C57224">
        <w:t xml:space="preserve">a </w:t>
      </w:r>
      <w:r w:rsidR="00C60C0E" w:rsidRPr="00C57224">
        <w:t xml:space="preserve">new </w:t>
      </w:r>
      <w:hyperlink r:id="rId163" w:history="1">
        <w:r w:rsidR="00C60C0E" w:rsidRPr="00C57224">
          <w:rPr>
            <w:rStyle w:val="Hyperlink"/>
          </w:rPr>
          <w:t>AI Skills Coalition</w:t>
        </w:r>
      </w:hyperlink>
      <w:r w:rsidR="00C60C0E" w:rsidRPr="00C57224">
        <w:t xml:space="preserve"> announced in September 2024.</w:t>
      </w:r>
    </w:p>
    <w:p w14:paraId="6FA55DC7" w14:textId="2DA21109" w:rsidR="00A26387" w:rsidRPr="00C57224" w:rsidRDefault="00381454" w:rsidP="00FD391D">
      <w:r w:rsidRPr="00C57224">
        <w:t>The initiative will link AI innovators with opportunities to scale and fund promising AI solutions for every SDG equally across every region. Activities will include regional AI for Good Impact events</w:t>
      </w:r>
      <w:r w:rsidR="000663C3" w:rsidRPr="00C57224">
        <w:t xml:space="preserve"> such as </w:t>
      </w:r>
      <w:hyperlink r:id="rId164" w:history="1">
        <w:r w:rsidR="000663C3" w:rsidRPr="00C57224">
          <w:rPr>
            <w:rStyle w:val="Hyperlink"/>
          </w:rPr>
          <w:t>AI for Good Impact India</w:t>
        </w:r>
      </w:hyperlink>
      <w:r w:rsidR="000663C3" w:rsidRPr="00C57224">
        <w:t xml:space="preserve"> being held alongside WTSA-24</w:t>
      </w:r>
      <w:r w:rsidRPr="00C57224">
        <w:t>;</w:t>
      </w:r>
      <w:r w:rsidR="00461B8B" w:rsidRPr="00C57224">
        <w:t xml:space="preserve"> </w:t>
      </w:r>
      <w:r w:rsidRPr="00C57224">
        <w:t>global competitions to crowdsource AI solutions and boost AI expertise;</w:t>
      </w:r>
      <w:r w:rsidR="00461B8B" w:rsidRPr="00C57224">
        <w:t xml:space="preserve"> </w:t>
      </w:r>
      <w:r w:rsidRPr="00C57224">
        <w:t>research and policy guidance on AI for sustainable development;</w:t>
      </w:r>
      <w:r w:rsidR="00461B8B" w:rsidRPr="00C57224">
        <w:t xml:space="preserve"> </w:t>
      </w:r>
      <w:r w:rsidRPr="00C57224">
        <w:t>and accelerators for startups and small and medium-sized enterprises</w:t>
      </w:r>
      <w:r w:rsidR="00EF4E34" w:rsidRPr="00C57224">
        <w:t>.</w:t>
      </w:r>
    </w:p>
    <w:p w14:paraId="364A799C" w14:textId="6165B330" w:rsidR="00F915EA" w:rsidRPr="00C57224" w:rsidRDefault="00F915EA" w:rsidP="00FD391D">
      <w:r w:rsidRPr="00C57224">
        <w:rPr>
          <w:b/>
          <w:bCs/>
        </w:rPr>
        <w:t xml:space="preserve">Innovation Factory: </w:t>
      </w:r>
      <w:r w:rsidRPr="00C57224">
        <w:t xml:space="preserve">The </w:t>
      </w:r>
      <w:hyperlink r:id="rId165" w:history="1">
        <w:r w:rsidRPr="00C57224">
          <w:rPr>
            <w:rStyle w:val="Hyperlink"/>
          </w:rPr>
          <w:t>AI for Good Innovation Factory</w:t>
        </w:r>
      </w:hyperlink>
      <w:r w:rsidRPr="00C57224">
        <w:t xml:space="preserve"> and its </w:t>
      </w:r>
      <w:hyperlink r:id="rId166" w:history="1">
        <w:r w:rsidRPr="00C57224">
          <w:rPr>
            <w:rStyle w:val="Hyperlink"/>
          </w:rPr>
          <w:t>Startup Acceleration Programme</w:t>
        </w:r>
      </w:hyperlink>
      <w:r w:rsidRPr="00C57224">
        <w:t xml:space="preserve"> form the leading UN-based startup pitching and acceleration platform. Hundreds of startups apply each year to participate in monthly online or in-person pitching sessions. These sessions focus on different regions and countries, or different economic sectors. The year-long competition </w:t>
      </w:r>
      <w:r w:rsidRPr="00C57224">
        <w:lastRenderedPageBreak/>
        <w:t>culminates at the AI for Good Global Summit, where the finalists demo their solutions for a panel of investors and philanthropists.</w:t>
      </w:r>
    </w:p>
    <w:p w14:paraId="11DE78E5" w14:textId="0704B3D4" w:rsidR="00A26387" w:rsidRPr="00C57224" w:rsidRDefault="00EF4E34" w:rsidP="00FD391D">
      <w:r w:rsidRPr="00C57224">
        <w:rPr>
          <w:b/>
        </w:rPr>
        <w:t>AI/ML Challenges:</w:t>
      </w:r>
      <w:r w:rsidRPr="00C57224">
        <w:rPr>
          <w:bCs/>
        </w:rPr>
        <w:t xml:space="preserve"> The</w:t>
      </w:r>
      <w:r w:rsidR="00A320DD" w:rsidRPr="00C57224">
        <w:rPr>
          <w:bCs/>
        </w:rPr>
        <w:t>se</w:t>
      </w:r>
      <w:r w:rsidRPr="00C57224">
        <w:rPr>
          <w:bCs/>
        </w:rPr>
        <w:t xml:space="preserve"> problem-solving competitions </w:t>
      </w:r>
      <w:r w:rsidRPr="00C57224">
        <w:t xml:space="preserve">are contributing to the development of AI/ML expertise and capabilities around the world. </w:t>
      </w:r>
      <w:r w:rsidR="00F915EA" w:rsidRPr="00C57224">
        <w:t xml:space="preserve">Most participants are students from developing countries. The competitions enable participants to connect with new partners – and new tools and data resources </w:t>
      </w:r>
      <w:r w:rsidR="00A26387" w:rsidRPr="00C57224">
        <w:t>–</w:t>
      </w:r>
      <w:r w:rsidR="00F915EA" w:rsidRPr="00C57224">
        <w:t xml:space="preserve"> to achieve goals set out by problem statements contributed by industry and academia. </w:t>
      </w:r>
      <w:r w:rsidR="003C4A56" w:rsidRPr="00C57224">
        <w:t xml:space="preserve">A </w:t>
      </w:r>
      <w:hyperlink r:id="rId167" w:history="1">
        <w:r w:rsidR="003C4A56" w:rsidRPr="00C57224">
          <w:rPr>
            <w:rStyle w:val="Hyperlink"/>
          </w:rPr>
          <w:t>new report</w:t>
        </w:r>
      </w:hyperlink>
      <w:r w:rsidR="003C4A56" w:rsidRPr="00C57224">
        <w:t xml:space="preserve"> offers a comprehensive overview </w:t>
      </w:r>
      <w:r w:rsidR="00F915EA" w:rsidRPr="00C57224">
        <w:t>of all challenges since 2020</w:t>
      </w:r>
      <w:r w:rsidR="003C4A56" w:rsidRPr="00C57224">
        <w:t>.</w:t>
      </w:r>
    </w:p>
    <w:p w14:paraId="2E4E0AB2" w14:textId="6FC68A50" w:rsidR="000663C3" w:rsidRPr="00C57224" w:rsidRDefault="00EF4E34" w:rsidP="00FD391D">
      <w:r w:rsidRPr="00C57224">
        <w:t xml:space="preserve">To share the solutions with the larger community, solutions submitted are shared as open source in several repositories on the Challenge GitHub: </w:t>
      </w:r>
      <w:hyperlink r:id="rId168" w:history="1">
        <w:r w:rsidRPr="00C57224">
          <w:rPr>
            <w:rStyle w:val="Hyperlink"/>
          </w:rPr>
          <w:t>https://github.com/ITU-AI-ML-in-5G-Challenge</w:t>
        </w:r>
      </w:hyperlink>
      <w:r w:rsidRPr="00C57224">
        <w:t>.</w:t>
      </w:r>
      <w:r w:rsidR="00F915EA" w:rsidRPr="00C57224">
        <w:t xml:space="preserve"> </w:t>
      </w:r>
      <w:r w:rsidRPr="00C57224">
        <w:t xml:space="preserve">In addition, </w:t>
      </w:r>
      <w:r w:rsidR="00F915EA" w:rsidRPr="00C57224">
        <w:t xml:space="preserve">special issues of </w:t>
      </w:r>
      <w:r w:rsidRPr="00C57224">
        <w:t xml:space="preserve">the </w:t>
      </w:r>
      <w:hyperlink r:id="rId169" w:history="1">
        <w:r w:rsidRPr="00C57224">
          <w:rPr>
            <w:rStyle w:val="Hyperlink"/>
          </w:rPr>
          <w:t>ITU Journal on Future and Evolving Technologies</w:t>
        </w:r>
      </w:hyperlink>
      <w:r w:rsidRPr="00C57224">
        <w:t xml:space="preserve"> shar</w:t>
      </w:r>
      <w:r w:rsidR="00F915EA" w:rsidRPr="00C57224">
        <w:t>e</w:t>
      </w:r>
      <w:r w:rsidRPr="00C57224">
        <w:t xml:space="preserve"> solutions and learnings from participants and Challenge hosts (the originators of the problem statements)</w:t>
      </w:r>
      <w:r w:rsidR="00F915EA" w:rsidRPr="00C57224">
        <w:t>.</w:t>
      </w:r>
    </w:p>
    <w:p w14:paraId="3EE3CA60" w14:textId="5B12B62B" w:rsidR="00A320DD" w:rsidRPr="00C57224" w:rsidRDefault="000663C3" w:rsidP="00FD391D">
      <w:r w:rsidRPr="00C57224">
        <w:rPr>
          <w:b/>
          <w:bCs/>
        </w:rPr>
        <w:t>Robotics for Good Youth Challenge:</w:t>
      </w:r>
      <w:r w:rsidRPr="00C57224">
        <w:t xml:space="preserve"> The </w:t>
      </w:r>
      <w:hyperlink r:id="rId170" w:history="1">
        <w:r w:rsidRPr="00C57224">
          <w:rPr>
            <w:rStyle w:val="Hyperlink"/>
          </w:rPr>
          <w:t>Robotics for Good Youth Challenge</w:t>
        </w:r>
      </w:hyperlink>
      <w:r w:rsidRPr="00C57224">
        <w:t xml:space="preserve"> is the leading UN-based educational robotics championship for youth, showcasing robots that offer practical solutions relevant to the SDGs. The 2024-2025 challenge focuses on disaster response. Some 25 countries are hosting national qualification tournaments. The inaugural event will be held alongside WTSA-24 </w:t>
      </w:r>
      <w:r w:rsidR="00CE7173" w:rsidRPr="00C57224">
        <w:t>at AI for Good Impact India. T</w:t>
      </w:r>
      <w:r w:rsidRPr="00C57224">
        <w:t xml:space="preserve">he Grand Finale </w:t>
      </w:r>
      <w:r w:rsidR="00CE7173" w:rsidRPr="00C57224">
        <w:t xml:space="preserve">will be held at </w:t>
      </w:r>
      <w:r w:rsidRPr="00C57224">
        <w:t xml:space="preserve">the </w:t>
      </w:r>
      <w:hyperlink r:id="rId171" w:history="1">
        <w:r w:rsidRPr="00C57224">
          <w:rPr>
            <w:rStyle w:val="Hyperlink"/>
          </w:rPr>
          <w:t>AI for Good Global Summit 2025</w:t>
        </w:r>
      </w:hyperlink>
      <w:r w:rsidRPr="00C57224">
        <w:t>.</w:t>
      </w:r>
    </w:p>
    <w:p w14:paraId="0D5C19C0" w14:textId="4C91216E" w:rsidR="00A320DD" w:rsidRPr="00C57224" w:rsidRDefault="00A320DD" w:rsidP="00B77B76">
      <w:r w:rsidRPr="00C57224">
        <w:rPr>
          <w:b/>
          <w:bCs/>
        </w:rPr>
        <w:t>Innovate for Impact:</w:t>
      </w:r>
      <w:r w:rsidRPr="00C57224">
        <w:t xml:space="preserve"> The </w:t>
      </w:r>
      <w:hyperlink r:id="rId172" w:history="1">
        <w:r w:rsidRPr="00C57224">
          <w:rPr>
            <w:rStyle w:val="Hyperlink"/>
          </w:rPr>
          <w:t>AI for Good Innovate for Impact</w:t>
        </w:r>
      </w:hyperlink>
      <w:r w:rsidRPr="00C57224">
        <w:t xml:space="preserve"> programme collects, analyses and shares AI applications for social good. The 218 submissions received from 38 countries are covered by an </w:t>
      </w:r>
      <w:hyperlink r:id="rId173" w:history="1">
        <w:r w:rsidRPr="00C57224">
          <w:rPr>
            <w:rStyle w:val="Hyperlink"/>
          </w:rPr>
          <w:t>interim report</w:t>
        </w:r>
      </w:hyperlink>
      <w:r w:rsidRPr="00C57224">
        <w:t>. Supported by China</w:t>
      </w:r>
      <w:r w:rsidR="007C2FC3" w:rsidRPr="00C57224">
        <w:t>'</w:t>
      </w:r>
      <w:r w:rsidRPr="00C57224">
        <w:t>s Ministry of Industry and Information Technology, ITU promoted participation in the Innovate for Impact programme at a dedicated half-day session at the World Artificial Intelligence Conference in July 2024 in Shanghai, China.</w:t>
      </w:r>
    </w:p>
    <w:p w14:paraId="11D2968B" w14:textId="4960DB73" w:rsidR="006A405B" w:rsidRPr="00C57224" w:rsidRDefault="00AB23B7" w:rsidP="006A405B">
      <w:pPr>
        <w:pStyle w:val="Heading2"/>
      </w:pPr>
      <w:bookmarkStart w:id="76" w:name="_5.2_Artificial_intelligence"/>
      <w:bookmarkStart w:id="77" w:name="_5.2_Digital_financial"/>
      <w:bookmarkStart w:id="78" w:name="_5.3_Digital_financial"/>
      <w:bookmarkStart w:id="79" w:name="_5.3_Digital_transformation"/>
      <w:bookmarkStart w:id="80" w:name="_Toc179219755"/>
      <w:bookmarkStart w:id="81" w:name="_Toc179221065"/>
      <w:bookmarkStart w:id="82" w:name="_Hlk120017847"/>
      <w:bookmarkStart w:id="83" w:name="_Hlk172557372"/>
      <w:bookmarkEnd w:id="60"/>
      <w:bookmarkEnd w:id="70"/>
      <w:bookmarkEnd w:id="76"/>
      <w:bookmarkEnd w:id="77"/>
      <w:bookmarkEnd w:id="78"/>
      <w:bookmarkEnd w:id="79"/>
      <w:r w:rsidRPr="00C57224">
        <w:t>5.3</w:t>
      </w:r>
      <w:r>
        <w:tab/>
      </w:r>
      <w:r w:rsidR="00F138B0" w:rsidRPr="00C57224">
        <w:t>Digital transformation for cities and communities</w:t>
      </w:r>
      <w:bookmarkEnd w:id="80"/>
      <w:bookmarkEnd w:id="81"/>
    </w:p>
    <w:p w14:paraId="6A689161" w14:textId="0052A667" w:rsidR="006A405B" w:rsidRPr="00C57224" w:rsidRDefault="002926B2" w:rsidP="006A405B">
      <w:pPr>
        <w:rPr>
          <w:lang w:eastAsia="en-US"/>
        </w:rPr>
      </w:pPr>
      <w:bookmarkStart w:id="84" w:name="_Hlk172568241"/>
      <w:r w:rsidRPr="00C57224">
        <w:rPr>
          <w:lang w:eastAsia="en-US"/>
        </w:rPr>
        <w:t>The new</w:t>
      </w:r>
      <w:r w:rsidR="00461B8B" w:rsidRPr="00C57224">
        <w:rPr>
          <w:i/>
          <w:iCs/>
          <w:lang w:eastAsia="en-US"/>
        </w:rPr>
        <w:t xml:space="preserve"> </w:t>
      </w:r>
      <w:hyperlink r:id="rId174" w:tgtFrame="_blank" w:history="1">
        <w:r w:rsidR="006A405B" w:rsidRPr="00C57224">
          <w:rPr>
            <w:rStyle w:val="Hyperlink"/>
            <w:lang w:eastAsia="en-US"/>
          </w:rPr>
          <w:t xml:space="preserve">Global Initiative on Virtual Worlds </w:t>
        </w:r>
        <w:r w:rsidR="00F138B0" w:rsidRPr="00C57224">
          <w:rPr>
            <w:rStyle w:val="Hyperlink"/>
            <w:lang w:eastAsia="en-US"/>
          </w:rPr>
          <w:t>-</w:t>
        </w:r>
        <w:r w:rsidR="006A405B" w:rsidRPr="00C57224">
          <w:rPr>
            <w:rStyle w:val="Hyperlink"/>
            <w:lang w:eastAsia="en-US"/>
          </w:rPr>
          <w:t xml:space="preserve"> Discovering the </w:t>
        </w:r>
        <w:proofErr w:type="spellStart"/>
        <w:r w:rsidR="006A405B" w:rsidRPr="00C57224">
          <w:rPr>
            <w:rStyle w:val="Hyperlink"/>
            <w:lang w:eastAsia="en-US"/>
          </w:rPr>
          <w:t>CitiVerse</w:t>
        </w:r>
        <w:proofErr w:type="spellEnd"/>
      </w:hyperlink>
      <w:r w:rsidR="00461B8B" w:rsidRPr="00C57224">
        <w:rPr>
          <w:i/>
          <w:iCs/>
          <w:lang w:eastAsia="en-US"/>
        </w:rPr>
        <w:t xml:space="preserve"> </w:t>
      </w:r>
      <w:r w:rsidRPr="00C57224">
        <w:rPr>
          <w:lang w:eastAsia="en-US"/>
        </w:rPr>
        <w:t xml:space="preserve">announced at the first </w:t>
      </w:r>
      <w:hyperlink r:id="rId175" w:tgtFrame="_blank" w:history="1">
        <w:r w:rsidRPr="00C57224">
          <w:rPr>
            <w:rStyle w:val="Hyperlink"/>
            <w:lang w:eastAsia="en-US"/>
          </w:rPr>
          <w:t>UN Virtual Worlds Day</w:t>
        </w:r>
      </w:hyperlink>
      <w:r w:rsidR="00461B8B" w:rsidRPr="00C57224">
        <w:rPr>
          <w:lang w:eastAsia="en-US"/>
        </w:rPr>
        <w:t xml:space="preserve"> </w:t>
      </w:r>
      <w:r w:rsidRPr="00C57224">
        <w:rPr>
          <w:lang w:eastAsia="en-US"/>
        </w:rPr>
        <w:t xml:space="preserve">in June 2024 </w:t>
      </w:r>
      <w:r w:rsidR="00BC684B" w:rsidRPr="00C57224">
        <w:rPr>
          <w:lang w:eastAsia="en-US"/>
        </w:rPr>
        <w:t xml:space="preserve">– organized by ITU together with 17 fellow UN agencies – </w:t>
      </w:r>
      <w:r w:rsidR="006A405B" w:rsidRPr="00C57224">
        <w:rPr>
          <w:lang w:eastAsia="en-US"/>
        </w:rPr>
        <w:t>will define norms and principles to guide the governance of metaverse solutions in cities for areas such as urban planning, education, and municipal services.</w:t>
      </w:r>
    </w:p>
    <w:p w14:paraId="5C051BDC" w14:textId="5228318E" w:rsidR="006A405B" w:rsidRPr="00C57224" w:rsidRDefault="006A405B" w:rsidP="006A405B">
      <w:pPr>
        <w:rPr>
          <w:lang w:eastAsia="en-US"/>
        </w:rPr>
      </w:pPr>
      <w:r w:rsidRPr="00C57224">
        <w:rPr>
          <w:lang w:eastAsia="en-US"/>
        </w:rPr>
        <w:t>Led by ITU, UNICC and Digital Dubai, the initiative will drive capacity development, facilitate sharing of best practices and develop a sandbox environment for cities to simulate virtual world scenarios.</w:t>
      </w:r>
    </w:p>
    <w:p w14:paraId="26AA8616" w14:textId="1A2EC6B6" w:rsidR="006A405B" w:rsidRPr="00C57224" w:rsidRDefault="006A405B" w:rsidP="006A405B">
      <w:pPr>
        <w:rPr>
          <w:lang w:eastAsia="en-US"/>
        </w:rPr>
      </w:pPr>
      <w:r w:rsidRPr="00C57224">
        <w:rPr>
          <w:lang w:eastAsia="en-US"/>
        </w:rPr>
        <w:t>The</w:t>
      </w:r>
      <w:r w:rsidR="002926B2" w:rsidRPr="00C57224">
        <w:rPr>
          <w:lang w:eastAsia="en-US"/>
        </w:rPr>
        <w:t xml:space="preserve"> </w:t>
      </w:r>
      <w:r w:rsidRPr="00C57224">
        <w:rPr>
          <w:lang w:eastAsia="en-US"/>
        </w:rPr>
        <w:t xml:space="preserve">initiative </w:t>
      </w:r>
      <w:r w:rsidR="002926B2" w:rsidRPr="00C57224">
        <w:rPr>
          <w:lang w:eastAsia="en-US"/>
        </w:rPr>
        <w:t xml:space="preserve">will </w:t>
      </w:r>
      <w:r w:rsidRPr="00C57224">
        <w:rPr>
          <w:lang w:eastAsia="en-US"/>
        </w:rPr>
        <w:t>build on the work of</w:t>
      </w:r>
      <w:r w:rsidR="002926B2" w:rsidRPr="00C57224">
        <w:rPr>
          <w:lang w:eastAsia="en-US"/>
        </w:rPr>
        <w:t xml:space="preserve"> the</w:t>
      </w:r>
      <w:r w:rsidR="00461B8B" w:rsidRPr="00C57224">
        <w:rPr>
          <w:lang w:eastAsia="en-US"/>
        </w:rPr>
        <w:t xml:space="preserve"> </w:t>
      </w:r>
      <w:hyperlink r:id="rId176" w:history="1">
        <w:r w:rsidRPr="00C57224">
          <w:rPr>
            <w:rStyle w:val="Hyperlink"/>
            <w:lang w:eastAsia="en-US"/>
          </w:rPr>
          <w:t>ITU Focus Group on metaverse</w:t>
        </w:r>
      </w:hyperlink>
      <w:r w:rsidRPr="00C57224">
        <w:rPr>
          <w:lang w:eastAsia="en-US"/>
        </w:rPr>
        <w:t xml:space="preserve"> </w:t>
      </w:r>
      <w:r w:rsidR="002926B2" w:rsidRPr="00C57224">
        <w:rPr>
          <w:lang w:eastAsia="en-US"/>
        </w:rPr>
        <w:t xml:space="preserve">and </w:t>
      </w:r>
      <w:r w:rsidRPr="00C57224">
        <w:rPr>
          <w:lang w:eastAsia="en-US"/>
        </w:rPr>
        <w:t xml:space="preserve">complement the work of </w:t>
      </w:r>
      <w:hyperlink r:id="rId177" w:history="1">
        <w:r w:rsidRPr="00C57224">
          <w:rPr>
            <w:rStyle w:val="Hyperlink"/>
            <w:lang w:eastAsia="en-US"/>
          </w:rPr>
          <w:t>ITU-T S</w:t>
        </w:r>
        <w:r w:rsidR="00971527" w:rsidRPr="00C57224">
          <w:rPr>
            <w:rStyle w:val="Hyperlink"/>
            <w:lang w:eastAsia="en-US"/>
          </w:rPr>
          <w:t>G</w:t>
        </w:r>
        <w:r w:rsidRPr="00C57224">
          <w:rPr>
            <w:rStyle w:val="Hyperlink"/>
            <w:lang w:eastAsia="en-US"/>
          </w:rPr>
          <w:t>20</w:t>
        </w:r>
      </w:hyperlink>
      <w:r w:rsidR="002926B2" w:rsidRPr="00C57224">
        <w:rPr>
          <w:lang w:eastAsia="en-US"/>
        </w:rPr>
        <w:t xml:space="preserve"> and the </w:t>
      </w:r>
      <w:hyperlink r:id="rId178" w:history="1">
        <w:r w:rsidRPr="00C57224">
          <w:rPr>
            <w:rStyle w:val="Hyperlink"/>
            <w:lang w:eastAsia="en-US"/>
          </w:rPr>
          <w:t>United for Smart Sustainable Cities</w:t>
        </w:r>
        <w:r w:rsidR="002926B2" w:rsidRPr="00C57224">
          <w:rPr>
            <w:rStyle w:val="Hyperlink"/>
            <w:lang w:eastAsia="en-US"/>
          </w:rPr>
          <w:t xml:space="preserve"> </w:t>
        </w:r>
        <w:r w:rsidR="007558C2" w:rsidRPr="00C57224">
          <w:rPr>
            <w:rStyle w:val="Hyperlink"/>
            <w:lang w:eastAsia="en-US"/>
          </w:rPr>
          <w:t xml:space="preserve">(U4SSC) </w:t>
        </w:r>
        <w:r w:rsidR="002926B2" w:rsidRPr="00C57224">
          <w:rPr>
            <w:rStyle w:val="Hyperlink"/>
            <w:lang w:eastAsia="en-US"/>
          </w:rPr>
          <w:t>initiative</w:t>
        </w:r>
      </w:hyperlink>
      <w:r w:rsidRPr="00C57224">
        <w:rPr>
          <w:lang w:eastAsia="en-US"/>
        </w:rPr>
        <w:t>.</w:t>
      </w:r>
    </w:p>
    <w:bookmarkEnd w:id="84"/>
    <w:p w14:paraId="3F5F18AD" w14:textId="797E7179" w:rsidR="006A405B" w:rsidRPr="00C57224" w:rsidRDefault="006A405B" w:rsidP="006A405B">
      <w:pPr>
        <w:rPr>
          <w:lang w:eastAsia="en-US"/>
        </w:rPr>
      </w:pPr>
      <w:r w:rsidRPr="00C57224">
        <w:rPr>
          <w:lang w:eastAsia="en-US"/>
        </w:rPr>
        <w:t>The initiative rests on three pillars:</w:t>
      </w:r>
    </w:p>
    <w:p w14:paraId="502D32B6" w14:textId="3B0A078E" w:rsidR="002926B2" w:rsidRPr="00C57224" w:rsidRDefault="002926B2" w:rsidP="002926B2">
      <w:pPr>
        <w:numPr>
          <w:ilvl w:val="0"/>
          <w:numId w:val="32"/>
        </w:numPr>
        <w:rPr>
          <w:lang w:eastAsia="en-US"/>
        </w:rPr>
      </w:pPr>
      <w:r w:rsidRPr="00C57224">
        <w:rPr>
          <w:lang w:eastAsia="en-US"/>
        </w:rPr>
        <w:t xml:space="preserve">Bringing the </w:t>
      </w:r>
      <w:proofErr w:type="spellStart"/>
      <w:r w:rsidRPr="00C57224">
        <w:rPr>
          <w:lang w:eastAsia="en-US"/>
        </w:rPr>
        <w:t>CitiVerse</w:t>
      </w:r>
      <w:proofErr w:type="spellEnd"/>
      <w:r w:rsidRPr="00C57224">
        <w:rPr>
          <w:lang w:eastAsia="en-US"/>
        </w:rPr>
        <w:t xml:space="preserve"> to Life: Developing expert guidance, raising awareness around </w:t>
      </w:r>
      <w:proofErr w:type="spellStart"/>
      <w:r w:rsidRPr="00C57224">
        <w:rPr>
          <w:lang w:eastAsia="en-US"/>
        </w:rPr>
        <w:t>CitiVerse</w:t>
      </w:r>
      <w:proofErr w:type="spellEnd"/>
      <w:r w:rsidRPr="00C57224">
        <w:rPr>
          <w:lang w:eastAsia="en-US"/>
        </w:rPr>
        <w:t xml:space="preserve"> opportunities and challenges, and developing and adopting key performance indicators.</w:t>
      </w:r>
    </w:p>
    <w:p w14:paraId="78A71BE5" w14:textId="6A2CB99B" w:rsidR="002926B2" w:rsidRPr="00C57224" w:rsidRDefault="002926B2" w:rsidP="002926B2">
      <w:pPr>
        <w:numPr>
          <w:ilvl w:val="0"/>
          <w:numId w:val="32"/>
        </w:numPr>
        <w:rPr>
          <w:lang w:eastAsia="en-US"/>
        </w:rPr>
      </w:pPr>
      <w:r w:rsidRPr="00C57224">
        <w:rPr>
          <w:lang w:eastAsia="en-US"/>
        </w:rPr>
        <w:t xml:space="preserve">Connecting Cities with the Virtual and Real Worlds: Advancing cities' integration of emerging technologies, curating </w:t>
      </w:r>
      <w:proofErr w:type="spellStart"/>
      <w:r w:rsidRPr="00C57224">
        <w:rPr>
          <w:lang w:eastAsia="en-US"/>
        </w:rPr>
        <w:t>CitiVerse</w:t>
      </w:r>
      <w:proofErr w:type="spellEnd"/>
      <w:r w:rsidRPr="00C57224">
        <w:rPr>
          <w:lang w:eastAsia="en-US"/>
        </w:rPr>
        <w:t xml:space="preserve"> use cases, and developing a sandbox environment and related technical tools.</w:t>
      </w:r>
    </w:p>
    <w:p w14:paraId="6034444D" w14:textId="4FCDF789" w:rsidR="002926B2" w:rsidRPr="00C57224" w:rsidRDefault="00246621" w:rsidP="006A405B">
      <w:pPr>
        <w:numPr>
          <w:ilvl w:val="0"/>
          <w:numId w:val="32"/>
        </w:numPr>
        <w:rPr>
          <w:lang w:eastAsia="en-US"/>
        </w:rPr>
      </w:pPr>
      <w:r w:rsidRPr="00C57224">
        <w:rPr>
          <w:lang w:eastAsia="en-US"/>
        </w:rPr>
        <w:t>Tunnelling</w:t>
      </w:r>
      <w:r w:rsidR="002926B2" w:rsidRPr="00C57224">
        <w:rPr>
          <w:lang w:eastAsia="en-US"/>
        </w:rPr>
        <w:t xml:space="preserve"> the </w:t>
      </w:r>
      <w:proofErr w:type="spellStart"/>
      <w:r w:rsidR="002926B2" w:rsidRPr="00C57224">
        <w:rPr>
          <w:lang w:eastAsia="en-US"/>
        </w:rPr>
        <w:t>CitiVerse</w:t>
      </w:r>
      <w:proofErr w:type="spellEnd"/>
      <w:r w:rsidR="002926B2" w:rsidRPr="00C57224">
        <w:rPr>
          <w:lang w:eastAsia="en-US"/>
        </w:rPr>
        <w:t xml:space="preserve">: Fostering a community of practice to encourage collaboration among cities, organizing urban problem-solving competitions, and implementing training programmes to boost </w:t>
      </w:r>
      <w:proofErr w:type="spellStart"/>
      <w:r w:rsidR="002926B2" w:rsidRPr="00C57224">
        <w:rPr>
          <w:lang w:eastAsia="en-US"/>
        </w:rPr>
        <w:t>CitiVerse</w:t>
      </w:r>
      <w:proofErr w:type="spellEnd"/>
      <w:r w:rsidR="002926B2" w:rsidRPr="00C57224">
        <w:rPr>
          <w:lang w:eastAsia="en-US"/>
        </w:rPr>
        <w:t xml:space="preserve"> expertise.</w:t>
      </w:r>
    </w:p>
    <w:p w14:paraId="22C08C40" w14:textId="20C8CC30" w:rsidR="00A26387" w:rsidRPr="00C57224" w:rsidRDefault="002926B2" w:rsidP="006A405B">
      <w:pPr>
        <w:rPr>
          <w:lang w:eastAsia="en-US"/>
        </w:rPr>
      </w:pPr>
      <w:bookmarkStart w:id="85" w:name="_Hlk172568288"/>
      <w:r w:rsidRPr="00C57224">
        <w:rPr>
          <w:lang w:eastAsia="en-US"/>
        </w:rPr>
        <w:t>A</w:t>
      </w:r>
      <w:r w:rsidR="006A405B" w:rsidRPr="00C57224">
        <w:rPr>
          <w:lang w:eastAsia="en-US"/>
        </w:rPr>
        <w:t xml:space="preserve"> new</w:t>
      </w:r>
      <w:r w:rsidR="00461B8B" w:rsidRPr="00C57224">
        <w:rPr>
          <w:lang w:eastAsia="en-US"/>
        </w:rPr>
        <w:t xml:space="preserve"> </w:t>
      </w:r>
      <w:hyperlink r:id="rId179" w:anchor="p=1" w:tgtFrame="_blank" w:history="1">
        <w:r w:rsidR="006A405B" w:rsidRPr="00C57224">
          <w:rPr>
            <w:rStyle w:val="Hyperlink"/>
            <w:lang w:eastAsia="en-US"/>
          </w:rPr>
          <w:t>UN Executive Briefing</w:t>
        </w:r>
      </w:hyperlink>
      <w:r w:rsidR="00461B8B" w:rsidRPr="00C57224">
        <w:rPr>
          <w:lang w:eastAsia="en-US"/>
        </w:rPr>
        <w:t xml:space="preserve"> </w:t>
      </w:r>
      <w:r w:rsidRPr="00C57224">
        <w:rPr>
          <w:lang w:eastAsia="en-US"/>
        </w:rPr>
        <w:t>launched at UN Virtual Worlds Day</w:t>
      </w:r>
      <w:r w:rsidR="00971527" w:rsidRPr="00C57224">
        <w:rPr>
          <w:lang w:eastAsia="en-US"/>
        </w:rPr>
        <w:t xml:space="preserve">, </w:t>
      </w:r>
      <w:r w:rsidR="006A405B" w:rsidRPr="00C57224">
        <w:rPr>
          <w:lang w:eastAsia="en-US"/>
        </w:rPr>
        <w:t>developed by ITU</w:t>
      </w:r>
      <w:r w:rsidRPr="00C57224">
        <w:rPr>
          <w:lang w:eastAsia="en-US"/>
        </w:rPr>
        <w:t xml:space="preserve"> </w:t>
      </w:r>
      <w:r w:rsidR="006A405B" w:rsidRPr="00C57224">
        <w:rPr>
          <w:lang w:eastAsia="en-US"/>
        </w:rPr>
        <w:t xml:space="preserve">together with 17 UN partners, </w:t>
      </w:r>
      <w:r w:rsidR="00971527" w:rsidRPr="00C57224">
        <w:rPr>
          <w:lang w:eastAsia="en-US"/>
        </w:rPr>
        <w:t>highlights</w:t>
      </w:r>
      <w:r w:rsidR="006A405B" w:rsidRPr="00C57224">
        <w:rPr>
          <w:lang w:eastAsia="en-US"/>
        </w:rPr>
        <w:t xml:space="preserve"> the relevance of virtual worlds and the metaverse to the SDGs.</w:t>
      </w:r>
      <w:r w:rsidR="007558C2" w:rsidRPr="00C57224">
        <w:rPr>
          <w:lang w:eastAsia="en-US"/>
        </w:rPr>
        <w:t xml:space="preserve"> UN Virtual Worlds Day also included an award ceremony for the winners of the UN Metaverse Think-a-Thon competition coordinated by ITU, UNICC, FAO and IAEA. For highlights of UN Virtual Worlds Day, see </w:t>
      </w:r>
      <w:hyperlink r:id="rId180" w:history="1">
        <w:r w:rsidR="007558C2" w:rsidRPr="00C57224">
          <w:rPr>
            <w:rStyle w:val="Hyperlink"/>
            <w:lang w:eastAsia="en-US"/>
          </w:rPr>
          <w:t>highlights report</w:t>
        </w:r>
      </w:hyperlink>
      <w:r w:rsidR="007558C2" w:rsidRPr="00C57224">
        <w:rPr>
          <w:lang w:eastAsia="en-US"/>
        </w:rPr>
        <w:t>.</w:t>
      </w:r>
    </w:p>
    <w:p w14:paraId="4CE081F8" w14:textId="1A6B2A4C" w:rsidR="00A26387" w:rsidRPr="00C57224" w:rsidRDefault="00327645" w:rsidP="0064404C">
      <w:hyperlink r:id="rId181" w:history="1">
        <w:r w:rsidR="0064404C" w:rsidRPr="00C57224">
          <w:rPr>
            <w:rStyle w:val="Hyperlink"/>
          </w:rPr>
          <w:t>ITU Digital Transformation Dialogues</w:t>
        </w:r>
      </w:hyperlink>
      <w:r w:rsidR="0064404C" w:rsidRPr="00C57224">
        <w:t xml:space="preserve"> feature fireside chats, ask the expert sessions and webinars on wide-ranging dimensions of digital transformation and supporting ITU standard</w:t>
      </w:r>
      <w:r w:rsidR="0072575A" w:rsidRPr="00C57224">
        <w:t>s</w:t>
      </w:r>
      <w:r w:rsidR="0064404C" w:rsidRPr="00C57224">
        <w:t>.</w:t>
      </w:r>
    </w:p>
    <w:bookmarkEnd w:id="85"/>
    <w:p w14:paraId="011A0DCD" w14:textId="33DE748B" w:rsidR="00A26387" w:rsidRPr="00C57224" w:rsidRDefault="0064404C" w:rsidP="00C07D6A">
      <w:r w:rsidRPr="00C57224">
        <w:t xml:space="preserve">The </w:t>
      </w:r>
      <w:hyperlink r:id="rId182">
        <w:r w:rsidRPr="00C57224">
          <w:rPr>
            <w:rStyle w:val="Hyperlink"/>
            <w:rFonts w:eastAsiaTheme="majorEastAsia"/>
          </w:rPr>
          <w:t>U4SSC</w:t>
        </w:r>
        <w:r w:rsidR="007558C2" w:rsidRPr="00C57224">
          <w:rPr>
            <w:rStyle w:val="Hyperlink"/>
            <w:rFonts w:eastAsiaTheme="majorEastAsia"/>
          </w:rPr>
          <w:t xml:space="preserve"> initiative</w:t>
        </w:r>
      </w:hyperlink>
      <w:r w:rsidRPr="00C57224">
        <w:t xml:space="preserve"> is supported by 19 UN bodies with the aim of achieving the SDG11 ("Make cities and human settlements inclusive, safe, resilient and sustainable").</w:t>
      </w:r>
      <w:r w:rsidR="0072575A" w:rsidRPr="00C57224">
        <w:t xml:space="preserve"> </w:t>
      </w:r>
      <w:r w:rsidRPr="00C57224">
        <w:t xml:space="preserve">Over </w:t>
      </w:r>
      <w:r w:rsidR="0014696D" w:rsidRPr="00C57224">
        <w:t>20</w:t>
      </w:r>
      <w:r w:rsidRPr="00C57224">
        <w:t xml:space="preserve">0 cities worldwide are evaluating their progress towards smart city objectives and the SDGs using </w:t>
      </w:r>
      <w:hyperlink r:id="rId183" w:history="1">
        <w:r w:rsidRPr="00C57224">
          <w:rPr>
            <w:rStyle w:val="Hyperlink"/>
          </w:rPr>
          <w:t>U4SSC Key Performance Indicators for Smart Sustainable Cities</w:t>
        </w:r>
      </w:hyperlink>
      <w:r w:rsidRPr="00C57224">
        <w:t xml:space="preserve"> based on ITU standards. The results of the KPI evaluations are shared by </w:t>
      </w:r>
      <w:hyperlink r:id="rId184" w:history="1">
        <w:r w:rsidRPr="00C57224">
          <w:rPr>
            <w:rStyle w:val="Hyperlink"/>
          </w:rPr>
          <w:t>city snapshots, factsheets, verification reports and case studies</w:t>
        </w:r>
      </w:hyperlink>
      <w:r w:rsidRPr="00C57224">
        <w:t xml:space="preserve">. </w:t>
      </w:r>
      <w:r w:rsidR="00647E5F" w:rsidRPr="00C57224">
        <w:t xml:space="preserve">In addition, </w:t>
      </w:r>
      <w:hyperlink r:id="rId185" w:history="1">
        <w:r w:rsidR="00647E5F" w:rsidRPr="00C57224">
          <w:rPr>
            <w:rStyle w:val="Hyperlink"/>
          </w:rPr>
          <w:t>U4SSC Country Hubs</w:t>
        </w:r>
      </w:hyperlink>
      <w:r w:rsidR="00647E5F" w:rsidRPr="00C57224">
        <w:t xml:space="preserve"> have been established in Austria and Ghana.</w:t>
      </w:r>
    </w:p>
    <w:p w14:paraId="6C3AF1D0" w14:textId="2819CEAA" w:rsidR="0064404C" w:rsidRPr="00C57224" w:rsidRDefault="0064404C" w:rsidP="0064404C">
      <w:r w:rsidRPr="00C57224">
        <w:t xml:space="preserve">U4SSC is working across </w:t>
      </w:r>
      <w:r w:rsidR="0070173D" w:rsidRPr="00C57224">
        <w:t>five</w:t>
      </w:r>
      <w:r w:rsidRPr="00C57224">
        <w:t xml:space="preserve"> thematic groups:</w:t>
      </w:r>
    </w:p>
    <w:p w14:paraId="4BAC81EC" w14:textId="77777777" w:rsidR="00A26387" w:rsidRPr="00C57224" w:rsidRDefault="0064404C"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City platforms</w:t>
      </w:r>
    </w:p>
    <w:p w14:paraId="52C10BEC" w14:textId="79B263D3" w:rsidR="0064404C" w:rsidRPr="00C57224" w:rsidRDefault="0064404C"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Building urban economic resilience at the city level</w:t>
      </w:r>
    </w:p>
    <w:p w14:paraId="29924B8B" w14:textId="77777777" w:rsidR="00A26387" w:rsidRPr="00C57224" w:rsidRDefault="0064404C"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AI in cities</w:t>
      </w:r>
    </w:p>
    <w:p w14:paraId="43501201" w14:textId="77777777" w:rsidR="00A26387" w:rsidRPr="00C57224" w:rsidRDefault="0064404C"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Enabling people-centred cities through digital transformation</w:t>
      </w:r>
    </w:p>
    <w:p w14:paraId="7EED1ECF" w14:textId="2B2EF3EA" w:rsidR="0064404C" w:rsidRPr="00C57224" w:rsidRDefault="0064404C"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Digital wellbeing</w:t>
      </w:r>
    </w:p>
    <w:bookmarkStart w:id="86" w:name="_Hlk172568311"/>
    <w:p w14:paraId="5775C409" w14:textId="75ADF379" w:rsidR="00A26387" w:rsidRPr="00C57224" w:rsidRDefault="0064404C" w:rsidP="0064404C">
      <w:r w:rsidRPr="00C57224">
        <w:fldChar w:fldCharType="begin"/>
      </w:r>
      <w:r w:rsidRPr="00C57224">
        <w:instrText>HYPERLINK "https://www.itu.int/cities/publications/"</w:instrText>
      </w:r>
      <w:r w:rsidRPr="00C57224">
        <w:fldChar w:fldCharType="separate"/>
      </w:r>
      <w:r w:rsidRPr="00C57224">
        <w:rPr>
          <w:rStyle w:val="Hyperlink"/>
        </w:rPr>
        <w:t>New reports</w:t>
      </w:r>
      <w:r w:rsidRPr="00C57224">
        <w:fldChar w:fldCharType="end"/>
      </w:r>
      <w:r w:rsidRPr="00C57224">
        <w:t xml:space="preserve"> published in </w:t>
      </w:r>
      <w:r w:rsidR="0070173D" w:rsidRPr="00C57224">
        <w:t>the study period</w:t>
      </w:r>
      <w:r w:rsidRPr="00C57224">
        <w:t>:</w:t>
      </w:r>
    </w:p>
    <w:p w14:paraId="24464B76" w14:textId="15D996AA"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Policy benchmarks for digital transformation of people-centred cities</w:t>
      </w:r>
    </w:p>
    <w:p w14:paraId="16C0B5D3" w14:textId="77777777" w:rsidR="00A2638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Data and API requirements for centralized smart city platforms</w:t>
      </w:r>
    </w:p>
    <w:p w14:paraId="7C83479F" w14:textId="2F6026E4"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UN executive briefing on unlocking the potential of virtual worlds and the metaverse for the Sustainable Development Goals</w:t>
      </w:r>
    </w:p>
    <w:p w14:paraId="6B47BA50" w14:textId="77777777"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Guiding principles for artificial intelligence in cities</w:t>
      </w:r>
    </w:p>
    <w:p w14:paraId="037F343E" w14:textId="77777777" w:rsidR="00A2638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Guide for smart and sustainable city leaders</w:t>
      </w:r>
    </w:p>
    <w:p w14:paraId="2626E250" w14:textId="1DB352E1"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Enabling digital transformation in smart sustainable cities - Master plan</w:t>
      </w:r>
    </w:p>
    <w:p w14:paraId="3DCCF1CE" w14:textId="77777777" w:rsidR="00A2638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Reference framework for integrated management of a smart sustainable city</w:t>
      </w:r>
    </w:p>
    <w:p w14:paraId="1C37A4B0" w14:textId="0EB12B0B"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Executive briefing on the metaverse</w:t>
      </w:r>
    </w:p>
    <w:p w14:paraId="04C2EB2C" w14:textId="0EC3DDDD"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Building a people-centred digital future for cities and communities</w:t>
      </w:r>
    </w:p>
    <w:p w14:paraId="2BF237DB" w14:textId="77777777"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Procurement guidelines for smart sustainable cities</w:t>
      </w:r>
    </w:p>
    <w:p w14:paraId="6B88D8A4" w14:textId="77777777" w:rsidR="00C556C7" w:rsidRPr="00C57224" w:rsidRDefault="00C556C7" w:rsidP="0064404C">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The role of digital technologies in aging and health</w:t>
      </w:r>
    </w:p>
    <w:p w14:paraId="6258F8A4" w14:textId="77777777" w:rsidR="00A26387" w:rsidRPr="00C57224" w:rsidRDefault="00C556C7" w:rsidP="004864D7">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Compendium of practices on innovative financing for smart sustainable cities projects</w:t>
      </w:r>
    </w:p>
    <w:p w14:paraId="06251EB7" w14:textId="7F7FBBEA" w:rsidR="004864D7" w:rsidRPr="00C57224" w:rsidRDefault="004864D7" w:rsidP="004864D7">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Smart tourism: A path to more secure and resilient destinations</w:t>
      </w:r>
    </w:p>
    <w:p w14:paraId="29BD4FA9" w14:textId="211D5232" w:rsidR="0070173D" w:rsidRPr="00C57224" w:rsidRDefault="004864D7" w:rsidP="004864D7">
      <w:pPr>
        <w:pStyle w:val="ListParagraph"/>
        <w:numPr>
          <w:ilvl w:val="0"/>
          <w:numId w:val="14"/>
        </w:numPr>
        <w:spacing w:before="120"/>
        <w:ind w:left="714" w:hanging="357"/>
        <w:contextualSpacing w:val="0"/>
        <w:rPr>
          <w:rFonts w:ascii="Times New Roman" w:hAnsi="Times New Roman"/>
          <w:sz w:val="24"/>
        </w:rPr>
      </w:pPr>
      <w:r w:rsidRPr="00C57224">
        <w:rPr>
          <w:rFonts w:ascii="Times New Roman" w:hAnsi="Times New Roman"/>
          <w:sz w:val="24"/>
        </w:rPr>
        <w:t>Redefining smart city platforms: Setting the stage for Minimal Interoperability Mechanisms</w:t>
      </w:r>
    </w:p>
    <w:bookmarkEnd w:id="86"/>
    <w:p w14:paraId="54F6DCFF" w14:textId="33D096FD" w:rsidR="00A26387" w:rsidRPr="00C57224" w:rsidRDefault="0064404C" w:rsidP="0064404C">
      <w:pPr>
        <w:rPr>
          <w:rFonts w:eastAsia="SimSun" w:cstheme="minorHAnsi"/>
        </w:rPr>
      </w:pPr>
      <w:r w:rsidRPr="00C57224">
        <w:t xml:space="preserve">The </w:t>
      </w:r>
      <w:hyperlink r:id="rId186" w:history="1">
        <w:r w:rsidRPr="00C57224">
          <w:rPr>
            <w:rStyle w:val="Hyperlink"/>
          </w:rPr>
          <w:t xml:space="preserve">ITU toolkit on </w:t>
        </w:r>
        <w:r w:rsidRPr="00C57224">
          <w:rPr>
            <w:rStyle w:val="Hyperlink"/>
            <w:rFonts w:eastAsia="SimSun" w:cstheme="minorHAnsi"/>
          </w:rPr>
          <w:t>digital transformation for people-oriented cities and communities</w:t>
        </w:r>
      </w:hyperlink>
      <w:r w:rsidRPr="00C57224">
        <w:t xml:space="preserve"> is a comprehensive online guide designed to help cities and communities leverage digital technologies for sustainable development, </w:t>
      </w:r>
      <w:r w:rsidRPr="00C57224">
        <w:rPr>
          <w:rFonts w:eastAsia="SimSun" w:cstheme="minorHAnsi"/>
        </w:rPr>
        <w:t>covering areas such as digital infrastructure, data management and digital services. It provides practical strategies and tools for the digital age, focusing on improving quality of quality of life, promoting inclusivity and enhancing service delivery.</w:t>
      </w:r>
    </w:p>
    <w:p w14:paraId="7D10FE04" w14:textId="190E0298" w:rsidR="00A26387" w:rsidRPr="00C57224" w:rsidRDefault="0064404C" w:rsidP="0064404C">
      <w:pPr>
        <w:rPr>
          <w:rFonts w:eastAsia="SimSun" w:cstheme="minorHAnsi"/>
        </w:rPr>
      </w:pPr>
      <w:r w:rsidRPr="00C57224">
        <w:rPr>
          <w:rFonts w:eastAsia="SimSun" w:cstheme="minorHAnsi"/>
        </w:rPr>
        <w:t xml:space="preserve">The </w:t>
      </w:r>
      <w:hyperlink r:id="rId187" w:history="1">
        <w:r w:rsidRPr="00C57224">
          <w:rPr>
            <w:rStyle w:val="Hyperlink"/>
            <w:rFonts w:eastAsia="SimSun" w:cstheme="minorHAnsi"/>
          </w:rPr>
          <w:t>ITU digital transformation resource hub</w:t>
        </w:r>
      </w:hyperlink>
      <w:r w:rsidRPr="00C57224">
        <w:rPr>
          <w:rFonts w:eastAsia="SimSun" w:cstheme="minorHAnsi"/>
        </w:rPr>
        <w:t xml:space="preserve"> collects the latest reports, studies and guidelines from ITU and across the web.</w:t>
      </w:r>
    </w:p>
    <w:p w14:paraId="780C690A" w14:textId="3E91ABF7" w:rsidR="00A26387" w:rsidRPr="00C57224" w:rsidRDefault="006A5629" w:rsidP="006A5629">
      <w:pPr>
        <w:rPr>
          <w:lang w:eastAsia="en-US"/>
        </w:rPr>
      </w:pPr>
      <w:r w:rsidRPr="00C57224">
        <w:rPr>
          <w:lang w:eastAsia="en-US"/>
        </w:rPr>
        <w:t xml:space="preserve">The </w:t>
      </w:r>
      <w:hyperlink r:id="rId188" w:history="1">
        <w:r w:rsidRPr="00C57224">
          <w:rPr>
            <w:rStyle w:val="Hyperlink"/>
            <w:lang w:eastAsia="en-US"/>
          </w:rPr>
          <w:t>ITU Digital Transformation and Cities Digest</w:t>
        </w:r>
      </w:hyperlink>
      <w:r w:rsidRPr="00C57224">
        <w:rPr>
          <w:lang w:eastAsia="en-US"/>
        </w:rPr>
        <w:t xml:space="preserve"> provides the latest updates on digital transformation, smart sustainable cities, and the metaverse. It also features information on upcoming events and new publications.</w:t>
      </w:r>
    </w:p>
    <w:p w14:paraId="43B18220" w14:textId="203F8628" w:rsidR="00A26387" w:rsidRPr="00C57224" w:rsidRDefault="00647E5F" w:rsidP="006A5629">
      <w:pPr>
        <w:rPr>
          <w:lang w:eastAsia="en-US"/>
        </w:rPr>
      </w:pPr>
      <w:r w:rsidRPr="00C57224">
        <w:rPr>
          <w:lang w:eastAsia="en-US"/>
        </w:rPr>
        <w:lastRenderedPageBreak/>
        <w:t xml:space="preserve">For all events on digital transformation for cities and communities, see relevant </w:t>
      </w:r>
      <w:hyperlink r:id="rId189" w:history="1">
        <w:r w:rsidRPr="00C57224">
          <w:rPr>
            <w:rStyle w:val="Hyperlink"/>
            <w:lang w:eastAsia="en-US"/>
          </w:rPr>
          <w:t>web page</w:t>
        </w:r>
      </w:hyperlink>
      <w:r w:rsidRPr="00C57224">
        <w:rPr>
          <w:lang w:eastAsia="en-US"/>
        </w:rPr>
        <w:t>.</w:t>
      </w:r>
    </w:p>
    <w:p w14:paraId="159E523D" w14:textId="493B2946" w:rsidR="00647E5F" w:rsidRPr="00C57224" w:rsidRDefault="00AB23B7" w:rsidP="00647E5F">
      <w:pPr>
        <w:pStyle w:val="Heading2"/>
      </w:pPr>
      <w:bookmarkStart w:id="87" w:name="_5.4_Digital_financial"/>
      <w:bookmarkStart w:id="88" w:name="_Toc179219756"/>
      <w:bookmarkStart w:id="89" w:name="_Toc179221066"/>
      <w:bookmarkEnd w:id="87"/>
      <w:r w:rsidRPr="00C57224">
        <w:t>5.4</w:t>
      </w:r>
      <w:r>
        <w:tab/>
      </w:r>
      <w:r w:rsidR="00647E5F" w:rsidRPr="00C57224">
        <w:t>Digital financial inclusion and fintech</w:t>
      </w:r>
      <w:bookmarkEnd w:id="88"/>
      <w:bookmarkEnd w:id="89"/>
    </w:p>
    <w:p w14:paraId="1528BA33" w14:textId="641999FB" w:rsidR="00A26387" w:rsidRPr="00C57224" w:rsidRDefault="00647E5F" w:rsidP="00647E5F">
      <w:pPr>
        <w:rPr>
          <w:lang w:eastAsia="en-US"/>
        </w:rPr>
      </w:pPr>
      <w:r w:rsidRPr="00C57224">
        <w:rPr>
          <w:lang w:eastAsia="en-US"/>
        </w:rPr>
        <w:t xml:space="preserve">For an overview of all TSB/ITU-T activities on digital financial inclusion and fintech, see dedicated </w:t>
      </w:r>
      <w:hyperlink r:id="rId190" w:history="1">
        <w:r w:rsidRPr="00C57224">
          <w:rPr>
            <w:rStyle w:val="Hyperlink"/>
            <w:lang w:eastAsia="en-US"/>
          </w:rPr>
          <w:t>web page</w:t>
        </w:r>
      </w:hyperlink>
      <w:r w:rsidRPr="00C57224">
        <w:rPr>
          <w:lang w:eastAsia="en-US"/>
        </w:rPr>
        <w:t xml:space="preserve"> and relevant report to WTSA-24 (</w:t>
      </w:r>
      <w:hyperlink r:id="rId191" w:history="1">
        <w:r w:rsidRPr="00C57224">
          <w:rPr>
            <w:rStyle w:val="Hyperlink"/>
            <w:lang w:eastAsia="en-US"/>
          </w:rPr>
          <w:t>Information Document 5</w:t>
        </w:r>
      </w:hyperlink>
      <w:r w:rsidRPr="00C57224">
        <w:rPr>
          <w:lang w:eastAsia="en-US"/>
        </w:rPr>
        <w:t>).</w:t>
      </w:r>
    </w:p>
    <w:p w14:paraId="58933701" w14:textId="3C485530" w:rsidR="00A26387" w:rsidRPr="00C57224" w:rsidRDefault="00647E5F" w:rsidP="00647E5F">
      <w:pPr>
        <w:rPr>
          <w:lang w:eastAsia="en-US"/>
        </w:rPr>
      </w:pPr>
      <w:r w:rsidRPr="00C57224">
        <w:rPr>
          <w:b/>
          <w:bCs/>
          <w:lang w:eastAsia="en-US"/>
        </w:rPr>
        <w:t xml:space="preserve">Status of digital financial services (DFS) security recommendations' adoption: </w:t>
      </w:r>
      <w:r w:rsidRPr="00C57224">
        <w:rPr>
          <w:lang w:eastAsia="en-US"/>
        </w:rPr>
        <w:t xml:space="preserve">Through the activities of the </w:t>
      </w:r>
      <w:hyperlink r:id="rId192" w:history="1">
        <w:r w:rsidRPr="00C57224">
          <w:rPr>
            <w:rStyle w:val="Hyperlink"/>
            <w:lang w:eastAsia="en-US"/>
          </w:rPr>
          <w:t>ITU DFS Security Lab</w:t>
        </w:r>
      </w:hyperlink>
      <w:r w:rsidRPr="00C57224">
        <w:rPr>
          <w:lang w:eastAsia="en-US"/>
        </w:rPr>
        <w:t>,</w:t>
      </w:r>
      <w:r w:rsidRPr="00C57224">
        <w:rPr>
          <w:b/>
          <w:bCs/>
          <w:lang w:eastAsia="en-US"/>
        </w:rPr>
        <w:t xml:space="preserve"> </w:t>
      </w:r>
      <w:r w:rsidRPr="00C57224">
        <w:rPr>
          <w:lang w:eastAsia="en-US"/>
        </w:rPr>
        <w:t xml:space="preserve">TSB engages with telecom regulators of emerging economies and regional telecom regulatory bodies to present the </w:t>
      </w:r>
      <w:hyperlink r:id="rId193" w:history="1">
        <w:r w:rsidRPr="00C57224">
          <w:rPr>
            <w:rStyle w:val="Hyperlink"/>
            <w:lang w:eastAsia="en-US"/>
          </w:rPr>
          <w:t>DFS security recommendations</w:t>
        </w:r>
      </w:hyperlink>
      <w:r w:rsidRPr="00C57224">
        <w:rPr>
          <w:lang w:eastAsia="en-US"/>
        </w:rPr>
        <w:t xml:space="preserve"> developed under the </w:t>
      </w:r>
      <w:hyperlink r:id="rId194" w:history="1">
        <w:r w:rsidRPr="00C57224">
          <w:rPr>
            <w:rStyle w:val="Hyperlink"/>
            <w:lang w:eastAsia="en-US"/>
          </w:rPr>
          <w:t>Financial Inclusion Global Initiative (FIGI)</w:t>
        </w:r>
      </w:hyperlink>
      <w:r w:rsidRPr="00C57224">
        <w:rPr>
          <w:lang w:eastAsia="en-US"/>
        </w:rPr>
        <w:t>, inviting them to adopt the recommendations.</w:t>
      </w:r>
    </w:p>
    <w:p w14:paraId="559317E4" w14:textId="77777777" w:rsidR="00A26387" w:rsidRPr="00C57224" w:rsidRDefault="00647E5F" w:rsidP="00647E5F">
      <w:pPr>
        <w:rPr>
          <w:lang w:eastAsia="en-US"/>
        </w:rPr>
      </w:pPr>
      <w:r w:rsidRPr="00C57224">
        <w:rPr>
          <w:lang w:eastAsia="en-US"/>
        </w:rPr>
        <w:t>Nigeria, Lesotho, Sierra Leone, Tanzania, Kenya and Zimbabwe have implemented the MoU between the telecom regulator and central bank for DFS security suggested by the DFS security recommendations.</w:t>
      </w:r>
    </w:p>
    <w:p w14:paraId="5F2E60FB" w14:textId="77777777" w:rsidR="00A26387" w:rsidRPr="00C57224" w:rsidRDefault="00647E5F" w:rsidP="00647E5F">
      <w:pPr>
        <w:rPr>
          <w:lang w:eastAsia="en-US"/>
        </w:rPr>
      </w:pPr>
      <w:r w:rsidRPr="00C57224">
        <w:rPr>
          <w:lang w:eastAsia="en-US"/>
        </w:rPr>
        <w:t>The Communication Regulators Association of Southern Africa (CRASA) and the East African Communications Organization (EACO) adopted the DFS security recommendations in 2023 and the ITU DFS Security Lab is working with their respective members in support of their implementation of the recommendations. The ITU DFS Security Lab is also providing technical guidance to the West African Telecommunication Regulatory Assembly (WATRA) in support of the adoption of the DFS security recommendations.</w:t>
      </w:r>
    </w:p>
    <w:p w14:paraId="41DA8198" w14:textId="0F3D0C1C" w:rsidR="00A26387" w:rsidRPr="00C57224" w:rsidRDefault="00647E5F" w:rsidP="00647E5F">
      <w:pPr>
        <w:rPr>
          <w:lang w:eastAsia="en-US"/>
        </w:rPr>
      </w:pPr>
      <w:r w:rsidRPr="00C57224">
        <w:rPr>
          <w:b/>
          <w:bCs/>
          <w:lang w:eastAsia="en-US"/>
        </w:rPr>
        <w:t xml:space="preserve">DFS Security Lab: </w:t>
      </w:r>
      <w:r w:rsidRPr="00C57224">
        <w:rPr>
          <w:lang w:eastAsia="en-US"/>
        </w:rPr>
        <w:t xml:space="preserve">The </w:t>
      </w:r>
      <w:hyperlink r:id="rId195" w:history="1">
        <w:r w:rsidRPr="00C57224">
          <w:rPr>
            <w:rStyle w:val="Hyperlink"/>
            <w:lang w:eastAsia="en-US"/>
          </w:rPr>
          <w:t>ITU DFS Security Lab</w:t>
        </w:r>
      </w:hyperlink>
      <w:r w:rsidRPr="00C57224">
        <w:rPr>
          <w:lang w:eastAsia="en-US"/>
        </w:rPr>
        <w:t xml:space="preserve"> set up as part of FIGI activities developed a methodology for conducting security tests for mobile payment apps based on USSD, iOS, STK and Android.</w:t>
      </w:r>
    </w:p>
    <w:p w14:paraId="3D26FC5F" w14:textId="2C0473C8" w:rsidR="00647E5F" w:rsidRPr="00C57224" w:rsidRDefault="00647E5F" w:rsidP="00647E5F">
      <w:pPr>
        <w:rPr>
          <w:lang w:eastAsia="en-US"/>
        </w:rPr>
      </w:pPr>
      <w:r w:rsidRPr="00C57224">
        <w:rPr>
          <w:lang w:eastAsia="en-US"/>
        </w:rPr>
        <w:t>The activities of the DFS Security Lab are supported by funding from the Republic of Korea's Ministry of Science and ICT and Japan.</w:t>
      </w:r>
    </w:p>
    <w:p w14:paraId="6C871969" w14:textId="6FBDC737" w:rsidR="00A26387" w:rsidRPr="00C57224" w:rsidRDefault="00647E5F" w:rsidP="00647E5F">
      <w:pPr>
        <w:rPr>
          <w:lang w:eastAsia="en-US"/>
        </w:rPr>
      </w:pPr>
      <w:r w:rsidRPr="00C57224">
        <w:rPr>
          <w:lang w:eastAsia="en-US"/>
        </w:rPr>
        <w:t xml:space="preserve">As part of the activities of the ITU DFS Security Lab, </w:t>
      </w:r>
      <w:hyperlink r:id="rId196" w:history="1">
        <w:r w:rsidRPr="00C57224">
          <w:rPr>
            <w:rStyle w:val="Hyperlink"/>
            <w:lang w:eastAsia="en-US"/>
          </w:rPr>
          <w:t>ITU DFS Security Clinics</w:t>
        </w:r>
      </w:hyperlink>
      <w:r w:rsidR="00461B8B" w:rsidRPr="00C57224">
        <w:rPr>
          <w:lang w:eastAsia="en-US"/>
        </w:rPr>
        <w:t xml:space="preserve"> </w:t>
      </w:r>
      <w:r w:rsidRPr="00C57224">
        <w:rPr>
          <w:lang w:eastAsia="en-US"/>
        </w:rPr>
        <w:t>offer guidance to regulators and DFS providers on adopting the security best practices developed under FIGI.</w:t>
      </w:r>
      <w:r w:rsidR="00461B8B" w:rsidRPr="00C57224">
        <w:rPr>
          <w:lang w:eastAsia="en-US"/>
        </w:rPr>
        <w:t xml:space="preserve"> </w:t>
      </w:r>
      <w:r w:rsidRPr="00C57224">
        <w:rPr>
          <w:lang w:eastAsia="en-US"/>
        </w:rPr>
        <w:t>The DFS Security Lab</w:t>
      </w:r>
      <w:r w:rsidR="00461B8B" w:rsidRPr="00C57224">
        <w:rPr>
          <w:lang w:eastAsia="en-US"/>
        </w:rPr>
        <w:t xml:space="preserve"> </w:t>
      </w:r>
      <w:r w:rsidRPr="00C57224">
        <w:rPr>
          <w:lang w:eastAsia="en-US"/>
        </w:rPr>
        <w:t>helps stakeholders to verify that these best practices are being followed.</w:t>
      </w:r>
    </w:p>
    <w:p w14:paraId="2B800B7E" w14:textId="674B0015" w:rsidR="00A26387" w:rsidRPr="00C57224" w:rsidRDefault="00A26387" w:rsidP="00647E5F">
      <w:pPr>
        <w:rPr>
          <w:lang w:eastAsia="en-US"/>
        </w:rPr>
      </w:pPr>
      <w:r w:rsidRPr="00C57224">
        <w:rPr>
          <w:lang w:eastAsia="en-US"/>
        </w:rPr>
        <w:t>Thirty-two</w:t>
      </w:r>
      <w:r w:rsidR="00647E5F" w:rsidRPr="00C57224">
        <w:rPr>
          <w:lang w:eastAsia="en-US"/>
        </w:rPr>
        <w:t xml:space="preserve"> security clinics were conducted by the DFS Security Lab in the study period, listed on this </w:t>
      </w:r>
      <w:hyperlink r:id="rId197" w:history="1">
        <w:r w:rsidR="00647E5F" w:rsidRPr="00C57224">
          <w:rPr>
            <w:rStyle w:val="Hyperlink"/>
            <w:lang w:eastAsia="en-US"/>
          </w:rPr>
          <w:t>web page</w:t>
        </w:r>
      </w:hyperlink>
      <w:r w:rsidR="00647E5F" w:rsidRPr="00C57224">
        <w:rPr>
          <w:lang w:eastAsia="en-US"/>
        </w:rPr>
        <w:t>.</w:t>
      </w:r>
    </w:p>
    <w:p w14:paraId="57518B47" w14:textId="517909F6" w:rsidR="00647E5F" w:rsidRPr="00C57224" w:rsidRDefault="00647E5F" w:rsidP="00647E5F">
      <w:pPr>
        <w:rPr>
          <w:lang w:eastAsia="en-US"/>
        </w:rPr>
      </w:pPr>
      <w:r w:rsidRPr="00C57224">
        <w:rPr>
          <w:b/>
          <w:bCs/>
          <w:lang w:eastAsia="en-US"/>
        </w:rPr>
        <w:t>Knowledge transfer programme:</w:t>
      </w:r>
      <w:r w:rsidRPr="00C57224">
        <w:rPr>
          <w:lang w:eastAsia="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in line with the OWASP Mobile Top 10 Security Risks methodology.</w:t>
      </w:r>
    </w:p>
    <w:p w14:paraId="0396283F" w14:textId="77777777" w:rsidR="00A26387" w:rsidRPr="00C57224" w:rsidRDefault="00647E5F" w:rsidP="00647E5F">
      <w:pPr>
        <w:rPr>
          <w:lang w:eastAsia="en-US"/>
        </w:rPr>
      </w:pPr>
      <w:r w:rsidRPr="00C57224">
        <w:rPr>
          <w:lang w:eastAsia="en-US"/>
        </w:rPr>
        <w:t>The following countries have benefited from the knowledge transfer programme in the study period: Uganda, Tanzania, Peru, The Gambia and Zimbabwe. In 2024, Eswatini, Ghana, St Lucia and Antigua and Barbuda submitted requests for assistance from the knowledge transfer programme.</w:t>
      </w:r>
    </w:p>
    <w:p w14:paraId="49C93883" w14:textId="140328C8" w:rsidR="00A26387" w:rsidRPr="00C57224" w:rsidRDefault="00647E5F" w:rsidP="00647E5F">
      <w:pPr>
        <w:rPr>
          <w:lang w:eastAsia="en-US"/>
        </w:rPr>
      </w:pPr>
      <w:r w:rsidRPr="00C57224">
        <w:rPr>
          <w:b/>
          <w:bCs/>
          <w:lang w:eastAsia="en-US"/>
        </w:rPr>
        <w:t xml:space="preserve">Knowledge sharing platform: </w:t>
      </w:r>
      <w:r w:rsidRPr="00C57224">
        <w:rPr>
          <w:lang w:eastAsia="en-US"/>
        </w:rPr>
        <w:t>This</w:t>
      </w:r>
      <w:r w:rsidRPr="00C57224">
        <w:rPr>
          <w:b/>
          <w:bCs/>
          <w:lang w:eastAsia="en-US"/>
        </w:rPr>
        <w:t xml:space="preserve"> </w:t>
      </w:r>
      <w:r w:rsidRPr="00C57224">
        <w:rPr>
          <w:lang w:eastAsia="en-US"/>
        </w:rPr>
        <w:t xml:space="preserve">platform developed by the ITU DFS Security Lab helps regulators to collaborate with the lab to keep up to date with the security controls of the </w:t>
      </w:r>
      <w:hyperlink r:id="rId198" w:history="1">
        <w:r w:rsidRPr="00C57224">
          <w:rPr>
            <w:rStyle w:val="Hyperlink"/>
            <w:lang w:eastAsia="en-US"/>
          </w:rPr>
          <w:t>DFS security assurance framework</w:t>
        </w:r>
      </w:hyperlink>
      <w:r w:rsidRPr="00C57224">
        <w:rPr>
          <w:lang w:eastAsia="en-US"/>
        </w:rPr>
        <w:t xml:space="preserve"> and the </w:t>
      </w:r>
      <w:hyperlink r:id="rId199" w:history="1">
        <w:r w:rsidRPr="00C57224">
          <w:rPr>
            <w:rStyle w:val="Hyperlink"/>
            <w:lang w:eastAsia="en-US"/>
          </w:rPr>
          <w:t>DFS security recommendations</w:t>
        </w:r>
      </w:hyperlink>
      <w:r w:rsidRPr="00C57224">
        <w:rPr>
          <w:lang w:eastAsia="en-US"/>
        </w:rPr>
        <w:t>. It also supports their sharing of experiences, challenges, and lessons learned from the implementation of security measures across various jurisdictions. The platform was launched in November 2023.</w:t>
      </w:r>
    </w:p>
    <w:p w14:paraId="19CDA859" w14:textId="33619F69" w:rsidR="00A26387" w:rsidRPr="00C57224" w:rsidRDefault="00647E5F" w:rsidP="00647E5F">
      <w:pPr>
        <w:rPr>
          <w:lang w:eastAsia="en-US"/>
        </w:rPr>
      </w:pPr>
      <w:r w:rsidRPr="00C57224">
        <w:rPr>
          <w:b/>
          <w:bCs/>
          <w:lang w:eastAsia="en-US"/>
        </w:rPr>
        <w:t>Cybersecurity resilience assessment toolkit for DFS critical infrastructure:</w:t>
      </w:r>
      <w:r w:rsidRPr="00C57224">
        <w:rPr>
          <w:lang w:eastAsia="en-US"/>
        </w:rPr>
        <w:t xml:space="preserve"> The comprehensive </w:t>
      </w:r>
      <w:hyperlink r:id="rId200" w:history="1">
        <w:r w:rsidRPr="00C57224">
          <w:rPr>
            <w:rStyle w:val="Hyperlink"/>
            <w:lang w:eastAsia="en-US"/>
          </w:rPr>
          <w:t>cybersecurity resilience assessment toolkit for DFS critical infrastructure</w:t>
        </w:r>
      </w:hyperlink>
      <w:r w:rsidRPr="00C57224">
        <w:rPr>
          <w:lang w:eastAsia="en-US"/>
        </w:rPr>
        <w:t xml:space="preserve"> equips DFS regulators with the necessary guidance to evaluate cybersecurity vulnerabilities in digital finance infrastructure and conduct cyber preparedness assessments among stakeholders in the DFS ecosystem.</w:t>
      </w:r>
    </w:p>
    <w:p w14:paraId="7EE91C91" w14:textId="4458B2BC" w:rsidR="00647E5F" w:rsidRPr="00C57224" w:rsidRDefault="00647E5F" w:rsidP="00647E5F">
      <w:pPr>
        <w:rPr>
          <w:lang w:eastAsia="en-US"/>
        </w:rPr>
      </w:pPr>
      <w:r w:rsidRPr="00C57224">
        <w:rPr>
          <w:lang w:eastAsia="en-US"/>
        </w:rPr>
        <w:lastRenderedPageBreak/>
        <w:t>In 2024, the ITU DFS Security Lab received requests for assistance in implementing the toolkit from Lesotho, Peru and Tanzania. EACO, CRASA and WATRA have also expressed interest in the toolkit and associated technical assistance from TSB is scheduled to begin in the final quarter of 2024.</w:t>
      </w:r>
    </w:p>
    <w:p w14:paraId="1FA7C8E7" w14:textId="77777777" w:rsidR="00A26387" w:rsidRPr="00C57224" w:rsidRDefault="00647E5F" w:rsidP="00647E5F">
      <w:pPr>
        <w:rPr>
          <w:lang w:eastAsia="en-US"/>
        </w:rPr>
      </w:pPr>
      <w:r w:rsidRPr="00C57224">
        <w:rPr>
          <w:b/>
          <w:bCs/>
          <w:lang w:eastAsia="en-US"/>
        </w:rPr>
        <w:t xml:space="preserve">Partnership with FNSV on blockchain secure authentication: </w:t>
      </w:r>
      <w:r w:rsidRPr="00C57224">
        <w:rPr>
          <w:lang w:eastAsia="en-US"/>
        </w:rPr>
        <w:t xml:space="preserve">ITU entered a one-year collaboration partnership with FNSV Korea in August 2023 to promote </w:t>
      </w:r>
      <w:proofErr w:type="spellStart"/>
      <w:r w:rsidRPr="00C57224">
        <w:rPr>
          <w:lang w:eastAsia="en-US"/>
        </w:rPr>
        <w:t>passwordless</w:t>
      </w:r>
      <w:proofErr w:type="spellEnd"/>
      <w:r w:rsidRPr="00C57224">
        <w:rPr>
          <w:lang w:eastAsia="en-US"/>
        </w:rPr>
        <w:t xml:space="preserve"> technology in mobile payments using blockchain secure authentication in developing countries.</w:t>
      </w:r>
    </w:p>
    <w:p w14:paraId="79C51140" w14:textId="0C364682" w:rsidR="00A26387" w:rsidRPr="00C57224" w:rsidRDefault="00647E5F" w:rsidP="00647E5F">
      <w:pPr>
        <w:rPr>
          <w:lang w:eastAsia="en-US"/>
        </w:rPr>
      </w:pPr>
      <w:bookmarkStart w:id="90" w:name="_Hlk172568207"/>
      <w:r w:rsidRPr="00C57224">
        <w:rPr>
          <w:lang w:eastAsia="en-US"/>
        </w:rPr>
        <w:t xml:space="preserve">The </w:t>
      </w:r>
      <w:hyperlink r:id="rId201" w:history="1">
        <w:r w:rsidRPr="00C57224">
          <w:rPr>
            <w:rStyle w:val="Hyperlink"/>
            <w:lang w:eastAsia="en-US"/>
          </w:rPr>
          <w:t>ITU Blockchain Secure Authentication (BSA) Application Challenge</w:t>
        </w:r>
      </w:hyperlink>
      <w:r w:rsidRPr="00C57224">
        <w:rPr>
          <w:lang w:eastAsia="en-US"/>
        </w:rPr>
        <w:t xml:space="preserve"> organized jointly by ITU and FNSV Korea launched in April 2024. The challenge aims to inspire developers to harness BSA for stronger, more secure authentication methods beyond traditional passwords. The challenge is hosted on </w:t>
      </w:r>
      <w:hyperlink r:id="rId202" w:history="1">
        <w:r w:rsidRPr="00C57224">
          <w:rPr>
            <w:rStyle w:val="Hyperlink"/>
            <w:lang w:eastAsia="en-US"/>
          </w:rPr>
          <w:t>Zindi</w:t>
        </w:r>
      </w:hyperlink>
      <w:r w:rsidRPr="00C57224">
        <w:rPr>
          <w:lang w:eastAsia="en-US"/>
        </w:rPr>
        <w:t xml:space="preserve"> and has attracted 171 registered participants from 39 countries. The ITU DFS Security Lab hosts</w:t>
      </w:r>
      <w:r w:rsidRPr="00C57224">
        <w:rPr>
          <w:b/>
          <w:bCs/>
          <w:lang w:eastAsia="en-US"/>
        </w:rPr>
        <w:t xml:space="preserve"> </w:t>
      </w:r>
      <w:r w:rsidRPr="00C57224">
        <w:rPr>
          <w:lang w:eastAsia="en-US"/>
        </w:rPr>
        <w:t xml:space="preserve">the </w:t>
      </w:r>
      <w:hyperlink r:id="rId203" w:history="1">
        <w:r w:rsidRPr="00C57224">
          <w:rPr>
            <w:rStyle w:val="Hyperlink"/>
            <w:lang w:eastAsia="en-US"/>
          </w:rPr>
          <w:t>BSA</w:t>
        </w:r>
        <w:r w:rsidR="00461B8B" w:rsidRPr="00C57224">
          <w:rPr>
            <w:rStyle w:val="Hyperlink"/>
            <w:lang w:eastAsia="en-US"/>
          </w:rPr>
          <w:t xml:space="preserve"> </w:t>
        </w:r>
        <w:r w:rsidRPr="00C57224">
          <w:rPr>
            <w:rStyle w:val="Hyperlink"/>
            <w:lang w:eastAsia="en-US"/>
          </w:rPr>
          <w:t>sandbox</w:t>
        </w:r>
      </w:hyperlink>
      <w:r w:rsidRPr="00C57224">
        <w:rPr>
          <w:lang w:eastAsia="en-US"/>
        </w:rPr>
        <w:t xml:space="preserve"> providing developer resources.</w:t>
      </w:r>
    </w:p>
    <w:bookmarkEnd w:id="90"/>
    <w:p w14:paraId="6D4EDE74" w14:textId="258862AC" w:rsidR="00A26387" w:rsidRPr="00C57224" w:rsidRDefault="00647E5F" w:rsidP="00647E5F">
      <w:pPr>
        <w:rPr>
          <w:lang w:eastAsia="en-US"/>
        </w:rPr>
      </w:pPr>
      <w:r w:rsidRPr="00C57224">
        <w:rPr>
          <w:b/>
          <w:bCs/>
          <w:lang w:eastAsia="en-US"/>
        </w:rPr>
        <w:t xml:space="preserve">Collaboration with UPU: </w:t>
      </w:r>
      <w:r w:rsidRPr="00C57224">
        <w:rPr>
          <w:lang w:eastAsia="en-US"/>
        </w:rPr>
        <w:t>Under WTSA Resolution 11, a joint DFS working group between the ITU and UPU secretariats meets quarterly to share information about events and activities being implemented by each organization related to DFS and possible related collaboration. In 2024, the ITU DFS Security Lab</w:t>
      </w:r>
      <w:r w:rsidR="007C2FC3" w:rsidRPr="00C57224">
        <w:rPr>
          <w:lang w:eastAsia="en-US"/>
        </w:rPr>
        <w:t>'</w:t>
      </w:r>
      <w:r w:rsidRPr="00C57224">
        <w:rPr>
          <w:lang w:eastAsia="en-US"/>
        </w:rPr>
        <w:t>s knowledge transfer programme has assisted UPU in training its staff to perform security audits of mobile payment applications based on USSD, iOS and Android.</w:t>
      </w:r>
    </w:p>
    <w:p w14:paraId="618F4F7A" w14:textId="216A1ADF" w:rsidR="00647E5F" w:rsidRPr="00C57224" w:rsidRDefault="00647E5F" w:rsidP="00647E5F">
      <w:pPr>
        <w:rPr>
          <w:lang w:eastAsia="en-US"/>
        </w:rPr>
      </w:pPr>
      <w:proofErr w:type="spellStart"/>
      <w:r w:rsidRPr="00C57224">
        <w:rPr>
          <w:b/>
          <w:lang w:eastAsia="en-US"/>
        </w:rPr>
        <w:t>OpenWallet</w:t>
      </w:r>
      <w:proofErr w:type="spellEnd"/>
      <w:r w:rsidRPr="00C57224">
        <w:rPr>
          <w:b/>
          <w:lang w:eastAsia="en-US"/>
        </w:rPr>
        <w:t xml:space="preserve"> Forum: </w:t>
      </w:r>
      <w:r w:rsidRPr="00C57224">
        <w:rPr>
          <w:lang w:eastAsia="en-US"/>
        </w:rPr>
        <w:t xml:space="preserve">ITU and the Linux Foundation are in the process of launching an </w:t>
      </w:r>
      <w:hyperlink r:id="rId204" w:history="1">
        <w:proofErr w:type="spellStart"/>
        <w:r w:rsidRPr="00C57224">
          <w:rPr>
            <w:rStyle w:val="Hyperlink"/>
            <w:lang w:eastAsia="en-US"/>
          </w:rPr>
          <w:t>OpenWallet</w:t>
        </w:r>
        <w:proofErr w:type="spellEnd"/>
        <w:r w:rsidRPr="00C57224">
          <w:rPr>
            <w:rStyle w:val="Hyperlink"/>
            <w:lang w:eastAsia="en-US"/>
          </w:rPr>
          <w:t xml:space="preserve"> Forum</w:t>
        </w:r>
      </w:hyperlink>
      <w:r w:rsidRPr="00C57224">
        <w:rPr>
          <w:lang w:eastAsia="en-US"/>
        </w:rPr>
        <w:t xml:space="preserve"> to stimulate global access to the digital wallets that form key technology building blocks for digital public infrastructure. The forum will also be supported by UNICC and the </w:t>
      </w:r>
      <w:r w:rsidR="004F5EFE" w:rsidRPr="00C57224">
        <w:rPr>
          <w:lang w:eastAsia="en-US"/>
        </w:rPr>
        <w:t>g</w:t>
      </w:r>
      <w:r w:rsidRPr="00C57224">
        <w:rPr>
          <w:lang w:eastAsia="en-US"/>
        </w:rPr>
        <w:t>overnment of Switzerland.</w:t>
      </w:r>
    </w:p>
    <w:p w14:paraId="51E8F4EE" w14:textId="77777777" w:rsidR="00647E5F" w:rsidRPr="00C57224" w:rsidRDefault="00647E5F" w:rsidP="00647E5F">
      <w:pPr>
        <w:rPr>
          <w:lang w:eastAsia="en-US"/>
        </w:rPr>
      </w:pPr>
      <w:r w:rsidRPr="00C57224">
        <w:rPr>
          <w:lang w:eastAsia="en-US"/>
        </w:rPr>
        <w:t xml:space="preserve">The </w:t>
      </w:r>
      <w:proofErr w:type="spellStart"/>
      <w:r w:rsidRPr="00C57224">
        <w:rPr>
          <w:lang w:eastAsia="en-US"/>
        </w:rPr>
        <w:t>OpenWallet</w:t>
      </w:r>
      <w:proofErr w:type="spellEnd"/>
      <w:r w:rsidRPr="00C57224">
        <w:rPr>
          <w:lang w:eastAsia="en-US"/>
        </w:rPr>
        <w:t xml:space="preserve"> Forum will offer a platform for multistakeholder cooperation to integrate wide-ranging requirements from governments and companies into coordinated policies and technical standards for digital wallets. It will place emphasis on the security and interoperability of digital wallets.</w:t>
      </w:r>
    </w:p>
    <w:p w14:paraId="710920BB" w14:textId="4E1C3751" w:rsidR="00647E5F" w:rsidRPr="00C57224" w:rsidRDefault="00647E5F" w:rsidP="00647E5F">
      <w:pPr>
        <w:rPr>
          <w:lang w:eastAsia="en-US"/>
        </w:rPr>
      </w:pPr>
      <w:r w:rsidRPr="00C57224">
        <w:rPr>
          <w:b/>
          <w:bCs/>
          <w:lang w:eastAsia="en-US"/>
        </w:rPr>
        <w:t>Digital currency:</w:t>
      </w:r>
      <w:r w:rsidRPr="00C57224">
        <w:rPr>
          <w:lang w:eastAsia="en-US"/>
        </w:rPr>
        <w:t xml:space="preserve"> The </w:t>
      </w:r>
      <w:hyperlink r:id="rId205" w:history="1">
        <w:r w:rsidRPr="00C57224">
          <w:rPr>
            <w:rStyle w:val="Hyperlink"/>
            <w:lang w:eastAsia="en-US"/>
          </w:rPr>
          <w:t>Digital Currency Global Initiative</w:t>
        </w:r>
      </w:hyperlink>
      <w:r w:rsidRPr="00C57224">
        <w:rPr>
          <w:lang w:eastAsia="en-US"/>
        </w:rPr>
        <w:t xml:space="preserve"> is a collaboration between ITU and Stanford University that provides an open platform for dialogue and research on pilot implementations of digital currency and the development of specifications for technical standards to foster adoption, universal access, and financial inclusion.</w:t>
      </w:r>
    </w:p>
    <w:p w14:paraId="75715513" w14:textId="712175D0" w:rsidR="00A26387" w:rsidRPr="00C57224" w:rsidRDefault="00647E5F" w:rsidP="006A5629">
      <w:pPr>
        <w:rPr>
          <w:lang w:eastAsia="en-US"/>
        </w:rPr>
      </w:pPr>
      <w:r w:rsidRPr="00C57224">
        <w:rPr>
          <w:lang w:eastAsia="en-US"/>
        </w:rPr>
        <w:t>In addition to working group meetings, two editions of the "DC</w:t>
      </w:r>
      <w:r w:rsidRPr="00C57224">
        <w:rPr>
          <w:vertAlign w:val="superscript"/>
          <w:lang w:eastAsia="en-US"/>
        </w:rPr>
        <w:t>3</w:t>
      </w:r>
      <w:r w:rsidR="00A26387" w:rsidRPr="00C57224">
        <w:rPr>
          <w:vertAlign w:val="superscript"/>
          <w:lang w:eastAsia="en-US"/>
        </w:rPr>
        <w:t xml:space="preserve"> </w:t>
      </w:r>
      <w:r w:rsidRPr="00C57224">
        <w:rPr>
          <w:lang w:eastAsia="en-US"/>
        </w:rPr>
        <w:t xml:space="preserve">Conference: From Cryptocurrencies to Central Bank Digital Currencies" were organized in </w:t>
      </w:r>
      <w:hyperlink r:id="rId206" w:history="1">
        <w:r w:rsidRPr="00C57224">
          <w:rPr>
            <w:rStyle w:val="Hyperlink"/>
            <w:lang w:eastAsia="en-US"/>
          </w:rPr>
          <w:t>January 2023</w:t>
        </w:r>
      </w:hyperlink>
      <w:r w:rsidRPr="00C57224">
        <w:rPr>
          <w:lang w:eastAsia="en-US"/>
        </w:rPr>
        <w:t xml:space="preserve"> and </w:t>
      </w:r>
      <w:hyperlink r:id="rId207" w:history="1">
        <w:r w:rsidRPr="00C57224">
          <w:rPr>
            <w:rStyle w:val="Hyperlink"/>
            <w:lang w:eastAsia="en-US"/>
          </w:rPr>
          <w:t>January 2022</w:t>
        </w:r>
      </w:hyperlink>
      <w:r w:rsidRPr="00C57224">
        <w:rPr>
          <w:lang w:eastAsia="en-US"/>
        </w:rPr>
        <w:t>.</w:t>
      </w:r>
    </w:p>
    <w:p w14:paraId="10F49DDB" w14:textId="105A9FAD" w:rsidR="00A26387" w:rsidRPr="00C57224" w:rsidRDefault="00AB23B7" w:rsidP="00FD62EB">
      <w:pPr>
        <w:pStyle w:val="Heading2"/>
      </w:pPr>
      <w:bookmarkStart w:id="91" w:name="_5.4_Resilience_to"/>
      <w:bookmarkStart w:id="92" w:name="_5.3_Smart_cities"/>
      <w:bookmarkStart w:id="93" w:name="_5.4_Digital_transformation"/>
      <w:bookmarkStart w:id="94" w:name="_3.4_Intelligent_transport"/>
      <w:bookmarkStart w:id="95" w:name="_5.4_Environment,_climate"/>
      <w:bookmarkStart w:id="96" w:name="_5.5_Intelligent_transport"/>
      <w:bookmarkStart w:id="97" w:name="_Toc179219757"/>
      <w:bookmarkStart w:id="98" w:name="_Toc179221067"/>
      <w:bookmarkEnd w:id="63"/>
      <w:bookmarkEnd w:id="82"/>
      <w:bookmarkEnd w:id="91"/>
      <w:bookmarkEnd w:id="92"/>
      <w:bookmarkEnd w:id="93"/>
      <w:bookmarkEnd w:id="94"/>
      <w:bookmarkEnd w:id="95"/>
      <w:bookmarkEnd w:id="96"/>
      <w:r w:rsidRPr="00C57224">
        <w:t>5.5</w:t>
      </w:r>
      <w:r>
        <w:tab/>
      </w:r>
      <w:r w:rsidR="007C660F" w:rsidRPr="00C57224">
        <w:t>Intelligent transport systems</w:t>
      </w:r>
      <w:bookmarkEnd w:id="97"/>
      <w:bookmarkEnd w:id="98"/>
    </w:p>
    <w:p w14:paraId="2DE4CEA0" w14:textId="55F95E18" w:rsidR="00A26387" w:rsidRPr="00C57224" w:rsidRDefault="008B405E" w:rsidP="001E31C5">
      <w:bookmarkStart w:id="99" w:name="_Hlk120616326"/>
      <w:bookmarkStart w:id="100" w:name="_Hlk92287189"/>
      <w:r w:rsidRPr="00C57224">
        <w:t>The</w:t>
      </w:r>
      <w:r w:rsidR="00B84019" w:rsidRPr="00C57224">
        <w:t xml:space="preserve"> </w:t>
      </w:r>
      <w:hyperlink r:id="rId208" w:history="1">
        <w:r w:rsidRPr="00C57224">
          <w:rPr>
            <w:rStyle w:val="Hyperlink"/>
          </w:rPr>
          <w:t>ITU-UNECE Future Networked Car Symposium</w:t>
        </w:r>
      </w:hyperlink>
      <w:r w:rsidR="0078408C" w:rsidRPr="00C57224">
        <w:t xml:space="preserve"> </w:t>
      </w:r>
      <w:r w:rsidR="00B84019" w:rsidRPr="00C57224">
        <w:t xml:space="preserve">examines the latest advances in vehicle connectivity, automated mobility and the role of </w:t>
      </w:r>
      <w:r w:rsidR="00743B6A" w:rsidRPr="00C57224">
        <w:t xml:space="preserve">AI </w:t>
      </w:r>
      <w:r w:rsidR="00B84019" w:rsidRPr="00C57224">
        <w:t xml:space="preserve">in the transport sector, sharing unique insight </w:t>
      </w:r>
      <w:r w:rsidR="00743B6A" w:rsidRPr="00C57224">
        <w:t>on</w:t>
      </w:r>
      <w:r w:rsidR="00B84019" w:rsidRPr="00C57224">
        <w:t xml:space="preserve"> associated implications for technology, business and regulation. Its </w:t>
      </w:r>
      <w:r w:rsidR="00743B6A" w:rsidRPr="00C57224">
        <w:t xml:space="preserve">latest </w:t>
      </w:r>
      <w:r w:rsidR="00B84019" w:rsidRPr="00C57224">
        <w:t>edition</w:t>
      </w:r>
      <w:r w:rsidR="005A30C0" w:rsidRPr="00C57224">
        <w:t>s</w:t>
      </w:r>
      <w:r w:rsidR="00B84019" w:rsidRPr="00C57224">
        <w:t xml:space="preserve"> </w:t>
      </w:r>
      <w:r w:rsidR="00743B6A" w:rsidRPr="00C57224">
        <w:t>w</w:t>
      </w:r>
      <w:r w:rsidR="005A30C0" w:rsidRPr="00C57224">
        <w:t>ere</w:t>
      </w:r>
      <w:r w:rsidR="00743B6A" w:rsidRPr="00C57224">
        <w:t xml:space="preserve"> held online </w:t>
      </w:r>
      <w:r w:rsidR="0070173D" w:rsidRPr="00C57224">
        <w:t xml:space="preserve">in </w:t>
      </w:r>
      <w:r w:rsidR="00B84019" w:rsidRPr="00C57224">
        <w:t>March 2024</w:t>
      </w:r>
      <w:r w:rsidR="0070173D" w:rsidRPr="00C57224">
        <w:t xml:space="preserve">, </w:t>
      </w:r>
      <w:proofErr w:type="gramStart"/>
      <w:r w:rsidR="0070173D" w:rsidRPr="00C57224">
        <w:t>2023</w:t>
      </w:r>
      <w:proofErr w:type="gramEnd"/>
      <w:r w:rsidR="0070173D" w:rsidRPr="00C57224">
        <w:t xml:space="preserve"> and 2022.</w:t>
      </w:r>
    </w:p>
    <w:p w14:paraId="4AF37F0B" w14:textId="5BCEF6F4" w:rsidR="0070173D" w:rsidRPr="00C57224" w:rsidRDefault="0070173D" w:rsidP="001E31C5">
      <w:r w:rsidRPr="00C57224">
        <w:t>The first regional edition of the symposium was held on 6 October 2023 in Doha, Qatar, moving to Doha together with the Geneva International Motor Show. The symposium was organized by ITU and UNECE with support from the Communications</w:t>
      </w:r>
      <w:r w:rsidR="00461B8B" w:rsidRPr="00C57224">
        <w:t xml:space="preserve"> </w:t>
      </w:r>
      <w:r w:rsidRPr="00C57224">
        <w:t>Regulatory Authority of Qatar. Discussions focused on opportunities and challenges for Gulf Cooperation Council (GCC) countries.</w:t>
      </w:r>
    </w:p>
    <w:bookmarkEnd w:id="99"/>
    <w:p w14:paraId="5B606D9C" w14:textId="1E2A1845" w:rsidR="001E31C5" w:rsidRPr="00C57224" w:rsidRDefault="001E31C5" w:rsidP="001E31C5">
      <w:r w:rsidRPr="00C57224">
        <w:t>The</w:t>
      </w:r>
      <w:r w:rsidR="0044286D" w:rsidRPr="00C57224">
        <w:t xml:space="preserve"> ITU-led</w:t>
      </w:r>
      <w:r w:rsidRPr="00C57224">
        <w:t xml:space="preserve"> </w:t>
      </w:r>
      <w:hyperlink r:id="rId209" w:history="1">
        <w:r w:rsidRPr="00C57224">
          <w:rPr>
            <w:rStyle w:val="Hyperlink"/>
          </w:rPr>
          <w:t>Collaboration</w:t>
        </w:r>
        <w:r w:rsidR="00C34764" w:rsidRPr="00C57224">
          <w:rPr>
            <w:rStyle w:val="Hyperlink"/>
          </w:rPr>
          <w:t xml:space="preserve"> on ITS Communication Standards (CITS)</w:t>
        </w:r>
      </w:hyperlink>
      <w:r w:rsidRPr="00C57224">
        <w:t xml:space="preserve"> is a forum </w:t>
      </w:r>
      <w:r w:rsidR="00C34764" w:rsidRPr="00C57224">
        <w:t>supporting the</w:t>
      </w:r>
      <w:r w:rsidRPr="00C57224">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192A7460" w14:textId="03F97186" w:rsidR="00A26387" w:rsidRPr="00C57224" w:rsidRDefault="00743B6A" w:rsidP="001E31C5">
      <w:r w:rsidRPr="00C57224">
        <w:lastRenderedPageBreak/>
        <w:t>The</w:t>
      </w:r>
      <w:r w:rsidR="00397BAB" w:rsidRPr="00C57224">
        <w:t xml:space="preserve"> </w:t>
      </w:r>
      <w:hyperlink r:id="rId210" w:history="1">
        <w:r w:rsidRPr="00C57224">
          <w:rPr>
            <w:rStyle w:val="Hyperlink"/>
          </w:rPr>
          <w:t>CITS e</w:t>
        </w:r>
        <w:r w:rsidR="00397BAB" w:rsidRPr="00C57224">
          <w:rPr>
            <w:rStyle w:val="Hyperlink"/>
          </w:rPr>
          <w:t>xpert group on communications technology for automated driving</w:t>
        </w:r>
      </w:hyperlink>
      <w:r w:rsidRPr="00C57224">
        <w:t xml:space="preserve"> launched in 2023 </w:t>
      </w:r>
      <w:r w:rsidR="00684F0D" w:rsidRPr="00C57224">
        <w:t xml:space="preserve">is currently operating </w:t>
      </w:r>
      <w:r w:rsidR="00555041" w:rsidRPr="00C57224">
        <w:t xml:space="preserve">two </w:t>
      </w:r>
      <w:r w:rsidRPr="00C57224">
        <w:t>working groups</w:t>
      </w:r>
      <w:bookmarkStart w:id="101" w:name="_Hlk172568450"/>
      <w:r w:rsidR="00555041" w:rsidRPr="00C57224">
        <w:t xml:space="preserve"> on </w:t>
      </w:r>
      <w:hyperlink r:id="rId211" w:history="1">
        <w:r w:rsidR="00555041" w:rsidRPr="00C57224">
          <w:rPr>
            <w:rStyle w:val="Hyperlink"/>
          </w:rPr>
          <w:t>v</w:t>
        </w:r>
        <w:r w:rsidRPr="00C57224">
          <w:rPr>
            <w:rStyle w:val="Hyperlink"/>
          </w:rPr>
          <w:t>ehicular communications for merging automatically into congested lanes</w:t>
        </w:r>
      </w:hyperlink>
      <w:bookmarkEnd w:id="101"/>
      <w:r w:rsidRPr="00C57224">
        <w:t xml:space="preserve"> </w:t>
      </w:r>
      <w:r w:rsidR="00555041" w:rsidRPr="00C57224">
        <w:t xml:space="preserve">and </w:t>
      </w:r>
      <w:hyperlink r:id="rId212" w:history="1">
        <w:r w:rsidR="00555041" w:rsidRPr="00C57224">
          <w:rPr>
            <w:rStyle w:val="Hyperlink"/>
          </w:rPr>
          <w:t>vehicular communications for advanced emergency braking, including to protect vulnerable road users</w:t>
        </w:r>
      </w:hyperlink>
      <w:r w:rsidRPr="00C57224">
        <w:t>.</w:t>
      </w:r>
    </w:p>
    <w:p w14:paraId="39993D34" w14:textId="77777777" w:rsidR="00A26387" w:rsidRPr="00C57224" w:rsidRDefault="001E31C5" w:rsidP="001E31C5">
      <w:r w:rsidRPr="00C57224">
        <w:t>C</w:t>
      </w:r>
      <w:r w:rsidR="00FB3783" w:rsidRPr="00C57224">
        <w:t xml:space="preserve">ITS </w:t>
      </w:r>
      <w:r w:rsidRPr="00C57224">
        <w:t>meetings</w:t>
      </w:r>
      <w:r w:rsidR="00E544CF" w:rsidRPr="00C57224">
        <w:t xml:space="preserve"> are typically held twice a year</w:t>
      </w:r>
      <w:r w:rsidR="000C1BFA" w:rsidRPr="00C57224">
        <w:t xml:space="preserve">, in </w:t>
      </w:r>
      <w:r w:rsidR="00E544CF" w:rsidRPr="00C57224">
        <w:t>March and September</w:t>
      </w:r>
      <w:r w:rsidR="000C1BFA" w:rsidRPr="00C57224">
        <w:t xml:space="preserve">, </w:t>
      </w:r>
      <w:r w:rsidR="00167185" w:rsidRPr="00C57224">
        <w:t>and often</w:t>
      </w:r>
      <w:r w:rsidRPr="00C57224">
        <w:t xml:space="preserve"> organized back-to-back with other ITS events,</w:t>
      </w:r>
      <w:r w:rsidR="00E544CF" w:rsidRPr="00C57224">
        <w:t xml:space="preserve"> e.g.</w:t>
      </w:r>
      <w:r w:rsidR="008A0323" w:rsidRPr="00C57224">
        <w:t>,</w:t>
      </w:r>
      <w:r w:rsidR="007C7144" w:rsidRPr="00C57224">
        <w:t xml:space="preserve"> annual</w:t>
      </w:r>
      <w:r w:rsidR="00E544CF" w:rsidRPr="00C57224">
        <w:t xml:space="preserve"> </w:t>
      </w:r>
      <w:r w:rsidR="008B405E" w:rsidRPr="00C57224">
        <w:t>ITU-UNECE Future Networked Car</w:t>
      </w:r>
      <w:r w:rsidR="0078408C" w:rsidRPr="00C57224">
        <w:t xml:space="preserve"> Symposia</w:t>
      </w:r>
      <w:r w:rsidR="00167185" w:rsidRPr="00C57224">
        <w:t xml:space="preserve">, that also provide </w:t>
      </w:r>
      <w:r w:rsidRPr="00C57224">
        <w:t xml:space="preserve">opportunities to exchange information and keep experts updated on ITS standardization. The representatives of involved </w:t>
      </w:r>
      <w:r w:rsidR="00167185" w:rsidRPr="00C57224">
        <w:t xml:space="preserve">standards bodies </w:t>
      </w:r>
      <w:r w:rsidRPr="00C57224">
        <w:t xml:space="preserve">are invited to submit </w:t>
      </w:r>
      <w:r w:rsidR="00167185" w:rsidRPr="00C57224">
        <w:t xml:space="preserve">status reports on ITS standardization ongoing in their respective organizations to CITS </w:t>
      </w:r>
      <w:r w:rsidRPr="00C57224">
        <w:t>meeting</w:t>
      </w:r>
      <w:r w:rsidR="00167185" w:rsidRPr="00C57224">
        <w:t>s</w:t>
      </w:r>
      <w:r w:rsidRPr="00C57224">
        <w:t>.</w:t>
      </w:r>
    </w:p>
    <w:p w14:paraId="56C52343" w14:textId="6BC6BC1F" w:rsidR="00562E6B" w:rsidRPr="00C57224" w:rsidRDefault="00E544CF" w:rsidP="001E31C5">
      <w:r w:rsidRPr="00C57224">
        <w:t xml:space="preserve">CITS maintains the global </w:t>
      </w:r>
      <w:hyperlink r:id="rId213" w:anchor="?topic=0.131&amp;workgroup=1&amp;searchValue=&amp;page=1&amp;sort=Revelance" w:history="1">
        <w:r w:rsidRPr="00C57224">
          <w:rPr>
            <w:rStyle w:val="Hyperlink"/>
          </w:rPr>
          <w:t>ITS Communication Standards D</w:t>
        </w:r>
        <w:r w:rsidR="007A38D5" w:rsidRPr="00C57224">
          <w:rPr>
            <w:rStyle w:val="Hyperlink"/>
          </w:rPr>
          <w:t>atabase</w:t>
        </w:r>
      </w:hyperlink>
      <w:r w:rsidRPr="00C57224">
        <w:t>.</w:t>
      </w:r>
      <w:r w:rsidR="007A38D5" w:rsidRPr="00C57224">
        <w:t xml:space="preserve"> The database is designed to assist the harmonization of ITS standards and includes standards developed by all relevant standards bodies, providing a reference to all standards supporting connected vehicles and automated driving.</w:t>
      </w:r>
    </w:p>
    <w:p w14:paraId="6D4EC255" w14:textId="27DBB66F" w:rsidR="00A26387" w:rsidRPr="00C57224" w:rsidRDefault="00397BAB" w:rsidP="001E31C5">
      <w:r w:rsidRPr="00C57224">
        <w:t xml:space="preserve">See </w:t>
      </w:r>
      <w:r w:rsidR="00A23A70" w:rsidRPr="00C57224">
        <w:t xml:space="preserve">also </w:t>
      </w:r>
      <w:r w:rsidRPr="00C57224">
        <w:t xml:space="preserve">ITU's </w:t>
      </w:r>
      <w:r w:rsidR="00B84019" w:rsidRPr="00C57224">
        <w:t xml:space="preserve">new </w:t>
      </w:r>
      <w:hyperlink r:id="rId214" w:history="1">
        <w:r w:rsidR="00B84019" w:rsidRPr="00C57224">
          <w:rPr>
            <w:rStyle w:val="Hyperlink"/>
          </w:rPr>
          <w:t>web portal</w:t>
        </w:r>
      </w:hyperlink>
      <w:r w:rsidR="00B84019" w:rsidRPr="00C57224">
        <w:t xml:space="preserve"> on </w:t>
      </w:r>
      <w:r w:rsidRPr="00C57224">
        <w:t>ITS.</w:t>
      </w:r>
    </w:p>
    <w:p w14:paraId="18EE37C3" w14:textId="7B1C9194" w:rsidR="00A26387" w:rsidRPr="00C57224" w:rsidRDefault="00AB23B7" w:rsidP="002A09A2">
      <w:pPr>
        <w:pStyle w:val="Heading2"/>
      </w:pPr>
      <w:bookmarkStart w:id="102" w:name="_5.6_CTO_and"/>
      <w:bookmarkStart w:id="103" w:name="_5.7_Green_Digital"/>
      <w:bookmarkStart w:id="104" w:name="_5.6_Green_digital"/>
      <w:bookmarkStart w:id="105" w:name="_Toc179219758"/>
      <w:bookmarkStart w:id="106" w:name="_Toc179221068"/>
      <w:bookmarkStart w:id="107" w:name="_Hlk172133209"/>
      <w:bookmarkStart w:id="108" w:name="_Hlk120616343"/>
      <w:bookmarkEnd w:id="102"/>
      <w:bookmarkEnd w:id="103"/>
      <w:bookmarkEnd w:id="104"/>
      <w:r w:rsidRPr="00C57224">
        <w:t>5.6</w:t>
      </w:r>
      <w:r>
        <w:tab/>
      </w:r>
      <w:r w:rsidR="002A09A2" w:rsidRPr="00C57224">
        <w:t xml:space="preserve">Green </w:t>
      </w:r>
      <w:r w:rsidR="00B44AD8" w:rsidRPr="00C57224">
        <w:t>d</w:t>
      </w:r>
      <w:r w:rsidR="002A09A2" w:rsidRPr="00C57224">
        <w:t xml:space="preserve">igital </w:t>
      </w:r>
      <w:r w:rsidR="00B44AD8" w:rsidRPr="00C57224">
        <w:t>a</w:t>
      </w:r>
      <w:r w:rsidR="002A09A2" w:rsidRPr="00C57224">
        <w:t>ction</w:t>
      </w:r>
      <w:bookmarkEnd w:id="105"/>
      <w:bookmarkEnd w:id="106"/>
    </w:p>
    <w:p w14:paraId="1FB595F4" w14:textId="38981C27" w:rsidR="00A26387" w:rsidRPr="00C57224" w:rsidRDefault="00391B7F" w:rsidP="00391B7F">
      <w:pPr>
        <w:rPr>
          <w:lang w:eastAsia="en-US"/>
        </w:rPr>
      </w:pPr>
      <w:r w:rsidRPr="00C57224">
        <w:rPr>
          <w:lang w:eastAsia="en-US"/>
        </w:rPr>
        <w:t xml:space="preserve">ITU continues its </w:t>
      </w:r>
      <w:hyperlink r:id="rId215" w:history="1">
        <w:r w:rsidRPr="00C57224">
          <w:rPr>
            <w:rStyle w:val="Hyperlink"/>
            <w:lang w:eastAsia="en-US"/>
          </w:rPr>
          <w:t>Green Digital Action activities</w:t>
        </w:r>
      </w:hyperlink>
      <w:r w:rsidRPr="00C57224">
        <w:rPr>
          <w:lang w:eastAsia="en-US"/>
        </w:rPr>
        <w:t xml:space="preserve"> following their initiation with the </w:t>
      </w:r>
      <w:hyperlink r:id="rId216" w:history="1">
        <w:r w:rsidRPr="00C57224">
          <w:rPr>
            <w:rStyle w:val="Hyperlink"/>
            <w:lang w:eastAsia="en-US"/>
          </w:rPr>
          <w:t>Green Digital Action track at COP28</w:t>
        </w:r>
      </w:hyperlink>
      <w:r w:rsidRPr="00C57224">
        <w:rPr>
          <w:lang w:eastAsia="en-US"/>
        </w:rPr>
        <w:t xml:space="preserve"> in 2023 in Dubai, UAE, together with partners spanning governments, companies, industry associations, civil society and fellow UN agencies.</w:t>
      </w:r>
    </w:p>
    <w:p w14:paraId="3759B80C" w14:textId="77777777" w:rsidR="00A26387" w:rsidRPr="00C57224" w:rsidRDefault="00391B7F" w:rsidP="00391B7F">
      <w:pPr>
        <w:rPr>
          <w:lang w:eastAsia="en-US"/>
        </w:rPr>
      </w:pPr>
      <w:r w:rsidRPr="00C57224">
        <w:rPr>
          <w:lang w:eastAsia="en-US"/>
        </w:rPr>
        <w:t>TSB/ITU-T play</w:t>
      </w:r>
      <w:r w:rsidR="00002020" w:rsidRPr="00C57224">
        <w:rPr>
          <w:lang w:eastAsia="en-US"/>
        </w:rPr>
        <w:t>s</w:t>
      </w:r>
      <w:r w:rsidRPr="00C57224">
        <w:rPr>
          <w:lang w:eastAsia="en-US"/>
        </w:rPr>
        <w:t xml:space="preserve"> a leading role in the facilitation of Green Digital Action activities focused on standardization.</w:t>
      </w:r>
    </w:p>
    <w:p w14:paraId="219DF583" w14:textId="58383A92" w:rsidR="00A26387" w:rsidRPr="00C57224" w:rsidRDefault="00391B7F" w:rsidP="006D7181">
      <w:pPr>
        <w:rPr>
          <w:lang w:eastAsia="en-US"/>
        </w:rPr>
      </w:pPr>
      <w:r w:rsidRPr="00C57224">
        <w:rPr>
          <w:lang w:eastAsia="en-US"/>
        </w:rPr>
        <w:t xml:space="preserve">Three Green Digital Action </w:t>
      </w:r>
      <w:hyperlink r:id="rId217" w:history="1">
        <w:r w:rsidRPr="00C57224">
          <w:rPr>
            <w:rStyle w:val="Hyperlink"/>
            <w:lang w:eastAsia="en-US"/>
          </w:rPr>
          <w:t>webinars</w:t>
        </w:r>
      </w:hyperlink>
      <w:r w:rsidRPr="00C57224">
        <w:rPr>
          <w:lang w:eastAsia="en-US"/>
        </w:rPr>
        <w:t xml:space="preserve"> have been arranged in 2024</w:t>
      </w:r>
      <w:r w:rsidR="006D7181" w:rsidRPr="00C57224">
        <w:rPr>
          <w:lang w:eastAsia="en-US"/>
        </w:rPr>
        <w:t xml:space="preserve"> on the transition to net-zero emissions, in particular standardized </w:t>
      </w:r>
      <w:r w:rsidRPr="00C57224">
        <w:rPr>
          <w:lang w:eastAsia="en-US"/>
        </w:rPr>
        <w:t>methodologies for measuring ICT sector progress</w:t>
      </w:r>
      <w:r w:rsidR="006D7181" w:rsidRPr="00C57224">
        <w:rPr>
          <w:lang w:eastAsia="en-US"/>
        </w:rPr>
        <w:t>, c</w:t>
      </w:r>
      <w:r w:rsidRPr="00C57224">
        <w:rPr>
          <w:lang w:eastAsia="en-US"/>
        </w:rPr>
        <w:t>reating transition plans in the ICT sector</w:t>
      </w:r>
      <w:r w:rsidR="006D7181" w:rsidRPr="00C57224">
        <w:rPr>
          <w:lang w:eastAsia="en-US"/>
        </w:rPr>
        <w:t xml:space="preserve"> and </w:t>
      </w:r>
      <w:r w:rsidRPr="00C57224">
        <w:rPr>
          <w:lang w:eastAsia="en-US"/>
        </w:rPr>
        <w:t>science-based targets</w:t>
      </w:r>
      <w:r w:rsidR="006D7181" w:rsidRPr="00C57224">
        <w:rPr>
          <w:lang w:eastAsia="en-US"/>
        </w:rPr>
        <w:t>.</w:t>
      </w:r>
    </w:p>
    <w:p w14:paraId="79A01415" w14:textId="2A5CF10D" w:rsidR="00A6223E" w:rsidRPr="00C57224" w:rsidRDefault="00327645" w:rsidP="00A6223E">
      <w:pPr>
        <w:rPr>
          <w:lang w:eastAsia="en-US"/>
        </w:rPr>
      </w:pPr>
      <w:hyperlink r:id="rId218" w:history="1">
        <w:r w:rsidR="00A6223E" w:rsidRPr="00C57224">
          <w:rPr>
            <w:rStyle w:val="Hyperlink"/>
            <w:lang w:eastAsia="en-US"/>
          </w:rPr>
          <w:t>Among the outcomes</w:t>
        </w:r>
      </w:hyperlink>
      <w:r w:rsidR="00461B8B" w:rsidRPr="00C57224">
        <w:rPr>
          <w:lang w:eastAsia="en-US"/>
        </w:rPr>
        <w:t xml:space="preserve"> </w:t>
      </w:r>
      <w:r w:rsidR="00A6223E" w:rsidRPr="00C57224">
        <w:rPr>
          <w:lang w:eastAsia="en-US"/>
        </w:rPr>
        <w:t>of Green Digital Action at COP28 were:</w:t>
      </w:r>
    </w:p>
    <w:p w14:paraId="0D2F7393" w14:textId="3DA22A78" w:rsidR="00A6223E" w:rsidRPr="00C57224" w:rsidRDefault="00A6223E" w:rsidP="00A6223E">
      <w:pPr>
        <w:numPr>
          <w:ilvl w:val="0"/>
          <w:numId w:val="32"/>
        </w:numPr>
        <w:rPr>
          <w:lang w:eastAsia="en-US"/>
        </w:rPr>
      </w:pPr>
      <w:r w:rsidRPr="00C57224">
        <w:rPr>
          <w:lang w:eastAsia="en-US"/>
        </w:rPr>
        <w:t>Corporate agreements on</w:t>
      </w:r>
      <w:r w:rsidR="00461B8B" w:rsidRPr="00C57224">
        <w:rPr>
          <w:lang w:eastAsia="en-US"/>
        </w:rPr>
        <w:t xml:space="preserve"> </w:t>
      </w:r>
      <w:r w:rsidRPr="00C57224">
        <w:rPr>
          <w:lang w:eastAsia="en-US"/>
        </w:rPr>
        <w:t>reducing greenhouse gas emissions</w:t>
      </w:r>
      <w:r w:rsidR="00461B8B" w:rsidRPr="00C57224">
        <w:rPr>
          <w:lang w:eastAsia="en-US"/>
        </w:rPr>
        <w:t xml:space="preserve"> </w:t>
      </w:r>
      <w:r w:rsidRPr="00C57224">
        <w:rPr>
          <w:lang w:eastAsia="en-US"/>
        </w:rPr>
        <w:t>following science-based targets aligned with the goal of limiting climate warming to 1.</w:t>
      </w:r>
      <w:proofErr w:type="gramStart"/>
      <w:r w:rsidRPr="00C57224">
        <w:rPr>
          <w:lang w:eastAsia="en-US"/>
        </w:rPr>
        <w:t>5</w:t>
      </w:r>
      <w:r w:rsidRPr="00C57224">
        <w:rPr>
          <w:vertAlign w:val="superscript"/>
          <w:lang w:eastAsia="en-US"/>
        </w:rPr>
        <w:t>o</w:t>
      </w:r>
      <w:r w:rsidRPr="00C57224">
        <w:rPr>
          <w:lang w:eastAsia="en-US"/>
        </w:rPr>
        <w:t>C, and</w:t>
      </w:r>
      <w:proofErr w:type="gramEnd"/>
      <w:r w:rsidRPr="00C57224">
        <w:rPr>
          <w:lang w:eastAsia="en-US"/>
        </w:rPr>
        <w:t xml:space="preserve"> creating</w:t>
      </w:r>
      <w:r w:rsidR="00461B8B" w:rsidRPr="00C57224">
        <w:rPr>
          <w:lang w:eastAsia="en-US"/>
        </w:rPr>
        <w:t xml:space="preserve"> </w:t>
      </w:r>
      <w:r w:rsidRPr="00C57224">
        <w:rPr>
          <w:lang w:eastAsia="en-US"/>
        </w:rPr>
        <w:t>transition plans</w:t>
      </w:r>
      <w:r w:rsidR="00461B8B" w:rsidRPr="00C57224">
        <w:rPr>
          <w:lang w:eastAsia="en-US"/>
        </w:rPr>
        <w:t xml:space="preserve"> </w:t>
      </w:r>
      <w:r w:rsidRPr="00C57224">
        <w:rPr>
          <w:lang w:eastAsia="en-US"/>
        </w:rPr>
        <w:t>as well as</w:t>
      </w:r>
      <w:r w:rsidR="00461B8B" w:rsidRPr="00C57224">
        <w:rPr>
          <w:lang w:eastAsia="en-US"/>
        </w:rPr>
        <w:t xml:space="preserve"> </w:t>
      </w:r>
      <w:r w:rsidRPr="00C57224">
        <w:rPr>
          <w:lang w:eastAsia="en-US"/>
        </w:rPr>
        <w:t>increasing transparency</w:t>
      </w:r>
      <w:r w:rsidR="00461B8B" w:rsidRPr="00C57224">
        <w:rPr>
          <w:lang w:eastAsia="en-US"/>
        </w:rPr>
        <w:t xml:space="preserve"> </w:t>
      </w:r>
      <w:r w:rsidRPr="00C57224">
        <w:rPr>
          <w:lang w:eastAsia="en-US"/>
        </w:rPr>
        <w:t>on emissions data across the tech industry.</w:t>
      </w:r>
    </w:p>
    <w:p w14:paraId="70719150" w14:textId="3D254EE4" w:rsidR="00A6223E" w:rsidRPr="00C57224" w:rsidRDefault="00A6223E" w:rsidP="00A6223E">
      <w:pPr>
        <w:numPr>
          <w:ilvl w:val="0"/>
          <w:numId w:val="32"/>
        </w:numPr>
        <w:rPr>
          <w:lang w:eastAsia="en-US"/>
        </w:rPr>
      </w:pPr>
      <w:r w:rsidRPr="00C57224">
        <w:rPr>
          <w:lang w:eastAsia="en-US"/>
        </w:rPr>
        <w:t>Cross-country collaboration to</w:t>
      </w:r>
      <w:r w:rsidR="00461B8B" w:rsidRPr="00C57224">
        <w:rPr>
          <w:lang w:eastAsia="en-US"/>
        </w:rPr>
        <w:t xml:space="preserve"> </w:t>
      </w:r>
      <w:r w:rsidRPr="00C57224">
        <w:rPr>
          <w:lang w:eastAsia="en-US"/>
        </w:rPr>
        <w:t>develop e-waste regulation</w:t>
      </w:r>
      <w:r w:rsidR="00461B8B" w:rsidRPr="00C57224">
        <w:rPr>
          <w:lang w:eastAsia="en-US"/>
        </w:rPr>
        <w:t xml:space="preserve"> </w:t>
      </w:r>
      <w:r w:rsidRPr="00C57224">
        <w:rPr>
          <w:lang w:eastAsia="en-US"/>
        </w:rPr>
        <w:t>as a key vehicle to foster a circular tech industry.</w:t>
      </w:r>
    </w:p>
    <w:p w14:paraId="4FE08BC5" w14:textId="4FB6E022" w:rsidR="00A6223E" w:rsidRPr="00C57224" w:rsidRDefault="00327645" w:rsidP="00A6223E">
      <w:pPr>
        <w:numPr>
          <w:ilvl w:val="0"/>
          <w:numId w:val="32"/>
        </w:numPr>
        <w:rPr>
          <w:lang w:eastAsia="en-US"/>
        </w:rPr>
      </w:pPr>
      <w:hyperlink r:id="rId219" w:history="1">
        <w:r w:rsidR="00A6223E" w:rsidRPr="00C57224">
          <w:rPr>
            <w:rStyle w:val="Hyperlink"/>
            <w:lang w:eastAsia="en-US"/>
          </w:rPr>
          <w:t>Joint statement</w:t>
        </w:r>
      </w:hyperlink>
      <w:r w:rsidR="00A6223E" w:rsidRPr="00C57224">
        <w:rPr>
          <w:lang w:eastAsia="en-US"/>
        </w:rPr>
        <w:t xml:space="preserve"> by ITU, ISO and IEC on the importance of</w:t>
      </w:r>
      <w:r w:rsidR="00461B8B" w:rsidRPr="00C57224">
        <w:rPr>
          <w:lang w:eastAsia="en-US"/>
        </w:rPr>
        <w:t xml:space="preserve"> </w:t>
      </w:r>
      <w:r w:rsidR="00A6223E" w:rsidRPr="00C57224">
        <w:rPr>
          <w:lang w:eastAsia="en-US"/>
        </w:rPr>
        <w:t>sustainability being built into technical standards development by design, and standards helping the world reach net-zero emissions and achieve a resource-efficient circular and low-carbon economy.</w:t>
      </w:r>
    </w:p>
    <w:p w14:paraId="745ED902" w14:textId="5327C2BB" w:rsidR="00A6223E" w:rsidRPr="00C57224" w:rsidRDefault="00A6223E" w:rsidP="00A6223E">
      <w:pPr>
        <w:numPr>
          <w:ilvl w:val="0"/>
          <w:numId w:val="32"/>
        </w:numPr>
        <w:rPr>
          <w:lang w:eastAsia="en-US"/>
        </w:rPr>
      </w:pPr>
      <w:r w:rsidRPr="00C57224">
        <w:rPr>
          <w:lang w:eastAsia="en-US"/>
        </w:rPr>
        <w:t>Strengthening of industry and country collaboration on the implementation of</w:t>
      </w:r>
      <w:r w:rsidR="00461B8B" w:rsidRPr="00C57224">
        <w:rPr>
          <w:lang w:eastAsia="en-US"/>
        </w:rPr>
        <w:t xml:space="preserve"> </w:t>
      </w:r>
      <w:r w:rsidRPr="00C57224">
        <w:rPr>
          <w:lang w:eastAsia="en-US"/>
        </w:rPr>
        <w:t>environmental sustainability standards</w:t>
      </w:r>
      <w:r w:rsidR="00461B8B" w:rsidRPr="00C57224">
        <w:rPr>
          <w:lang w:eastAsia="en-US"/>
        </w:rPr>
        <w:t xml:space="preserve"> </w:t>
      </w:r>
      <w:r w:rsidRPr="00C57224">
        <w:rPr>
          <w:lang w:eastAsia="en-US"/>
        </w:rPr>
        <w:t xml:space="preserve">through an </w:t>
      </w:r>
      <w:hyperlink r:id="rId220" w:history="1">
        <w:r w:rsidRPr="00C57224">
          <w:rPr>
            <w:rStyle w:val="Hyperlink"/>
            <w:lang w:eastAsia="en-US"/>
          </w:rPr>
          <w:t>action plan</w:t>
        </w:r>
      </w:hyperlink>
      <w:r w:rsidRPr="00C57224">
        <w:rPr>
          <w:lang w:eastAsia="en-US"/>
        </w:rPr>
        <w:t>.</w:t>
      </w:r>
    </w:p>
    <w:p w14:paraId="75B816C3" w14:textId="23BDB64D" w:rsidR="00A6223E" w:rsidRPr="00C57224" w:rsidRDefault="00A6223E" w:rsidP="00A6223E">
      <w:pPr>
        <w:numPr>
          <w:ilvl w:val="0"/>
          <w:numId w:val="32"/>
        </w:numPr>
        <w:rPr>
          <w:lang w:eastAsia="en-US"/>
        </w:rPr>
      </w:pPr>
      <w:r w:rsidRPr="00C57224">
        <w:rPr>
          <w:lang w:eastAsia="en-US"/>
        </w:rPr>
        <w:t>Pledge from the mobile telecommunication and satellite industry to</w:t>
      </w:r>
      <w:r w:rsidR="00461B8B" w:rsidRPr="00C57224">
        <w:rPr>
          <w:lang w:eastAsia="en-US"/>
        </w:rPr>
        <w:t xml:space="preserve"> </w:t>
      </w:r>
      <w:r w:rsidRPr="00C57224">
        <w:rPr>
          <w:lang w:eastAsia="en-US"/>
        </w:rPr>
        <w:t>support the</w:t>
      </w:r>
      <w:r w:rsidR="00461B8B" w:rsidRPr="00C57224">
        <w:rPr>
          <w:lang w:eastAsia="en-US"/>
        </w:rPr>
        <w:t xml:space="preserve"> </w:t>
      </w:r>
      <w:r w:rsidRPr="00C57224">
        <w:rPr>
          <w:lang w:eastAsia="en-US"/>
        </w:rPr>
        <w:t>Early Warnings for All initiative</w:t>
      </w:r>
      <w:r w:rsidR="00461B8B" w:rsidRPr="00C57224">
        <w:rPr>
          <w:lang w:eastAsia="en-US"/>
        </w:rPr>
        <w:t xml:space="preserve"> </w:t>
      </w:r>
      <w:r w:rsidRPr="00C57224">
        <w:rPr>
          <w:lang w:eastAsia="en-US"/>
        </w:rPr>
        <w:t>through cell-broadcast and direct-to-device services to protect everyone through life-saving disaster alerts by 2027. A public sector pledge to implement cell-broadcast using a regulatory approach was also made.</w:t>
      </w:r>
    </w:p>
    <w:p w14:paraId="6A7E227C" w14:textId="08DC317D" w:rsidR="00A6223E" w:rsidRPr="00C57224" w:rsidRDefault="00A6223E" w:rsidP="00A6223E">
      <w:pPr>
        <w:rPr>
          <w:lang w:eastAsia="en-US"/>
        </w:rPr>
      </w:pPr>
      <w:r w:rsidRPr="00C57224">
        <w:rPr>
          <w:lang w:eastAsia="en-US"/>
        </w:rPr>
        <w:t xml:space="preserve">The </w:t>
      </w:r>
      <w:hyperlink r:id="rId221" w:tgtFrame="_blank" w:history="1">
        <w:r w:rsidRPr="00C57224">
          <w:rPr>
            <w:rStyle w:val="Hyperlink"/>
            <w:lang w:eastAsia="en-US"/>
          </w:rPr>
          <w:t>AI/ML Solutions for Climate Change challenge</w:t>
        </w:r>
      </w:hyperlink>
      <w:r w:rsidR="00461B8B" w:rsidRPr="00C57224">
        <w:rPr>
          <w:lang w:eastAsia="en-US"/>
        </w:rPr>
        <w:t xml:space="preserve"> </w:t>
      </w:r>
      <w:r w:rsidRPr="00C57224">
        <w:rPr>
          <w:lang w:eastAsia="en-US"/>
        </w:rPr>
        <w:t>also culminated at COP28. The challenge was supported by</w:t>
      </w:r>
      <w:r w:rsidR="00461B8B" w:rsidRPr="00C57224">
        <w:rPr>
          <w:lang w:eastAsia="en-US"/>
        </w:rPr>
        <w:t xml:space="preserve"> </w:t>
      </w:r>
      <w:r w:rsidRPr="00C57224">
        <w:rPr>
          <w:lang w:eastAsia="en-US"/>
        </w:rPr>
        <w:t xml:space="preserve">supported by ITU, IAEA, FAO, </w:t>
      </w:r>
      <w:r w:rsidR="006D7181" w:rsidRPr="00C57224">
        <w:rPr>
          <w:lang w:eastAsia="en-US"/>
        </w:rPr>
        <w:t xml:space="preserve">UNESCO </w:t>
      </w:r>
      <w:r w:rsidRPr="00C57224">
        <w:rPr>
          <w:lang w:eastAsia="en-US"/>
        </w:rPr>
        <w:t>and the World Bank. The competitions were facilitated by a stream of the</w:t>
      </w:r>
      <w:r w:rsidR="00461B8B" w:rsidRPr="00C57224">
        <w:rPr>
          <w:lang w:eastAsia="en-US"/>
        </w:rPr>
        <w:t xml:space="preserve"> </w:t>
      </w:r>
      <w:hyperlink r:id="rId222" w:tgtFrame="_blank" w:history="1">
        <w:r w:rsidRPr="00C57224">
          <w:rPr>
            <w:rStyle w:val="Hyperlink"/>
            <w:lang w:eastAsia="en-US"/>
          </w:rPr>
          <w:t>AI for Good Innovation Factory</w:t>
        </w:r>
      </w:hyperlink>
      <w:r w:rsidR="00461B8B" w:rsidRPr="00C57224">
        <w:rPr>
          <w:lang w:eastAsia="en-US"/>
        </w:rPr>
        <w:t xml:space="preserve"> </w:t>
      </w:r>
      <w:r w:rsidRPr="00C57224">
        <w:rPr>
          <w:lang w:eastAsia="en-US"/>
        </w:rPr>
        <w:t>led by ITU and IAEA.</w:t>
      </w:r>
    </w:p>
    <w:p w14:paraId="583C0496" w14:textId="31B5BF64" w:rsidR="00A26387" w:rsidRPr="00C57224" w:rsidRDefault="00B15B5E" w:rsidP="00B15B5E">
      <w:pPr>
        <w:rPr>
          <w:lang w:eastAsia="en-US"/>
        </w:rPr>
      </w:pPr>
      <w:r w:rsidRPr="00C57224">
        <w:rPr>
          <w:lang w:eastAsia="en-US"/>
        </w:rPr>
        <w:t>The</w:t>
      </w:r>
      <w:r w:rsidR="00461B8B" w:rsidRPr="00C57224">
        <w:rPr>
          <w:lang w:eastAsia="en-US"/>
        </w:rPr>
        <w:t xml:space="preserve"> </w:t>
      </w:r>
      <w:hyperlink r:id="rId223" w:history="1">
        <w:r w:rsidRPr="00C57224">
          <w:rPr>
            <w:rStyle w:val="Hyperlink"/>
            <w:lang w:eastAsia="en-US"/>
          </w:rPr>
          <w:t>UN Climate Change Conference (COP27)</w:t>
        </w:r>
      </w:hyperlink>
      <w:r w:rsidRPr="00C57224">
        <w:rPr>
          <w:lang w:eastAsia="en-US"/>
        </w:rPr>
        <w:t xml:space="preserve"> was held in Sharm El-Sheikh, Egypt, 17-18 November 2022.</w:t>
      </w:r>
    </w:p>
    <w:p w14:paraId="6108A0B9" w14:textId="77777777" w:rsidR="00A26387" w:rsidRPr="00C57224" w:rsidRDefault="00B15B5E" w:rsidP="00B15B5E">
      <w:pPr>
        <w:rPr>
          <w:lang w:eastAsia="en-US"/>
        </w:rPr>
      </w:pPr>
      <w:r w:rsidRPr="00C57224">
        <w:rPr>
          <w:lang w:eastAsia="en-US"/>
        </w:rPr>
        <w:t>ITU organized an exhibit</w:t>
      </w:r>
      <w:r w:rsidR="00461B8B" w:rsidRPr="00C57224">
        <w:rPr>
          <w:lang w:eastAsia="en-US"/>
        </w:rPr>
        <w:t xml:space="preserve"> </w:t>
      </w:r>
      <w:r w:rsidRPr="00C57224">
        <w:rPr>
          <w:lang w:eastAsia="en-US"/>
        </w:rPr>
        <w:t xml:space="preserve">– themed "Turning digital innovation into climate action to reach net zero" – with the support of UNEP, UN University, UNIDO, UN-HABITAT, WHO, ILO, UNITAR, </w:t>
      </w:r>
      <w:r w:rsidRPr="00C57224">
        <w:rPr>
          <w:lang w:eastAsia="en-US"/>
        </w:rPr>
        <w:lastRenderedPageBreak/>
        <w:t>ITC, Basel Convention, Rotterdam Convention, Stockholm Convention, UNECE, ECLAC, FAO, UNDP, UNECA, UNESCO, UNFCCC, UNOP, UN Women, and WMO.</w:t>
      </w:r>
    </w:p>
    <w:p w14:paraId="7BCDD4E6" w14:textId="10F34E1E" w:rsidR="00B15B5E" w:rsidRPr="00C57224" w:rsidRDefault="00B15B5E" w:rsidP="006D7181">
      <w:pPr>
        <w:rPr>
          <w:lang w:eastAsia="en-US"/>
        </w:rPr>
      </w:pPr>
      <w:r w:rsidRPr="00C57224">
        <w:rPr>
          <w:lang w:eastAsia="en-US"/>
        </w:rPr>
        <w:t>TSB/ITU-T led ITU's organization of COP27 events</w:t>
      </w:r>
      <w:r w:rsidR="00002020" w:rsidRPr="00C57224">
        <w:rPr>
          <w:lang w:eastAsia="en-US"/>
        </w:rPr>
        <w:t xml:space="preserve"> on topics including e-waste and circular economy, emissions reduction to achieve net zero, and digital transformation for smart sustainable cities. </w:t>
      </w:r>
      <w:r w:rsidR="006D7181" w:rsidRPr="00C57224">
        <w:rPr>
          <w:lang w:eastAsia="en-US"/>
        </w:rPr>
        <w:t xml:space="preserve">These COP27 events were organized by ITU in partnership with </w:t>
      </w:r>
      <w:r w:rsidRPr="00C57224">
        <w:rPr>
          <w:lang w:eastAsia="en-US"/>
        </w:rPr>
        <w:t>Egypt's Ministry of Communications and Information Technology</w:t>
      </w:r>
      <w:r w:rsidR="006D7181" w:rsidRPr="00C57224">
        <w:rPr>
          <w:lang w:eastAsia="en-US"/>
        </w:rPr>
        <w:t xml:space="preserve">, </w:t>
      </w:r>
      <w:r w:rsidRPr="00C57224">
        <w:rPr>
          <w:lang w:eastAsia="en-US"/>
        </w:rPr>
        <w:t>UNECA</w:t>
      </w:r>
      <w:r w:rsidR="006D7181" w:rsidRPr="00C57224">
        <w:t xml:space="preserve"> and</w:t>
      </w:r>
      <w:r w:rsidRPr="00C57224">
        <w:rPr>
          <w:lang w:eastAsia="en-US"/>
        </w:rPr>
        <w:t xml:space="preserve"> UNITAR</w:t>
      </w:r>
      <w:r w:rsidR="006D7181" w:rsidRPr="00C57224">
        <w:rPr>
          <w:lang w:eastAsia="en-US"/>
        </w:rPr>
        <w:t>.</w:t>
      </w:r>
    </w:p>
    <w:p w14:paraId="6D5BB012" w14:textId="4B7C3CE0" w:rsidR="00A26387" w:rsidRPr="00C57224" w:rsidRDefault="006D7181" w:rsidP="00B15B5E">
      <w:r w:rsidRPr="00C57224">
        <w:t xml:space="preserve">For all workshops, symposia and webinars on environment, climate change and circular economy organized in the study period, see relevant </w:t>
      </w:r>
      <w:hyperlink r:id="rId224" w:history="1">
        <w:r w:rsidRPr="00C57224">
          <w:rPr>
            <w:rStyle w:val="Hyperlink"/>
          </w:rPr>
          <w:t>web page</w:t>
        </w:r>
      </w:hyperlink>
      <w:r w:rsidRPr="00C57224">
        <w:t>.</w:t>
      </w:r>
    </w:p>
    <w:p w14:paraId="0A9183FA" w14:textId="2164E861" w:rsidR="00C07D6A" w:rsidRPr="00C57224" w:rsidRDefault="00AB23B7" w:rsidP="00C07D6A">
      <w:pPr>
        <w:pStyle w:val="Heading2"/>
      </w:pPr>
      <w:bookmarkStart w:id="109" w:name="_5.7_Submarine_cables"/>
      <w:bookmarkStart w:id="110" w:name="_Toc179219759"/>
      <w:bookmarkStart w:id="111" w:name="_Toc179221069"/>
      <w:bookmarkEnd w:id="109"/>
      <w:r w:rsidRPr="00C57224">
        <w:t>5.7</w:t>
      </w:r>
      <w:r>
        <w:tab/>
      </w:r>
      <w:r w:rsidR="00C07D6A" w:rsidRPr="00C57224">
        <w:t>Submarine cables and climate action</w:t>
      </w:r>
      <w:bookmarkEnd w:id="110"/>
      <w:bookmarkEnd w:id="111"/>
    </w:p>
    <w:p w14:paraId="16FFB66E" w14:textId="1FD90896" w:rsidR="00A26387" w:rsidRPr="00C57224" w:rsidRDefault="00C07D6A" w:rsidP="00C07D6A">
      <w:pPr>
        <w:rPr>
          <w:lang w:eastAsia="en-US"/>
        </w:rPr>
      </w:pPr>
      <w:r w:rsidRPr="00C57224">
        <w:rPr>
          <w:lang w:eastAsia="en-US"/>
        </w:rPr>
        <w:t xml:space="preserve">The </w:t>
      </w:r>
      <w:hyperlink r:id="rId225" w:history="1">
        <w:r w:rsidRPr="00C57224">
          <w:rPr>
            <w:rStyle w:val="Hyperlink"/>
            <w:lang w:eastAsia="en-US"/>
          </w:rPr>
          <w:t>Joint Task Force on</w:t>
        </w:r>
        <w:r w:rsidR="00461B8B" w:rsidRPr="00C57224">
          <w:rPr>
            <w:rStyle w:val="Hyperlink"/>
            <w:lang w:eastAsia="en-US"/>
          </w:rPr>
          <w:t xml:space="preserve"> </w:t>
        </w:r>
        <w:r w:rsidRPr="00C57224">
          <w:rPr>
            <w:rStyle w:val="Hyperlink"/>
            <w:lang w:eastAsia="en-US"/>
          </w:rPr>
          <w:t>SMART cable systems</w:t>
        </w:r>
      </w:hyperlink>
      <w:r w:rsidR="00A26387" w:rsidRPr="00C57224">
        <w:rPr>
          <w:lang w:eastAsia="en-US"/>
        </w:rPr>
        <w:t xml:space="preserve"> </w:t>
      </w:r>
      <w:r w:rsidR="000B1514" w:rsidRPr="00C57224">
        <w:rPr>
          <w:lang w:eastAsia="en-US"/>
        </w:rPr>
        <w:t xml:space="preserve">supported by ITU, UNESCO-IOC and WMO </w:t>
      </w:r>
      <w:r w:rsidRPr="00C57224">
        <w:rPr>
          <w:lang w:eastAsia="en-US"/>
        </w:rPr>
        <w:t xml:space="preserve">is dedicated to advancing the concept of </w:t>
      </w:r>
      <w:r w:rsidR="00BA31D3" w:rsidRPr="00C57224">
        <w:rPr>
          <w:lang w:eastAsia="en-US"/>
        </w:rPr>
        <w:t>"</w:t>
      </w:r>
      <w:r w:rsidRPr="00C57224">
        <w:rPr>
          <w:lang w:eastAsia="en-US"/>
        </w:rPr>
        <w:t>Science Monitoring And Reliable Telecommunications (SMART) cables</w:t>
      </w:r>
      <w:r w:rsidR="00BA31D3" w:rsidRPr="00C57224">
        <w:rPr>
          <w:lang w:eastAsia="en-US"/>
        </w:rPr>
        <w:t>"</w:t>
      </w:r>
      <w:r w:rsidRPr="00C57224">
        <w:rPr>
          <w:lang w:eastAsia="en-US"/>
        </w:rPr>
        <w:t>.</w:t>
      </w:r>
    </w:p>
    <w:p w14:paraId="157535AB" w14:textId="2BD6673D" w:rsidR="00C07D6A" w:rsidRPr="00C57224" w:rsidRDefault="00C07D6A" w:rsidP="00C07D6A">
      <w:pPr>
        <w:rPr>
          <w:lang w:eastAsia="en-US"/>
        </w:rPr>
      </w:pPr>
      <w:r w:rsidRPr="00C57224">
        <w:rPr>
          <w:lang w:eastAsia="en-US"/>
        </w:rPr>
        <w:t>The minimum set of requirements established by the J</w:t>
      </w:r>
      <w:r w:rsidR="004F5EFE" w:rsidRPr="00C57224">
        <w:rPr>
          <w:lang w:eastAsia="en-US"/>
        </w:rPr>
        <w:t xml:space="preserve">oint </w:t>
      </w:r>
      <w:r w:rsidRPr="00C57224">
        <w:rPr>
          <w:lang w:eastAsia="en-US"/>
        </w:rPr>
        <w:t>T</w:t>
      </w:r>
      <w:r w:rsidR="004F5EFE" w:rsidRPr="00C57224">
        <w:rPr>
          <w:lang w:eastAsia="en-US"/>
        </w:rPr>
        <w:t xml:space="preserve">ask </w:t>
      </w:r>
      <w:r w:rsidRPr="00C57224">
        <w:rPr>
          <w:lang w:eastAsia="en-US"/>
        </w:rPr>
        <w:t>F</w:t>
      </w:r>
      <w:r w:rsidR="004F5EFE" w:rsidRPr="00C57224">
        <w:rPr>
          <w:lang w:eastAsia="en-US"/>
        </w:rPr>
        <w:t>orce</w:t>
      </w:r>
      <w:r w:rsidRPr="00C57224">
        <w:rPr>
          <w:lang w:eastAsia="en-US"/>
        </w:rPr>
        <w:t xml:space="preserve"> are feeding into ITU-T standardization work, with two new </w:t>
      </w:r>
      <w:r w:rsidR="00360BC6">
        <w:rPr>
          <w:rFonts w:eastAsia="MS Mincho" w:hint="eastAsia"/>
        </w:rPr>
        <w:t>ITU-T Recommendations being approved in August 2024</w:t>
      </w:r>
      <w:r w:rsidRPr="00C57224">
        <w:rPr>
          <w:lang w:eastAsia="en-US"/>
        </w:rPr>
        <w:t xml:space="preserve"> on SMART submarine cable systems </w:t>
      </w:r>
      <w:hyperlink r:id="rId226" w:history="1">
        <w:r w:rsidR="00360BC6" w:rsidRPr="00360BC6">
          <w:rPr>
            <w:rStyle w:val="Hyperlink"/>
            <w:rFonts w:eastAsia="MS Mincho" w:hint="eastAsia"/>
          </w:rPr>
          <w:t>G.9730.2</w:t>
        </w:r>
      </w:hyperlink>
      <w:r w:rsidR="00360BC6">
        <w:rPr>
          <w:rFonts w:eastAsia="MS Mincho" w:hint="eastAsia"/>
        </w:rPr>
        <w:t xml:space="preserve"> </w:t>
      </w:r>
      <w:r w:rsidRPr="00C57224">
        <w:rPr>
          <w:lang w:eastAsia="en-US"/>
        </w:rPr>
        <w:t>(</w:t>
      </w:r>
      <w:r w:rsidR="00360BC6" w:rsidRPr="00360BC6">
        <w:rPr>
          <w:rFonts w:eastAsia="MS Mincho" w:hint="eastAsia"/>
        </w:rPr>
        <w:t>ex</w:t>
      </w:r>
      <w:r w:rsidR="00360BC6">
        <w:rPr>
          <w:rFonts w:eastAsia="MS Mincho" w:hint="eastAsia"/>
        </w:rPr>
        <w:t xml:space="preserve"> </w:t>
      </w:r>
      <w:proofErr w:type="spellStart"/>
      <w:r w:rsidR="00360BC6">
        <w:rPr>
          <w:rFonts w:eastAsia="MS Mincho" w:hint="eastAsia"/>
        </w:rPr>
        <w:t>G.smart</w:t>
      </w:r>
      <w:proofErr w:type="spellEnd"/>
      <w:r w:rsidRPr="00360BC6">
        <w:rPr>
          <w:lang w:eastAsia="en-US"/>
        </w:rPr>
        <w:t xml:space="preserve">) and dedicated </w:t>
      </w:r>
      <w:r w:rsidRPr="00C57224">
        <w:rPr>
          <w:lang w:eastAsia="en-US"/>
        </w:rPr>
        <w:t>scientific sensing submarine cable system</w:t>
      </w:r>
      <w:r w:rsidR="00360BC6">
        <w:rPr>
          <w:rFonts w:eastAsia="MS Mincho" w:hint="eastAsia"/>
        </w:rPr>
        <w:t xml:space="preserve"> </w:t>
      </w:r>
      <w:hyperlink r:id="rId227" w:history="1">
        <w:r w:rsidR="00360BC6" w:rsidRPr="00360BC6">
          <w:rPr>
            <w:rStyle w:val="Hyperlink"/>
            <w:rFonts w:eastAsia="MS Mincho" w:hint="eastAsia"/>
          </w:rPr>
          <w:t>G.9730.1</w:t>
        </w:r>
      </w:hyperlink>
      <w:r w:rsidRPr="00360BC6">
        <w:rPr>
          <w:lang w:eastAsia="en-US"/>
        </w:rPr>
        <w:t xml:space="preserve"> (</w:t>
      </w:r>
      <w:r w:rsidR="00360BC6" w:rsidRPr="00360BC6">
        <w:rPr>
          <w:rFonts w:eastAsia="MS Mincho" w:hint="eastAsia"/>
        </w:rPr>
        <w:t xml:space="preserve">ex </w:t>
      </w:r>
      <w:hyperlink r:id="rId228" w:history="1">
        <w:proofErr w:type="spellStart"/>
        <w:r w:rsidRPr="00360BC6">
          <w:rPr>
            <w:rStyle w:val="Hyperlink"/>
            <w:color w:val="auto"/>
            <w:lang w:eastAsia="en-US"/>
          </w:rPr>
          <w:t>G.dsssc</w:t>
        </w:r>
        <w:proofErr w:type="spellEnd"/>
      </w:hyperlink>
      <w:r w:rsidRPr="00360BC6">
        <w:rPr>
          <w:lang w:eastAsia="en-US"/>
        </w:rPr>
        <w:t xml:space="preserve">). </w:t>
      </w:r>
      <w:r w:rsidRPr="00C57224">
        <w:rPr>
          <w:lang w:eastAsia="en-US"/>
        </w:rPr>
        <w:t>In addition, work is underway on an "impact assessment framework for evaluating how ICT-based subsea infrastructure could support climate, environmental and biodiversity monitoring in the oceans" (</w:t>
      </w:r>
      <w:hyperlink r:id="rId229" w:history="1">
        <w:r w:rsidRPr="00C57224">
          <w:rPr>
            <w:rStyle w:val="Hyperlink"/>
            <w:lang w:eastAsia="en-US"/>
          </w:rPr>
          <w:t>L.SMART</w:t>
        </w:r>
      </w:hyperlink>
      <w:r w:rsidRPr="00C57224">
        <w:rPr>
          <w:lang w:eastAsia="en-US"/>
        </w:rPr>
        <w:t>).</w:t>
      </w:r>
    </w:p>
    <w:p w14:paraId="227FC1A6" w14:textId="2C7311BF" w:rsidR="00C558B9" w:rsidRPr="00C57224" w:rsidRDefault="00AB23B7" w:rsidP="00C558B9">
      <w:pPr>
        <w:pStyle w:val="Heading2"/>
      </w:pPr>
      <w:bookmarkStart w:id="112" w:name="_5.8_Safe_listening"/>
      <w:bookmarkStart w:id="113" w:name="_Toc179219760"/>
      <w:bookmarkStart w:id="114" w:name="_Toc179221070"/>
      <w:bookmarkEnd w:id="112"/>
      <w:r w:rsidRPr="00C57224">
        <w:t>5.8</w:t>
      </w:r>
      <w:r>
        <w:tab/>
      </w:r>
      <w:r w:rsidR="00C558B9" w:rsidRPr="00C57224">
        <w:t>Safe listening and accessible telehealth</w:t>
      </w:r>
      <w:bookmarkEnd w:id="113"/>
      <w:bookmarkEnd w:id="114"/>
    </w:p>
    <w:p w14:paraId="26BA8CC5" w14:textId="0C197DE1" w:rsidR="001D5F99" w:rsidRPr="00C57224" w:rsidRDefault="001D5F99" w:rsidP="00C07D6A">
      <w:pPr>
        <w:rPr>
          <w:lang w:eastAsia="en-US"/>
        </w:rPr>
      </w:pPr>
      <w:r w:rsidRPr="00C57224">
        <w:rPr>
          <w:lang w:eastAsia="en-US"/>
        </w:rPr>
        <w:t xml:space="preserve">ITU and WHO continue </w:t>
      </w:r>
      <w:r w:rsidR="00BA31D3" w:rsidRPr="00C57224">
        <w:rPr>
          <w:lang w:eastAsia="en-US"/>
        </w:rPr>
        <w:t xml:space="preserve">working together </w:t>
      </w:r>
      <w:r w:rsidRPr="00C57224">
        <w:rPr>
          <w:lang w:eastAsia="en-US"/>
        </w:rPr>
        <w:t>on global guidelines for safe listening with devices, in venues and in video gaming and esports.</w:t>
      </w:r>
      <w:r w:rsidR="00C558B9" w:rsidRPr="00C57224">
        <w:rPr>
          <w:lang w:eastAsia="en-US"/>
        </w:rPr>
        <w:t xml:space="preserve"> </w:t>
      </w:r>
      <w:r w:rsidRPr="00C57224">
        <w:rPr>
          <w:lang w:eastAsia="en-US"/>
        </w:rPr>
        <w:t xml:space="preserve">See relevant </w:t>
      </w:r>
      <w:hyperlink r:id="rId230" w:history="1">
        <w:r w:rsidRPr="00C57224">
          <w:rPr>
            <w:rStyle w:val="Hyperlink"/>
            <w:lang w:eastAsia="en-US"/>
          </w:rPr>
          <w:t>ITU-WHO WTSA-24 side event</w:t>
        </w:r>
      </w:hyperlink>
      <w:r w:rsidRPr="00C57224">
        <w:rPr>
          <w:lang w:eastAsia="en-US"/>
        </w:rPr>
        <w:t>.</w:t>
      </w:r>
    </w:p>
    <w:p w14:paraId="78E796EF" w14:textId="26D6F54E" w:rsidR="00A26387" w:rsidRPr="00C57224" w:rsidRDefault="001D5F99" w:rsidP="00C07D6A">
      <w:pPr>
        <w:rPr>
          <w:lang w:eastAsia="en-US"/>
        </w:rPr>
      </w:pPr>
      <w:r w:rsidRPr="00C57224">
        <w:rPr>
          <w:lang w:eastAsia="en-US"/>
        </w:rPr>
        <w:t xml:space="preserve">Consent was achieved in August 2024 on a </w:t>
      </w:r>
      <w:r w:rsidR="00C558B9" w:rsidRPr="00C57224">
        <w:rPr>
          <w:lang w:eastAsia="en-US"/>
        </w:rPr>
        <w:t xml:space="preserve">new </w:t>
      </w:r>
      <w:r w:rsidRPr="00C57224">
        <w:rPr>
          <w:lang w:eastAsia="en-US"/>
        </w:rPr>
        <w:t xml:space="preserve">ITU-WHO </w:t>
      </w:r>
      <w:r w:rsidR="00C558B9" w:rsidRPr="00C57224">
        <w:rPr>
          <w:lang w:eastAsia="en-US"/>
        </w:rPr>
        <w:t>standard for safe listening in video gam</w:t>
      </w:r>
      <w:r w:rsidRPr="00C57224">
        <w:rPr>
          <w:lang w:eastAsia="en-US"/>
        </w:rPr>
        <w:t>eplay</w:t>
      </w:r>
      <w:r w:rsidR="00C558B9" w:rsidRPr="00C57224">
        <w:rPr>
          <w:lang w:eastAsia="en-US"/>
        </w:rPr>
        <w:t xml:space="preserve"> and esports</w:t>
      </w:r>
      <w:r w:rsidRPr="00C57224">
        <w:rPr>
          <w:lang w:eastAsia="en-US"/>
        </w:rPr>
        <w:t xml:space="preserve">, </w:t>
      </w:r>
      <w:hyperlink r:id="rId231" w:history="1">
        <w:r w:rsidRPr="00C57224">
          <w:rPr>
            <w:rStyle w:val="Hyperlink"/>
            <w:lang w:eastAsia="en-US"/>
          </w:rPr>
          <w:t>Recommendation ITU-T H.872 "Safe listening for video gameplay esports"</w:t>
        </w:r>
      </w:hyperlink>
      <w:r w:rsidRPr="00C57224">
        <w:rPr>
          <w:lang w:eastAsia="en-US"/>
        </w:rPr>
        <w:t xml:space="preserve">. Collaboration to develop H.872 </w:t>
      </w:r>
      <w:r w:rsidR="00C558B9" w:rsidRPr="00C57224">
        <w:rPr>
          <w:lang w:eastAsia="en-US"/>
        </w:rPr>
        <w:t>buil</w:t>
      </w:r>
      <w:r w:rsidRPr="00C57224">
        <w:rPr>
          <w:lang w:eastAsia="en-US"/>
        </w:rPr>
        <w:t>t</w:t>
      </w:r>
      <w:r w:rsidR="00C558B9" w:rsidRPr="00C57224">
        <w:rPr>
          <w:lang w:eastAsia="en-US"/>
        </w:rPr>
        <w:t xml:space="preserve"> on the success of ITU-WHO collaboration on safe listening with</w:t>
      </w:r>
      <w:r w:rsidR="00BA31D3" w:rsidRPr="00C57224">
        <w:rPr>
          <w:lang w:eastAsia="en-US"/>
        </w:rPr>
        <w:t xml:space="preserve"> devices</w:t>
      </w:r>
      <w:r w:rsidR="00070774" w:rsidRPr="00C57224">
        <w:rPr>
          <w:lang w:eastAsia="en-US"/>
        </w:rPr>
        <w:t>,</w:t>
      </w:r>
      <w:r w:rsidR="00BA31D3" w:rsidRPr="00C57224">
        <w:rPr>
          <w:lang w:eastAsia="en-US"/>
        </w:rPr>
        <w:t xml:space="preserve"> particularly music players,</w:t>
      </w:r>
      <w:r w:rsidR="00070774" w:rsidRPr="00C57224">
        <w:rPr>
          <w:lang w:eastAsia="en-US"/>
        </w:rPr>
        <w:t xml:space="preserve"> which delivered </w:t>
      </w:r>
      <w:hyperlink r:id="rId232" w:history="1">
        <w:r w:rsidR="00070774" w:rsidRPr="00C57224">
          <w:rPr>
            <w:rStyle w:val="Hyperlink"/>
            <w:lang w:eastAsia="en-US"/>
          </w:rPr>
          <w:t>Recommendation ITU-T</w:t>
        </w:r>
        <w:r w:rsidR="00E85FBC" w:rsidRPr="00C57224">
          <w:rPr>
            <w:rStyle w:val="Hyperlink"/>
            <w:lang w:eastAsia="en-US"/>
          </w:rPr>
          <w:t xml:space="preserve"> H.870 "Guidelines for safe listening devices/systems"</w:t>
        </w:r>
      </w:hyperlink>
      <w:r w:rsidR="00070774" w:rsidRPr="00C57224">
        <w:rPr>
          <w:lang w:eastAsia="en-US"/>
        </w:rPr>
        <w:t xml:space="preserve"> and its associated </w:t>
      </w:r>
      <w:hyperlink r:id="rId233" w:history="1">
        <w:r w:rsidR="00070774" w:rsidRPr="00C57224">
          <w:rPr>
            <w:rStyle w:val="Hyperlink"/>
            <w:lang w:eastAsia="en-US"/>
          </w:rPr>
          <w:t>implementation toolkit</w:t>
        </w:r>
      </w:hyperlink>
      <w:r w:rsidR="00070774" w:rsidRPr="00C57224">
        <w:rPr>
          <w:lang w:eastAsia="en-US"/>
        </w:rPr>
        <w:t xml:space="preserve">. </w:t>
      </w:r>
      <w:r w:rsidR="00C558B9" w:rsidRPr="00C57224">
        <w:rPr>
          <w:lang w:eastAsia="en-US"/>
        </w:rPr>
        <w:t xml:space="preserve">The work contributes to the </w:t>
      </w:r>
      <w:hyperlink r:id="rId234" w:history="1">
        <w:r w:rsidR="00C558B9" w:rsidRPr="00C57224">
          <w:rPr>
            <w:rStyle w:val="Hyperlink"/>
            <w:lang w:eastAsia="en-US"/>
          </w:rPr>
          <w:t>WHO Make Listening Safe initiative</w:t>
        </w:r>
      </w:hyperlink>
      <w:r w:rsidR="00C558B9" w:rsidRPr="00C57224">
        <w:rPr>
          <w:lang w:eastAsia="en-US"/>
        </w:rPr>
        <w:t xml:space="preserve">. </w:t>
      </w:r>
      <w:r w:rsidRPr="00C57224">
        <w:rPr>
          <w:lang w:eastAsia="en-US"/>
        </w:rPr>
        <w:t xml:space="preserve">See also </w:t>
      </w:r>
      <w:hyperlink r:id="rId235" w:history="1">
        <w:r w:rsidRPr="00C57224">
          <w:rPr>
            <w:rStyle w:val="Hyperlink"/>
            <w:lang w:eastAsia="en-US"/>
          </w:rPr>
          <w:t>all safe listening workshops</w:t>
        </w:r>
      </w:hyperlink>
      <w:r w:rsidRPr="00C57224">
        <w:rPr>
          <w:lang w:eastAsia="en-US"/>
        </w:rPr>
        <w:t xml:space="preserve"> co-organized by ITU and WHO.</w:t>
      </w:r>
    </w:p>
    <w:p w14:paraId="5EAD5754" w14:textId="7EC0C720" w:rsidR="00A26387" w:rsidRPr="00C57224" w:rsidRDefault="00070774" w:rsidP="00A6223E">
      <w:pPr>
        <w:rPr>
          <w:lang w:eastAsia="en-US"/>
        </w:rPr>
      </w:pPr>
      <w:r w:rsidRPr="00C57224">
        <w:rPr>
          <w:lang w:eastAsia="en-US"/>
        </w:rPr>
        <w:t xml:space="preserve">Developed collaboratively with WHO, the </w:t>
      </w:r>
      <w:hyperlink r:id="rId236" w:history="1">
        <w:r w:rsidRPr="00C57224">
          <w:rPr>
            <w:rStyle w:val="Hyperlink"/>
            <w:lang w:eastAsia="en-US"/>
          </w:rPr>
          <w:t>Recommendation ITU-T F.780.2 "Accessibility of telehealth services"</w:t>
        </w:r>
      </w:hyperlink>
      <w:r w:rsidRPr="00C57224">
        <w:rPr>
          <w:lang w:eastAsia="en-US"/>
        </w:rPr>
        <w:t xml:space="preserve"> approved in March 2022 defines accessibility requirements for technical features to be used and implemented by governments, healthcare providers and manufacturers of telehealth platforms. The standard was introduced in June 2022 at an ITU-WHO event held alongside the </w:t>
      </w:r>
      <w:r w:rsidRPr="00C57224">
        <w:t>15th session</w:t>
      </w:r>
      <w:r w:rsidRPr="00C57224">
        <w:rPr>
          <w:lang w:eastAsia="en-US"/>
        </w:rPr>
        <w:t xml:space="preserve"> of the Conference of States Parties to the Convention on the Rights of Persons with Disabilities. A new </w:t>
      </w:r>
      <w:hyperlink r:id="rId237" w:history="1">
        <w:r w:rsidRPr="00C57224">
          <w:rPr>
            <w:rStyle w:val="Hyperlink"/>
            <w:lang w:eastAsia="en-US"/>
          </w:rPr>
          <w:t>ITU-WHO implementation toolkit</w:t>
        </w:r>
      </w:hyperlink>
      <w:r w:rsidRPr="00C57224">
        <w:rPr>
          <w:lang w:eastAsia="en-US"/>
        </w:rPr>
        <w:t xml:space="preserve"> for the standard was published in September 2024.</w:t>
      </w:r>
    </w:p>
    <w:p w14:paraId="5917BA38" w14:textId="1DC0E465" w:rsidR="00A6223E" w:rsidRPr="00C57224" w:rsidRDefault="00AB23B7" w:rsidP="00A6223E">
      <w:pPr>
        <w:pStyle w:val="Heading2"/>
      </w:pPr>
      <w:bookmarkStart w:id="115" w:name="_5.9_CTO_and"/>
      <w:bookmarkStart w:id="116" w:name="_Toc156392419"/>
      <w:bookmarkStart w:id="117" w:name="_Toc179219761"/>
      <w:bookmarkStart w:id="118" w:name="_Toc179221071"/>
      <w:bookmarkEnd w:id="115"/>
      <w:r w:rsidRPr="00C57224">
        <w:t>5.9</w:t>
      </w:r>
      <w:r>
        <w:tab/>
      </w:r>
      <w:r w:rsidR="00A6223E" w:rsidRPr="00C57224">
        <w:t xml:space="preserve">CTO and </w:t>
      </w:r>
      <w:proofErr w:type="spellStart"/>
      <w:r w:rsidR="00A6223E" w:rsidRPr="00C57224">
        <w:t>CxO</w:t>
      </w:r>
      <w:proofErr w:type="spellEnd"/>
      <w:r w:rsidR="00A6223E" w:rsidRPr="00C57224">
        <w:t xml:space="preserve"> meetings</w:t>
      </w:r>
      <w:bookmarkEnd w:id="116"/>
      <w:bookmarkEnd w:id="117"/>
      <w:bookmarkEnd w:id="118"/>
    </w:p>
    <w:p w14:paraId="6392C1F2" w14:textId="650420A9" w:rsidR="00A26387" w:rsidRPr="00C57224" w:rsidRDefault="00327645" w:rsidP="00A6223E">
      <w:hyperlink r:id="rId238" w:history="1">
        <w:r w:rsidR="00A6223E" w:rsidRPr="00C57224">
          <w:rPr>
            <w:rStyle w:val="Hyperlink"/>
            <w:rFonts w:eastAsiaTheme="majorEastAsia"/>
            <w:bCs/>
          </w:rPr>
          <w:t xml:space="preserve">CTO and </w:t>
        </w:r>
        <w:proofErr w:type="spellStart"/>
        <w:r w:rsidR="00A6223E" w:rsidRPr="00C57224">
          <w:rPr>
            <w:rStyle w:val="Hyperlink"/>
            <w:rFonts w:eastAsiaTheme="majorEastAsia"/>
            <w:bCs/>
          </w:rPr>
          <w:t>CxO</w:t>
        </w:r>
        <w:proofErr w:type="spellEnd"/>
        <w:r w:rsidR="00A6223E" w:rsidRPr="00C57224">
          <w:rPr>
            <w:rStyle w:val="Hyperlink"/>
            <w:rFonts w:eastAsiaTheme="majorEastAsia"/>
            <w:bCs/>
          </w:rPr>
          <w:t xml:space="preserve"> meetings</w:t>
        </w:r>
      </w:hyperlink>
      <w:r w:rsidR="00A6223E" w:rsidRPr="00C57224">
        <w:t xml:space="preserve"> bring together high-level industry executives together with the senior management of TSB to exchange views on industry priorities and related standardization activities.</w:t>
      </w:r>
    </w:p>
    <w:p w14:paraId="53BCA216" w14:textId="5ECCE4FA" w:rsidR="00A26387" w:rsidRPr="00C57224" w:rsidRDefault="00A6223E" w:rsidP="00A6223E">
      <w:r w:rsidRPr="00C57224">
        <w:t xml:space="preserve">The most recent </w:t>
      </w:r>
      <w:hyperlink r:id="rId239" w:history="1">
        <w:proofErr w:type="spellStart"/>
        <w:r w:rsidRPr="00C57224">
          <w:rPr>
            <w:rStyle w:val="Hyperlink"/>
          </w:rPr>
          <w:t>CxO</w:t>
        </w:r>
        <w:proofErr w:type="spellEnd"/>
        <w:r w:rsidRPr="00C57224">
          <w:rPr>
            <w:rStyle w:val="Hyperlink"/>
          </w:rPr>
          <w:t xml:space="preserve"> Roundtable</w:t>
        </w:r>
      </w:hyperlink>
      <w:r w:rsidRPr="00C57224">
        <w:t xml:space="preserve"> was held </w:t>
      </w:r>
      <w:r w:rsidR="000B1514" w:rsidRPr="00C57224">
        <w:t xml:space="preserve">in </w:t>
      </w:r>
      <w:r w:rsidRPr="00C57224">
        <w:t>December 2023 at the Telecom Review Leader's Summit in Dubai, UAE, with additional participation online, hosted by Telecom Review with the support of the support of the UAE Telecommunications and Digital Government Regulatory Authority, du, Huawei and TELUS.</w:t>
      </w:r>
    </w:p>
    <w:p w14:paraId="2D6B99EF" w14:textId="4401933F" w:rsidR="00A26387" w:rsidRPr="00C57224" w:rsidRDefault="00A6223E" w:rsidP="00A6223E">
      <w:proofErr w:type="spellStart"/>
      <w:r w:rsidRPr="00C57224">
        <w:t>CxOs</w:t>
      </w:r>
      <w:proofErr w:type="spellEnd"/>
      <w:r w:rsidRPr="00C57224">
        <w:t xml:space="preserve"> discussed the support for IMT-2030 required from optical networks, AI, and semantic communications. They also shared their outlook on addressing the digital divide, non-terrestrial networks, smart mobility (e.g., vehicle-to-everything communications and their regulatory </w:t>
      </w:r>
      <w:r w:rsidRPr="00C57224">
        <w:lastRenderedPageBreak/>
        <w:t xml:space="preserve">requirements), powerline communications, disaster response, machine vision technology, blockchain, fraud mitigation, and quantum information technologies. See </w:t>
      </w:r>
      <w:r w:rsidR="0072799C" w:rsidRPr="00C57224">
        <w:t xml:space="preserve">the </w:t>
      </w:r>
      <w:r w:rsidRPr="00C57224">
        <w:t xml:space="preserve">meeting </w:t>
      </w:r>
      <w:hyperlink r:id="rId240" w:history="1">
        <w:r w:rsidRPr="00C57224">
          <w:rPr>
            <w:rStyle w:val="Hyperlink"/>
          </w:rPr>
          <w:t>communiqué</w:t>
        </w:r>
      </w:hyperlink>
      <w:r w:rsidRPr="00C57224">
        <w:t>.</w:t>
      </w:r>
    </w:p>
    <w:p w14:paraId="296A99C4" w14:textId="7DE6F3E5" w:rsidR="00A6223E" w:rsidRPr="00C57224" w:rsidRDefault="00A6223E" w:rsidP="00A6223E">
      <w:r w:rsidRPr="00C57224">
        <w:t xml:space="preserve">The previous </w:t>
      </w:r>
      <w:hyperlink r:id="rId241" w:history="1">
        <w:proofErr w:type="spellStart"/>
        <w:r w:rsidRPr="00C57224">
          <w:rPr>
            <w:rStyle w:val="Hyperlink"/>
          </w:rPr>
          <w:t>CxO</w:t>
        </w:r>
        <w:proofErr w:type="spellEnd"/>
        <w:r w:rsidRPr="00C57224">
          <w:rPr>
            <w:rStyle w:val="Hyperlink"/>
          </w:rPr>
          <w:t xml:space="preserve"> Meeting</w:t>
        </w:r>
      </w:hyperlink>
      <w:r w:rsidRPr="00C57224">
        <w:t xml:space="preserve"> was held </w:t>
      </w:r>
      <w:r w:rsidR="000B1514" w:rsidRPr="00C57224">
        <w:t xml:space="preserve">in </w:t>
      </w:r>
      <w:r w:rsidRPr="00C57224">
        <w:t>December 2022 at the Telecom Review Leader's Summit in Dubai, United Arab Emirates, with additional participation online, hosted by Telecom Review with the support of the UAE Telecommunications and Digital Government Regulatory Authority, du, TELUS, IBM, and Huawei.</w:t>
      </w:r>
    </w:p>
    <w:p w14:paraId="243FFCE4" w14:textId="26931488" w:rsidR="00A26387" w:rsidRPr="00C57224" w:rsidRDefault="00A6223E" w:rsidP="00A6223E">
      <w:proofErr w:type="spellStart"/>
      <w:r w:rsidRPr="00C57224">
        <w:t>CxOs</w:t>
      </w:r>
      <w:proofErr w:type="spellEnd"/>
      <w:r w:rsidRPr="00C57224">
        <w:t xml:space="preserve"> discussed industry priorities in the areas of AI and machine learning, environmental sustainability, sustainability reporting, the metaverse, quantum information technologies, and IMT-2020</w:t>
      </w:r>
      <w:r w:rsidR="00555041" w:rsidRPr="00C57224">
        <w:t xml:space="preserve"> </w:t>
      </w:r>
      <w:r w:rsidRPr="00C57224">
        <w:t xml:space="preserve">and beyond. </w:t>
      </w:r>
      <w:proofErr w:type="spellStart"/>
      <w:r w:rsidRPr="00C57224">
        <w:t>CxOs</w:t>
      </w:r>
      <w:proofErr w:type="spellEnd"/>
      <w:r w:rsidRPr="00C57224">
        <w:t xml:space="preserve"> also shared views on means to support and capitalize on the growing synergy between industry and academia in the development and application of ICTs, particularly in the field of AI and machine learning. See </w:t>
      </w:r>
      <w:r w:rsidR="0072799C" w:rsidRPr="00C57224">
        <w:t xml:space="preserve">the </w:t>
      </w:r>
      <w:r w:rsidRPr="00C57224">
        <w:t xml:space="preserve">meeting </w:t>
      </w:r>
      <w:hyperlink r:id="rId242" w:history="1">
        <w:r w:rsidRPr="00C57224">
          <w:rPr>
            <w:rStyle w:val="Hyperlink"/>
          </w:rPr>
          <w:t>communiqué</w:t>
        </w:r>
      </w:hyperlink>
      <w:r w:rsidRPr="00C57224">
        <w:t>.</w:t>
      </w:r>
    </w:p>
    <w:p w14:paraId="27F5DABD" w14:textId="28B78A43" w:rsidR="0002435B" w:rsidRPr="00C57224" w:rsidRDefault="006279A8" w:rsidP="0048381E">
      <w:pPr>
        <w:pStyle w:val="Heading1"/>
        <w:spacing w:before="240"/>
      </w:pPr>
      <w:bookmarkStart w:id="119" w:name="_4_Academia"/>
      <w:bookmarkStart w:id="120" w:name="_6_Academia"/>
      <w:bookmarkStart w:id="121" w:name="_Toc179219762"/>
      <w:bookmarkStart w:id="122" w:name="_Toc179221072"/>
      <w:bookmarkStart w:id="123" w:name="_Hlk92298430"/>
      <w:bookmarkEnd w:id="100"/>
      <w:bookmarkEnd w:id="107"/>
      <w:bookmarkEnd w:id="108"/>
      <w:bookmarkEnd w:id="119"/>
      <w:bookmarkEnd w:id="120"/>
      <w:r w:rsidRPr="00C57224">
        <w:t>6</w:t>
      </w:r>
      <w:r w:rsidR="0002435B" w:rsidRPr="00C57224">
        <w:tab/>
        <w:t>Academia</w:t>
      </w:r>
      <w:bookmarkEnd w:id="121"/>
      <w:bookmarkEnd w:id="122"/>
    </w:p>
    <w:p w14:paraId="71ED8A7F" w14:textId="2E1C99E4" w:rsidR="00A26387" w:rsidRPr="00C57224" w:rsidRDefault="00327645" w:rsidP="00794706">
      <w:hyperlink r:id="rId243" w:history="1">
        <w:r w:rsidR="00973621" w:rsidRPr="00C57224">
          <w:rPr>
            <w:rStyle w:val="Hyperlink"/>
          </w:rPr>
          <w:t>ITU Academia membership</w:t>
        </w:r>
      </w:hyperlink>
      <w:r w:rsidR="00794706" w:rsidRPr="00C57224">
        <w:t xml:space="preserve">, the </w:t>
      </w:r>
      <w:hyperlink r:id="rId244" w:history="1">
        <w:r w:rsidR="00794706" w:rsidRPr="00C57224">
          <w:rPr>
            <w:rStyle w:val="Hyperlink"/>
          </w:rPr>
          <w:t>ITU Journal on Future and Evolving Technologies</w:t>
        </w:r>
      </w:hyperlink>
      <w:r w:rsidR="003D374A" w:rsidRPr="00C57224">
        <w:t xml:space="preserve"> </w:t>
      </w:r>
      <w:r w:rsidR="00F15D4B" w:rsidRPr="00C57224">
        <w:t xml:space="preserve">and </w:t>
      </w:r>
      <w:hyperlink r:id="rId245" w:history="1">
        <w:r w:rsidR="00F15D4B" w:rsidRPr="00C57224">
          <w:rPr>
            <w:rStyle w:val="Hyperlink"/>
          </w:rPr>
          <w:t>ITU Kaleidoscope conferences</w:t>
        </w:r>
      </w:hyperlink>
      <w:r w:rsidR="00F15D4B" w:rsidRPr="00C57224">
        <w:t xml:space="preserve"> </w:t>
      </w:r>
      <w:r w:rsidR="00794706" w:rsidRPr="00C57224">
        <w:t>form key avenues for academics to engage in ITU</w:t>
      </w:r>
      <w:r w:rsidR="007C2FC3" w:rsidRPr="00C57224">
        <w:t>'</w:t>
      </w:r>
      <w:r w:rsidR="00794706" w:rsidRPr="00C57224">
        <w:t>s work.</w:t>
      </w:r>
    </w:p>
    <w:p w14:paraId="1DD552D0" w14:textId="3E095936" w:rsidR="0002435B" w:rsidRPr="00C57224" w:rsidRDefault="00AB23B7" w:rsidP="0048381E">
      <w:pPr>
        <w:pStyle w:val="Heading2"/>
      </w:pPr>
      <w:bookmarkStart w:id="124" w:name="_6.1_ITU_Journal"/>
      <w:bookmarkStart w:id="125" w:name="_Toc179219763"/>
      <w:bookmarkStart w:id="126" w:name="_Toc179221073"/>
      <w:bookmarkEnd w:id="124"/>
      <w:r w:rsidRPr="00C57224">
        <w:t>6.1</w:t>
      </w:r>
      <w:r>
        <w:tab/>
      </w:r>
      <w:r w:rsidR="0002435B" w:rsidRPr="00C57224">
        <w:t>Journal</w:t>
      </w:r>
      <w:bookmarkEnd w:id="125"/>
      <w:bookmarkEnd w:id="126"/>
    </w:p>
    <w:p w14:paraId="0710FC5C" w14:textId="6C113FC0" w:rsidR="00A26387" w:rsidRPr="00C57224" w:rsidRDefault="00E00BE5" w:rsidP="00E00BE5">
      <w:r w:rsidRPr="00C57224">
        <w:t xml:space="preserve">The </w:t>
      </w:r>
      <w:hyperlink r:id="rId246" w:history="1">
        <w:r w:rsidRPr="00C57224">
          <w:rPr>
            <w:rStyle w:val="Hyperlink"/>
          </w:rPr>
          <w:t xml:space="preserve">ITU Journal on Future and Evolving </w:t>
        </w:r>
        <w:r w:rsidR="009C57DC" w:rsidRPr="00C57224">
          <w:rPr>
            <w:rStyle w:val="Hyperlink"/>
          </w:rPr>
          <w:t>Technolog</w:t>
        </w:r>
        <w:r w:rsidR="00C83D64" w:rsidRPr="00C57224">
          <w:rPr>
            <w:rStyle w:val="Hyperlink"/>
          </w:rPr>
          <w:t>ies</w:t>
        </w:r>
        <w:r w:rsidRPr="00C57224">
          <w:rPr>
            <w:rStyle w:val="Hyperlink"/>
          </w:rPr>
          <w:t xml:space="preserve"> (</w:t>
        </w:r>
        <w:r w:rsidR="00C83D64" w:rsidRPr="00C57224">
          <w:rPr>
            <w:rStyle w:val="Hyperlink"/>
          </w:rPr>
          <w:t xml:space="preserve">ITU </w:t>
        </w:r>
        <w:r w:rsidRPr="00C57224">
          <w:rPr>
            <w:rStyle w:val="Hyperlink"/>
          </w:rPr>
          <w:t>J-FET)</w:t>
        </w:r>
      </w:hyperlink>
      <w:r w:rsidR="00D57614" w:rsidRPr="00C57224">
        <w:t xml:space="preserve"> </w:t>
      </w:r>
      <w:r w:rsidR="008523F2" w:rsidRPr="00C57224">
        <w:t xml:space="preserve">– free of charge to both readers and authors – </w:t>
      </w:r>
      <w:r w:rsidR="00F15D4B" w:rsidRPr="00C57224">
        <w:t>offers comprehensive coverage of communications and networkin</w:t>
      </w:r>
      <w:r w:rsidR="007C74BC" w:rsidRPr="00C57224">
        <w:t>g</w:t>
      </w:r>
      <w:r w:rsidR="00F15D4B" w:rsidRPr="00C57224">
        <w:t>. The online journal welcomes research submissions on all relevant topics, all year long.</w:t>
      </w:r>
    </w:p>
    <w:p w14:paraId="7D07E29D" w14:textId="410E5CCE" w:rsidR="00AA7D52" w:rsidRPr="00C57224" w:rsidRDefault="00AA7D52" w:rsidP="00E00BE5">
      <w:r w:rsidRPr="00C57224">
        <w:t xml:space="preserve">The Editor-in-Chief of the ITU Journal, </w:t>
      </w:r>
      <w:hyperlink r:id="rId247" w:history="1">
        <w:r w:rsidRPr="00C57224">
          <w:rPr>
            <w:rStyle w:val="Hyperlink"/>
          </w:rPr>
          <w:t>Ian F. Akyildiz</w:t>
        </w:r>
      </w:hyperlink>
      <w:r w:rsidRPr="00C57224">
        <w:t>, Ken Byers Chair Professor in Telecommunications Emeritus at the Georgia Institute of Technology, was presented with a certificate of appreciation at PP-22 for his "commitment and outstanding contribution to the ITU Journal, in his role as founding Editor-in-Chief, ensuring the publication of impactful results to advance science."</w:t>
      </w:r>
    </w:p>
    <w:p w14:paraId="1210EB81" w14:textId="4B903B3E" w:rsidR="00A26387" w:rsidRPr="00C57224" w:rsidRDefault="008523F2" w:rsidP="00E00BE5">
      <w:bookmarkStart w:id="127" w:name="_Hlk172568621"/>
      <w:r w:rsidRPr="00C57224">
        <w:t>The journal includes</w:t>
      </w:r>
      <w:r w:rsidR="00461B8B" w:rsidRPr="00C57224">
        <w:t xml:space="preserve"> </w:t>
      </w:r>
      <w:hyperlink r:id="rId248" w:tgtFrame="_blank" w:history="1">
        <w:r w:rsidRPr="00C57224">
          <w:rPr>
            <w:rStyle w:val="Hyperlink"/>
          </w:rPr>
          <w:t>recorded webinar discussions</w:t>
        </w:r>
      </w:hyperlink>
      <w:r w:rsidR="00461B8B" w:rsidRPr="00C57224">
        <w:t xml:space="preserve"> </w:t>
      </w:r>
      <w:r w:rsidRPr="00C57224">
        <w:t>with researchers</w:t>
      </w:r>
      <w:r w:rsidR="00210841" w:rsidRPr="00C57224">
        <w:t xml:space="preserve"> and industry leaders</w:t>
      </w:r>
      <w:r w:rsidR="008B450F" w:rsidRPr="00C57224">
        <w:t>.</w:t>
      </w:r>
    </w:p>
    <w:bookmarkEnd w:id="127"/>
    <w:p w14:paraId="1353A41E" w14:textId="77777777" w:rsidR="00A26387" w:rsidRPr="00C57224" w:rsidRDefault="002B765D" w:rsidP="00E00BE5">
      <w:r w:rsidRPr="00C57224">
        <w:t>Quarterly issues published in 2024:</w:t>
      </w:r>
    </w:p>
    <w:p w14:paraId="659FC4DB" w14:textId="77777777" w:rsidR="00A26387" w:rsidRPr="00C57224" w:rsidRDefault="00AA7D52" w:rsidP="002B765D">
      <w:pPr>
        <w:numPr>
          <w:ilvl w:val="0"/>
          <w:numId w:val="30"/>
        </w:numPr>
      </w:pPr>
      <w:bookmarkStart w:id="128" w:name="_Hlk172568722"/>
      <w:r w:rsidRPr="00C57224">
        <w:t>Volume 5, Issue 3 explores intelligent technologies for future networking and distributed systems.</w:t>
      </w:r>
    </w:p>
    <w:p w14:paraId="5836C63A" w14:textId="0ABF3D4F" w:rsidR="002B765D" w:rsidRPr="00C57224" w:rsidRDefault="002B765D" w:rsidP="002B765D">
      <w:pPr>
        <w:numPr>
          <w:ilvl w:val="0"/>
          <w:numId w:val="30"/>
        </w:numPr>
      </w:pPr>
      <w:r w:rsidRPr="00C57224">
        <w:t>Volume 5, Issue 2 explores the future of satellite communications in view of the paradigm shift from traditional geostationary satellite services to multi-layered space networks.</w:t>
      </w:r>
    </w:p>
    <w:p w14:paraId="485F79CF" w14:textId="6C5CD98E" w:rsidR="002B765D" w:rsidRPr="00C57224" w:rsidRDefault="002B765D" w:rsidP="002B765D">
      <w:pPr>
        <w:numPr>
          <w:ilvl w:val="0"/>
          <w:numId w:val="30"/>
        </w:numPr>
      </w:pPr>
      <w:bookmarkStart w:id="129" w:name="_Hlk172568741"/>
      <w:bookmarkEnd w:id="128"/>
      <w:r w:rsidRPr="00C57224">
        <w:t>Volume 5, Issue 1 explores innovations for networks to achieve high performance, energy efficiency, and security while serving a diverse range of devices.</w:t>
      </w:r>
    </w:p>
    <w:p w14:paraId="68B1FC5A" w14:textId="32674FD3" w:rsidR="000D414C" w:rsidRPr="00C57224" w:rsidRDefault="000D414C" w:rsidP="000D414C">
      <w:r w:rsidRPr="00C57224">
        <w:t>Quarterly issues published in 2023:</w:t>
      </w:r>
    </w:p>
    <w:p w14:paraId="2F54FE82" w14:textId="3B60FA1D" w:rsidR="000D414C" w:rsidRPr="00C57224" w:rsidRDefault="000D414C" w:rsidP="000D414C">
      <w:pPr>
        <w:numPr>
          <w:ilvl w:val="0"/>
          <w:numId w:val="30"/>
        </w:numPr>
      </w:pPr>
      <w:r w:rsidRPr="00C57224">
        <w:t xml:space="preserve">Volume 4, Issue 4 </w:t>
      </w:r>
      <w:r w:rsidR="00B15B5E" w:rsidRPr="00C57224">
        <w:t xml:space="preserve">explores </w:t>
      </w:r>
      <w:r w:rsidRPr="00C57224">
        <w:t xml:space="preserve">innovations </w:t>
      </w:r>
      <w:r w:rsidR="00B15B5E" w:rsidRPr="00C57224">
        <w:t xml:space="preserve">for the </w:t>
      </w:r>
      <w:r w:rsidRPr="00C57224">
        <w:t>metaverse</w:t>
      </w:r>
      <w:r w:rsidR="00B15B5E" w:rsidRPr="00C57224">
        <w:t xml:space="preserve">, </w:t>
      </w:r>
      <w:r w:rsidRPr="00C57224">
        <w:t>AI for accessibilit</w:t>
      </w:r>
      <w:r w:rsidR="00B15B5E" w:rsidRPr="00C57224">
        <w:t xml:space="preserve">y, </w:t>
      </w:r>
      <w:r w:rsidRPr="00C57224">
        <w:t>vehicle-to-everything communications, edge computing,</w:t>
      </w:r>
      <w:r w:rsidR="00626E41" w:rsidRPr="00C57224">
        <w:t xml:space="preserve"> </w:t>
      </w:r>
      <w:r w:rsidRPr="00C57224">
        <w:t>and low-earth orbit satellite networking.</w:t>
      </w:r>
    </w:p>
    <w:p w14:paraId="29333C85" w14:textId="6E423677" w:rsidR="00A26387" w:rsidRPr="00C57224" w:rsidRDefault="000D414C" w:rsidP="000D414C">
      <w:pPr>
        <w:numPr>
          <w:ilvl w:val="0"/>
          <w:numId w:val="30"/>
        </w:numPr>
      </w:pPr>
      <w:r w:rsidRPr="00C57224">
        <w:t xml:space="preserve">Volume 4, Issue 3 </w:t>
      </w:r>
      <w:r w:rsidR="00B15B5E" w:rsidRPr="00C57224">
        <w:t>explores</w:t>
      </w:r>
      <w:r w:rsidRPr="00C57224">
        <w:t xml:space="preserve"> network automation and the resulting network dynamism key to 5G and beyond. It also shares insights on solutions developed as part of ITU</w:t>
      </w:r>
      <w:r w:rsidR="007C2FC3" w:rsidRPr="00C57224">
        <w:t>'</w:t>
      </w:r>
      <w:r w:rsidRPr="00C57224">
        <w:t>s AI/ML in 5G Challenge</w:t>
      </w:r>
      <w:r w:rsidR="00B15B5E" w:rsidRPr="00C57224">
        <w:t>.</w:t>
      </w:r>
    </w:p>
    <w:p w14:paraId="2D998DC1" w14:textId="6AB7D354" w:rsidR="000D414C" w:rsidRPr="00C57224" w:rsidRDefault="000D414C" w:rsidP="000D414C">
      <w:pPr>
        <w:numPr>
          <w:ilvl w:val="0"/>
          <w:numId w:val="30"/>
        </w:numPr>
      </w:pPr>
      <w:r w:rsidRPr="00C57224">
        <w:t>Volume 4, Issue 2</w:t>
      </w:r>
      <w:r w:rsidR="00B15B5E" w:rsidRPr="00C57224">
        <w:t xml:space="preserve"> explores </w:t>
      </w:r>
      <w:r w:rsidRPr="00C57224">
        <w:t>network orchestration and security for 5G and beyond, sharing insights on advances in network intelligence and automation helping to meet rapidly evolving service demands.</w:t>
      </w:r>
    </w:p>
    <w:p w14:paraId="5FD33157" w14:textId="18AFFCC5" w:rsidR="00640EC7" w:rsidRPr="00C57224" w:rsidRDefault="000D414C" w:rsidP="00640EC7">
      <w:pPr>
        <w:numPr>
          <w:ilvl w:val="0"/>
          <w:numId w:val="30"/>
        </w:numPr>
      </w:pPr>
      <w:r w:rsidRPr="00C57224">
        <w:t xml:space="preserve">Volume 4, Issue 1 </w:t>
      </w:r>
      <w:r w:rsidR="00B15B5E" w:rsidRPr="00C57224">
        <w:t xml:space="preserve">explores </w:t>
      </w:r>
      <w:r w:rsidRPr="00C57224">
        <w:t>innovative network solutions for future services, intelligent surfaces and gigahertz-to-terahertz (GHz-to-THz) broadband communications for 6G non-terrestrial networks.</w:t>
      </w:r>
    </w:p>
    <w:p w14:paraId="1ADA0855" w14:textId="34A753D8" w:rsidR="000D414C" w:rsidRPr="00C57224" w:rsidRDefault="00640EC7" w:rsidP="00FD391D">
      <w:pPr>
        <w:keepNext/>
      </w:pPr>
      <w:r w:rsidRPr="00C57224">
        <w:lastRenderedPageBreak/>
        <w:t>I</w:t>
      </w:r>
      <w:r w:rsidR="000D414C" w:rsidRPr="00C57224">
        <w:t>ssues published in 2022:</w:t>
      </w:r>
    </w:p>
    <w:p w14:paraId="1CD9AD84" w14:textId="56639AAD" w:rsidR="000D414C" w:rsidRPr="00C57224" w:rsidRDefault="00B15B5E" w:rsidP="000D414C">
      <w:pPr>
        <w:numPr>
          <w:ilvl w:val="0"/>
          <w:numId w:val="30"/>
        </w:numPr>
      </w:pPr>
      <w:r w:rsidRPr="00C57224">
        <w:t>Volume 3 explores</w:t>
      </w:r>
      <w:r w:rsidR="000D414C" w:rsidRPr="00C57224">
        <w:t xml:space="preserve"> </w:t>
      </w:r>
      <w:r w:rsidRPr="00C57224">
        <w:t xml:space="preserve">the </w:t>
      </w:r>
      <w:r w:rsidR="000D414C" w:rsidRPr="00C57224">
        <w:t>digital continuum and next-generation networks, networking beyond 2030, and autonomous network management and control for 6G time-critical applications.</w:t>
      </w:r>
    </w:p>
    <w:p w14:paraId="49F14403" w14:textId="77777777" w:rsidR="00A26387" w:rsidRPr="00C57224" w:rsidRDefault="00B15B5E" w:rsidP="000D414C">
      <w:pPr>
        <w:numPr>
          <w:ilvl w:val="0"/>
          <w:numId w:val="30"/>
        </w:numPr>
      </w:pPr>
      <w:r w:rsidRPr="00C57224">
        <w:t xml:space="preserve">It also explores </w:t>
      </w:r>
      <w:r w:rsidR="00640EC7" w:rsidRPr="00C57224">
        <w:t>topics ranging from holographic communications, digital twins, and edge computing to the growing research challenges in wireless communications associated with extended reality.</w:t>
      </w:r>
    </w:p>
    <w:p w14:paraId="1AB5AD3D" w14:textId="76482CF2" w:rsidR="00640EC7" w:rsidRPr="00C57224" w:rsidRDefault="00B15B5E" w:rsidP="000D414C">
      <w:pPr>
        <w:numPr>
          <w:ilvl w:val="0"/>
          <w:numId w:val="30"/>
        </w:numPr>
      </w:pPr>
      <w:r w:rsidRPr="00C57224">
        <w:t xml:space="preserve">Further, it </w:t>
      </w:r>
      <w:r w:rsidR="00640EC7" w:rsidRPr="00C57224">
        <w:t>addresse</w:t>
      </w:r>
      <w:r w:rsidRPr="00C57224">
        <w:t xml:space="preserve">s AI </w:t>
      </w:r>
      <w:r w:rsidR="00640EC7" w:rsidRPr="00C57224">
        <w:t xml:space="preserve">and machine learning solutions for </w:t>
      </w:r>
      <w:proofErr w:type="gramStart"/>
      <w:r w:rsidR="00640EC7" w:rsidRPr="00C57224">
        <w:t>5G</w:t>
      </w:r>
      <w:proofErr w:type="gramEnd"/>
      <w:r w:rsidR="00640EC7" w:rsidRPr="00C57224">
        <w:t xml:space="preserve"> and future networks, emerging trends and applications expected to shape future networks, and vehicular network innovations to support smart and safe mobility.</w:t>
      </w:r>
    </w:p>
    <w:p w14:paraId="0043174E" w14:textId="7347CDF5" w:rsidR="00B035B9" w:rsidRPr="00C57224" w:rsidRDefault="00B035B9" w:rsidP="00B035B9">
      <w:bookmarkStart w:id="130" w:name="_Hlk120564161"/>
      <w:bookmarkEnd w:id="129"/>
      <w:r w:rsidRPr="00C57224">
        <w:t>Upcoming issues of the</w:t>
      </w:r>
      <w:r w:rsidR="004B7F86" w:rsidRPr="00C57224">
        <w:t xml:space="preserve"> journal </w:t>
      </w:r>
      <w:r w:rsidRPr="00C57224">
        <w:t>are set to address:</w:t>
      </w:r>
    </w:p>
    <w:p w14:paraId="5A70DFBC" w14:textId="77777777" w:rsidR="00AA7D52" w:rsidRPr="00C57224" w:rsidRDefault="00AA7D52" w:rsidP="00AA7D52">
      <w:pPr>
        <w:numPr>
          <w:ilvl w:val="0"/>
          <w:numId w:val="30"/>
        </w:numPr>
      </w:pPr>
      <w:r w:rsidRPr="00C57224">
        <w:t>AI and machine learning solutions for 5G and future networks</w:t>
      </w:r>
    </w:p>
    <w:p w14:paraId="24BFE940" w14:textId="7DB07164" w:rsidR="00AA7D52" w:rsidRPr="00C57224" w:rsidRDefault="00AA7D52" w:rsidP="00AA7D52">
      <w:pPr>
        <w:numPr>
          <w:ilvl w:val="0"/>
          <w:numId w:val="30"/>
        </w:numPr>
      </w:pPr>
      <w:r w:rsidRPr="00C57224">
        <w:t>Geospatial AI to advance the United Nations Sustainable Development Goals</w:t>
      </w:r>
    </w:p>
    <w:p w14:paraId="4DCDC894" w14:textId="77777777" w:rsidR="00A26387" w:rsidRPr="00C57224" w:rsidRDefault="00AA7D52" w:rsidP="000D414C">
      <w:pPr>
        <w:numPr>
          <w:ilvl w:val="0"/>
          <w:numId w:val="31"/>
        </w:numPr>
      </w:pPr>
      <w:r w:rsidRPr="00C57224">
        <w:t>Energy-efficient and environmentally sustainable</w:t>
      </w:r>
      <w:r w:rsidR="00461B8B" w:rsidRPr="00C57224">
        <w:t xml:space="preserve"> </w:t>
      </w:r>
      <w:r w:rsidRPr="00C57224">
        <w:t>edge computing and communications for AI</w:t>
      </w:r>
    </w:p>
    <w:p w14:paraId="081EAACC" w14:textId="1C7BA0A0" w:rsidR="002B765D" w:rsidRPr="00C57224" w:rsidRDefault="00AA7D52" w:rsidP="00AA7D52">
      <w:pPr>
        <w:numPr>
          <w:ilvl w:val="0"/>
          <w:numId w:val="31"/>
        </w:numPr>
      </w:pPr>
      <w:r w:rsidRPr="00C57224">
        <w:t>Privacy and security challenges</w:t>
      </w:r>
      <w:r w:rsidR="00461B8B" w:rsidRPr="00C57224">
        <w:t xml:space="preserve"> </w:t>
      </w:r>
      <w:r w:rsidRPr="00C57224">
        <w:t>of generative AI</w:t>
      </w:r>
    </w:p>
    <w:p w14:paraId="7E2B3477" w14:textId="4C060BDC" w:rsidR="0002435B" w:rsidRPr="00C57224" w:rsidRDefault="00AB23B7" w:rsidP="0002435B">
      <w:pPr>
        <w:pStyle w:val="Heading2"/>
      </w:pPr>
      <w:bookmarkStart w:id="131" w:name="_6.2_ITU_Kaleidoscope"/>
      <w:bookmarkStart w:id="132" w:name="_Toc179219764"/>
      <w:bookmarkStart w:id="133" w:name="_Toc179221074"/>
      <w:bookmarkEnd w:id="130"/>
      <w:bookmarkEnd w:id="131"/>
      <w:r w:rsidRPr="00C57224">
        <w:t>6.2</w:t>
      </w:r>
      <w:r>
        <w:tab/>
      </w:r>
      <w:r w:rsidR="0002435B" w:rsidRPr="00C57224">
        <w:t>Kaleidoscope academic conferences</w:t>
      </w:r>
      <w:bookmarkEnd w:id="132"/>
      <w:bookmarkEnd w:id="133"/>
    </w:p>
    <w:p w14:paraId="38A3EBE5" w14:textId="0E4B7F7B" w:rsidR="00A3606E" w:rsidRPr="00C57224" w:rsidRDefault="0002435B" w:rsidP="0002435B">
      <w:r w:rsidRPr="00C57224">
        <w:t xml:space="preserve">The </w:t>
      </w:r>
      <w:hyperlink r:id="rId249" w:history="1">
        <w:r w:rsidR="00094B8E" w:rsidRPr="00C57224">
          <w:rPr>
            <w:rStyle w:val="Hyperlink"/>
          </w:rPr>
          <w:t>ITU Kaleidoscope</w:t>
        </w:r>
      </w:hyperlink>
      <w:r w:rsidR="00094B8E" w:rsidRPr="00C57224">
        <w:t xml:space="preserve"> </w:t>
      </w:r>
      <w:r w:rsidRPr="00C57224">
        <w:t>series of peer-reviewed academic conferences –</w:t>
      </w:r>
      <w:r w:rsidR="008F47CE" w:rsidRPr="00C57224">
        <w:t xml:space="preserve"> organized with the technical </w:t>
      </w:r>
      <w:r w:rsidRPr="00C57224">
        <w:t>co-sponsor</w:t>
      </w:r>
      <w:r w:rsidR="008F47CE" w:rsidRPr="00C57224">
        <w:t>ship</w:t>
      </w:r>
      <w:r w:rsidRPr="00C57224">
        <w:t xml:space="preserve"> </w:t>
      </w:r>
      <w:r w:rsidR="008F47CE" w:rsidRPr="00C57224">
        <w:t>of</w:t>
      </w:r>
      <w:r w:rsidRPr="00C57224">
        <w:t xml:space="preserve"> </w:t>
      </w:r>
      <w:r w:rsidR="00A463BC" w:rsidRPr="00C57224">
        <w:t>the Institute of Electrical and Electronics Engineers (</w:t>
      </w:r>
      <w:r w:rsidRPr="00C57224">
        <w:t>IEEE</w:t>
      </w:r>
      <w:r w:rsidR="00A463BC" w:rsidRPr="00C57224">
        <w:t>)</w:t>
      </w:r>
      <w:r w:rsidRPr="00C57224">
        <w:t xml:space="preserve"> and the IEEE Communications Society</w:t>
      </w:r>
      <w:r w:rsidR="008827C4" w:rsidRPr="00C57224">
        <w:t xml:space="preserve"> </w:t>
      </w:r>
      <w:r w:rsidRPr="00C57224">
        <w:t>– calls for original research on topics of growing strategic relevance to ITU</w:t>
      </w:r>
      <w:r w:rsidR="00504A80" w:rsidRPr="00C57224">
        <w:t>-T</w:t>
      </w:r>
      <w:r w:rsidRPr="00C57224">
        <w:t>.</w:t>
      </w:r>
    </w:p>
    <w:p w14:paraId="33A9A736" w14:textId="4C190053" w:rsidR="000D414C" w:rsidRPr="00C57224" w:rsidRDefault="000D414C" w:rsidP="0002435B">
      <w:r w:rsidRPr="00C57224">
        <w:t xml:space="preserve">The </w:t>
      </w:r>
      <w:hyperlink r:id="rId250" w:history="1">
        <w:r w:rsidRPr="00C57224">
          <w:rPr>
            <w:rStyle w:val="Hyperlink"/>
          </w:rPr>
          <w:t>14</w:t>
        </w:r>
        <w:r w:rsidRPr="00C57224">
          <w:rPr>
            <w:rStyle w:val="Hyperlink"/>
            <w:vertAlign w:val="superscript"/>
          </w:rPr>
          <w:t>th</w:t>
        </w:r>
        <w:r w:rsidRPr="00C57224">
          <w:rPr>
            <w:rStyle w:val="Hyperlink"/>
          </w:rPr>
          <w:t xml:space="preserve"> edition</w:t>
        </w:r>
      </w:hyperlink>
      <w:r w:rsidRPr="00C57224">
        <w:t xml:space="preserve"> – themed "Extended reality – How to boost quality of experience and interoperability" – explored the innovation required to make the metaverse a reality. The conference took place in Accra, Ghana, 7-9 December 2022, hosted by the National Communications Authority of Ghana.</w:t>
      </w:r>
    </w:p>
    <w:p w14:paraId="2739C1B4" w14:textId="68B13438" w:rsidR="00A26387" w:rsidRPr="00C57224" w:rsidRDefault="00F15D4B" w:rsidP="008B450F">
      <w:r w:rsidRPr="00C57224">
        <w:t xml:space="preserve">The </w:t>
      </w:r>
      <w:r w:rsidR="008B450F" w:rsidRPr="00C57224">
        <w:t>15</w:t>
      </w:r>
      <w:r w:rsidR="008B450F" w:rsidRPr="00C57224">
        <w:rPr>
          <w:vertAlign w:val="superscript"/>
        </w:rPr>
        <w:t>th</w:t>
      </w:r>
      <w:r w:rsidR="008B450F" w:rsidRPr="00C57224">
        <w:t xml:space="preserve"> </w:t>
      </w:r>
      <w:r w:rsidR="004B7F86" w:rsidRPr="00C57224">
        <w:t xml:space="preserve">edition of Kaleidoscope will be held </w:t>
      </w:r>
      <w:r w:rsidR="008B450F" w:rsidRPr="00C57224">
        <w:t>21</w:t>
      </w:r>
      <w:r w:rsidR="00544B9C" w:rsidRPr="00C57224">
        <w:t>-</w:t>
      </w:r>
      <w:r w:rsidR="008B450F" w:rsidRPr="00C57224">
        <w:t xml:space="preserve">23 October 2024 </w:t>
      </w:r>
      <w:r w:rsidR="004B7F86" w:rsidRPr="00C57224">
        <w:t>in conjunction with WTSA-24</w:t>
      </w:r>
      <w:r w:rsidR="008B450F" w:rsidRPr="00C57224">
        <w:t>.</w:t>
      </w:r>
      <w:bookmarkStart w:id="134" w:name="_Hlk172573998"/>
      <w:r w:rsidR="00555041" w:rsidRPr="00C57224">
        <w:t xml:space="preserve"> </w:t>
      </w:r>
      <w:hyperlink r:id="rId251" w:history="1">
        <w:r w:rsidR="00C97586" w:rsidRPr="00C57224">
          <w:rPr>
            <w:rStyle w:val="Hyperlink"/>
            <w:iCs/>
          </w:rPr>
          <w:t>ITU K</w:t>
        </w:r>
        <w:r w:rsidR="008B450F" w:rsidRPr="00C57224">
          <w:rPr>
            <w:rStyle w:val="Hyperlink"/>
            <w:iCs/>
          </w:rPr>
          <w:t>aleidoscope 2024: Innovation and digital transformation for a sustainable world</w:t>
        </w:r>
      </w:hyperlink>
      <w:r w:rsidR="008B450F" w:rsidRPr="00C57224">
        <w:t xml:space="preserve"> will place emphasis on how international standards can contribute to the achievement of the SDGs. The conference has received over 140 submissions.</w:t>
      </w:r>
    </w:p>
    <w:bookmarkEnd w:id="134"/>
    <w:p w14:paraId="299C753D" w14:textId="74C79205" w:rsidR="00C97586" w:rsidRPr="00C57224" w:rsidRDefault="00C97586" w:rsidP="008B450F">
      <w:r w:rsidRPr="00C57224">
        <w:t>Authors of the three best papers will receive special recognition and will share in a prize fund of 6,000 Swiss francs. Authors up to 30 years of age who present accepted papers at the conference will receive a Young Author Recognition Certificate.</w:t>
      </w:r>
    </w:p>
    <w:p w14:paraId="42329D90" w14:textId="77777777" w:rsidR="00A26387" w:rsidRPr="00C57224" w:rsidRDefault="008B450F" w:rsidP="008B450F">
      <w:r w:rsidRPr="00C57224">
        <w:t xml:space="preserve">The </w:t>
      </w:r>
      <w:r w:rsidR="00C97586" w:rsidRPr="00C57224">
        <w:t xml:space="preserve">conference </w:t>
      </w:r>
      <w:bookmarkStart w:id="135" w:name="_Hlk172574035"/>
      <w:r w:rsidRPr="00C57224">
        <w:t xml:space="preserve">will feature presentations from authors of </w:t>
      </w:r>
      <w:r w:rsidR="00C97586" w:rsidRPr="00C57224">
        <w:t xml:space="preserve">accepted </w:t>
      </w:r>
      <w:r w:rsidRPr="00C57224">
        <w:t xml:space="preserve">papers, keynote </w:t>
      </w:r>
      <w:r w:rsidR="009C4C6B" w:rsidRPr="00C57224">
        <w:t>speeches,</w:t>
      </w:r>
      <w:r w:rsidR="00C97586" w:rsidRPr="00C57224">
        <w:t xml:space="preserve"> an exhibition, and </w:t>
      </w:r>
      <w:r w:rsidRPr="00C57224">
        <w:t xml:space="preserve">special sessions on </w:t>
      </w:r>
      <w:r w:rsidR="009B53C2" w:rsidRPr="00C57224">
        <w:t>"</w:t>
      </w:r>
      <w:r w:rsidR="00C97586" w:rsidRPr="00C57224">
        <w:t>youth and standardization</w:t>
      </w:r>
      <w:r w:rsidR="009B53C2" w:rsidRPr="00C57224">
        <w:t>"</w:t>
      </w:r>
      <w:r w:rsidR="00C97586" w:rsidRPr="00C57224">
        <w:t xml:space="preserve"> and </w:t>
      </w:r>
      <w:r w:rsidR="009B53C2" w:rsidRPr="00C57224">
        <w:t>"</w:t>
      </w:r>
      <w:r w:rsidR="00C97586" w:rsidRPr="00C57224">
        <w:t>towards connecting the remaining 3 billion</w:t>
      </w:r>
      <w:r w:rsidR="009B53C2" w:rsidRPr="00C57224">
        <w:t>"</w:t>
      </w:r>
      <w:r w:rsidR="00C97586" w:rsidRPr="00C57224">
        <w:t>.</w:t>
      </w:r>
    </w:p>
    <w:bookmarkEnd w:id="135"/>
    <w:p w14:paraId="7E67814C" w14:textId="102A4F58" w:rsidR="008B450F" w:rsidRPr="00C57224" w:rsidRDefault="00C97586" w:rsidP="0002435B">
      <w:r w:rsidRPr="00C57224">
        <w:t>All papers accepted and presented at the conference will be published in the</w:t>
      </w:r>
      <w:r w:rsidR="00461B8B" w:rsidRPr="00C57224">
        <w:t xml:space="preserve"> </w:t>
      </w:r>
      <w:r w:rsidRPr="00C57224">
        <w:rPr>
          <w:i/>
          <w:iCs/>
        </w:rPr>
        <w:t>Kaleidoscope Proceedings</w:t>
      </w:r>
      <w:r w:rsidR="00461B8B" w:rsidRPr="00C57224">
        <w:rPr>
          <w:i/>
          <w:iCs/>
        </w:rPr>
        <w:t xml:space="preserve"> </w:t>
      </w:r>
      <w:r w:rsidRPr="00C57224">
        <w:t>and the</w:t>
      </w:r>
      <w:r w:rsidR="00461B8B" w:rsidRPr="00C57224">
        <w:t xml:space="preserve"> </w:t>
      </w:r>
      <w:r w:rsidRPr="00C57224">
        <w:t>IEEE</w:t>
      </w:r>
      <w:r w:rsidR="00461B8B" w:rsidRPr="00C57224">
        <w:t xml:space="preserve"> </w:t>
      </w:r>
      <w:r w:rsidRPr="00C57224">
        <w:rPr>
          <w:i/>
          <w:iCs/>
        </w:rPr>
        <w:t>Xplore</w:t>
      </w:r>
      <w:r w:rsidR="00461B8B" w:rsidRPr="00C57224">
        <w:t xml:space="preserve"> </w:t>
      </w:r>
      <w:r w:rsidRPr="00C57224">
        <w:t xml:space="preserve">Digital Library. Outstanding papers may also be published </w:t>
      </w:r>
      <w:r w:rsidR="008B450F" w:rsidRPr="00C57224">
        <w:t>in the</w:t>
      </w:r>
      <w:r w:rsidR="00461B8B" w:rsidRPr="00C57224">
        <w:t xml:space="preserve"> </w:t>
      </w:r>
      <w:r w:rsidRPr="00C57224">
        <w:t>IEEE Communications Standards Magazine</w:t>
      </w:r>
      <w:r w:rsidR="008B450F" w:rsidRPr="00C57224">
        <w:t xml:space="preserve"> and other international journals.</w:t>
      </w:r>
    </w:p>
    <w:p w14:paraId="02978248" w14:textId="65BD992E" w:rsidR="00A13428" w:rsidRPr="00C57224" w:rsidRDefault="00682E93" w:rsidP="00682E93">
      <w:pPr>
        <w:pStyle w:val="Heading1"/>
        <w:spacing w:before="240"/>
        <w:rPr>
          <w:rFonts w:eastAsiaTheme="minorEastAsia"/>
        </w:rPr>
      </w:pPr>
      <w:bookmarkStart w:id="136" w:name="_5_Cooperation_and"/>
      <w:bookmarkStart w:id="137" w:name="_6_Conformity_and"/>
      <w:bookmarkStart w:id="138" w:name="_8_Conformity_and"/>
      <w:bookmarkStart w:id="139" w:name="_7_Conformity_and"/>
      <w:bookmarkStart w:id="140" w:name="_Toc416161352"/>
      <w:bookmarkStart w:id="141" w:name="_Toc438553972"/>
      <w:bookmarkStart w:id="142" w:name="_Toc453929091"/>
      <w:bookmarkStart w:id="143" w:name="_Toc453932962"/>
      <w:bookmarkStart w:id="144" w:name="_Toc454295868"/>
      <w:bookmarkStart w:id="145" w:name="_Toc462664223"/>
      <w:bookmarkStart w:id="146" w:name="_Toc480527817"/>
      <w:bookmarkStart w:id="147" w:name="_Toc18509736"/>
      <w:bookmarkStart w:id="148" w:name="_Toc179219765"/>
      <w:bookmarkStart w:id="149" w:name="_Toc179221075"/>
      <w:bookmarkStart w:id="150" w:name="_Hlk90559120"/>
      <w:bookmarkStart w:id="151" w:name="_Hlk172042638"/>
      <w:bookmarkStart w:id="152" w:name="_Hlk119584239"/>
      <w:bookmarkEnd w:id="83"/>
      <w:bookmarkEnd w:id="123"/>
      <w:bookmarkEnd w:id="136"/>
      <w:bookmarkEnd w:id="137"/>
      <w:bookmarkEnd w:id="138"/>
      <w:bookmarkEnd w:id="139"/>
      <w:r w:rsidRPr="00C57224">
        <w:rPr>
          <w:rFonts w:eastAsiaTheme="minorEastAsia"/>
        </w:rPr>
        <w:t>7</w:t>
      </w:r>
      <w:r w:rsidR="00A13428" w:rsidRPr="00C57224">
        <w:rPr>
          <w:rFonts w:eastAsiaTheme="minorEastAsia"/>
        </w:rPr>
        <w:tab/>
        <w:t>Conformity and interoperability</w:t>
      </w:r>
      <w:bookmarkEnd w:id="140"/>
      <w:r w:rsidR="00A13428" w:rsidRPr="00C57224">
        <w:rPr>
          <w:rFonts w:eastAsiaTheme="minorEastAsia"/>
        </w:rPr>
        <w:t xml:space="preserve"> </w:t>
      </w:r>
      <w:bookmarkEnd w:id="141"/>
      <w:bookmarkEnd w:id="142"/>
      <w:bookmarkEnd w:id="143"/>
      <w:bookmarkEnd w:id="144"/>
      <w:bookmarkEnd w:id="145"/>
      <w:bookmarkEnd w:id="146"/>
      <w:bookmarkEnd w:id="147"/>
      <w:r w:rsidR="00A13428" w:rsidRPr="00C57224">
        <w:rPr>
          <w:rFonts w:eastAsiaTheme="minorEastAsia"/>
        </w:rPr>
        <w:t>programme</w:t>
      </w:r>
      <w:bookmarkEnd w:id="148"/>
      <w:bookmarkEnd w:id="149"/>
    </w:p>
    <w:p w14:paraId="34E3D0FE" w14:textId="6D28E3DD" w:rsidR="006262A1" w:rsidRPr="00C57224" w:rsidRDefault="006262A1" w:rsidP="006262A1">
      <w:pPr>
        <w:snapToGrid w:val="0"/>
      </w:pPr>
      <w:r w:rsidRPr="00C57224">
        <w:t xml:space="preserve">The </w:t>
      </w:r>
      <w:hyperlink r:id="rId252" w:history="1">
        <w:r w:rsidRPr="00C57224">
          <w:rPr>
            <w:rStyle w:val="Hyperlink"/>
          </w:rPr>
          <w:t>ITU Conformity and Interoperability (C&amp;I) programme</w:t>
        </w:r>
      </w:hyperlink>
      <w:r w:rsidRPr="00C5722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3318EBD3" w14:textId="11065C33" w:rsidR="00A26387" w:rsidRPr="00C57224" w:rsidRDefault="006262A1" w:rsidP="006262A1">
      <w:pPr>
        <w:snapToGrid w:val="0"/>
      </w:pPr>
      <w:bookmarkStart w:id="153" w:name="_Hlk120609855"/>
      <w:r w:rsidRPr="00C57224">
        <w:lastRenderedPageBreak/>
        <w:t xml:space="preserve">Testing </w:t>
      </w:r>
      <w:r w:rsidR="003C47E1" w:rsidRPr="00C57224">
        <w:t>L</w:t>
      </w:r>
      <w:r w:rsidRPr="00C57224">
        <w:t>ab</w:t>
      </w:r>
      <w:r w:rsidR="003C47E1" w:rsidRPr="00C57224">
        <w:t>oratories</w:t>
      </w:r>
      <w:r w:rsidRPr="00C57224">
        <w:t xml:space="preserve"> </w:t>
      </w:r>
      <w:r w:rsidR="003C47E1" w:rsidRPr="00C57224">
        <w:t xml:space="preserve">have been able to </w:t>
      </w:r>
      <w:r w:rsidRPr="00C57224">
        <w:t>obtain official recognition from ITU for their competence to test the conformance of products with ITU-T Recommendations (</w:t>
      </w:r>
      <w:hyperlink r:id="rId253" w:history="1">
        <w:r w:rsidRPr="00C57224">
          <w:rPr>
            <w:rStyle w:val="Hyperlink"/>
          </w:rPr>
          <w:t>TSB Circular 368</w:t>
        </w:r>
      </w:hyperlink>
      <w:r w:rsidRPr="00C57224">
        <w:t>)</w:t>
      </w:r>
      <w:r w:rsidR="003C47E1" w:rsidRPr="00C57224">
        <w:t xml:space="preserve"> since December 2021</w:t>
      </w:r>
      <w:r w:rsidRPr="00C57224">
        <w:t>.</w:t>
      </w:r>
    </w:p>
    <w:p w14:paraId="78B12CE4" w14:textId="5359305A" w:rsidR="003C47E1" w:rsidRPr="00C57224" w:rsidRDefault="00493B22" w:rsidP="006262A1">
      <w:pPr>
        <w:snapToGrid w:val="0"/>
      </w:pPr>
      <w:r w:rsidRPr="00C57224">
        <w:t xml:space="preserve">As of </w:t>
      </w:r>
      <w:r w:rsidR="00633809" w:rsidRPr="00C57224">
        <w:t xml:space="preserve">September </w:t>
      </w:r>
      <w:r w:rsidRPr="00C57224">
        <w:t>202</w:t>
      </w:r>
      <w:r w:rsidR="003C47E1" w:rsidRPr="00C57224">
        <w:t>4</w:t>
      </w:r>
      <w:r w:rsidRPr="00C57224">
        <w:t xml:space="preserve">, </w:t>
      </w:r>
      <w:r w:rsidR="003C47E1" w:rsidRPr="00C57224">
        <w:t xml:space="preserve">there </w:t>
      </w:r>
      <w:r w:rsidR="00544B9C" w:rsidRPr="00C57224">
        <w:t>were</w:t>
      </w:r>
      <w:r w:rsidR="003C47E1" w:rsidRPr="00C57224">
        <w:t xml:space="preserve"> </w:t>
      </w:r>
      <w:r w:rsidRPr="00C57224">
        <w:t>1</w:t>
      </w:r>
      <w:r w:rsidR="003C47E1" w:rsidRPr="00C57224">
        <w:t>4</w:t>
      </w:r>
      <w:r w:rsidRPr="00C57224">
        <w:t xml:space="preserve"> </w:t>
      </w:r>
      <w:r w:rsidR="003C47E1" w:rsidRPr="00C57224">
        <w:t xml:space="preserve">Testing Laboratories registered </w:t>
      </w:r>
      <w:r w:rsidR="006262A1" w:rsidRPr="00C57224">
        <w:t xml:space="preserve">in the </w:t>
      </w:r>
      <w:hyperlink r:id="rId254" w:tgtFrame="_blank" w:history="1">
        <w:r w:rsidR="006262A1" w:rsidRPr="00C57224">
          <w:rPr>
            <w:rStyle w:val="Hyperlink"/>
          </w:rPr>
          <w:t>ITU Testing Laboratories Database</w:t>
        </w:r>
      </w:hyperlink>
      <w:r w:rsidR="006262A1" w:rsidRPr="00C57224">
        <w:t xml:space="preserve"> for ITU-recognized facilities. </w:t>
      </w:r>
      <w:r w:rsidR="003C47E1" w:rsidRPr="00C57224">
        <w:t xml:space="preserve">The announcements were also issued via ITU Operational Bulletins </w:t>
      </w:r>
      <w:hyperlink r:id="rId255" w:history="1">
        <w:r w:rsidR="003C47E1" w:rsidRPr="00C57224">
          <w:rPr>
            <w:rStyle w:val="Hyperlink"/>
          </w:rPr>
          <w:t>OB.1253</w:t>
        </w:r>
      </w:hyperlink>
      <w:r w:rsidR="003C47E1" w:rsidRPr="00C57224">
        <w:t xml:space="preserve">, </w:t>
      </w:r>
      <w:hyperlink r:id="rId256" w:history="1">
        <w:r w:rsidR="003C47E1" w:rsidRPr="00C57224">
          <w:rPr>
            <w:rStyle w:val="Hyperlink"/>
          </w:rPr>
          <w:t>OB.1256</w:t>
        </w:r>
      </w:hyperlink>
      <w:r w:rsidR="003C47E1" w:rsidRPr="00C57224">
        <w:t xml:space="preserve">, </w:t>
      </w:r>
      <w:hyperlink r:id="rId257" w:history="1">
        <w:r w:rsidR="003C47E1" w:rsidRPr="00C57224">
          <w:rPr>
            <w:rStyle w:val="Hyperlink"/>
          </w:rPr>
          <w:t>OB.1263</w:t>
        </w:r>
      </w:hyperlink>
      <w:r w:rsidR="003C47E1" w:rsidRPr="00C57224">
        <w:t xml:space="preserve">, </w:t>
      </w:r>
      <w:hyperlink r:id="rId258" w:history="1">
        <w:r w:rsidR="003C47E1" w:rsidRPr="00C57224">
          <w:rPr>
            <w:rStyle w:val="Hyperlink"/>
          </w:rPr>
          <w:t>OB.1266</w:t>
        </w:r>
      </w:hyperlink>
      <w:r w:rsidR="003C47E1" w:rsidRPr="00C57224">
        <w:t xml:space="preserve">, </w:t>
      </w:r>
      <w:hyperlink r:id="rId259" w:history="1">
        <w:r w:rsidR="003C47E1" w:rsidRPr="00C57224">
          <w:rPr>
            <w:rStyle w:val="Hyperlink"/>
          </w:rPr>
          <w:t>OB.1283</w:t>
        </w:r>
      </w:hyperlink>
      <w:r w:rsidR="003C47E1" w:rsidRPr="00C57224">
        <w:t xml:space="preserve">, </w:t>
      </w:r>
      <w:hyperlink r:id="rId260" w:history="1">
        <w:r w:rsidR="003C47E1" w:rsidRPr="00C57224">
          <w:rPr>
            <w:rStyle w:val="Hyperlink"/>
          </w:rPr>
          <w:t>OB.1286</w:t>
        </w:r>
      </w:hyperlink>
      <w:r w:rsidR="003C47E1" w:rsidRPr="00C57224">
        <w:t xml:space="preserve"> and </w:t>
      </w:r>
      <w:hyperlink r:id="rId261" w:history="1">
        <w:r w:rsidR="003C47E1" w:rsidRPr="00C57224">
          <w:rPr>
            <w:rStyle w:val="Hyperlink"/>
          </w:rPr>
          <w:t>OB.1293</w:t>
        </w:r>
      </w:hyperlink>
      <w:r w:rsidR="003C47E1" w:rsidRPr="00C57224">
        <w:t>.</w:t>
      </w:r>
    </w:p>
    <w:bookmarkEnd w:id="153"/>
    <w:p w14:paraId="372BC3F9" w14:textId="6FB85D81" w:rsidR="003C47E1" w:rsidRPr="00C57224" w:rsidRDefault="006262A1" w:rsidP="006262A1">
      <w:pPr>
        <w:snapToGrid w:val="0"/>
      </w:pPr>
      <w:r w:rsidRPr="00C57224">
        <w:t xml:space="preserve">ITU-T determined the key criteria and </w:t>
      </w:r>
      <w:hyperlink r:id="rId262" w:tgtFrame="_blank" w:history="1">
        <w:r w:rsidRPr="00C57224">
          <w:rPr>
            <w:rStyle w:val="Hyperlink"/>
          </w:rPr>
          <w:t>recognition procedure</w:t>
        </w:r>
      </w:hyperlink>
      <w:r w:rsidRPr="00C57224">
        <w:t xml:space="preserve"> for testing labs</w:t>
      </w:r>
      <w:r w:rsidR="003C47E1" w:rsidRPr="00C57224">
        <w:t xml:space="preserve"> and the </w:t>
      </w:r>
      <w:hyperlink r:id="rId263" w:history="1">
        <w:r w:rsidR="003C47E1" w:rsidRPr="00C57224">
          <w:rPr>
            <w:rStyle w:val="Hyperlink"/>
          </w:rPr>
          <w:t>appointment of ITU-T technical experts</w:t>
        </w:r>
      </w:hyperlink>
      <w:r w:rsidRPr="00C57224">
        <w:t>.</w:t>
      </w:r>
      <w:r w:rsidR="003C47E1" w:rsidRPr="00C57224">
        <w:t xml:space="preserve"> The list of technical experts is available </w:t>
      </w:r>
      <w:hyperlink r:id="rId264" w:history="1">
        <w:r w:rsidR="003C47E1" w:rsidRPr="00C57224">
          <w:rPr>
            <w:rStyle w:val="Hyperlink"/>
          </w:rPr>
          <w:t>here</w:t>
        </w:r>
      </w:hyperlink>
      <w:r w:rsidR="003C47E1" w:rsidRPr="00C57224">
        <w:t xml:space="preserve"> (October 2023).</w:t>
      </w:r>
    </w:p>
    <w:p w14:paraId="2675B291" w14:textId="205BF0B0" w:rsidR="006262A1" w:rsidRPr="00C57224" w:rsidRDefault="006262A1" w:rsidP="006262A1">
      <w:pPr>
        <w:snapToGrid w:val="0"/>
      </w:pPr>
      <w:r w:rsidRPr="00C57224">
        <w:t xml:space="preserve">An earlier </w:t>
      </w:r>
      <w:hyperlink r:id="rId265" w:tgtFrame="_blank" w:history="1">
        <w:r w:rsidRPr="00C57224">
          <w:rPr>
            <w:rStyle w:val="Hyperlink"/>
          </w:rPr>
          <w:t>Memorandum of Understanding</w:t>
        </w:r>
      </w:hyperlink>
      <w:r w:rsidRPr="00C57224">
        <w:t xml:space="preserve"> between ITU-T, the International Laboratory Accreditation Cooperation (ILAC) and the International Accreditation Forum (IAF) facilitates ITU's recognition of labs accredited by signatories to the </w:t>
      </w:r>
      <w:hyperlink r:id="rId266" w:tgtFrame="_blank" w:history="1">
        <w:r w:rsidRPr="00C57224">
          <w:rPr>
            <w:rStyle w:val="Hyperlink"/>
          </w:rPr>
          <w:t>ILAC Mutual Recognition Arrangement</w:t>
        </w:r>
      </w:hyperlink>
      <w:r w:rsidRPr="00C57224">
        <w:t>.</w:t>
      </w:r>
      <w:r w:rsidR="003C47E1" w:rsidRPr="00C57224">
        <w:t xml:space="preserve"> In addition, ILAC developed its own assessment procedure to explain the operation of the set-up (see </w:t>
      </w:r>
      <w:hyperlink r:id="rId267" w:history="1">
        <w:r w:rsidR="003C47E1" w:rsidRPr="00C57224">
          <w:rPr>
            <w:rStyle w:val="Hyperlink"/>
          </w:rPr>
          <w:t>here</w:t>
        </w:r>
      </w:hyperlink>
      <w:r w:rsidR="003C47E1" w:rsidRPr="00C57224">
        <w:t xml:space="preserve">). The detailed information on ILAC-ITU partnership is available </w:t>
      </w:r>
      <w:hyperlink r:id="rId268" w:history="1">
        <w:r w:rsidR="003C47E1" w:rsidRPr="00C57224">
          <w:rPr>
            <w:rStyle w:val="Hyperlink"/>
          </w:rPr>
          <w:t>here</w:t>
        </w:r>
      </w:hyperlink>
      <w:r w:rsidR="003C47E1" w:rsidRPr="00C57224">
        <w:t>.</w:t>
      </w:r>
    </w:p>
    <w:p w14:paraId="0C503A06" w14:textId="7F10FA5B" w:rsidR="006262A1" w:rsidRPr="00C57224" w:rsidRDefault="006262A1" w:rsidP="006262A1">
      <w:pPr>
        <w:snapToGrid w:val="0"/>
      </w:pPr>
      <w:r w:rsidRPr="00C57224">
        <w:t xml:space="preserve">Testing labs are invited to apply for ITU recognition using this </w:t>
      </w:r>
      <w:hyperlink r:id="rId269" w:tgtFrame="_blank" w:history="1">
        <w:r w:rsidRPr="00C57224">
          <w:rPr>
            <w:rStyle w:val="Hyperlink"/>
          </w:rPr>
          <w:t>application form</w:t>
        </w:r>
      </w:hyperlink>
      <w:r w:rsidRPr="00C57224">
        <w:t xml:space="preserve">. Labs successful in their application are announced in the </w:t>
      </w:r>
      <w:hyperlink r:id="rId270" w:tgtFrame="_blank" w:history="1">
        <w:r w:rsidRPr="00C57224">
          <w:rPr>
            <w:rStyle w:val="Hyperlink"/>
          </w:rPr>
          <w:t>ITU Operational Bulletin</w:t>
        </w:r>
      </w:hyperlink>
      <w:r w:rsidRPr="00C57224">
        <w:t>.</w:t>
      </w:r>
      <w:r w:rsidR="00493B22" w:rsidRPr="00C57224">
        <w:t xml:space="preserve"> The recognition procedure is supported by the </w:t>
      </w:r>
      <w:hyperlink r:id="rId271" w:tgtFrame="_blank" w:history="1">
        <w:r w:rsidR="00493B22" w:rsidRPr="00C57224">
          <w:rPr>
            <w:rStyle w:val="Hyperlink"/>
          </w:rPr>
          <w:t>ITU-T Conformity Assessment Steering Committee</w:t>
        </w:r>
      </w:hyperlink>
      <w:r w:rsidR="00493B22" w:rsidRPr="00C57224">
        <w:t>.</w:t>
      </w:r>
    </w:p>
    <w:p w14:paraId="7CCEA762" w14:textId="6F429583" w:rsidR="006262A1" w:rsidRPr="00C57224" w:rsidRDefault="006262A1" w:rsidP="006262A1">
      <w:pPr>
        <w:snapToGrid w:val="0"/>
      </w:pPr>
      <w:r w:rsidRPr="00C57224">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272" w:tgtFrame="_blank" w:history="1">
        <w:r w:rsidRPr="00C57224">
          <w:rPr>
            <w:rStyle w:val="Hyperlink"/>
          </w:rPr>
          <w:t>application form</w:t>
        </w:r>
      </w:hyperlink>
      <w:r w:rsidRPr="00C57224">
        <w:t xml:space="preserve">. All criteria for populating the database are listed </w:t>
      </w:r>
      <w:hyperlink r:id="rId273" w:history="1">
        <w:r w:rsidRPr="00C57224">
          <w:rPr>
            <w:rStyle w:val="Hyperlink"/>
          </w:rPr>
          <w:t>here</w:t>
        </w:r>
      </w:hyperlink>
      <w:r w:rsidRPr="00C57224">
        <w:t>.</w:t>
      </w:r>
    </w:p>
    <w:p w14:paraId="1EF84514" w14:textId="1283B448" w:rsidR="006262A1" w:rsidRPr="00C57224" w:rsidRDefault="00493B22" w:rsidP="006262A1">
      <w:pPr>
        <w:snapToGrid w:val="0"/>
      </w:pPr>
      <w:r w:rsidRPr="00C57224">
        <w:t xml:space="preserve">SG11 updated its </w:t>
      </w:r>
      <w:hyperlink r:id="rId274" w:history="1">
        <w:r w:rsidRPr="00C57224">
          <w:rPr>
            <w:rStyle w:val="Hyperlink"/>
          </w:rPr>
          <w:t>C&amp;I Action Plan</w:t>
        </w:r>
      </w:hyperlink>
      <w:r w:rsidRPr="00C57224">
        <w:t>,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ITU registered GPON ONT end-device (category: optical fib</w:t>
      </w:r>
      <w:r w:rsidR="0016603D" w:rsidRPr="00C57224">
        <w:t>re</w:t>
      </w:r>
      <w:r w:rsidRPr="00C57224">
        <w:t xml:space="preserve"> equipment) in </w:t>
      </w:r>
      <w:r w:rsidR="0016603D" w:rsidRPr="00C57224">
        <w:t xml:space="preserve">the </w:t>
      </w:r>
      <w:r w:rsidRPr="00C57224">
        <w:t>Product Conformity Database (</w:t>
      </w:r>
      <w:hyperlink r:id="rId275" w:history="1">
        <w:r w:rsidRPr="00C57224">
          <w:rPr>
            <w:rStyle w:val="Hyperlink"/>
          </w:rPr>
          <w:t>https://itu.int/go/tcdb</w:t>
        </w:r>
      </w:hyperlink>
      <w:r w:rsidRPr="00C57224">
        <w:t>)</w:t>
      </w:r>
      <w:r w:rsidR="0016603D" w:rsidRPr="00C57224">
        <w:t xml:space="preserve">, </w:t>
      </w:r>
      <w:r w:rsidRPr="00C57224">
        <w:t xml:space="preserve">which was tested by </w:t>
      </w:r>
      <w:r w:rsidR="0016603D" w:rsidRPr="00C57224">
        <w:t xml:space="preserve">a </w:t>
      </w:r>
      <w:r w:rsidRPr="00C57224">
        <w:t>recognized testing laboratory.</w:t>
      </w:r>
    </w:p>
    <w:p w14:paraId="357EC817" w14:textId="2C814CF9" w:rsidR="006262A1" w:rsidRPr="00C57224" w:rsidRDefault="006262A1" w:rsidP="006262A1">
      <w:pPr>
        <w:snapToGrid w:val="0"/>
      </w:pPr>
      <w:bookmarkStart w:id="154" w:name="_Hlk120609943"/>
      <w:r w:rsidRPr="00C57224">
        <w:t>The testing lab recognition scheme is the latest initiative under ITU</w:t>
      </w:r>
      <w:r w:rsidR="007C2FC3" w:rsidRPr="00C57224">
        <w:t>'</w:t>
      </w:r>
      <w:r w:rsidRPr="00C57224">
        <w:t xml:space="preserve">s C&amp;I programme. </w:t>
      </w:r>
      <w:bookmarkEnd w:id="154"/>
      <w:r w:rsidRPr="00C57224">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64E6D8FC" w14:textId="723D36CF" w:rsidR="00A26387" w:rsidRPr="00C57224" w:rsidRDefault="003C47E1" w:rsidP="006262A1">
      <w:pPr>
        <w:snapToGrid w:val="0"/>
      </w:pPr>
      <w:r w:rsidRPr="00C57224">
        <w:t xml:space="preserve">In response to requests from ITU members, ITU organized a </w:t>
      </w:r>
      <w:hyperlink r:id="rId276" w:history="1">
        <w:r w:rsidRPr="00C57224">
          <w:rPr>
            <w:rStyle w:val="Hyperlink"/>
          </w:rPr>
          <w:t>tutorial on the Testing Laboratories recognition procedure</w:t>
        </w:r>
      </w:hyperlink>
      <w:r w:rsidRPr="00C57224">
        <w:t xml:space="preserve"> </w:t>
      </w:r>
      <w:r w:rsidR="001B73BB" w:rsidRPr="00C57224">
        <w:t xml:space="preserve">in October 2023. See also </w:t>
      </w:r>
      <w:hyperlink r:id="rId277" w:history="1">
        <w:r w:rsidRPr="00C57224">
          <w:rPr>
            <w:rStyle w:val="Hyperlink"/>
          </w:rPr>
          <w:t>video guidelin</w:t>
        </w:r>
        <w:r w:rsidR="001B73BB" w:rsidRPr="00C57224">
          <w:rPr>
            <w:rStyle w:val="Hyperlink"/>
          </w:rPr>
          <w:t>es</w:t>
        </w:r>
      </w:hyperlink>
      <w:r w:rsidRPr="00C57224">
        <w:t xml:space="preserve"> about </w:t>
      </w:r>
      <w:r w:rsidR="001B73BB" w:rsidRPr="00C57224">
        <w:t xml:space="preserve">the </w:t>
      </w:r>
      <w:hyperlink r:id="rId278" w:tgtFrame="_blank" w:history="1">
        <w:r w:rsidR="001B73BB" w:rsidRPr="00C57224">
          <w:rPr>
            <w:rStyle w:val="Hyperlink"/>
          </w:rPr>
          <w:t>ITU Testing Laboratories Database</w:t>
        </w:r>
      </w:hyperlink>
      <w:r w:rsidR="001B73BB" w:rsidRPr="00C57224">
        <w:t xml:space="preserve"> </w:t>
      </w:r>
      <w:r w:rsidRPr="00C57224">
        <w:t xml:space="preserve">and </w:t>
      </w:r>
      <w:hyperlink r:id="rId279" w:history="1">
        <w:r w:rsidRPr="00C57224">
          <w:rPr>
            <w:rStyle w:val="Hyperlink"/>
          </w:rPr>
          <w:t>ITU Product Conformity Database</w:t>
        </w:r>
      </w:hyperlink>
      <w:r w:rsidRPr="00C57224">
        <w:t xml:space="preserve"> on </w:t>
      </w:r>
      <w:r w:rsidR="001B73BB" w:rsidRPr="00C57224">
        <w:t xml:space="preserve">the </w:t>
      </w:r>
      <w:hyperlink r:id="rId280" w:history="1">
        <w:r w:rsidRPr="00C57224">
          <w:rPr>
            <w:rStyle w:val="Hyperlink"/>
          </w:rPr>
          <w:t>ITU C&amp;I Portal</w:t>
        </w:r>
      </w:hyperlink>
      <w:r w:rsidR="001B73BB" w:rsidRPr="00C57224">
        <w:t>.</w:t>
      </w:r>
    </w:p>
    <w:p w14:paraId="6B733F7E" w14:textId="77777777" w:rsidR="00C57224" w:rsidRPr="00C57224" w:rsidRDefault="00C57224" w:rsidP="00C57224">
      <w:bookmarkStart w:id="155" w:name="_7_Mainstreaming_accessibility"/>
      <w:bookmarkStart w:id="156" w:name="_9_Mainstreaming_accessibility"/>
      <w:bookmarkStart w:id="157" w:name="_9_Membership"/>
      <w:bookmarkStart w:id="158" w:name="_11_Membership"/>
      <w:bookmarkStart w:id="159" w:name="_8_Membership"/>
      <w:bookmarkStart w:id="160" w:name="_Hlk119427841"/>
      <w:bookmarkStart w:id="161" w:name="_Hlk92290514"/>
      <w:bookmarkStart w:id="162" w:name="_Toc438553987"/>
      <w:bookmarkStart w:id="163" w:name="_Toc453929111"/>
      <w:bookmarkStart w:id="164" w:name="_Toc453932982"/>
      <w:bookmarkStart w:id="165" w:name="_Toc454295888"/>
      <w:bookmarkStart w:id="166" w:name="_Toc462664268"/>
      <w:bookmarkStart w:id="167" w:name="_Toc480527861"/>
      <w:bookmarkEnd w:id="150"/>
      <w:bookmarkEnd w:id="151"/>
      <w:bookmarkEnd w:id="152"/>
      <w:bookmarkEnd w:id="155"/>
      <w:bookmarkEnd w:id="156"/>
      <w:bookmarkEnd w:id="157"/>
      <w:bookmarkEnd w:id="158"/>
      <w:bookmarkEnd w:id="159"/>
      <w:r w:rsidRPr="00C57224">
        <w:br w:type="page"/>
      </w:r>
    </w:p>
    <w:p w14:paraId="1B354986" w14:textId="405DD9A4" w:rsidR="00481E0F" w:rsidRPr="00C57224" w:rsidRDefault="00682E93" w:rsidP="0048381E">
      <w:pPr>
        <w:pStyle w:val="Heading1"/>
        <w:spacing w:before="240"/>
      </w:pPr>
      <w:bookmarkStart w:id="168" w:name="_Toc179219766"/>
      <w:bookmarkStart w:id="169" w:name="_Toc179221076"/>
      <w:r w:rsidRPr="00C57224">
        <w:lastRenderedPageBreak/>
        <w:t>8</w:t>
      </w:r>
      <w:r w:rsidR="001C4B4F" w:rsidRPr="00C57224">
        <w:tab/>
        <w:t>Membership</w:t>
      </w:r>
      <w:bookmarkStart w:id="170" w:name="_Hlk82640787"/>
      <w:bookmarkEnd w:id="168"/>
      <w:bookmarkEnd w:id="169"/>
    </w:p>
    <w:bookmarkEnd w:id="170"/>
    <w:p w14:paraId="0F39D557" w14:textId="77777777" w:rsidR="00A26387" w:rsidRPr="00C57224" w:rsidRDefault="00873778" w:rsidP="00C57224">
      <w:r w:rsidRPr="00C57224">
        <w:t>ITU-T hosts 26</w:t>
      </w:r>
      <w:r w:rsidR="0001041A" w:rsidRPr="00C57224">
        <w:t>8</w:t>
      </w:r>
      <w:r w:rsidRPr="00C57224">
        <w:t xml:space="preserve"> Sector Members and 23</w:t>
      </w:r>
      <w:r w:rsidR="0001041A" w:rsidRPr="00C57224">
        <w:t>4</w:t>
      </w:r>
      <w:r w:rsidRPr="00C57224">
        <w:t xml:space="preserve"> Associates. ITU Academia members now total 17</w:t>
      </w:r>
      <w:r w:rsidR="0001041A" w:rsidRPr="00C57224">
        <w:t>2</w:t>
      </w:r>
      <w:r w:rsidRPr="00C57224">
        <w:t>. 7</w:t>
      </w:r>
      <w:r w:rsidR="0001041A" w:rsidRPr="00C57224">
        <w:t>6</w:t>
      </w:r>
      <w:r w:rsidRPr="00C57224">
        <w:t xml:space="preserve"> of ITU-T's Associates are participating under the reduced fee structure for small and medium-sized enterprises (SMEs) which came into effect on 31 January 2020</w:t>
      </w:r>
      <w:r w:rsidR="005A2C5A" w:rsidRPr="00C57224">
        <w:t>.</w:t>
      </w:r>
    </w:p>
    <w:p w14:paraId="1B7EE930" w14:textId="2957252C" w:rsidR="005A2C5A" w:rsidRPr="00C57224" w:rsidRDefault="005A2C5A" w:rsidP="00C57224">
      <w:pPr>
        <w:pStyle w:val="Headingb"/>
      </w:pPr>
      <w:r w:rsidRPr="00C57224">
        <w:t xml:space="preserve">New Sector Members welcomed </w:t>
      </w:r>
      <w:r w:rsidR="00B15B5E" w:rsidRPr="00C57224">
        <w:t>since January 2022</w:t>
      </w:r>
      <w:r w:rsidRPr="00C57224">
        <w:t>:</w:t>
      </w:r>
    </w:p>
    <w:p w14:paraId="6EC48C88" w14:textId="205F405B" w:rsidR="005A2C5A" w:rsidRPr="00C57224" w:rsidRDefault="00873778" w:rsidP="00C57224">
      <w:r w:rsidRPr="00C57224">
        <w:t xml:space="preserve">Globe Telecom, Inc.; </w:t>
      </w:r>
      <w:proofErr w:type="spellStart"/>
      <w:r w:rsidRPr="00C57224">
        <w:t>Powertel</w:t>
      </w:r>
      <w:proofErr w:type="spellEnd"/>
      <w:r w:rsidRPr="00C57224">
        <w:t xml:space="preserve"> Communications (PVT) Ltd.; Emirates Integrated Telecommunications Company PJSC; Libya Postal Telecommunication and Technology Holding Company (LPTIC); Google Inc.; Meta Platforms, Inc.; </w:t>
      </w:r>
      <w:proofErr w:type="spellStart"/>
      <w:r w:rsidRPr="00C57224">
        <w:t>Vecima</w:t>
      </w:r>
      <w:proofErr w:type="spellEnd"/>
      <w:r w:rsidRPr="00C57224">
        <w:t xml:space="preserve"> Networks Inc.; China Tower Corporation Limited; </w:t>
      </w:r>
      <w:proofErr w:type="spellStart"/>
      <w:r w:rsidRPr="00C57224">
        <w:t>CableLabs</w:t>
      </w:r>
      <w:proofErr w:type="spellEnd"/>
      <w:r w:rsidRPr="00C57224">
        <w:t xml:space="preserve">; Arab League Educational, Cultural and Scientific Organization (ALECSO); Open &amp; Agile Smart Cities (OASC); Communications Regulators Association of Southern Africa (CRASA); DITO </w:t>
      </w:r>
      <w:proofErr w:type="spellStart"/>
      <w:r w:rsidRPr="00C57224">
        <w:t>Telecommunity</w:t>
      </w:r>
      <w:proofErr w:type="spellEnd"/>
      <w:r w:rsidRPr="00C57224">
        <w:t xml:space="preserve"> Corporation; Digital Cooperation Organization (DCO); Guangdong OPPO Mobile Telecommunications Corp., Ltd.; State Grid Corporation of China; </w:t>
      </w:r>
      <w:proofErr w:type="spellStart"/>
      <w:r w:rsidRPr="00C57224">
        <w:t>Afnic</w:t>
      </w:r>
      <w:proofErr w:type="spellEnd"/>
      <w:r w:rsidRPr="00C57224">
        <w:t xml:space="preserve">; China Satellite Network Group Co., Ltd; World Federation of Engineering Organization (WFEO); Ant Group Co., Ltd.; Frontier Communication; World's Global Telecom S.A. (WGT); Environmental Coalition on Standards (ECOS); Bahrain Network (BNET); Broadcom Europe Ltd.; European DIGITAL SME Alliance; </w:t>
      </w:r>
      <w:proofErr w:type="spellStart"/>
      <w:r w:rsidRPr="00C57224">
        <w:t>Somtel</w:t>
      </w:r>
      <w:proofErr w:type="spellEnd"/>
      <w:r w:rsidRPr="00C57224">
        <w:t>; World Smart Sustainable Cities Organization (</w:t>
      </w:r>
      <w:proofErr w:type="spellStart"/>
      <w:r w:rsidRPr="00C57224">
        <w:t>WeGO</w:t>
      </w:r>
      <w:proofErr w:type="spellEnd"/>
      <w:r w:rsidRPr="00C57224">
        <w:t xml:space="preserve">); Chongqing </w:t>
      </w:r>
      <w:proofErr w:type="spellStart"/>
      <w:r w:rsidRPr="00C57224">
        <w:t>Changan</w:t>
      </w:r>
      <w:proofErr w:type="spellEnd"/>
      <w:r w:rsidRPr="00C57224">
        <w:t xml:space="preserve"> Automobile Co., Ltd.</w:t>
      </w:r>
    </w:p>
    <w:p w14:paraId="05504328" w14:textId="21F0140E" w:rsidR="005A2C5A" w:rsidRPr="00C57224" w:rsidRDefault="005A2C5A" w:rsidP="00C57224">
      <w:pPr>
        <w:pStyle w:val="Headingb"/>
      </w:pPr>
      <w:r w:rsidRPr="00C57224">
        <w:t>New Associates welcomed</w:t>
      </w:r>
      <w:r w:rsidR="00B15B5E" w:rsidRPr="00C57224">
        <w:t xml:space="preserve"> since January 2022</w:t>
      </w:r>
      <w:r w:rsidRPr="00C57224">
        <w:t>:</w:t>
      </w:r>
    </w:p>
    <w:p w14:paraId="595909F3" w14:textId="13675913" w:rsidR="00873778" w:rsidRPr="00C57224" w:rsidRDefault="00873778" w:rsidP="00C57224">
      <w:proofErr w:type="spellStart"/>
      <w:r w:rsidRPr="00C57224">
        <w:t>aql</w:t>
      </w:r>
      <w:proofErr w:type="spellEnd"/>
      <w:r w:rsidRPr="00C57224">
        <w:t xml:space="preserve"> (numbering) Ltd. (SG2); </w:t>
      </w:r>
      <w:proofErr w:type="spellStart"/>
      <w:r w:rsidRPr="00C57224">
        <w:t>Onomondo</w:t>
      </w:r>
      <w:proofErr w:type="spellEnd"/>
      <w:r w:rsidRPr="00C57224">
        <w:t xml:space="preserve"> </w:t>
      </w:r>
      <w:proofErr w:type="spellStart"/>
      <w:r w:rsidRPr="00C57224">
        <w:t>ApS</w:t>
      </w:r>
      <w:proofErr w:type="spellEnd"/>
      <w:r w:rsidRPr="00C57224">
        <w:t xml:space="preserve"> (SG2); LLC Bureau-1440 (SG2); </w:t>
      </w:r>
      <w:proofErr w:type="spellStart"/>
      <w:r w:rsidRPr="00C57224">
        <w:t>Telnyx</w:t>
      </w:r>
      <w:proofErr w:type="spellEnd"/>
      <w:r w:rsidRPr="00C57224">
        <w:t xml:space="preserve"> LLC (SG2); </w:t>
      </w:r>
      <w:proofErr w:type="spellStart"/>
      <w:r w:rsidRPr="00C57224">
        <w:t>Globalmatix</w:t>
      </w:r>
      <w:proofErr w:type="spellEnd"/>
      <w:r w:rsidRPr="00C57224">
        <w:t xml:space="preserve"> AG (SG2); </w:t>
      </w:r>
      <w:proofErr w:type="spellStart"/>
      <w:r w:rsidRPr="00C57224">
        <w:t>Skylo</w:t>
      </w:r>
      <w:proofErr w:type="spellEnd"/>
      <w:r w:rsidRPr="00C57224">
        <w:t xml:space="preserve"> Technologies, Inc. (SG2); </w:t>
      </w:r>
      <w:proofErr w:type="spellStart"/>
      <w:r w:rsidRPr="00C57224">
        <w:t>Satelio</w:t>
      </w:r>
      <w:proofErr w:type="spellEnd"/>
      <w:r w:rsidRPr="00C57224">
        <w:t xml:space="preserve"> IoT Services, S.L (SG2); KORE Wireless Inc. (SG2); AB Handshake Corporation (SG2); BBIX Singapore </w:t>
      </w:r>
      <w:proofErr w:type="spellStart"/>
      <w:r w:rsidRPr="00C57224">
        <w:t>Pte.</w:t>
      </w:r>
      <w:proofErr w:type="spellEnd"/>
      <w:r w:rsidRPr="00C57224">
        <w:t xml:space="preserve"> Ltd. (SG2); </w:t>
      </w:r>
      <w:proofErr w:type="spellStart"/>
      <w:r w:rsidRPr="00C57224">
        <w:t>Stacuity</w:t>
      </w:r>
      <w:proofErr w:type="spellEnd"/>
      <w:r w:rsidRPr="00C57224">
        <w:t xml:space="preserve"> Limited (SG2); NTT Ltd. Group Services Limited (SG2); RGTN Wholesale B.V. (SG2); </w:t>
      </w:r>
      <w:proofErr w:type="spellStart"/>
      <w:r w:rsidRPr="00C57224">
        <w:t>GibFibre</w:t>
      </w:r>
      <w:proofErr w:type="spellEnd"/>
      <w:r w:rsidRPr="00C57224">
        <w:t xml:space="preserve"> Ltd. (SG2); </w:t>
      </w:r>
      <w:proofErr w:type="spellStart"/>
      <w:r w:rsidRPr="00C57224">
        <w:t>Bloxtel</w:t>
      </w:r>
      <w:proofErr w:type="spellEnd"/>
      <w:r w:rsidRPr="00C57224">
        <w:t xml:space="preserve"> Inc. (SG2); Deer Management Systems DBA </w:t>
      </w:r>
      <w:proofErr w:type="spellStart"/>
      <w:r w:rsidRPr="00C57224">
        <w:t>Tactacam</w:t>
      </w:r>
      <w:proofErr w:type="spellEnd"/>
      <w:r w:rsidRPr="00C57224">
        <w:t xml:space="preserve"> (SG2); </w:t>
      </w:r>
      <w:proofErr w:type="spellStart"/>
      <w:r w:rsidRPr="00C57224">
        <w:t>iONLINE</w:t>
      </w:r>
      <w:proofErr w:type="spellEnd"/>
      <w:r w:rsidRPr="00C57224">
        <w:t xml:space="preserve"> Internet solutions provider Ltd. (SG2); </w:t>
      </w:r>
      <w:proofErr w:type="spellStart"/>
      <w:r w:rsidRPr="00C57224">
        <w:t>ESim</w:t>
      </w:r>
      <w:proofErr w:type="spellEnd"/>
      <w:r w:rsidRPr="00C57224">
        <w:t xml:space="preserve"> Go Limited (SG2); </w:t>
      </w:r>
      <w:proofErr w:type="spellStart"/>
      <w:r w:rsidRPr="00C57224">
        <w:t>Simwood</w:t>
      </w:r>
      <w:proofErr w:type="spellEnd"/>
      <w:r w:rsidRPr="00C57224">
        <w:t xml:space="preserve"> Group Plc (SG2); </w:t>
      </w:r>
      <w:proofErr w:type="spellStart"/>
      <w:r w:rsidRPr="00C57224">
        <w:t>Datora</w:t>
      </w:r>
      <w:proofErr w:type="spellEnd"/>
      <w:r w:rsidRPr="00C57224">
        <w:t xml:space="preserve"> Mobile </w:t>
      </w:r>
      <w:proofErr w:type="spellStart"/>
      <w:r w:rsidRPr="00C57224">
        <w:t>Telecomunicações</w:t>
      </w:r>
      <w:proofErr w:type="spellEnd"/>
      <w:r w:rsidRPr="00C57224">
        <w:t xml:space="preserve"> SA (SG2); Wireless Maritime Services (WMS) (SG2); 3G Telecommunications Limited (SG2); </w:t>
      </w:r>
      <w:proofErr w:type="spellStart"/>
      <w:r w:rsidRPr="00C57224">
        <w:t>Beamlink</w:t>
      </w:r>
      <w:proofErr w:type="spellEnd"/>
      <w:r w:rsidRPr="00C57224">
        <w:t xml:space="preserve">, Inc. (SG2); </w:t>
      </w:r>
      <w:proofErr w:type="spellStart"/>
      <w:r w:rsidRPr="00C57224">
        <w:t>Telikom</w:t>
      </w:r>
      <w:proofErr w:type="spellEnd"/>
      <w:r w:rsidRPr="00C57224">
        <w:t xml:space="preserve"> Nauru Corporation (SG2); </w:t>
      </w:r>
      <w:proofErr w:type="spellStart"/>
      <w:r w:rsidRPr="00C57224">
        <w:t>Worldcell</w:t>
      </w:r>
      <w:proofErr w:type="spellEnd"/>
      <w:r w:rsidRPr="00C57224">
        <w:t xml:space="preserve"> Solutions LLC (SG2); Lynk Global, Inc (SG2); OQ Technology (SG2); IXT AS (SG2); </w:t>
      </w:r>
      <w:proofErr w:type="spellStart"/>
      <w:r w:rsidRPr="00C57224">
        <w:t>Rapid.Space</w:t>
      </w:r>
      <w:proofErr w:type="spellEnd"/>
      <w:r w:rsidRPr="00C57224">
        <w:t xml:space="preserve"> International (SG2); </w:t>
      </w:r>
      <w:proofErr w:type="spellStart"/>
      <w:r w:rsidRPr="00C57224">
        <w:t>GlobalCell</w:t>
      </w:r>
      <w:proofErr w:type="spellEnd"/>
      <w:r w:rsidRPr="00C57224">
        <w:t xml:space="preserve"> LLC (SG2); </w:t>
      </w:r>
      <w:r w:rsidR="00C72F61" w:rsidRPr="00C57224">
        <w:t xml:space="preserve">IMSI.AI (SG2); </w:t>
      </w:r>
      <w:r w:rsidRPr="00C57224">
        <w:t xml:space="preserve">Mozilla Corporation (SG3); China Energy Materials Company Limited (SG5); Mukti </w:t>
      </w:r>
      <w:proofErr w:type="spellStart"/>
      <w:r w:rsidRPr="00C57224">
        <w:t>Mandiri</w:t>
      </w:r>
      <w:proofErr w:type="spellEnd"/>
      <w:r w:rsidRPr="00C57224">
        <w:t xml:space="preserve"> Lestari (SG5); </w:t>
      </w:r>
      <w:proofErr w:type="spellStart"/>
      <w:r w:rsidRPr="00C57224">
        <w:t>Resilio</w:t>
      </w:r>
      <w:proofErr w:type="spellEnd"/>
      <w:r w:rsidRPr="00C57224">
        <w:t xml:space="preserve"> (SG5); </w:t>
      </w:r>
      <w:proofErr w:type="spellStart"/>
      <w:r w:rsidRPr="00C57224">
        <w:t>Shuangdeng</w:t>
      </w:r>
      <w:proofErr w:type="spellEnd"/>
      <w:r w:rsidRPr="00C57224">
        <w:t xml:space="preserve"> Group Co., Ltd. (</w:t>
      </w:r>
      <w:proofErr w:type="spellStart"/>
      <w:r w:rsidRPr="00C57224">
        <w:t>Chinashoto</w:t>
      </w:r>
      <w:proofErr w:type="spellEnd"/>
      <w:r w:rsidRPr="00C57224">
        <w:t xml:space="preserve">) (SG5); </w:t>
      </w:r>
      <w:proofErr w:type="spellStart"/>
      <w:r w:rsidRPr="00C57224">
        <w:t>InMobiles</w:t>
      </w:r>
      <w:proofErr w:type="spellEnd"/>
      <w:r w:rsidRPr="00C57224">
        <w:t xml:space="preserve"> (SG11); Potin (Beijing) Technology </w:t>
      </w:r>
      <w:proofErr w:type="spellStart"/>
      <w:r w:rsidRPr="00C57224">
        <w:t>Co.,Ltd</w:t>
      </w:r>
      <w:proofErr w:type="spellEnd"/>
      <w:r w:rsidRPr="00C57224">
        <w:t xml:space="preserve"> (SG11); Case On IT (SG12); </w:t>
      </w:r>
      <w:proofErr w:type="spellStart"/>
      <w:r w:rsidRPr="00C57224">
        <w:t>Cerence</w:t>
      </w:r>
      <w:proofErr w:type="spellEnd"/>
      <w:r w:rsidRPr="00C57224">
        <w:t xml:space="preserve"> GmbH (SG12); EFTS Group (SG12); MTN Group Management Services (Pty) Ltd.(SG12); Beijing </w:t>
      </w:r>
      <w:proofErr w:type="spellStart"/>
      <w:r w:rsidRPr="00C57224">
        <w:t>BizSeer</w:t>
      </w:r>
      <w:proofErr w:type="spellEnd"/>
      <w:r w:rsidRPr="00C57224">
        <w:t xml:space="preserve"> Technology Co. Ltd. (SG13); Technology Innovation Institute (TII) (SG13); </w:t>
      </w:r>
      <w:proofErr w:type="spellStart"/>
      <w:r w:rsidRPr="00C57224">
        <w:t>Fondation</w:t>
      </w:r>
      <w:proofErr w:type="spellEnd"/>
      <w:r w:rsidRPr="00C57224">
        <w:t xml:space="preserve"> B-COM (SG13); DNS Research Federation (SG13); </w:t>
      </w:r>
      <w:proofErr w:type="spellStart"/>
      <w:r w:rsidRPr="00C57224">
        <w:t>Associação</w:t>
      </w:r>
      <w:proofErr w:type="spellEnd"/>
      <w:r w:rsidRPr="00C57224">
        <w:t xml:space="preserve"> Data Privacy </w:t>
      </w:r>
      <w:proofErr w:type="spellStart"/>
      <w:r w:rsidRPr="00C57224">
        <w:t>Brasil</w:t>
      </w:r>
      <w:proofErr w:type="spellEnd"/>
      <w:r w:rsidRPr="00C57224">
        <w:t xml:space="preserve"> de Pesquisa (SG13) ; CGN Intelligent Technology (Shenzhen) Co., Ltd. (SG13); Inspur Communication Information Systems Co., Ltd (SG13); Net Insight AB (SG15); Skyworks Solutions, Inc. (SG15); Sino-Telecom Technology Co., Inc. (SG15); HMN Technologies Co. Ltd. (SG15); Senko Advanced Components (Euro) Ltd. (SG15); </w:t>
      </w:r>
      <w:proofErr w:type="spellStart"/>
      <w:r w:rsidRPr="00C57224">
        <w:t>InnoLight</w:t>
      </w:r>
      <w:proofErr w:type="spellEnd"/>
      <w:r w:rsidRPr="00C57224">
        <w:t xml:space="preserve"> Technology (Suzhou) Ltd. (SG15); </w:t>
      </w:r>
      <w:proofErr w:type="spellStart"/>
      <w:r w:rsidRPr="00C57224">
        <w:t>Retym</w:t>
      </w:r>
      <w:proofErr w:type="spellEnd"/>
      <w:r w:rsidRPr="00C57224">
        <w:t xml:space="preserve"> (SG15); NOS Technology SA (SG15); Open Fiber </w:t>
      </w:r>
      <w:proofErr w:type="spellStart"/>
      <w:r w:rsidRPr="00C57224">
        <w:t>S.p.a</w:t>
      </w:r>
      <w:proofErr w:type="spellEnd"/>
      <w:r w:rsidRPr="00C57224">
        <w:t xml:space="preserve">. (SG15); </w:t>
      </w:r>
      <w:proofErr w:type="spellStart"/>
      <w:r w:rsidRPr="00C57224">
        <w:t>Alphawave</w:t>
      </w:r>
      <w:proofErr w:type="spellEnd"/>
      <w:r w:rsidRPr="00C57224">
        <w:t xml:space="preserve"> IP Inc (SG15); CommScope (SG15); LUSTER </w:t>
      </w:r>
      <w:proofErr w:type="spellStart"/>
      <w:r w:rsidRPr="00C57224">
        <w:t>LightTech</w:t>
      </w:r>
      <w:proofErr w:type="spellEnd"/>
      <w:r w:rsidRPr="00C57224">
        <w:t xml:space="preserve"> Co., Ltd. (SG16); Japan Industrial Imaging Association (SG16); </w:t>
      </w:r>
      <w:proofErr w:type="spellStart"/>
      <w:r w:rsidRPr="00C57224">
        <w:t>Infervision</w:t>
      </w:r>
      <w:proofErr w:type="spellEnd"/>
      <w:r w:rsidRPr="00C57224">
        <w:t xml:space="preserve"> Medical Technology Co., Ltd. (SG16); </w:t>
      </w:r>
      <w:proofErr w:type="spellStart"/>
      <w:r w:rsidRPr="00C57224">
        <w:t>Guodian</w:t>
      </w:r>
      <w:proofErr w:type="spellEnd"/>
      <w:r w:rsidRPr="00C57224">
        <w:t xml:space="preserve"> Nanjing Automation Co., Ltd (SG16); Hangzhou </w:t>
      </w:r>
      <w:proofErr w:type="spellStart"/>
      <w:r w:rsidRPr="00C57224">
        <w:t>HarmonyCloud</w:t>
      </w:r>
      <w:proofErr w:type="spellEnd"/>
      <w:r w:rsidRPr="00C57224">
        <w:t xml:space="preserve"> Technology Co., Ltd. (SG16); AI Speech Co., Ltd. (SG16); Sichuan </w:t>
      </w:r>
      <w:proofErr w:type="spellStart"/>
      <w:r w:rsidRPr="00C57224">
        <w:t>Newstrong</w:t>
      </w:r>
      <w:proofErr w:type="spellEnd"/>
      <w:r w:rsidRPr="00C57224">
        <w:t xml:space="preserve"> UHD Video Technology </w:t>
      </w:r>
      <w:proofErr w:type="spellStart"/>
      <w:r w:rsidRPr="00C57224">
        <w:t>Co.,Ltd</w:t>
      </w:r>
      <w:proofErr w:type="spellEnd"/>
      <w:r w:rsidRPr="00C57224">
        <w:t xml:space="preserve">. (SG16); </w:t>
      </w:r>
      <w:proofErr w:type="spellStart"/>
      <w:r w:rsidRPr="00C57224">
        <w:t>TOTHOMweb</w:t>
      </w:r>
      <w:proofErr w:type="spellEnd"/>
      <w:r w:rsidRPr="00C57224">
        <w:t xml:space="preserve"> (SG16); Shanghai Data Exchange Co., Ltd. (SG16); </w:t>
      </w:r>
      <w:proofErr w:type="spellStart"/>
      <w:r w:rsidR="0001041A" w:rsidRPr="00C57224">
        <w:t>Koninklijke</w:t>
      </w:r>
      <w:proofErr w:type="spellEnd"/>
      <w:r w:rsidR="0001041A" w:rsidRPr="00C57224">
        <w:t xml:space="preserve"> Philips N.V.(SG16); </w:t>
      </w:r>
      <w:r w:rsidRPr="00C57224">
        <w:t xml:space="preserve">FNS (M) </w:t>
      </w:r>
      <w:proofErr w:type="spellStart"/>
      <w:r w:rsidRPr="00C57224">
        <w:t>Sdn</w:t>
      </w:r>
      <w:proofErr w:type="spellEnd"/>
      <w:r w:rsidRPr="00C57224">
        <w:t xml:space="preserve"> </w:t>
      </w:r>
      <w:proofErr w:type="spellStart"/>
      <w:r w:rsidRPr="00C57224">
        <w:t>Bhd</w:t>
      </w:r>
      <w:proofErr w:type="spellEnd"/>
      <w:r w:rsidRPr="00C57224">
        <w:t xml:space="preserve"> (SG17); Radical </w:t>
      </w:r>
      <w:proofErr w:type="spellStart"/>
      <w:r w:rsidRPr="00C57224">
        <w:t>Alternativas</w:t>
      </w:r>
      <w:proofErr w:type="spellEnd"/>
      <w:r w:rsidRPr="00C57224">
        <w:t xml:space="preserve"> de </w:t>
      </w:r>
      <w:proofErr w:type="spellStart"/>
      <w:r w:rsidRPr="00C57224">
        <w:t>Avanzada</w:t>
      </w:r>
      <w:proofErr w:type="spellEnd"/>
      <w:r w:rsidRPr="00C57224">
        <w:t xml:space="preserve"> </w:t>
      </w:r>
      <w:proofErr w:type="spellStart"/>
      <w:r w:rsidRPr="00C57224">
        <w:t>Altradicalavan</w:t>
      </w:r>
      <w:proofErr w:type="spellEnd"/>
      <w:r w:rsidRPr="00C57224">
        <w:t xml:space="preserve"> Cia </w:t>
      </w:r>
      <w:proofErr w:type="spellStart"/>
      <w:r w:rsidRPr="00C57224">
        <w:t>Ltda</w:t>
      </w:r>
      <w:proofErr w:type="spellEnd"/>
      <w:r w:rsidRPr="00C57224">
        <w:t xml:space="preserve"> (SG17) ; </w:t>
      </w:r>
      <w:proofErr w:type="spellStart"/>
      <w:r w:rsidRPr="00C57224">
        <w:t>TuringSign</w:t>
      </w:r>
      <w:proofErr w:type="spellEnd"/>
      <w:r w:rsidRPr="00C57224">
        <w:t xml:space="preserve"> Global SA (SG17); HMN Smart Co., Ltd (SG20).</w:t>
      </w:r>
    </w:p>
    <w:p w14:paraId="201A8A80" w14:textId="1E53BC55" w:rsidR="00873778" w:rsidRPr="00C57224" w:rsidRDefault="00873778" w:rsidP="00C57224">
      <w:pPr>
        <w:pStyle w:val="Headingb"/>
      </w:pPr>
      <w:r w:rsidRPr="00C57224">
        <w:t>New Academia welcomed</w:t>
      </w:r>
      <w:r w:rsidR="00B15B5E" w:rsidRPr="00C57224">
        <w:t xml:space="preserve"> since January 2022</w:t>
      </w:r>
      <w:r w:rsidRPr="00C57224">
        <w:t>:</w:t>
      </w:r>
    </w:p>
    <w:p w14:paraId="732D11D9" w14:textId="54D099A8" w:rsidR="005A2C5A" w:rsidRPr="00C57224" w:rsidRDefault="00873778" w:rsidP="00C57224">
      <w:r w:rsidRPr="00C57224">
        <w:t xml:space="preserve">Kyung Hee University; </w:t>
      </w:r>
      <w:proofErr w:type="spellStart"/>
      <w:r w:rsidRPr="00C57224">
        <w:t>Beihang</w:t>
      </w:r>
      <w:proofErr w:type="spellEnd"/>
      <w:r w:rsidRPr="00C57224">
        <w:t xml:space="preserve"> University; Universidad Nacional de Córdoba; </w:t>
      </w:r>
      <w:proofErr w:type="spellStart"/>
      <w:r w:rsidRPr="00C57224">
        <w:t>Politecnico</w:t>
      </w:r>
      <w:proofErr w:type="spellEnd"/>
      <w:r w:rsidRPr="00C57224">
        <w:t xml:space="preserve"> di Milano </w:t>
      </w:r>
      <w:proofErr w:type="spellStart"/>
      <w:r w:rsidRPr="00C57224">
        <w:t>Dipartimento</w:t>
      </w:r>
      <w:proofErr w:type="spellEnd"/>
      <w:r w:rsidRPr="00C57224">
        <w:t xml:space="preserve"> di </w:t>
      </w:r>
      <w:proofErr w:type="spellStart"/>
      <w:r w:rsidRPr="00C57224">
        <w:t>Elettronica</w:t>
      </w:r>
      <w:proofErr w:type="spellEnd"/>
      <w:r w:rsidRPr="00C57224">
        <w:t xml:space="preserve">, </w:t>
      </w:r>
      <w:proofErr w:type="spellStart"/>
      <w:r w:rsidRPr="00C57224">
        <w:t>Informazion</w:t>
      </w:r>
      <w:proofErr w:type="spellEnd"/>
      <w:r w:rsidRPr="00C57224">
        <w:t xml:space="preserve"> e </w:t>
      </w:r>
      <w:proofErr w:type="spellStart"/>
      <w:r w:rsidRPr="00C57224">
        <w:t>Biongegneria</w:t>
      </w:r>
      <w:proofErr w:type="spellEnd"/>
      <w:r w:rsidRPr="00C57224">
        <w:t xml:space="preserve">; </w:t>
      </w:r>
      <w:proofErr w:type="spellStart"/>
      <w:r w:rsidRPr="00C57224">
        <w:t>Universitat</w:t>
      </w:r>
      <w:proofErr w:type="spellEnd"/>
      <w:r w:rsidRPr="00C57224">
        <w:t xml:space="preserve"> </w:t>
      </w:r>
      <w:proofErr w:type="spellStart"/>
      <w:r w:rsidRPr="00C57224">
        <w:t>Autònoma</w:t>
      </w:r>
      <w:proofErr w:type="spellEnd"/>
      <w:r w:rsidRPr="00C57224">
        <w:t xml:space="preserve"> de </w:t>
      </w:r>
      <w:r w:rsidRPr="00C57224">
        <w:lastRenderedPageBreak/>
        <w:t xml:space="preserve">Barcelona; Telkom University; University of Glasgow; Tohoku University/Research Institute of Electrical Communication; University of Pennsylvania; Daejeon University; National Institute of Telecommunications; MITRE; Technology and Engineering </w:t>
      </w:r>
      <w:proofErr w:type="spellStart"/>
      <w:r w:rsidRPr="00C57224">
        <w:t>Center</w:t>
      </w:r>
      <w:proofErr w:type="spellEnd"/>
      <w:r w:rsidRPr="00C57224">
        <w:t xml:space="preserve"> for Space Utilization Chinese Academy of Sciences; Peng Cheng Laboratory; Shandong University; Renmin University of China; Xiamen University; Xi'an </w:t>
      </w:r>
      <w:proofErr w:type="spellStart"/>
      <w:r w:rsidRPr="00C57224">
        <w:t>Jiaotong</w:t>
      </w:r>
      <w:proofErr w:type="spellEnd"/>
      <w:r w:rsidRPr="00C57224">
        <w:t xml:space="preserve"> University; Purple Mountain Laboratories; Blekinge Institute of Technology; Korea University; Indian Institute of Management Kashipur; Beijing Institute of Technology; China Branch of BRICS Institute of Future Networks; Beijing </w:t>
      </w:r>
      <w:proofErr w:type="spellStart"/>
      <w:r w:rsidRPr="00C57224">
        <w:t>Jiaotong</w:t>
      </w:r>
      <w:proofErr w:type="spellEnd"/>
      <w:r w:rsidRPr="00C57224">
        <w:t xml:space="preserve"> University; </w:t>
      </w:r>
      <w:proofErr w:type="spellStart"/>
      <w:r w:rsidRPr="00C57224">
        <w:t>Universiti</w:t>
      </w:r>
      <w:proofErr w:type="spellEnd"/>
      <w:r w:rsidRPr="00C57224">
        <w:t xml:space="preserve"> </w:t>
      </w:r>
      <w:proofErr w:type="spellStart"/>
      <w:r w:rsidRPr="00C57224">
        <w:t>Teknologi</w:t>
      </w:r>
      <w:proofErr w:type="spellEnd"/>
      <w:r w:rsidRPr="00C57224">
        <w:t xml:space="preserve"> MARA (UiTM); American University of Bahrain; Digital Currency Institute of the People's Bank of China; National Institute for Research &amp; Development in Informatics ICI Bucharest; China University of Geosciences (Wuhan); The University of the West Indies Cave Hill School of Business Inc.; Digital Innovation Academy; Baylor University; Institute of Telecommunications and Global Information Space; Visvesvaraya National Institute of Technology (VNIT) Nagpur; China Institute of Communications; Tourism College of Zhejiang; Beijing </w:t>
      </w:r>
      <w:proofErr w:type="spellStart"/>
      <w:r w:rsidRPr="00C57224">
        <w:t>Guoxin</w:t>
      </w:r>
      <w:proofErr w:type="spellEnd"/>
      <w:r w:rsidRPr="00C57224">
        <w:t xml:space="preserve"> Digital Transformation Technology Research Institute; </w:t>
      </w:r>
      <w:proofErr w:type="spellStart"/>
      <w:r w:rsidRPr="00C57224">
        <w:t>Sanjiang</w:t>
      </w:r>
      <w:proofErr w:type="spellEnd"/>
      <w:r w:rsidRPr="00C57224">
        <w:t xml:space="preserve"> University; European Space Policy Institute (ESPI); Bangladesh University of Professionals (BUP); </w:t>
      </w:r>
      <w:proofErr w:type="spellStart"/>
      <w:r w:rsidRPr="00C57224">
        <w:t>Sunchon</w:t>
      </w:r>
      <w:proofErr w:type="spellEnd"/>
      <w:r w:rsidRPr="00C57224">
        <w:t xml:space="preserve"> National University; Universidad de Málaga; Indian Institute of Management Indore; Fudan University; Training Institute of the Lima Chamber of Commerce; Asian Institute of Technology; </w:t>
      </w:r>
      <w:proofErr w:type="spellStart"/>
      <w:r w:rsidRPr="00C57224">
        <w:t>Razzakov</w:t>
      </w:r>
      <w:proofErr w:type="spellEnd"/>
      <w:r w:rsidRPr="00C57224">
        <w:t xml:space="preserve"> Kyrgyz State Technical University; </w:t>
      </w:r>
      <w:proofErr w:type="spellStart"/>
      <w:r w:rsidRPr="00C57224">
        <w:t>Rashtriya</w:t>
      </w:r>
      <w:proofErr w:type="spellEnd"/>
      <w:r w:rsidRPr="00C57224">
        <w:t xml:space="preserve"> Raksha University.</w:t>
      </w:r>
    </w:p>
    <w:p w14:paraId="23129424" w14:textId="60C98AAC" w:rsidR="005A2C5A" w:rsidRPr="00C57224" w:rsidRDefault="005A2C5A" w:rsidP="005A2C5A">
      <w:pPr>
        <w:keepNext/>
        <w:keepLines/>
        <w:rPr>
          <w:rFonts w:eastAsia="Calibri"/>
          <w:b/>
        </w:rPr>
      </w:pPr>
      <w:r w:rsidRPr="00C57224">
        <w:rPr>
          <w:rFonts w:eastAsia="Calibri"/>
          <w:b/>
        </w:rPr>
        <w:t>Total ITU-T Sector Members, Associates and Academia</w:t>
      </w:r>
    </w:p>
    <w:p w14:paraId="1AC9E88C" w14:textId="6485CA11" w:rsidR="005A2C5A" w:rsidRDefault="005A2C5A" w:rsidP="00C63EF5">
      <w:r w:rsidRPr="00C57224">
        <w:t>The following table and figure illustrate the evolution of ITU-T membership</w:t>
      </w:r>
      <w:r w:rsidR="00873778" w:rsidRPr="00C57224">
        <w:t xml:space="preserve"> since 2012</w:t>
      </w:r>
      <w:r w:rsidRPr="00C57224">
        <w:t>.</w:t>
      </w:r>
    </w:p>
    <w:p w14:paraId="245CC957" w14:textId="4FD48ECA" w:rsidR="00C63EF5" w:rsidRPr="00C57224" w:rsidRDefault="00C63EF5" w:rsidP="00C63EF5">
      <w:pPr>
        <w:pStyle w:val="TableNotitle"/>
      </w:pPr>
      <w:bookmarkStart w:id="171" w:name="_Toc179232461"/>
      <w:r>
        <w:t>Table 2 – E</w:t>
      </w:r>
      <w:r w:rsidRPr="00C57224">
        <w:t>volution of ITU-T membership since 2012</w:t>
      </w:r>
      <w:bookmarkEnd w:id="171"/>
    </w:p>
    <w:tbl>
      <w:tblPr>
        <w:tblStyle w:val="TableGrid"/>
        <w:tblW w:w="980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6"/>
        <w:gridCol w:w="656"/>
        <w:gridCol w:w="624"/>
        <w:gridCol w:w="624"/>
        <w:gridCol w:w="624"/>
        <w:gridCol w:w="624"/>
        <w:gridCol w:w="624"/>
        <w:gridCol w:w="624"/>
        <w:gridCol w:w="624"/>
        <w:gridCol w:w="624"/>
        <w:gridCol w:w="624"/>
        <w:gridCol w:w="624"/>
        <w:gridCol w:w="624"/>
        <w:gridCol w:w="624"/>
      </w:tblGrid>
      <w:tr w:rsidR="001241F4" w:rsidRPr="00C57224" w14:paraId="158F675E" w14:textId="77777777" w:rsidTr="001241F4">
        <w:trPr>
          <w:tblHeader/>
          <w:jc w:val="center"/>
        </w:trPr>
        <w:tc>
          <w:tcPr>
            <w:tcW w:w="1656" w:type="dxa"/>
            <w:tcBorders>
              <w:top w:val="nil"/>
              <w:left w:val="nil"/>
              <w:bottom w:val="single" w:sz="12" w:space="0" w:color="auto"/>
              <w:right w:val="single" w:sz="12" w:space="0" w:color="auto"/>
            </w:tcBorders>
            <w:shd w:val="clear" w:color="auto" w:fill="auto"/>
            <w:hideMark/>
          </w:tcPr>
          <w:p w14:paraId="261BBCE0" w14:textId="77777777" w:rsidR="005A2C5A" w:rsidRPr="00C57224" w:rsidRDefault="005A2C5A" w:rsidP="001241F4">
            <w:pPr>
              <w:pStyle w:val="Tablehead"/>
              <w:ind w:left="-113" w:right="-113"/>
              <w:rPr>
                <w:rFonts w:eastAsia="Calibri"/>
              </w:rPr>
            </w:pPr>
          </w:p>
        </w:tc>
        <w:tc>
          <w:tcPr>
            <w:tcW w:w="656" w:type="dxa"/>
            <w:tcBorders>
              <w:top w:val="single" w:sz="12" w:space="0" w:color="auto"/>
              <w:left w:val="single" w:sz="12" w:space="0" w:color="auto"/>
              <w:bottom w:val="single" w:sz="12" w:space="0" w:color="auto"/>
            </w:tcBorders>
            <w:shd w:val="clear" w:color="auto" w:fill="auto"/>
            <w:hideMark/>
          </w:tcPr>
          <w:p w14:paraId="11299AD2" w14:textId="77777777" w:rsidR="005A2C5A" w:rsidRPr="00C57224" w:rsidRDefault="005A2C5A" w:rsidP="001241F4">
            <w:pPr>
              <w:pStyle w:val="Tablehead"/>
              <w:ind w:left="-113" w:right="-113"/>
              <w:rPr>
                <w:rFonts w:eastAsia="Calibri"/>
              </w:rPr>
            </w:pPr>
            <w:r w:rsidRPr="00C57224">
              <w:rPr>
                <w:rFonts w:eastAsia="Calibri"/>
              </w:rPr>
              <w:t>2012</w:t>
            </w:r>
          </w:p>
        </w:tc>
        <w:tc>
          <w:tcPr>
            <w:tcW w:w="624" w:type="dxa"/>
            <w:tcBorders>
              <w:top w:val="single" w:sz="12" w:space="0" w:color="auto"/>
              <w:bottom w:val="single" w:sz="12" w:space="0" w:color="auto"/>
            </w:tcBorders>
            <w:shd w:val="clear" w:color="auto" w:fill="auto"/>
            <w:hideMark/>
          </w:tcPr>
          <w:p w14:paraId="04251BAC" w14:textId="77777777" w:rsidR="005A2C5A" w:rsidRPr="00C57224" w:rsidRDefault="005A2C5A" w:rsidP="001241F4">
            <w:pPr>
              <w:pStyle w:val="Tablehead"/>
              <w:ind w:left="-113" w:right="-113"/>
              <w:rPr>
                <w:rFonts w:eastAsia="Calibri"/>
              </w:rPr>
            </w:pPr>
            <w:r w:rsidRPr="00C57224">
              <w:rPr>
                <w:rFonts w:eastAsia="Calibri"/>
              </w:rPr>
              <w:t>2013</w:t>
            </w:r>
          </w:p>
        </w:tc>
        <w:tc>
          <w:tcPr>
            <w:tcW w:w="624" w:type="dxa"/>
            <w:tcBorders>
              <w:top w:val="single" w:sz="12" w:space="0" w:color="auto"/>
              <w:bottom w:val="single" w:sz="12" w:space="0" w:color="auto"/>
            </w:tcBorders>
            <w:shd w:val="clear" w:color="auto" w:fill="auto"/>
            <w:hideMark/>
          </w:tcPr>
          <w:p w14:paraId="1EA33D80" w14:textId="77777777" w:rsidR="005A2C5A" w:rsidRPr="00C57224" w:rsidRDefault="005A2C5A" w:rsidP="001241F4">
            <w:pPr>
              <w:pStyle w:val="Tablehead"/>
              <w:ind w:left="-113" w:right="-113"/>
              <w:rPr>
                <w:rFonts w:eastAsia="Calibri"/>
              </w:rPr>
            </w:pPr>
            <w:r w:rsidRPr="00C57224">
              <w:rPr>
                <w:rFonts w:eastAsia="Calibri"/>
              </w:rPr>
              <w:t>2014</w:t>
            </w:r>
          </w:p>
        </w:tc>
        <w:tc>
          <w:tcPr>
            <w:tcW w:w="624" w:type="dxa"/>
            <w:tcBorders>
              <w:top w:val="single" w:sz="12" w:space="0" w:color="auto"/>
              <w:bottom w:val="single" w:sz="12" w:space="0" w:color="auto"/>
            </w:tcBorders>
            <w:shd w:val="clear" w:color="auto" w:fill="auto"/>
            <w:hideMark/>
          </w:tcPr>
          <w:p w14:paraId="777B0AD3" w14:textId="77777777" w:rsidR="005A2C5A" w:rsidRPr="00C57224" w:rsidRDefault="005A2C5A" w:rsidP="001241F4">
            <w:pPr>
              <w:pStyle w:val="Tablehead"/>
              <w:ind w:left="-113" w:right="-113"/>
              <w:rPr>
                <w:rFonts w:eastAsia="Calibri"/>
              </w:rPr>
            </w:pPr>
            <w:r w:rsidRPr="00C57224">
              <w:rPr>
                <w:rFonts w:eastAsia="Calibri"/>
              </w:rPr>
              <w:t>2015</w:t>
            </w:r>
          </w:p>
        </w:tc>
        <w:tc>
          <w:tcPr>
            <w:tcW w:w="624" w:type="dxa"/>
            <w:tcBorders>
              <w:top w:val="single" w:sz="12" w:space="0" w:color="auto"/>
              <w:bottom w:val="single" w:sz="12" w:space="0" w:color="auto"/>
            </w:tcBorders>
            <w:shd w:val="clear" w:color="auto" w:fill="auto"/>
            <w:hideMark/>
          </w:tcPr>
          <w:p w14:paraId="465B2AC0" w14:textId="77777777" w:rsidR="005A2C5A" w:rsidRPr="00C57224" w:rsidRDefault="005A2C5A" w:rsidP="001241F4">
            <w:pPr>
              <w:pStyle w:val="Tablehead"/>
              <w:ind w:left="-113" w:right="-113"/>
              <w:rPr>
                <w:rFonts w:eastAsia="Calibri"/>
              </w:rPr>
            </w:pPr>
            <w:r w:rsidRPr="00C57224">
              <w:rPr>
                <w:rFonts w:eastAsia="Calibri"/>
              </w:rPr>
              <w:t>2016</w:t>
            </w:r>
          </w:p>
        </w:tc>
        <w:tc>
          <w:tcPr>
            <w:tcW w:w="624" w:type="dxa"/>
            <w:tcBorders>
              <w:top w:val="single" w:sz="12" w:space="0" w:color="auto"/>
              <w:bottom w:val="single" w:sz="12" w:space="0" w:color="auto"/>
            </w:tcBorders>
            <w:shd w:val="clear" w:color="auto" w:fill="auto"/>
            <w:hideMark/>
          </w:tcPr>
          <w:p w14:paraId="3283E962" w14:textId="77777777" w:rsidR="005A2C5A" w:rsidRPr="00C57224" w:rsidRDefault="005A2C5A" w:rsidP="001241F4">
            <w:pPr>
              <w:pStyle w:val="Tablehead"/>
              <w:ind w:left="-113" w:right="-113"/>
              <w:rPr>
                <w:rFonts w:eastAsia="Calibri"/>
              </w:rPr>
            </w:pPr>
            <w:r w:rsidRPr="00C57224">
              <w:rPr>
                <w:rFonts w:eastAsia="Calibri"/>
              </w:rPr>
              <w:t>2017</w:t>
            </w:r>
          </w:p>
        </w:tc>
        <w:tc>
          <w:tcPr>
            <w:tcW w:w="624" w:type="dxa"/>
            <w:tcBorders>
              <w:top w:val="single" w:sz="12" w:space="0" w:color="auto"/>
              <w:bottom w:val="single" w:sz="12" w:space="0" w:color="auto"/>
            </w:tcBorders>
            <w:shd w:val="clear" w:color="auto" w:fill="auto"/>
            <w:hideMark/>
          </w:tcPr>
          <w:p w14:paraId="099D2215" w14:textId="77777777" w:rsidR="005A2C5A" w:rsidRPr="00C57224" w:rsidRDefault="005A2C5A" w:rsidP="001241F4">
            <w:pPr>
              <w:pStyle w:val="Tablehead"/>
              <w:ind w:left="-113" w:right="-113"/>
              <w:rPr>
                <w:rFonts w:eastAsia="Calibri"/>
              </w:rPr>
            </w:pPr>
            <w:r w:rsidRPr="00C57224">
              <w:rPr>
                <w:rFonts w:eastAsia="Calibri"/>
              </w:rPr>
              <w:t>2018</w:t>
            </w:r>
          </w:p>
        </w:tc>
        <w:tc>
          <w:tcPr>
            <w:tcW w:w="624" w:type="dxa"/>
            <w:tcBorders>
              <w:top w:val="single" w:sz="12" w:space="0" w:color="auto"/>
              <w:bottom w:val="single" w:sz="12" w:space="0" w:color="auto"/>
            </w:tcBorders>
            <w:shd w:val="clear" w:color="auto" w:fill="auto"/>
            <w:hideMark/>
          </w:tcPr>
          <w:p w14:paraId="6C312C0F" w14:textId="77777777" w:rsidR="005A2C5A" w:rsidRPr="00C57224" w:rsidRDefault="005A2C5A" w:rsidP="001241F4">
            <w:pPr>
              <w:pStyle w:val="Tablehead"/>
              <w:ind w:left="-113" w:right="-113"/>
              <w:rPr>
                <w:rFonts w:eastAsia="Calibri"/>
              </w:rPr>
            </w:pPr>
            <w:r w:rsidRPr="00C57224">
              <w:rPr>
                <w:rFonts w:eastAsia="Calibri"/>
              </w:rPr>
              <w:t>2019</w:t>
            </w:r>
          </w:p>
        </w:tc>
        <w:tc>
          <w:tcPr>
            <w:tcW w:w="624" w:type="dxa"/>
            <w:tcBorders>
              <w:top w:val="single" w:sz="12" w:space="0" w:color="auto"/>
              <w:bottom w:val="single" w:sz="12" w:space="0" w:color="auto"/>
            </w:tcBorders>
            <w:shd w:val="clear" w:color="auto" w:fill="auto"/>
            <w:hideMark/>
          </w:tcPr>
          <w:p w14:paraId="357430A3" w14:textId="77777777" w:rsidR="005A2C5A" w:rsidRPr="00C57224" w:rsidRDefault="005A2C5A" w:rsidP="001241F4">
            <w:pPr>
              <w:pStyle w:val="Tablehead"/>
              <w:ind w:left="-113" w:right="-113"/>
              <w:rPr>
                <w:rFonts w:eastAsia="Calibri"/>
              </w:rPr>
            </w:pPr>
            <w:r w:rsidRPr="00C57224">
              <w:rPr>
                <w:rFonts w:eastAsia="Calibri"/>
              </w:rPr>
              <w:t>2020</w:t>
            </w:r>
          </w:p>
        </w:tc>
        <w:tc>
          <w:tcPr>
            <w:tcW w:w="624" w:type="dxa"/>
            <w:tcBorders>
              <w:top w:val="single" w:sz="12" w:space="0" w:color="auto"/>
              <w:bottom w:val="single" w:sz="12" w:space="0" w:color="auto"/>
            </w:tcBorders>
            <w:shd w:val="clear" w:color="auto" w:fill="auto"/>
            <w:hideMark/>
          </w:tcPr>
          <w:p w14:paraId="457ABA5A" w14:textId="77777777" w:rsidR="005A2C5A" w:rsidRPr="00C57224" w:rsidRDefault="005A2C5A" w:rsidP="001241F4">
            <w:pPr>
              <w:pStyle w:val="Tablehead"/>
              <w:ind w:left="-113" w:right="-113"/>
              <w:rPr>
                <w:rFonts w:eastAsia="Calibri"/>
              </w:rPr>
            </w:pPr>
            <w:r w:rsidRPr="00C57224">
              <w:rPr>
                <w:rFonts w:eastAsia="Calibri"/>
              </w:rPr>
              <w:t>2021</w:t>
            </w:r>
          </w:p>
        </w:tc>
        <w:tc>
          <w:tcPr>
            <w:tcW w:w="624" w:type="dxa"/>
            <w:tcBorders>
              <w:top w:val="single" w:sz="12" w:space="0" w:color="auto"/>
              <w:bottom w:val="single" w:sz="12" w:space="0" w:color="auto"/>
            </w:tcBorders>
            <w:shd w:val="clear" w:color="auto" w:fill="auto"/>
            <w:hideMark/>
          </w:tcPr>
          <w:p w14:paraId="104BE012" w14:textId="77777777" w:rsidR="005A2C5A" w:rsidRPr="00C57224" w:rsidRDefault="005A2C5A" w:rsidP="001241F4">
            <w:pPr>
              <w:pStyle w:val="Tablehead"/>
              <w:ind w:left="-113" w:right="-113"/>
              <w:rPr>
                <w:rFonts w:eastAsia="Calibri"/>
              </w:rPr>
            </w:pPr>
            <w:r w:rsidRPr="00C57224">
              <w:rPr>
                <w:rFonts w:eastAsia="Calibri"/>
              </w:rPr>
              <w:t>2022</w:t>
            </w:r>
          </w:p>
        </w:tc>
        <w:tc>
          <w:tcPr>
            <w:tcW w:w="624" w:type="dxa"/>
            <w:tcBorders>
              <w:top w:val="single" w:sz="12" w:space="0" w:color="auto"/>
              <w:bottom w:val="single" w:sz="12" w:space="0" w:color="auto"/>
            </w:tcBorders>
            <w:shd w:val="clear" w:color="auto" w:fill="auto"/>
          </w:tcPr>
          <w:p w14:paraId="49DFD00E" w14:textId="77777777" w:rsidR="005A2C5A" w:rsidRPr="00C57224" w:rsidRDefault="005A2C5A" w:rsidP="001241F4">
            <w:pPr>
              <w:pStyle w:val="Tablehead"/>
              <w:ind w:left="-113" w:right="-113"/>
              <w:rPr>
                <w:rFonts w:eastAsia="Calibri"/>
              </w:rPr>
            </w:pPr>
            <w:r w:rsidRPr="00C57224">
              <w:rPr>
                <w:rFonts w:eastAsia="Calibri"/>
              </w:rPr>
              <w:t>2023</w:t>
            </w:r>
          </w:p>
        </w:tc>
        <w:tc>
          <w:tcPr>
            <w:tcW w:w="624" w:type="dxa"/>
            <w:tcBorders>
              <w:top w:val="single" w:sz="12" w:space="0" w:color="auto"/>
              <w:bottom w:val="single" w:sz="12" w:space="0" w:color="auto"/>
            </w:tcBorders>
            <w:shd w:val="clear" w:color="auto" w:fill="auto"/>
          </w:tcPr>
          <w:p w14:paraId="2A3D87CC" w14:textId="77777777" w:rsidR="005A2C5A" w:rsidRPr="00C57224" w:rsidRDefault="005A2C5A" w:rsidP="001241F4">
            <w:pPr>
              <w:pStyle w:val="Tablehead"/>
              <w:ind w:left="-113" w:right="-113"/>
              <w:rPr>
                <w:rFonts w:eastAsia="Calibri"/>
              </w:rPr>
            </w:pPr>
            <w:r w:rsidRPr="00C57224">
              <w:rPr>
                <w:rFonts w:eastAsia="Calibri"/>
              </w:rPr>
              <w:t>2024</w:t>
            </w:r>
          </w:p>
        </w:tc>
      </w:tr>
      <w:tr w:rsidR="005A2C5A" w:rsidRPr="00C57224" w14:paraId="4B6CC381" w14:textId="77777777" w:rsidTr="001241F4">
        <w:trPr>
          <w:jc w:val="center"/>
        </w:trPr>
        <w:tc>
          <w:tcPr>
            <w:tcW w:w="1656" w:type="dxa"/>
            <w:tcBorders>
              <w:top w:val="single" w:sz="12" w:space="0" w:color="auto"/>
            </w:tcBorders>
            <w:shd w:val="clear" w:color="auto" w:fill="auto"/>
            <w:hideMark/>
          </w:tcPr>
          <w:p w14:paraId="397D34DA" w14:textId="77777777" w:rsidR="005A2C5A" w:rsidRPr="00C57224" w:rsidRDefault="005A2C5A" w:rsidP="001241F4">
            <w:pPr>
              <w:pStyle w:val="Tabletext"/>
              <w:ind w:right="-113"/>
              <w:rPr>
                <w:rFonts w:eastAsia="Calibri"/>
              </w:rPr>
            </w:pPr>
            <w:r w:rsidRPr="00C57224">
              <w:rPr>
                <w:rFonts w:eastAsia="Calibri"/>
              </w:rPr>
              <w:t>Sector Members</w:t>
            </w:r>
          </w:p>
        </w:tc>
        <w:tc>
          <w:tcPr>
            <w:tcW w:w="656" w:type="dxa"/>
            <w:tcBorders>
              <w:top w:val="single" w:sz="12" w:space="0" w:color="auto"/>
            </w:tcBorders>
            <w:shd w:val="clear" w:color="auto" w:fill="auto"/>
            <w:hideMark/>
          </w:tcPr>
          <w:p w14:paraId="13614F69" w14:textId="77777777" w:rsidR="005A2C5A" w:rsidRPr="00C57224" w:rsidRDefault="005A2C5A" w:rsidP="001241F4">
            <w:pPr>
              <w:pStyle w:val="Tabletext"/>
              <w:jc w:val="center"/>
              <w:rPr>
                <w:rFonts w:eastAsia="Calibri"/>
              </w:rPr>
            </w:pPr>
            <w:r w:rsidRPr="00C57224">
              <w:rPr>
                <w:rFonts w:eastAsia="Calibri"/>
              </w:rPr>
              <w:t>262</w:t>
            </w:r>
          </w:p>
        </w:tc>
        <w:tc>
          <w:tcPr>
            <w:tcW w:w="624" w:type="dxa"/>
            <w:tcBorders>
              <w:top w:val="single" w:sz="12" w:space="0" w:color="auto"/>
            </w:tcBorders>
            <w:shd w:val="clear" w:color="auto" w:fill="auto"/>
            <w:hideMark/>
          </w:tcPr>
          <w:p w14:paraId="17303C2C" w14:textId="77777777" w:rsidR="005A2C5A" w:rsidRPr="00C57224" w:rsidRDefault="005A2C5A" w:rsidP="001241F4">
            <w:pPr>
              <w:pStyle w:val="Tabletext"/>
              <w:jc w:val="center"/>
              <w:rPr>
                <w:rFonts w:eastAsia="Calibri"/>
              </w:rPr>
            </w:pPr>
            <w:r w:rsidRPr="00C57224">
              <w:rPr>
                <w:rFonts w:eastAsia="Calibri"/>
              </w:rPr>
              <w:t>269</w:t>
            </w:r>
          </w:p>
        </w:tc>
        <w:tc>
          <w:tcPr>
            <w:tcW w:w="624" w:type="dxa"/>
            <w:tcBorders>
              <w:top w:val="single" w:sz="12" w:space="0" w:color="auto"/>
            </w:tcBorders>
            <w:shd w:val="clear" w:color="auto" w:fill="auto"/>
            <w:hideMark/>
          </w:tcPr>
          <w:p w14:paraId="30813356" w14:textId="77777777" w:rsidR="005A2C5A" w:rsidRPr="00C57224" w:rsidRDefault="005A2C5A" w:rsidP="001241F4">
            <w:pPr>
              <w:pStyle w:val="Tabletext"/>
              <w:jc w:val="center"/>
              <w:rPr>
                <w:rFonts w:eastAsia="Calibri"/>
              </w:rPr>
            </w:pPr>
            <w:r w:rsidRPr="00C57224">
              <w:rPr>
                <w:rFonts w:eastAsia="Calibri"/>
              </w:rPr>
              <w:t>266</w:t>
            </w:r>
          </w:p>
        </w:tc>
        <w:tc>
          <w:tcPr>
            <w:tcW w:w="624" w:type="dxa"/>
            <w:tcBorders>
              <w:top w:val="single" w:sz="12" w:space="0" w:color="auto"/>
            </w:tcBorders>
            <w:shd w:val="clear" w:color="auto" w:fill="auto"/>
            <w:hideMark/>
          </w:tcPr>
          <w:p w14:paraId="679B2B6D" w14:textId="77777777" w:rsidR="005A2C5A" w:rsidRPr="00C57224" w:rsidRDefault="005A2C5A" w:rsidP="001241F4">
            <w:pPr>
              <w:pStyle w:val="Tabletext"/>
              <w:jc w:val="center"/>
              <w:rPr>
                <w:rFonts w:eastAsia="Calibri"/>
              </w:rPr>
            </w:pPr>
            <w:r w:rsidRPr="00C57224">
              <w:rPr>
                <w:rFonts w:eastAsia="Calibri"/>
              </w:rPr>
              <w:t>261</w:t>
            </w:r>
          </w:p>
        </w:tc>
        <w:tc>
          <w:tcPr>
            <w:tcW w:w="624" w:type="dxa"/>
            <w:tcBorders>
              <w:top w:val="single" w:sz="12" w:space="0" w:color="auto"/>
            </w:tcBorders>
            <w:shd w:val="clear" w:color="auto" w:fill="auto"/>
            <w:hideMark/>
          </w:tcPr>
          <w:p w14:paraId="46DDF5D9" w14:textId="77777777" w:rsidR="005A2C5A" w:rsidRPr="00C57224" w:rsidRDefault="005A2C5A" w:rsidP="001241F4">
            <w:pPr>
              <w:pStyle w:val="Tabletext"/>
              <w:jc w:val="center"/>
              <w:rPr>
                <w:rFonts w:eastAsia="Calibri"/>
              </w:rPr>
            </w:pPr>
            <w:r w:rsidRPr="00C57224">
              <w:rPr>
                <w:rFonts w:eastAsia="Calibri"/>
              </w:rPr>
              <w:t>250</w:t>
            </w:r>
          </w:p>
        </w:tc>
        <w:tc>
          <w:tcPr>
            <w:tcW w:w="624" w:type="dxa"/>
            <w:tcBorders>
              <w:top w:val="single" w:sz="12" w:space="0" w:color="auto"/>
            </w:tcBorders>
            <w:shd w:val="clear" w:color="auto" w:fill="auto"/>
            <w:hideMark/>
          </w:tcPr>
          <w:p w14:paraId="4C2D6C55" w14:textId="77777777" w:rsidR="005A2C5A" w:rsidRPr="00C57224" w:rsidRDefault="005A2C5A" w:rsidP="001241F4">
            <w:pPr>
              <w:pStyle w:val="Tabletext"/>
              <w:jc w:val="center"/>
              <w:rPr>
                <w:rFonts w:eastAsia="Calibri"/>
              </w:rPr>
            </w:pPr>
            <w:r w:rsidRPr="00C57224">
              <w:rPr>
                <w:rFonts w:eastAsia="Calibri"/>
              </w:rPr>
              <w:t>255</w:t>
            </w:r>
          </w:p>
        </w:tc>
        <w:tc>
          <w:tcPr>
            <w:tcW w:w="624" w:type="dxa"/>
            <w:tcBorders>
              <w:top w:val="single" w:sz="12" w:space="0" w:color="auto"/>
            </w:tcBorders>
            <w:shd w:val="clear" w:color="auto" w:fill="auto"/>
            <w:hideMark/>
          </w:tcPr>
          <w:p w14:paraId="05A1E54E" w14:textId="77777777" w:rsidR="005A2C5A" w:rsidRPr="00C57224" w:rsidRDefault="005A2C5A" w:rsidP="001241F4">
            <w:pPr>
              <w:pStyle w:val="Tabletext"/>
              <w:jc w:val="center"/>
              <w:rPr>
                <w:rFonts w:eastAsia="Calibri"/>
              </w:rPr>
            </w:pPr>
            <w:r w:rsidRPr="00C57224">
              <w:rPr>
                <w:rFonts w:eastAsia="Calibri"/>
              </w:rPr>
              <w:t>255</w:t>
            </w:r>
          </w:p>
        </w:tc>
        <w:tc>
          <w:tcPr>
            <w:tcW w:w="624" w:type="dxa"/>
            <w:tcBorders>
              <w:top w:val="single" w:sz="12" w:space="0" w:color="auto"/>
            </w:tcBorders>
            <w:shd w:val="clear" w:color="auto" w:fill="auto"/>
            <w:hideMark/>
          </w:tcPr>
          <w:p w14:paraId="2EE68E72" w14:textId="77777777" w:rsidR="005A2C5A" w:rsidRPr="00C57224" w:rsidRDefault="005A2C5A" w:rsidP="001241F4">
            <w:pPr>
              <w:pStyle w:val="Tabletext"/>
              <w:jc w:val="center"/>
              <w:rPr>
                <w:rFonts w:eastAsia="Calibri"/>
              </w:rPr>
            </w:pPr>
            <w:r w:rsidRPr="00C57224">
              <w:rPr>
                <w:rFonts w:eastAsia="Calibri"/>
              </w:rPr>
              <w:t>265</w:t>
            </w:r>
          </w:p>
        </w:tc>
        <w:tc>
          <w:tcPr>
            <w:tcW w:w="624" w:type="dxa"/>
            <w:tcBorders>
              <w:top w:val="single" w:sz="12" w:space="0" w:color="auto"/>
            </w:tcBorders>
            <w:shd w:val="clear" w:color="auto" w:fill="auto"/>
            <w:hideMark/>
          </w:tcPr>
          <w:p w14:paraId="5DF36C3A" w14:textId="77777777" w:rsidR="005A2C5A" w:rsidRPr="00C57224" w:rsidRDefault="005A2C5A" w:rsidP="001241F4">
            <w:pPr>
              <w:pStyle w:val="Tabletext"/>
              <w:jc w:val="center"/>
              <w:rPr>
                <w:rFonts w:eastAsia="Calibri"/>
              </w:rPr>
            </w:pPr>
            <w:r w:rsidRPr="00C57224">
              <w:rPr>
                <w:rFonts w:eastAsia="Calibri"/>
              </w:rPr>
              <w:t>275</w:t>
            </w:r>
          </w:p>
        </w:tc>
        <w:tc>
          <w:tcPr>
            <w:tcW w:w="624" w:type="dxa"/>
            <w:tcBorders>
              <w:top w:val="single" w:sz="12" w:space="0" w:color="auto"/>
            </w:tcBorders>
            <w:shd w:val="clear" w:color="auto" w:fill="auto"/>
            <w:hideMark/>
          </w:tcPr>
          <w:p w14:paraId="5E8BCB7A" w14:textId="77777777" w:rsidR="005A2C5A" w:rsidRPr="00C57224" w:rsidRDefault="005A2C5A" w:rsidP="001241F4">
            <w:pPr>
              <w:pStyle w:val="Tabletext"/>
              <w:jc w:val="center"/>
              <w:rPr>
                <w:rFonts w:eastAsia="Calibri"/>
              </w:rPr>
            </w:pPr>
            <w:r w:rsidRPr="00C57224">
              <w:rPr>
                <w:rFonts w:eastAsia="Calibri"/>
              </w:rPr>
              <w:t>269</w:t>
            </w:r>
          </w:p>
        </w:tc>
        <w:tc>
          <w:tcPr>
            <w:tcW w:w="624" w:type="dxa"/>
            <w:tcBorders>
              <w:top w:val="single" w:sz="12" w:space="0" w:color="auto"/>
            </w:tcBorders>
            <w:shd w:val="clear" w:color="auto" w:fill="auto"/>
            <w:hideMark/>
          </w:tcPr>
          <w:p w14:paraId="340A026E" w14:textId="77777777" w:rsidR="005A2C5A" w:rsidRPr="00C57224" w:rsidRDefault="005A2C5A" w:rsidP="001241F4">
            <w:pPr>
              <w:pStyle w:val="Tabletext"/>
              <w:jc w:val="center"/>
              <w:rPr>
                <w:rFonts w:eastAsia="Calibri"/>
              </w:rPr>
            </w:pPr>
            <w:r w:rsidRPr="00C57224">
              <w:rPr>
                <w:rFonts w:eastAsia="Calibri"/>
              </w:rPr>
              <w:t>263</w:t>
            </w:r>
          </w:p>
        </w:tc>
        <w:tc>
          <w:tcPr>
            <w:tcW w:w="624" w:type="dxa"/>
            <w:tcBorders>
              <w:top w:val="single" w:sz="12" w:space="0" w:color="auto"/>
            </w:tcBorders>
            <w:shd w:val="clear" w:color="auto" w:fill="auto"/>
          </w:tcPr>
          <w:p w14:paraId="7F0BFA24" w14:textId="77777777" w:rsidR="005A2C5A" w:rsidRPr="00C57224" w:rsidRDefault="005A2C5A" w:rsidP="001241F4">
            <w:pPr>
              <w:pStyle w:val="Tabletext"/>
              <w:jc w:val="center"/>
              <w:rPr>
                <w:rFonts w:eastAsia="Calibri"/>
              </w:rPr>
            </w:pPr>
            <w:r w:rsidRPr="00C57224">
              <w:rPr>
                <w:rFonts w:eastAsia="Calibri"/>
              </w:rPr>
              <w:t>270</w:t>
            </w:r>
          </w:p>
        </w:tc>
        <w:tc>
          <w:tcPr>
            <w:tcW w:w="624" w:type="dxa"/>
            <w:tcBorders>
              <w:top w:val="single" w:sz="12" w:space="0" w:color="auto"/>
            </w:tcBorders>
            <w:shd w:val="clear" w:color="auto" w:fill="auto"/>
          </w:tcPr>
          <w:p w14:paraId="09884286" w14:textId="6424767F" w:rsidR="005A2C5A" w:rsidRPr="00C57224" w:rsidRDefault="005A2C5A" w:rsidP="001241F4">
            <w:pPr>
              <w:pStyle w:val="Tabletext"/>
              <w:jc w:val="center"/>
              <w:rPr>
                <w:rFonts w:eastAsia="Calibri"/>
              </w:rPr>
            </w:pPr>
            <w:r w:rsidRPr="00C57224">
              <w:rPr>
                <w:rFonts w:eastAsia="Calibri"/>
              </w:rPr>
              <w:t>26</w:t>
            </w:r>
            <w:r w:rsidR="0001041A" w:rsidRPr="00C57224">
              <w:rPr>
                <w:rFonts w:eastAsia="Calibri"/>
              </w:rPr>
              <w:t>8</w:t>
            </w:r>
          </w:p>
        </w:tc>
      </w:tr>
      <w:tr w:rsidR="005A2C5A" w:rsidRPr="00C57224" w14:paraId="56AC5C27" w14:textId="77777777" w:rsidTr="001241F4">
        <w:trPr>
          <w:jc w:val="center"/>
        </w:trPr>
        <w:tc>
          <w:tcPr>
            <w:tcW w:w="1656" w:type="dxa"/>
            <w:shd w:val="clear" w:color="auto" w:fill="auto"/>
            <w:hideMark/>
          </w:tcPr>
          <w:p w14:paraId="269507E1" w14:textId="77777777" w:rsidR="005A2C5A" w:rsidRPr="00C57224" w:rsidRDefault="005A2C5A" w:rsidP="00C57224">
            <w:pPr>
              <w:pStyle w:val="Tabletext"/>
              <w:rPr>
                <w:rFonts w:eastAsia="Calibri"/>
              </w:rPr>
            </w:pPr>
            <w:r w:rsidRPr="00C57224">
              <w:rPr>
                <w:rFonts w:eastAsia="Calibri"/>
              </w:rPr>
              <w:t>Associates</w:t>
            </w:r>
          </w:p>
        </w:tc>
        <w:tc>
          <w:tcPr>
            <w:tcW w:w="656" w:type="dxa"/>
            <w:shd w:val="clear" w:color="auto" w:fill="auto"/>
            <w:hideMark/>
          </w:tcPr>
          <w:p w14:paraId="3E5BF850" w14:textId="77777777" w:rsidR="005A2C5A" w:rsidRPr="00C57224" w:rsidRDefault="005A2C5A" w:rsidP="001241F4">
            <w:pPr>
              <w:pStyle w:val="Tabletext"/>
              <w:jc w:val="center"/>
              <w:rPr>
                <w:rFonts w:eastAsia="Calibri"/>
              </w:rPr>
            </w:pPr>
            <w:r w:rsidRPr="00C57224">
              <w:rPr>
                <w:rFonts w:eastAsia="Calibri"/>
              </w:rPr>
              <w:t>128</w:t>
            </w:r>
          </w:p>
        </w:tc>
        <w:tc>
          <w:tcPr>
            <w:tcW w:w="624" w:type="dxa"/>
            <w:shd w:val="clear" w:color="auto" w:fill="auto"/>
            <w:hideMark/>
          </w:tcPr>
          <w:p w14:paraId="6951EA07" w14:textId="77777777" w:rsidR="005A2C5A" w:rsidRPr="00C57224" w:rsidRDefault="005A2C5A" w:rsidP="001241F4">
            <w:pPr>
              <w:pStyle w:val="Tabletext"/>
              <w:jc w:val="center"/>
              <w:rPr>
                <w:rFonts w:eastAsia="Calibri"/>
              </w:rPr>
            </w:pPr>
            <w:r w:rsidRPr="00C57224">
              <w:rPr>
                <w:rFonts w:eastAsia="Calibri"/>
              </w:rPr>
              <w:t>130</w:t>
            </w:r>
          </w:p>
        </w:tc>
        <w:tc>
          <w:tcPr>
            <w:tcW w:w="624" w:type="dxa"/>
            <w:shd w:val="clear" w:color="auto" w:fill="auto"/>
            <w:hideMark/>
          </w:tcPr>
          <w:p w14:paraId="068C0E00" w14:textId="77777777" w:rsidR="005A2C5A" w:rsidRPr="00C57224" w:rsidRDefault="005A2C5A" w:rsidP="001241F4">
            <w:pPr>
              <w:pStyle w:val="Tabletext"/>
              <w:jc w:val="center"/>
              <w:rPr>
                <w:rFonts w:eastAsia="Calibri"/>
              </w:rPr>
            </w:pPr>
            <w:r w:rsidRPr="00C57224">
              <w:rPr>
                <w:rFonts w:eastAsia="Calibri"/>
              </w:rPr>
              <w:t>132</w:t>
            </w:r>
          </w:p>
        </w:tc>
        <w:tc>
          <w:tcPr>
            <w:tcW w:w="624" w:type="dxa"/>
            <w:shd w:val="clear" w:color="auto" w:fill="auto"/>
            <w:hideMark/>
          </w:tcPr>
          <w:p w14:paraId="4601C85A" w14:textId="77777777" w:rsidR="005A2C5A" w:rsidRPr="00C57224" w:rsidRDefault="005A2C5A" w:rsidP="001241F4">
            <w:pPr>
              <w:pStyle w:val="Tabletext"/>
              <w:jc w:val="center"/>
              <w:rPr>
                <w:rFonts w:eastAsia="Calibri"/>
              </w:rPr>
            </w:pPr>
            <w:r w:rsidRPr="00C57224">
              <w:rPr>
                <w:rFonts w:eastAsia="Calibri"/>
              </w:rPr>
              <w:t>131</w:t>
            </w:r>
          </w:p>
        </w:tc>
        <w:tc>
          <w:tcPr>
            <w:tcW w:w="624" w:type="dxa"/>
            <w:shd w:val="clear" w:color="auto" w:fill="auto"/>
            <w:hideMark/>
          </w:tcPr>
          <w:p w14:paraId="4D7000EE" w14:textId="77777777" w:rsidR="005A2C5A" w:rsidRPr="00C57224" w:rsidRDefault="005A2C5A" w:rsidP="001241F4">
            <w:pPr>
              <w:pStyle w:val="Tabletext"/>
              <w:jc w:val="center"/>
              <w:rPr>
                <w:rFonts w:eastAsia="Calibri"/>
              </w:rPr>
            </w:pPr>
            <w:r w:rsidRPr="00C57224">
              <w:rPr>
                <w:rFonts w:eastAsia="Calibri"/>
              </w:rPr>
              <w:t>127</w:t>
            </w:r>
          </w:p>
        </w:tc>
        <w:tc>
          <w:tcPr>
            <w:tcW w:w="624" w:type="dxa"/>
            <w:shd w:val="clear" w:color="auto" w:fill="auto"/>
            <w:hideMark/>
          </w:tcPr>
          <w:p w14:paraId="5CE09B4D" w14:textId="77777777" w:rsidR="005A2C5A" w:rsidRPr="00C57224" w:rsidRDefault="005A2C5A" w:rsidP="001241F4">
            <w:pPr>
              <w:pStyle w:val="Tabletext"/>
              <w:jc w:val="center"/>
              <w:rPr>
                <w:rFonts w:eastAsia="Calibri"/>
              </w:rPr>
            </w:pPr>
            <w:r w:rsidRPr="00C57224">
              <w:rPr>
                <w:rFonts w:eastAsia="Calibri"/>
              </w:rPr>
              <w:t>135</w:t>
            </w:r>
          </w:p>
        </w:tc>
        <w:tc>
          <w:tcPr>
            <w:tcW w:w="624" w:type="dxa"/>
            <w:shd w:val="clear" w:color="auto" w:fill="auto"/>
            <w:hideMark/>
          </w:tcPr>
          <w:p w14:paraId="2FB2C7F1" w14:textId="77777777" w:rsidR="005A2C5A" w:rsidRPr="00C57224" w:rsidRDefault="005A2C5A" w:rsidP="001241F4">
            <w:pPr>
              <w:pStyle w:val="Tabletext"/>
              <w:jc w:val="center"/>
              <w:rPr>
                <w:rFonts w:eastAsia="Calibri"/>
              </w:rPr>
            </w:pPr>
            <w:r w:rsidRPr="00C57224">
              <w:rPr>
                <w:rFonts w:eastAsia="Calibri"/>
              </w:rPr>
              <w:t>152</w:t>
            </w:r>
          </w:p>
        </w:tc>
        <w:tc>
          <w:tcPr>
            <w:tcW w:w="624" w:type="dxa"/>
            <w:shd w:val="clear" w:color="auto" w:fill="auto"/>
            <w:hideMark/>
          </w:tcPr>
          <w:p w14:paraId="78AD42C3" w14:textId="77777777" w:rsidR="005A2C5A" w:rsidRPr="00C57224" w:rsidRDefault="005A2C5A" w:rsidP="001241F4">
            <w:pPr>
              <w:pStyle w:val="Tabletext"/>
              <w:jc w:val="center"/>
              <w:rPr>
                <w:rFonts w:eastAsia="Calibri"/>
              </w:rPr>
            </w:pPr>
            <w:r w:rsidRPr="00C57224">
              <w:rPr>
                <w:rFonts w:eastAsia="Calibri"/>
              </w:rPr>
              <w:t>177</w:t>
            </w:r>
          </w:p>
        </w:tc>
        <w:tc>
          <w:tcPr>
            <w:tcW w:w="624" w:type="dxa"/>
            <w:shd w:val="clear" w:color="auto" w:fill="auto"/>
            <w:hideMark/>
          </w:tcPr>
          <w:p w14:paraId="29E7275B" w14:textId="77777777" w:rsidR="005A2C5A" w:rsidRPr="00C57224" w:rsidRDefault="005A2C5A" w:rsidP="001241F4">
            <w:pPr>
              <w:pStyle w:val="Tabletext"/>
              <w:jc w:val="center"/>
              <w:rPr>
                <w:rFonts w:eastAsia="Calibri"/>
              </w:rPr>
            </w:pPr>
            <w:r w:rsidRPr="00C57224">
              <w:rPr>
                <w:rFonts w:eastAsia="Calibri"/>
              </w:rPr>
              <w:t>192</w:t>
            </w:r>
          </w:p>
        </w:tc>
        <w:tc>
          <w:tcPr>
            <w:tcW w:w="624" w:type="dxa"/>
            <w:shd w:val="clear" w:color="auto" w:fill="auto"/>
            <w:hideMark/>
          </w:tcPr>
          <w:p w14:paraId="23DD92EB" w14:textId="77777777" w:rsidR="005A2C5A" w:rsidRPr="00C57224" w:rsidRDefault="005A2C5A" w:rsidP="001241F4">
            <w:pPr>
              <w:pStyle w:val="Tabletext"/>
              <w:jc w:val="center"/>
              <w:rPr>
                <w:rFonts w:eastAsia="Calibri"/>
              </w:rPr>
            </w:pPr>
            <w:r w:rsidRPr="00C57224">
              <w:rPr>
                <w:rFonts w:eastAsia="Calibri"/>
              </w:rPr>
              <w:t>213</w:t>
            </w:r>
          </w:p>
        </w:tc>
        <w:tc>
          <w:tcPr>
            <w:tcW w:w="624" w:type="dxa"/>
            <w:shd w:val="clear" w:color="auto" w:fill="auto"/>
            <w:hideMark/>
          </w:tcPr>
          <w:p w14:paraId="065A1871" w14:textId="77777777" w:rsidR="005A2C5A" w:rsidRPr="00C57224" w:rsidRDefault="005A2C5A" w:rsidP="001241F4">
            <w:pPr>
              <w:pStyle w:val="Tabletext"/>
              <w:jc w:val="center"/>
              <w:rPr>
                <w:rFonts w:eastAsia="Calibri"/>
              </w:rPr>
            </w:pPr>
            <w:r w:rsidRPr="00C57224">
              <w:rPr>
                <w:rFonts w:eastAsia="Calibri"/>
              </w:rPr>
              <w:t>220</w:t>
            </w:r>
          </w:p>
        </w:tc>
        <w:tc>
          <w:tcPr>
            <w:tcW w:w="624" w:type="dxa"/>
            <w:shd w:val="clear" w:color="auto" w:fill="auto"/>
          </w:tcPr>
          <w:p w14:paraId="49685D13" w14:textId="77777777" w:rsidR="005A2C5A" w:rsidRPr="00C57224" w:rsidRDefault="005A2C5A" w:rsidP="001241F4">
            <w:pPr>
              <w:pStyle w:val="Tabletext"/>
              <w:jc w:val="center"/>
              <w:rPr>
                <w:rFonts w:eastAsia="Calibri"/>
              </w:rPr>
            </w:pPr>
            <w:r w:rsidRPr="00C57224">
              <w:rPr>
                <w:rFonts w:eastAsia="Calibri"/>
              </w:rPr>
              <w:t>226</w:t>
            </w:r>
          </w:p>
        </w:tc>
        <w:tc>
          <w:tcPr>
            <w:tcW w:w="624" w:type="dxa"/>
            <w:shd w:val="clear" w:color="auto" w:fill="auto"/>
          </w:tcPr>
          <w:p w14:paraId="43C77A51" w14:textId="610413D3" w:rsidR="005A2C5A" w:rsidRPr="00C57224" w:rsidRDefault="005A2C5A" w:rsidP="001241F4">
            <w:pPr>
              <w:pStyle w:val="Tabletext"/>
              <w:jc w:val="center"/>
              <w:rPr>
                <w:rFonts w:eastAsia="Calibri"/>
              </w:rPr>
            </w:pPr>
            <w:r w:rsidRPr="00C57224">
              <w:rPr>
                <w:rFonts w:eastAsia="Calibri"/>
              </w:rPr>
              <w:t>23</w:t>
            </w:r>
            <w:r w:rsidR="0001041A" w:rsidRPr="00C57224">
              <w:rPr>
                <w:rFonts w:eastAsia="Calibri"/>
              </w:rPr>
              <w:t>4</w:t>
            </w:r>
          </w:p>
        </w:tc>
      </w:tr>
      <w:tr w:rsidR="005A2C5A" w:rsidRPr="00C57224" w14:paraId="58451515" w14:textId="77777777" w:rsidTr="001241F4">
        <w:trPr>
          <w:jc w:val="center"/>
        </w:trPr>
        <w:tc>
          <w:tcPr>
            <w:tcW w:w="1656" w:type="dxa"/>
            <w:shd w:val="clear" w:color="auto" w:fill="auto"/>
            <w:hideMark/>
          </w:tcPr>
          <w:p w14:paraId="2D581F22" w14:textId="77777777" w:rsidR="005A2C5A" w:rsidRPr="00C57224" w:rsidRDefault="005A2C5A" w:rsidP="00C57224">
            <w:pPr>
              <w:pStyle w:val="Tabletext"/>
              <w:rPr>
                <w:rFonts w:eastAsia="Calibri"/>
              </w:rPr>
            </w:pPr>
            <w:r w:rsidRPr="00C57224">
              <w:rPr>
                <w:rFonts w:eastAsia="Calibri"/>
              </w:rPr>
              <w:t>Academia</w:t>
            </w:r>
          </w:p>
        </w:tc>
        <w:tc>
          <w:tcPr>
            <w:tcW w:w="656" w:type="dxa"/>
            <w:shd w:val="clear" w:color="auto" w:fill="auto"/>
            <w:hideMark/>
          </w:tcPr>
          <w:p w14:paraId="28AF2276" w14:textId="77777777" w:rsidR="005A2C5A" w:rsidRPr="00C57224" w:rsidRDefault="005A2C5A" w:rsidP="001241F4">
            <w:pPr>
              <w:pStyle w:val="Tabletext"/>
              <w:jc w:val="center"/>
              <w:rPr>
                <w:rFonts w:eastAsia="Calibri"/>
              </w:rPr>
            </w:pPr>
            <w:r w:rsidRPr="00C57224">
              <w:rPr>
                <w:rFonts w:eastAsia="Calibri"/>
              </w:rPr>
              <w:t>39</w:t>
            </w:r>
          </w:p>
        </w:tc>
        <w:tc>
          <w:tcPr>
            <w:tcW w:w="624" w:type="dxa"/>
            <w:shd w:val="clear" w:color="auto" w:fill="auto"/>
            <w:hideMark/>
          </w:tcPr>
          <w:p w14:paraId="61C9CACD" w14:textId="77777777" w:rsidR="005A2C5A" w:rsidRPr="00C57224" w:rsidRDefault="005A2C5A" w:rsidP="001241F4">
            <w:pPr>
              <w:pStyle w:val="Tabletext"/>
              <w:jc w:val="center"/>
              <w:rPr>
                <w:rFonts w:eastAsia="Calibri"/>
              </w:rPr>
            </w:pPr>
            <w:r w:rsidRPr="00C57224">
              <w:rPr>
                <w:rFonts w:eastAsia="Calibri"/>
              </w:rPr>
              <w:t>56</w:t>
            </w:r>
          </w:p>
        </w:tc>
        <w:tc>
          <w:tcPr>
            <w:tcW w:w="624" w:type="dxa"/>
            <w:shd w:val="clear" w:color="auto" w:fill="auto"/>
            <w:hideMark/>
          </w:tcPr>
          <w:p w14:paraId="157614AF" w14:textId="77777777" w:rsidR="005A2C5A" w:rsidRPr="00C57224" w:rsidRDefault="005A2C5A" w:rsidP="001241F4">
            <w:pPr>
              <w:pStyle w:val="Tabletext"/>
              <w:jc w:val="center"/>
              <w:rPr>
                <w:rFonts w:eastAsia="Calibri"/>
              </w:rPr>
            </w:pPr>
            <w:r w:rsidRPr="00C57224">
              <w:rPr>
                <w:rFonts w:eastAsia="Calibri"/>
              </w:rPr>
              <w:t>70</w:t>
            </w:r>
          </w:p>
        </w:tc>
        <w:tc>
          <w:tcPr>
            <w:tcW w:w="624" w:type="dxa"/>
            <w:shd w:val="clear" w:color="auto" w:fill="auto"/>
            <w:hideMark/>
          </w:tcPr>
          <w:p w14:paraId="6E043ADD" w14:textId="77777777" w:rsidR="005A2C5A" w:rsidRPr="00C57224" w:rsidRDefault="005A2C5A" w:rsidP="001241F4">
            <w:pPr>
              <w:pStyle w:val="Tabletext"/>
              <w:jc w:val="center"/>
              <w:rPr>
                <w:rFonts w:eastAsia="Calibri"/>
              </w:rPr>
            </w:pPr>
            <w:r w:rsidRPr="00C57224">
              <w:rPr>
                <w:rFonts w:eastAsia="Calibri"/>
              </w:rPr>
              <w:t>92</w:t>
            </w:r>
          </w:p>
        </w:tc>
        <w:tc>
          <w:tcPr>
            <w:tcW w:w="624" w:type="dxa"/>
            <w:shd w:val="clear" w:color="auto" w:fill="auto"/>
            <w:hideMark/>
          </w:tcPr>
          <w:p w14:paraId="33532074" w14:textId="77777777" w:rsidR="005A2C5A" w:rsidRPr="00C57224" w:rsidRDefault="005A2C5A" w:rsidP="001241F4">
            <w:pPr>
              <w:pStyle w:val="Tabletext"/>
              <w:jc w:val="center"/>
              <w:rPr>
                <w:rFonts w:eastAsia="Calibri"/>
              </w:rPr>
            </w:pPr>
            <w:r w:rsidRPr="00C57224">
              <w:rPr>
                <w:rFonts w:eastAsia="Calibri"/>
              </w:rPr>
              <w:t>103</w:t>
            </w:r>
          </w:p>
        </w:tc>
        <w:tc>
          <w:tcPr>
            <w:tcW w:w="624" w:type="dxa"/>
            <w:shd w:val="clear" w:color="auto" w:fill="auto"/>
            <w:hideMark/>
          </w:tcPr>
          <w:p w14:paraId="1710D8D6" w14:textId="77777777" w:rsidR="005A2C5A" w:rsidRPr="00C57224" w:rsidRDefault="005A2C5A" w:rsidP="001241F4">
            <w:pPr>
              <w:pStyle w:val="Tabletext"/>
              <w:jc w:val="center"/>
              <w:rPr>
                <w:rFonts w:eastAsia="Calibri"/>
              </w:rPr>
            </w:pPr>
            <w:r w:rsidRPr="00C57224">
              <w:rPr>
                <w:rFonts w:eastAsia="Calibri"/>
              </w:rPr>
              <w:t>119</w:t>
            </w:r>
          </w:p>
        </w:tc>
        <w:tc>
          <w:tcPr>
            <w:tcW w:w="624" w:type="dxa"/>
            <w:shd w:val="clear" w:color="auto" w:fill="auto"/>
            <w:hideMark/>
          </w:tcPr>
          <w:p w14:paraId="7C5B4349" w14:textId="77777777" w:rsidR="005A2C5A" w:rsidRPr="00C57224" w:rsidRDefault="005A2C5A" w:rsidP="001241F4">
            <w:pPr>
              <w:pStyle w:val="Tabletext"/>
              <w:jc w:val="center"/>
              <w:rPr>
                <w:rFonts w:eastAsia="Calibri"/>
              </w:rPr>
            </w:pPr>
            <w:r w:rsidRPr="00C57224">
              <w:rPr>
                <w:rFonts w:eastAsia="Calibri"/>
              </w:rPr>
              <w:t>146</w:t>
            </w:r>
          </w:p>
        </w:tc>
        <w:tc>
          <w:tcPr>
            <w:tcW w:w="624" w:type="dxa"/>
            <w:shd w:val="clear" w:color="auto" w:fill="auto"/>
            <w:hideMark/>
          </w:tcPr>
          <w:p w14:paraId="5431348A" w14:textId="77777777" w:rsidR="005A2C5A" w:rsidRPr="00C57224" w:rsidRDefault="005A2C5A" w:rsidP="001241F4">
            <w:pPr>
              <w:pStyle w:val="Tabletext"/>
              <w:jc w:val="center"/>
              <w:rPr>
                <w:rFonts w:eastAsia="Calibri"/>
              </w:rPr>
            </w:pPr>
            <w:r w:rsidRPr="00C57224">
              <w:rPr>
                <w:rFonts w:eastAsia="Calibri"/>
              </w:rPr>
              <w:t>155</w:t>
            </w:r>
          </w:p>
        </w:tc>
        <w:tc>
          <w:tcPr>
            <w:tcW w:w="624" w:type="dxa"/>
            <w:shd w:val="clear" w:color="auto" w:fill="auto"/>
            <w:hideMark/>
          </w:tcPr>
          <w:p w14:paraId="7EB9770F" w14:textId="77777777" w:rsidR="005A2C5A" w:rsidRPr="00C57224" w:rsidRDefault="005A2C5A" w:rsidP="001241F4">
            <w:pPr>
              <w:pStyle w:val="Tabletext"/>
              <w:jc w:val="center"/>
              <w:rPr>
                <w:rFonts w:eastAsia="Calibri"/>
              </w:rPr>
            </w:pPr>
            <w:r w:rsidRPr="00C57224">
              <w:rPr>
                <w:rFonts w:eastAsia="Calibri"/>
              </w:rPr>
              <w:t>159</w:t>
            </w:r>
          </w:p>
        </w:tc>
        <w:tc>
          <w:tcPr>
            <w:tcW w:w="624" w:type="dxa"/>
            <w:shd w:val="clear" w:color="auto" w:fill="auto"/>
            <w:hideMark/>
          </w:tcPr>
          <w:p w14:paraId="2C196DFD" w14:textId="77777777" w:rsidR="005A2C5A" w:rsidRPr="00C57224" w:rsidRDefault="005A2C5A" w:rsidP="001241F4">
            <w:pPr>
              <w:pStyle w:val="Tabletext"/>
              <w:jc w:val="center"/>
              <w:rPr>
                <w:rFonts w:eastAsia="Calibri"/>
              </w:rPr>
            </w:pPr>
            <w:r w:rsidRPr="00C57224">
              <w:rPr>
                <w:rFonts w:eastAsia="Calibri"/>
              </w:rPr>
              <w:t>158</w:t>
            </w:r>
          </w:p>
        </w:tc>
        <w:tc>
          <w:tcPr>
            <w:tcW w:w="624" w:type="dxa"/>
            <w:shd w:val="clear" w:color="auto" w:fill="auto"/>
            <w:hideMark/>
          </w:tcPr>
          <w:p w14:paraId="669D6058" w14:textId="77777777" w:rsidR="005A2C5A" w:rsidRPr="00C57224" w:rsidRDefault="005A2C5A" w:rsidP="001241F4">
            <w:pPr>
              <w:pStyle w:val="Tabletext"/>
              <w:jc w:val="center"/>
              <w:rPr>
                <w:rFonts w:eastAsia="Calibri"/>
              </w:rPr>
            </w:pPr>
            <w:r w:rsidRPr="00C57224">
              <w:rPr>
                <w:rFonts w:eastAsia="Calibri"/>
              </w:rPr>
              <w:t>170</w:t>
            </w:r>
          </w:p>
        </w:tc>
        <w:tc>
          <w:tcPr>
            <w:tcW w:w="624" w:type="dxa"/>
            <w:shd w:val="clear" w:color="auto" w:fill="auto"/>
          </w:tcPr>
          <w:p w14:paraId="3E85FD37" w14:textId="77777777" w:rsidR="005A2C5A" w:rsidRPr="00C57224" w:rsidRDefault="005A2C5A" w:rsidP="001241F4">
            <w:pPr>
              <w:pStyle w:val="Tabletext"/>
              <w:jc w:val="center"/>
              <w:rPr>
                <w:rFonts w:eastAsia="Calibri"/>
              </w:rPr>
            </w:pPr>
            <w:r w:rsidRPr="00C57224">
              <w:rPr>
                <w:rFonts w:eastAsia="Calibri"/>
              </w:rPr>
              <w:t>169</w:t>
            </w:r>
          </w:p>
        </w:tc>
        <w:tc>
          <w:tcPr>
            <w:tcW w:w="624" w:type="dxa"/>
            <w:shd w:val="clear" w:color="auto" w:fill="auto"/>
          </w:tcPr>
          <w:p w14:paraId="354FFA60" w14:textId="34AF861A" w:rsidR="005A2C5A" w:rsidRPr="00C57224" w:rsidRDefault="005A2C5A" w:rsidP="001241F4">
            <w:pPr>
              <w:pStyle w:val="Tabletext"/>
              <w:jc w:val="center"/>
              <w:rPr>
                <w:rFonts w:eastAsia="Calibri"/>
              </w:rPr>
            </w:pPr>
            <w:r w:rsidRPr="00C57224">
              <w:rPr>
                <w:rFonts w:eastAsia="Calibri"/>
              </w:rPr>
              <w:t>1</w:t>
            </w:r>
            <w:r w:rsidR="007E040A" w:rsidRPr="00C57224">
              <w:rPr>
                <w:rFonts w:eastAsia="Calibri"/>
              </w:rPr>
              <w:t>7</w:t>
            </w:r>
            <w:r w:rsidR="0001041A" w:rsidRPr="00C57224">
              <w:rPr>
                <w:rFonts w:eastAsia="Calibri"/>
              </w:rPr>
              <w:t>2</w:t>
            </w:r>
          </w:p>
        </w:tc>
      </w:tr>
      <w:tr w:rsidR="005A2C5A" w:rsidRPr="00C57224" w14:paraId="191401F5" w14:textId="77777777" w:rsidTr="001241F4">
        <w:trPr>
          <w:jc w:val="center"/>
        </w:trPr>
        <w:tc>
          <w:tcPr>
            <w:tcW w:w="1656" w:type="dxa"/>
            <w:shd w:val="clear" w:color="auto" w:fill="auto"/>
            <w:hideMark/>
          </w:tcPr>
          <w:p w14:paraId="6D46A928" w14:textId="77777777" w:rsidR="005A2C5A" w:rsidRPr="00C57224" w:rsidRDefault="005A2C5A" w:rsidP="00C57224">
            <w:pPr>
              <w:pStyle w:val="Tabletext"/>
              <w:rPr>
                <w:rFonts w:eastAsia="Calibri"/>
              </w:rPr>
            </w:pPr>
            <w:r w:rsidRPr="00C57224">
              <w:rPr>
                <w:rFonts w:eastAsia="Calibri"/>
              </w:rPr>
              <w:t>TOTAL</w:t>
            </w:r>
          </w:p>
        </w:tc>
        <w:tc>
          <w:tcPr>
            <w:tcW w:w="656" w:type="dxa"/>
            <w:shd w:val="clear" w:color="auto" w:fill="auto"/>
            <w:hideMark/>
          </w:tcPr>
          <w:p w14:paraId="4AD45E43" w14:textId="77777777" w:rsidR="005A2C5A" w:rsidRPr="00C57224" w:rsidRDefault="005A2C5A" w:rsidP="001241F4">
            <w:pPr>
              <w:pStyle w:val="Tabletext"/>
              <w:jc w:val="center"/>
              <w:rPr>
                <w:rFonts w:eastAsia="Calibri"/>
              </w:rPr>
            </w:pPr>
            <w:r w:rsidRPr="00C57224">
              <w:rPr>
                <w:rFonts w:eastAsia="Calibri"/>
              </w:rPr>
              <w:t>429</w:t>
            </w:r>
          </w:p>
        </w:tc>
        <w:tc>
          <w:tcPr>
            <w:tcW w:w="624" w:type="dxa"/>
            <w:shd w:val="clear" w:color="auto" w:fill="auto"/>
            <w:hideMark/>
          </w:tcPr>
          <w:p w14:paraId="50311E8F" w14:textId="77777777" w:rsidR="005A2C5A" w:rsidRPr="00C57224" w:rsidRDefault="005A2C5A" w:rsidP="001241F4">
            <w:pPr>
              <w:pStyle w:val="Tabletext"/>
              <w:jc w:val="center"/>
              <w:rPr>
                <w:rFonts w:eastAsia="Calibri"/>
              </w:rPr>
            </w:pPr>
            <w:r w:rsidRPr="00C57224">
              <w:rPr>
                <w:rFonts w:eastAsia="Calibri"/>
              </w:rPr>
              <w:t>455</w:t>
            </w:r>
          </w:p>
        </w:tc>
        <w:tc>
          <w:tcPr>
            <w:tcW w:w="624" w:type="dxa"/>
            <w:shd w:val="clear" w:color="auto" w:fill="auto"/>
            <w:hideMark/>
          </w:tcPr>
          <w:p w14:paraId="076E3536" w14:textId="77777777" w:rsidR="005A2C5A" w:rsidRPr="00C57224" w:rsidRDefault="005A2C5A" w:rsidP="001241F4">
            <w:pPr>
              <w:pStyle w:val="Tabletext"/>
              <w:jc w:val="center"/>
              <w:rPr>
                <w:rFonts w:eastAsia="Calibri"/>
              </w:rPr>
            </w:pPr>
            <w:r w:rsidRPr="00C57224">
              <w:rPr>
                <w:rFonts w:eastAsia="Calibri"/>
              </w:rPr>
              <w:t>468</w:t>
            </w:r>
          </w:p>
        </w:tc>
        <w:tc>
          <w:tcPr>
            <w:tcW w:w="624" w:type="dxa"/>
            <w:shd w:val="clear" w:color="auto" w:fill="auto"/>
            <w:hideMark/>
          </w:tcPr>
          <w:p w14:paraId="29FC0341" w14:textId="77777777" w:rsidR="005A2C5A" w:rsidRPr="00C57224" w:rsidRDefault="005A2C5A" w:rsidP="001241F4">
            <w:pPr>
              <w:pStyle w:val="Tabletext"/>
              <w:jc w:val="center"/>
              <w:rPr>
                <w:rFonts w:eastAsia="Calibri"/>
              </w:rPr>
            </w:pPr>
            <w:r w:rsidRPr="00C57224">
              <w:rPr>
                <w:rFonts w:eastAsia="Calibri"/>
              </w:rPr>
              <w:t>484</w:t>
            </w:r>
          </w:p>
        </w:tc>
        <w:tc>
          <w:tcPr>
            <w:tcW w:w="624" w:type="dxa"/>
            <w:shd w:val="clear" w:color="auto" w:fill="auto"/>
            <w:hideMark/>
          </w:tcPr>
          <w:p w14:paraId="441595A7" w14:textId="77777777" w:rsidR="005A2C5A" w:rsidRPr="00C57224" w:rsidRDefault="005A2C5A" w:rsidP="001241F4">
            <w:pPr>
              <w:pStyle w:val="Tabletext"/>
              <w:jc w:val="center"/>
              <w:rPr>
                <w:rFonts w:eastAsia="Calibri"/>
              </w:rPr>
            </w:pPr>
            <w:r w:rsidRPr="00C57224">
              <w:rPr>
                <w:rFonts w:eastAsia="Calibri"/>
              </w:rPr>
              <w:t>480</w:t>
            </w:r>
          </w:p>
        </w:tc>
        <w:tc>
          <w:tcPr>
            <w:tcW w:w="624" w:type="dxa"/>
            <w:shd w:val="clear" w:color="auto" w:fill="auto"/>
            <w:hideMark/>
          </w:tcPr>
          <w:p w14:paraId="0B1AF49F" w14:textId="77777777" w:rsidR="005A2C5A" w:rsidRPr="00C57224" w:rsidRDefault="005A2C5A" w:rsidP="001241F4">
            <w:pPr>
              <w:pStyle w:val="Tabletext"/>
              <w:jc w:val="center"/>
              <w:rPr>
                <w:rFonts w:eastAsia="Calibri"/>
              </w:rPr>
            </w:pPr>
            <w:r w:rsidRPr="00C57224">
              <w:rPr>
                <w:rFonts w:eastAsia="Calibri"/>
              </w:rPr>
              <w:t>509</w:t>
            </w:r>
          </w:p>
        </w:tc>
        <w:tc>
          <w:tcPr>
            <w:tcW w:w="624" w:type="dxa"/>
            <w:shd w:val="clear" w:color="auto" w:fill="auto"/>
            <w:hideMark/>
          </w:tcPr>
          <w:p w14:paraId="24274025" w14:textId="77777777" w:rsidR="005A2C5A" w:rsidRPr="00C57224" w:rsidRDefault="005A2C5A" w:rsidP="001241F4">
            <w:pPr>
              <w:pStyle w:val="Tabletext"/>
              <w:jc w:val="center"/>
              <w:rPr>
                <w:rFonts w:eastAsia="Calibri"/>
              </w:rPr>
            </w:pPr>
            <w:r w:rsidRPr="00C57224">
              <w:rPr>
                <w:rFonts w:eastAsia="Calibri"/>
              </w:rPr>
              <w:t>553</w:t>
            </w:r>
          </w:p>
        </w:tc>
        <w:tc>
          <w:tcPr>
            <w:tcW w:w="624" w:type="dxa"/>
            <w:shd w:val="clear" w:color="auto" w:fill="auto"/>
            <w:hideMark/>
          </w:tcPr>
          <w:p w14:paraId="10D490C1" w14:textId="77777777" w:rsidR="005A2C5A" w:rsidRPr="00C57224" w:rsidRDefault="005A2C5A" w:rsidP="001241F4">
            <w:pPr>
              <w:pStyle w:val="Tabletext"/>
              <w:jc w:val="center"/>
              <w:rPr>
                <w:rFonts w:eastAsia="Calibri"/>
              </w:rPr>
            </w:pPr>
            <w:r w:rsidRPr="00C57224">
              <w:rPr>
                <w:rFonts w:eastAsia="Calibri"/>
              </w:rPr>
              <w:t>597</w:t>
            </w:r>
          </w:p>
        </w:tc>
        <w:tc>
          <w:tcPr>
            <w:tcW w:w="624" w:type="dxa"/>
            <w:shd w:val="clear" w:color="auto" w:fill="auto"/>
            <w:hideMark/>
          </w:tcPr>
          <w:p w14:paraId="45C1F043" w14:textId="77777777" w:rsidR="005A2C5A" w:rsidRPr="00C57224" w:rsidRDefault="005A2C5A" w:rsidP="001241F4">
            <w:pPr>
              <w:pStyle w:val="Tabletext"/>
              <w:jc w:val="center"/>
              <w:rPr>
                <w:rFonts w:eastAsia="Calibri"/>
              </w:rPr>
            </w:pPr>
            <w:r w:rsidRPr="00C57224">
              <w:rPr>
                <w:rFonts w:eastAsia="Calibri"/>
              </w:rPr>
              <w:t>626</w:t>
            </w:r>
          </w:p>
        </w:tc>
        <w:tc>
          <w:tcPr>
            <w:tcW w:w="624" w:type="dxa"/>
            <w:shd w:val="clear" w:color="auto" w:fill="auto"/>
            <w:hideMark/>
          </w:tcPr>
          <w:p w14:paraId="3C2B245D" w14:textId="77777777" w:rsidR="005A2C5A" w:rsidRPr="00C57224" w:rsidRDefault="005A2C5A" w:rsidP="001241F4">
            <w:pPr>
              <w:pStyle w:val="Tabletext"/>
              <w:jc w:val="center"/>
              <w:rPr>
                <w:rFonts w:eastAsia="Calibri"/>
              </w:rPr>
            </w:pPr>
            <w:r w:rsidRPr="00C57224">
              <w:rPr>
                <w:rFonts w:eastAsia="Calibri"/>
              </w:rPr>
              <w:t>640</w:t>
            </w:r>
          </w:p>
        </w:tc>
        <w:tc>
          <w:tcPr>
            <w:tcW w:w="624" w:type="dxa"/>
            <w:shd w:val="clear" w:color="auto" w:fill="auto"/>
            <w:hideMark/>
          </w:tcPr>
          <w:p w14:paraId="5E1EDE72" w14:textId="77777777" w:rsidR="005A2C5A" w:rsidRPr="00C57224" w:rsidRDefault="005A2C5A" w:rsidP="001241F4">
            <w:pPr>
              <w:pStyle w:val="Tabletext"/>
              <w:jc w:val="center"/>
              <w:rPr>
                <w:rFonts w:eastAsia="Calibri"/>
              </w:rPr>
            </w:pPr>
            <w:r w:rsidRPr="00C57224">
              <w:rPr>
                <w:rFonts w:eastAsia="Calibri"/>
              </w:rPr>
              <w:t>653</w:t>
            </w:r>
          </w:p>
        </w:tc>
        <w:tc>
          <w:tcPr>
            <w:tcW w:w="624" w:type="dxa"/>
            <w:shd w:val="clear" w:color="auto" w:fill="auto"/>
          </w:tcPr>
          <w:p w14:paraId="6148B35F" w14:textId="77777777" w:rsidR="005A2C5A" w:rsidRPr="00C57224" w:rsidRDefault="005A2C5A" w:rsidP="001241F4">
            <w:pPr>
              <w:pStyle w:val="Tabletext"/>
              <w:jc w:val="center"/>
              <w:rPr>
                <w:rFonts w:eastAsia="Calibri"/>
              </w:rPr>
            </w:pPr>
            <w:r w:rsidRPr="00C57224">
              <w:rPr>
                <w:rFonts w:eastAsia="Calibri"/>
              </w:rPr>
              <w:t>665</w:t>
            </w:r>
          </w:p>
        </w:tc>
        <w:tc>
          <w:tcPr>
            <w:tcW w:w="624" w:type="dxa"/>
            <w:shd w:val="clear" w:color="auto" w:fill="auto"/>
          </w:tcPr>
          <w:p w14:paraId="3D163C4C" w14:textId="450D11C7" w:rsidR="005A2C5A" w:rsidRPr="00C57224" w:rsidRDefault="005A2C5A" w:rsidP="001241F4">
            <w:pPr>
              <w:pStyle w:val="Tabletext"/>
              <w:jc w:val="center"/>
              <w:rPr>
                <w:rFonts w:eastAsia="Calibri"/>
              </w:rPr>
            </w:pPr>
            <w:r w:rsidRPr="00C57224">
              <w:rPr>
                <w:rFonts w:eastAsia="Calibri"/>
              </w:rPr>
              <w:t>67</w:t>
            </w:r>
            <w:r w:rsidR="0001041A" w:rsidRPr="00C57224">
              <w:rPr>
                <w:rFonts w:eastAsia="Calibri"/>
              </w:rPr>
              <w:t>4</w:t>
            </w:r>
          </w:p>
        </w:tc>
      </w:tr>
    </w:tbl>
    <w:p w14:paraId="09D5821B" w14:textId="5437E645" w:rsidR="005A2C5A" w:rsidRPr="00C57224" w:rsidRDefault="005A2C5A" w:rsidP="00C57224">
      <w:pPr>
        <w:pStyle w:val="Note"/>
        <w:rPr>
          <w:rFonts w:eastAsia="Calibri"/>
        </w:rPr>
      </w:pPr>
      <w:r w:rsidRPr="00C57224">
        <w:rPr>
          <w:rFonts w:eastAsia="Calibri"/>
        </w:rPr>
        <w:t xml:space="preserve">NOTE </w:t>
      </w:r>
      <w:r w:rsidR="00C57224">
        <w:rPr>
          <w:rFonts w:eastAsia="Calibri"/>
        </w:rPr>
        <w:t xml:space="preserve">1 </w:t>
      </w:r>
      <w:r w:rsidRPr="00C57224">
        <w:rPr>
          <w:rFonts w:eastAsia="Calibri"/>
        </w:rPr>
        <w:t>– Some of the figures in the table above have been subject to retroactive changes.</w:t>
      </w:r>
    </w:p>
    <w:p w14:paraId="5162C3A2" w14:textId="493EF421" w:rsidR="007E040A" w:rsidRPr="00C57224" w:rsidRDefault="005A6B33" w:rsidP="005A2C5A">
      <w:pPr>
        <w:keepNext/>
        <w:keepLines/>
        <w:jc w:val="center"/>
        <w:rPr>
          <w:rFonts w:eastAsia="Calibri"/>
        </w:rPr>
      </w:pPr>
      <w:r>
        <w:rPr>
          <w:rFonts w:eastAsia="Calibri"/>
          <w:noProof/>
        </w:rPr>
        <w:drawing>
          <wp:inline distT="0" distB="0" distL="0" distR="0" wp14:anchorId="3231167B" wp14:editId="3292EA9A">
            <wp:extent cx="5090795" cy="3225165"/>
            <wp:effectExtent l="0" t="0" r="0" b="0"/>
            <wp:docPr id="14108651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090795" cy="3225165"/>
                    </a:xfrm>
                    <a:prstGeom prst="rect">
                      <a:avLst/>
                    </a:prstGeom>
                    <a:noFill/>
                  </pic:spPr>
                </pic:pic>
              </a:graphicData>
            </a:graphic>
          </wp:inline>
        </w:drawing>
      </w:r>
    </w:p>
    <w:p w14:paraId="19D69F03" w14:textId="04236A4E" w:rsidR="001A3BF9" w:rsidRPr="00C57224" w:rsidRDefault="001A3BF9" w:rsidP="00C57224">
      <w:pPr>
        <w:pStyle w:val="FigureNotitle"/>
      </w:pPr>
      <w:bookmarkStart w:id="172" w:name="_Toc179221087"/>
      <w:r w:rsidRPr="00C57224">
        <w:t xml:space="preserve">Figure </w:t>
      </w:r>
      <w:r w:rsidR="00DB5555" w:rsidRPr="00C57224">
        <w:t>2</w:t>
      </w:r>
      <w:r w:rsidRPr="00C57224">
        <w:t xml:space="preserve"> – Evolution of ITU-T membership </w:t>
      </w:r>
      <w:r w:rsidR="007E040A" w:rsidRPr="00C57224">
        <w:t xml:space="preserve">since </w:t>
      </w:r>
      <w:r w:rsidRPr="00C57224">
        <w:t>20</w:t>
      </w:r>
      <w:r w:rsidR="005A2C5A" w:rsidRPr="00C57224">
        <w:t>12</w:t>
      </w:r>
      <w:bookmarkEnd w:id="172"/>
    </w:p>
    <w:p w14:paraId="640C620C" w14:textId="112A1877" w:rsidR="003E7B9E" w:rsidRPr="00C57224" w:rsidRDefault="003E7B9E" w:rsidP="00C57224">
      <w:pPr>
        <w:pStyle w:val="Note"/>
        <w:rPr>
          <w:rFonts w:eastAsia="Calibri"/>
        </w:rPr>
      </w:pPr>
      <w:r w:rsidRPr="00C57224">
        <w:rPr>
          <w:rFonts w:eastAsia="Calibri"/>
        </w:rPr>
        <w:lastRenderedPageBreak/>
        <w:t xml:space="preserve">NOTE </w:t>
      </w:r>
      <w:r w:rsidR="00C57224">
        <w:rPr>
          <w:rFonts w:eastAsia="Calibri"/>
        </w:rPr>
        <w:t xml:space="preserve">2 </w:t>
      </w:r>
      <w:r w:rsidRPr="00C57224">
        <w:rPr>
          <w:rFonts w:eastAsia="Calibri"/>
        </w:rPr>
        <w:t>– The Academia category was created in 2011.</w:t>
      </w:r>
    </w:p>
    <w:p w14:paraId="50FB69A8" w14:textId="0063D7AC" w:rsidR="00B83A2A" w:rsidRPr="00C57224" w:rsidRDefault="00682E93" w:rsidP="0048381E">
      <w:pPr>
        <w:pStyle w:val="Heading1"/>
        <w:spacing w:before="240"/>
      </w:pPr>
      <w:bookmarkStart w:id="173" w:name="_10_Virtual_meetings"/>
      <w:bookmarkStart w:id="174" w:name="_Toc462664274"/>
      <w:bookmarkStart w:id="175" w:name="_Toc480527863"/>
      <w:bookmarkStart w:id="176" w:name="_11_Bridging_the"/>
      <w:bookmarkStart w:id="177" w:name="_12_Bridging_the"/>
      <w:bookmarkStart w:id="178" w:name="_9_Bridging_the"/>
      <w:bookmarkStart w:id="179" w:name="_Toc416161356"/>
      <w:bookmarkStart w:id="180" w:name="_Toc438553979"/>
      <w:bookmarkStart w:id="181" w:name="_Toc453929098"/>
      <w:bookmarkStart w:id="182" w:name="_Toc453932969"/>
      <w:bookmarkStart w:id="183" w:name="_Toc454295875"/>
      <w:bookmarkStart w:id="184" w:name="_Toc480527846"/>
      <w:bookmarkStart w:id="185" w:name="_Toc51042269"/>
      <w:bookmarkStart w:id="186" w:name="_Toc179219767"/>
      <w:bookmarkStart w:id="187" w:name="_Toc179221077"/>
      <w:bookmarkStart w:id="188" w:name="_Toc453929120"/>
      <w:bookmarkStart w:id="189" w:name="_Toc453932991"/>
      <w:bookmarkStart w:id="190" w:name="_Toc454295897"/>
      <w:bookmarkStart w:id="191" w:name="_Toc387390042"/>
      <w:bookmarkStart w:id="192" w:name="_Toc416161372"/>
      <w:bookmarkStart w:id="193" w:name="_Toc438553998"/>
      <w:bookmarkEnd w:id="160"/>
      <w:bookmarkEnd w:id="161"/>
      <w:bookmarkEnd w:id="162"/>
      <w:bookmarkEnd w:id="163"/>
      <w:bookmarkEnd w:id="164"/>
      <w:bookmarkEnd w:id="165"/>
      <w:bookmarkEnd w:id="166"/>
      <w:bookmarkEnd w:id="167"/>
      <w:bookmarkEnd w:id="173"/>
      <w:bookmarkEnd w:id="174"/>
      <w:bookmarkEnd w:id="175"/>
      <w:bookmarkEnd w:id="176"/>
      <w:bookmarkEnd w:id="177"/>
      <w:bookmarkEnd w:id="178"/>
      <w:r w:rsidRPr="00C57224">
        <w:rPr>
          <w:rFonts w:eastAsiaTheme="minorEastAsia"/>
        </w:rPr>
        <w:t>9</w:t>
      </w:r>
      <w:r w:rsidR="00B83A2A" w:rsidRPr="00C57224">
        <w:rPr>
          <w:rFonts w:eastAsiaTheme="minorEastAsia"/>
        </w:rPr>
        <w:tab/>
      </w:r>
      <w:r w:rsidR="00B83A2A" w:rsidRPr="00C57224">
        <w:t>Bridging the standardization gap</w:t>
      </w:r>
      <w:bookmarkEnd w:id="179"/>
      <w:bookmarkEnd w:id="180"/>
      <w:bookmarkEnd w:id="181"/>
      <w:bookmarkEnd w:id="182"/>
      <w:bookmarkEnd w:id="183"/>
      <w:bookmarkEnd w:id="184"/>
      <w:bookmarkEnd w:id="185"/>
      <w:bookmarkEnd w:id="186"/>
      <w:bookmarkEnd w:id="187"/>
    </w:p>
    <w:p w14:paraId="6E6D884D" w14:textId="2FA019EC" w:rsidR="006C076E" w:rsidRPr="00C57224" w:rsidRDefault="00327645" w:rsidP="006C076E">
      <w:hyperlink r:id="rId282" w:history="1">
        <w:r w:rsidR="006C076E" w:rsidRPr="00C57224">
          <w:rPr>
            <w:rStyle w:val="Hyperlink"/>
          </w:rPr>
          <w:t xml:space="preserve">ITU's Bridging the Standardization Gap (BSG) </w:t>
        </w:r>
        <w:r w:rsidR="00B44AD8" w:rsidRPr="00C57224">
          <w:rPr>
            <w:rStyle w:val="Hyperlink"/>
          </w:rPr>
          <w:t>P</w:t>
        </w:r>
        <w:r w:rsidR="006C076E" w:rsidRPr="00C57224">
          <w:rPr>
            <w:rStyle w:val="Hyperlink"/>
          </w:rPr>
          <w:t>rogra</w:t>
        </w:r>
        <w:r w:rsidR="004D3073" w:rsidRPr="00C57224">
          <w:rPr>
            <w:rStyle w:val="Hyperlink"/>
          </w:rPr>
          <w:t>mme</w:t>
        </w:r>
      </w:hyperlink>
      <w:r w:rsidR="00CA37AB" w:rsidRPr="00C57224">
        <w:t xml:space="preserve">, recently re-envisioned, </w:t>
      </w:r>
      <w:r w:rsidR="006C076E" w:rsidRPr="00C57224">
        <w:t>aims to enhance the ability of all countries, in particular developing countries, to participate in the</w:t>
      </w:r>
      <w:r w:rsidR="006C076E" w:rsidRPr="00C57224">
        <w:rPr>
          <w:i/>
          <w:iCs/>
        </w:rPr>
        <w:t xml:space="preserve"> </w:t>
      </w:r>
      <w:r w:rsidR="006C076E" w:rsidRPr="00C57224">
        <w:t>development and implementation of ITU-T standards.</w:t>
      </w:r>
    </w:p>
    <w:p w14:paraId="7B12E176" w14:textId="14DDFE36" w:rsidR="006C076E" w:rsidRPr="00C57224" w:rsidRDefault="006C076E" w:rsidP="006C076E">
      <w:r w:rsidRPr="00C57224">
        <w:t xml:space="preserve">The </w:t>
      </w:r>
      <w:r w:rsidR="00CA37AB" w:rsidRPr="00C57224">
        <w:t xml:space="preserve">new </w:t>
      </w:r>
      <w:r w:rsidRPr="00C57224">
        <w:t xml:space="preserve">BSG </w:t>
      </w:r>
      <w:r w:rsidR="00B44AD8" w:rsidRPr="00C57224">
        <w:t>P</w:t>
      </w:r>
      <w:r w:rsidRPr="00C57224">
        <w:t>rogram</w:t>
      </w:r>
      <w:r w:rsidR="004D3073" w:rsidRPr="00C57224">
        <w:t>me</w:t>
      </w:r>
      <w:r w:rsidRPr="00C57224">
        <w:t xml:space="preserve">, considering WTSA Resolution 44 </w:t>
      </w:r>
      <w:r w:rsidRPr="00C57224">
        <w:rPr>
          <w:i/>
          <w:iCs/>
        </w:rPr>
        <w:t>inter alia</w:t>
      </w:r>
      <w:r w:rsidRPr="00C57224">
        <w:t xml:space="preserve">, has two main strategic pillars – </w:t>
      </w:r>
      <w:r w:rsidRPr="00C57224">
        <w:rPr>
          <w:i/>
          <w:iCs/>
        </w:rPr>
        <w:t>Development</w:t>
      </w:r>
      <w:r w:rsidRPr="00C57224">
        <w:t xml:space="preserve"> and </w:t>
      </w:r>
      <w:r w:rsidRPr="00C57224">
        <w:rPr>
          <w:i/>
          <w:iCs/>
        </w:rPr>
        <w:t>Implementation –</w:t>
      </w:r>
      <w:r w:rsidRPr="00C57224">
        <w:t xml:space="preserve"> supported by </w:t>
      </w:r>
      <w:r w:rsidRPr="00C57224">
        <w:rPr>
          <w:i/>
          <w:iCs/>
        </w:rPr>
        <w:t xml:space="preserve">Resources </w:t>
      </w:r>
      <w:r w:rsidRPr="00C57224">
        <w:t xml:space="preserve">and </w:t>
      </w:r>
      <w:r w:rsidRPr="00C57224">
        <w:rPr>
          <w:i/>
          <w:iCs/>
        </w:rPr>
        <w:t>Partnership</w:t>
      </w:r>
      <w:r w:rsidRPr="00C57224">
        <w:t xml:space="preserve">. Japan's Ministry of Internal Affairs and Communications </w:t>
      </w:r>
      <w:r w:rsidR="00F138B0" w:rsidRPr="00C57224">
        <w:t xml:space="preserve">continues to </w:t>
      </w:r>
      <w:r w:rsidRPr="00C57224">
        <w:t xml:space="preserve">fund the BSG </w:t>
      </w:r>
      <w:r w:rsidR="00B44AD8" w:rsidRPr="00C57224">
        <w:t>Program</w:t>
      </w:r>
      <w:r w:rsidR="004D3073" w:rsidRPr="00C57224">
        <w:t>me</w:t>
      </w:r>
      <w:r w:rsidRPr="00C57224">
        <w:t>.</w:t>
      </w:r>
    </w:p>
    <w:p w14:paraId="3BA1F38A" w14:textId="77777777" w:rsidR="00A26387" w:rsidRPr="00C57224" w:rsidRDefault="006C076E" w:rsidP="006C076E">
      <w:pPr>
        <w:rPr>
          <w:rFonts w:eastAsia="SimSun"/>
        </w:rPr>
      </w:pPr>
      <w:r w:rsidRPr="00C57224">
        <w:rPr>
          <w:rFonts w:eastAsia="SimSun"/>
          <w:b/>
          <w:bCs/>
          <w:i/>
          <w:iCs/>
        </w:rPr>
        <w:t>Development:</w:t>
      </w:r>
      <w:r w:rsidRPr="00C57224">
        <w:rPr>
          <w:rFonts w:eastAsia="SimSun"/>
        </w:rPr>
        <w:t xml:space="preserve"> This pillar focuses on enhancing the standards-formulation capabilities of delegates from all countries, in particular developing countries. Activities under the pillar include:</w:t>
      </w:r>
    </w:p>
    <w:p w14:paraId="7882647C" w14:textId="61C41D39" w:rsidR="006C076E" w:rsidRPr="00C57224" w:rsidRDefault="006C076E" w:rsidP="00770357">
      <w:pPr>
        <w:numPr>
          <w:ilvl w:val="0"/>
          <w:numId w:val="33"/>
        </w:numPr>
      </w:pPr>
      <w:r w:rsidRPr="00C57224">
        <w:t>Data analytics driven by close coordination and cooperation among TSB departments with respect to PP Resolution 71.</w:t>
      </w:r>
    </w:p>
    <w:p w14:paraId="3D55EDF8" w14:textId="77777777" w:rsidR="006C076E" w:rsidRPr="00C57224" w:rsidRDefault="006C076E" w:rsidP="00770357">
      <w:pPr>
        <w:numPr>
          <w:ilvl w:val="0"/>
          <w:numId w:val="33"/>
        </w:numPr>
      </w:pPr>
      <w:r w:rsidRPr="00C57224">
        <w:t>Physical and remote BSG trainings in close coordination and cooperation with ITU-T study groups and regional groups as well as ITU Regional and Area Offices (e.g., Regional Development Forums).</w:t>
      </w:r>
    </w:p>
    <w:p w14:paraId="249725ED" w14:textId="6086A5C1" w:rsidR="006C076E" w:rsidRPr="00C57224" w:rsidRDefault="00327645" w:rsidP="00770357">
      <w:pPr>
        <w:numPr>
          <w:ilvl w:val="0"/>
          <w:numId w:val="33"/>
        </w:numPr>
      </w:pPr>
      <w:hyperlink r:id="rId283" w:history="1">
        <w:r w:rsidR="006C076E" w:rsidRPr="00C57224">
          <w:rPr>
            <w:rStyle w:val="Hyperlink"/>
          </w:rPr>
          <w:t>Guidelines</w:t>
        </w:r>
      </w:hyperlink>
      <w:r w:rsidR="006C076E" w:rsidRPr="00C57224">
        <w:t xml:space="preserve"> to create National Standardization Secretariats.</w:t>
      </w:r>
    </w:p>
    <w:p w14:paraId="1262DB8A" w14:textId="1440C62F" w:rsidR="006C076E" w:rsidRPr="00C57224" w:rsidRDefault="006C076E" w:rsidP="00770357">
      <w:pPr>
        <w:numPr>
          <w:ilvl w:val="0"/>
          <w:numId w:val="33"/>
        </w:numPr>
      </w:pPr>
      <w:r w:rsidRPr="00C57224">
        <w:t>Fellowships, supported by the systematic coordination and collaboration being established between TSB and BDT.</w:t>
      </w:r>
    </w:p>
    <w:p w14:paraId="1FDDDF84" w14:textId="77777777" w:rsidR="00A26387" w:rsidRPr="00C57224" w:rsidRDefault="002B7130" w:rsidP="00AA7D52">
      <w:r w:rsidRPr="00C57224">
        <w:t xml:space="preserve">Over 50 </w:t>
      </w:r>
      <w:r w:rsidR="00AA7D52" w:rsidRPr="00C57224">
        <w:t xml:space="preserve">BSG capacity building events were held in the study period, </w:t>
      </w:r>
      <w:r w:rsidR="0031215C" w:rsidRPr="00C57224">
        <w:t xml:space="preserve">primarily addressing standards development but also </w:t>
      </w:r>
      <w:r w:rsidR="00AA7D52" w:rsidRPr="00C57224">
        <w:t>WTSA and electronic working methods and tools. Capacity building events are held in conjunction with meetings of ITU</w:t>
      </w:r>
      <w:r w:rsidR="0009634A" w:rsidRPr="00C57224">
        <w:t>-T</w:t>
      </w:r>
      <w:r w:rsidR="00AA7D52" w:rsidRPr="00C57224">
        <w:t xml:space="preserve"> study groups, regional groups and WTSA preparatory meetings.</w:t>
      </w:r>
    </w:p>
    <w:p w14:paraId="12B2336E" w14:textId="64294F8E" w:rsidR="006C076E" w:rsidRPr="00C57224" w:rsidRDefault="006C076E" w:rsidP="00B83A2A">
      <w:r w:rsidRPr="00C57224">
        <w:rPr>
          <w:b/>
          <w:bCs/>
          <w:i/>
          <w:iCs/>
        </w:rPr>
        <w:t>Implementation:</w:t>
      </w:r>
      <w:r w:rsidRPr="00C57224">
        <w:t xml:space="preserve"> This pillar is oriented towards </w:t>
      </w:r>
      <w:r w:rsidR="00DB5555" w:rsidRPr="00C57224">
        <w:t xml:space="preserve">supporting </w:t>
      </w:r>
      <w:r w:rsidRPr="00C57224">
        <w:t xml:space="preserve">the </w:t>
      </w:r>
      <w:r w:rsidR="00DB5555" w:rsidRPr="00C57224">
        <w:t xml:space="preserve">implementation of ITU-T standards, including </w:t>
      </w:r>
      <w:r w:rsidRPr="00C57224">
        <w:t>in alignment with national plans, policies and regulations. Activities under the pillar include:</w:t>
      </w:r>
    </w:p>
    <w:p w14:paraId="3603194C" w14:textId="77777777" w:rsidR="00A26387" w:rsidRPr="00C57224" w:rsidRDefault="006C076E" w:rsidP="00770357">
      <w:pPr>
        <w:numPr>
          <w:ilvl w:val="0"/>
          <w:numId w:val="34"/>
        </w:numPr>
      </w:pPr>
      <w:r w:rsidRPr="00C57224">
        <w:t xml:space="preserve">Identification and outreach of thematic initiatives and priorities (e.g., </w:t>
      </w:r>
      <w:bookmarkStart w:id="194" w:name="_Hlk155178488"/>
      <w:r w:rsidRPr="00C57224">
        <w:t>DFS Security Lab, Cyber Defence Centre 4 Developing Countries, United for Smart Sustainable Cities, C&amp;I Programme, Make Listening Safe initiative,</w:t>
      </w:r>
      <w:bookmarkEnd w:id="194"/>
      <w:r w:rsidRPr="00C57224">
        <w:t xml:space="preserve"> etc.) in close collaboration with ITU-T SGs.</w:t>
      </w:r>
    </w:p>
    <w:p w14:paraId="25E7AA38" w14:textId="5D6CE7BD" w:rsidR="006C076E" w:rsidRPr="00C57224" w:rsidRDefault="006C076E" w:rsidP="00770357">
      <w:pPr>
        <w:numPr>
          <w:ilvl w:val="0"/>
          <w:numId w:val="34"/>
        </w:numPr>
      </w:pPr>
      <w:r w:rsidRPr="00C57224">
        <w:t>Regular and continuous coordination with ITU Regional and Area Offices for enhancing cooperation and partnership.</w:t>
      </w:r>
    </w:p>
    <w:p w14:paraId="46734B74" w14:textId="7E012850" w:rsidR="00A6223E" w:rsidRPr="00C57224" w:rsidRDefault="00594191" w:rsidP="00AA7D52">
      <w:bookmarkStart w:id="195" w:name="_Hlk92456849"/>
      <w:bookmarkStart w:id="196" w:name="_Toc480527849"/>
      <w:bookmarkStart w:id="197" w:name="_Hlk119499798"/>
      <w:r w:rsidRPr="00C57224">
        <w:rPr>
          <w:b/>
          <w:bCs/>
        </w:rPr>
        <w:t>Regional groups:</w:t>
      </w:r>
      <w:r w:rsidRPr="00C57224">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w:t>
      </w:r>
      <w:r w:rsidR="004D16A9" w:rsidRPr="00C57224">
        <w:t>-T</w:t>
      </w:r>
      <w:r w:rsidRPr="00C57224">
        <w:t xml:space="preserve"> SGs (28 per cent women). An overview of regional groups' activities can be found </w:t>
      </w:r>
      <w:hyperlink r:id="rId284" w:history="1">
        <w:r w:rsidRPr="00C57224">
          <w:rPr>
            <w:rStyle w:val="Hyperlink"/>
          </w:rPr>
          <w:t>here</w:t>
        </w:r>
      </w:hyperlink>
      <w:r w:rsidRPr="00C57224">
        <w:t>.</w:t>
      </w:r>
      <w:bookmarkStart w:id="198" w:name="_Hlk93320660"/>
    </w:p>
    <w:bookmarkEnd w:id="198"/>
    <w:p w14:paraId="7ADA4B58" w14:textId="672B852B" w:rsidR="00DA7997" w:rsidRPr="00C57224" w:rsidRDefault="00DA7997" w:rsidP="00B83A2A">
      <w:r w:rsidRPr="00C57224">
        <w:t xml:space="preserve">ITU-T </w:t>
      </w:r>
      <w:r w:rsidR="00AA7D52" w:rsidRPr="00C57224">
        <w:t xml:space="preserve">currently </w:t>
      </w:r>
      <w:r w:rsidRPr="00C57224">
        <w:t xml:space="preserve">hosts </w:t>
      </w:r>
      <w:r w:rsidR="002C488B" w:rsidRPr="00C57224">
        <w:t>2</w:t>
      </w:r>
      <w:r w:rsidR="00A10172" w:rsidRPr="00C57224">
        <w:t>6</w:t>
      </w:r>
      <w:r w:rsidR="002C488B" w:rsidRPr="00C57224">
        <w:t xml:space="preserve"> </w:t>
      </w:r>
      <w:r w:rsidRPr="00C57224">
        <w:t>regional groups:</w:t>
      </w:r>
    </w:p>
    <w:p w14:paraId="62419DF7" w14:textId="703CEEBC" w:rsidR="00FE05A7" w:rsidRPr="00C57224"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rsidRPr="00C57224">
        <w:t>Eight</w:t>
      </w:r>
      <w:r w:rsidR="00FE05A7" w:rsidRPr="00C57224">
        <w:t xml:space="preserve"> for Africa (SGs 2, 3, 5, 11, 12, 13, 17, and 20)</w:t>
      </w:r>
    </w:p>
    <w:p w14:paraId="0A56031F" w14:textId="74928897" w:rsidR="00FE05A7" w:rsidRPr="00C57224"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C57224">
        <w:t>F</w:t>
      </w:r>
      <w:r w:rsidR="0064404C" w:rsidRPr="00C57224">
        <w:t>ive</w:t>
      </w:r>
      <w:r w:rsidRPr="00C57224">
        <w:t xml:space="preserve"> for the Americas (SGs 2, 3, 5,</w:t>
      </w:r>
      <w:r w:rsidR="0064404C" w:rsidRPr="00C57224">
        <w:t xml:space="preserve"> 12</w:t>
      </w:r>
      <w:r w:rsidRPr="00C57224">
        <w:t xml:space="preserve"> and 20)</w:t>
      </w:r>
    </w:p>
    <w:p w14:paraId="20C26F71" w14:textId="77777777" w:rsidR="00FE05A7" w:rsidRPr="00C57224"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C57224">
        <w:t>Five for the Arab States (SGs 2, 3, 5, 17, and 20)</w:t>
      </w:r>
    </w:p>
    <w:p w14:paraId="5E39F7D9" w14:textId="3E39E08A" w:rsidR="00FE05A7" w:rsidRPr="00C57224"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C57224">
        <w:t>T</w:t>
      </w:r>
      <w:r w:rsidR="00E27D92" w:rsidRPr="00C57224">
        <w:t>hree</w:t>
      </w:r>
      <w:r w:rsidRPr="00C57224">
        <w:t xml:space="preserve"> for Asia and the Pacific (SGs 3</w:t>
      </w:r>
      <w:r w:rsidR="00E27D92" w:rsidRPr="00C57224">
        <w:t xml:space="preserve">, </w:t>
      </w:r>
      <w:r w:rsidRPr="00C57224">
        <w:t>5</w:t>
      </w:r>
      <w:r w:rsidR="00E27D92" w:rsidRPr="00C57224">
        <w:t>, and 20</w:t>
      </w:r>
      <w:r w:rsidRPr="00C57224">
        <w:t>)</w:t>
      </w:r>
    </w:p>
    <w:p w14:paraId="70E629B4" w14:textId="77777777" w:rsidR="00FE05A7" w:rsidRPr="00C57224"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C57224">
        <w:rPr>
          <w:shd w:val="clear" w:color="auto" w:fill="FFFFFF"/>
        </w:rPr>
        <w:t xml:space="preserve">One for </w:t>
      </w:r>
      <w:r w:rsidRPr="00C57224">
        <w:t>Europe and the Mediterranean Basin (SG3)</w:t>
      </w:r>
    </w:p>
    <w:p w14:paraId="1FC5C16F" w14:textId="10F30D82" w:rsidR="00594191" w:rsidRPr="00C57224"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C57224">
        <w:t>Four for Eastern Europe, Central Asia and Transcaucasia (SGs 3, 11, 13, and 20)</w:t>
      </w:r>
      <w:bookmarkEnd w:id="195"/>
      <w:bookmarkEnd w:id="196"/>
    </w:p>
    <w:p w14:paraId="46632F0E" w14:textId="77777777" w:rsidR="00A26387" w:rsidRPr="00C57224" w:rsidRDefault="00594191" w:rsidP="00594191">
      <w:r w:rsidRPr="00C57224">
        <w:rPr>
          <w:b/>
          <w:bCs/>
        </w:rPr>
        <w:t xml:space="preserve">Fellowships: </w:t>
      </w:r>
      <w:r w:rsidRPr="00C57224">
        <w:t xml:space="preserve">Fellowships provide financial support to ITU-T delegates from eligible developing countries to assist their participation in ITU-T meetings. </w:t>
      </w:r>
      <w:r w:rsidR="002A33E3" w:rsidRPr="00C57224">
        <w:t>763</w:t>
      </w:r>
      <w:r w:rsidRPr="00C57224">
        <w:t xml:space="preserve"> fellowships were requested </w:t>
      </w:r>
      <w:r w:rsidR="002A33E3" w:rsidRPr="00C57224">
        <w:t xml:space="preserve">by eligible </w:t>
      </w:r>
      <w:r w:rsidR="002A33E3" w:rsidRPr="00C57224">
        <w:lastRenderedPageBreak/>
        <w:t xml:space="preserve">delegates </w:t>
      </w:r>
      <w:r w:rsidR="000D414C" w:rsidRPr="00C57224">
        <w:t xml:space="preserve">in </w:t>
      </w:r>
      <w:r w:rsidR="002A33E3" w:rsidRPr="00C57224">
        <w:t xml:space="preserve">the </w:t>
      </w:r>
      <w:r w:rsidR="000D414C" w:rsidRPr="00C57224">
        <w:t xml:space="preserve">study period </w:t>
      </w:r>
      <w:r w:rsidR="00682E93" w:rsidRPr="00C57224">
        <w:t xml:space="preserve">and </w:t>
      </w:r>
      <w:r w:rsidR="002A33E3" w:rsidRPr="00C57224">
        <w:t>318</w:t>
      </w:r>
      <w:r w:rsidRPr="00C57224">
        <w:t xml:space="preserve"> were awarde</w:t>
      </w:r>
      <w:r w:rsidR="002A33E3" w:rsidRPr="00C57224">
        <w:t>d</w:t>
      </w:r>
      <w:r w:rsidRPr="00C57224">
        <w:t xml:space="preserve">. </w:t>
      </w:r>
      <w:r w:rsidR="002A33E3" w:rsidRPr="00C57224">
        <w:t xml:space="preserve">These numbers reflect data available on 30 June 2024. </w:t>
      </w:r>
      <w:r w:rsidRPr="00C57224">
        <w:t>Statistics on</w:t>
      </w:r>
      <w:r w:rsidR="003F2326" w:rsidRPr="00C57224">
        <w:t xml:space="preserve"> the</w:t>
      </w:r>
      <w:r w:rsidRPr="00C57224">
        <w:t xml:space="preserve"> fellowships awarded are provided below.</w:t>
      </w:r>
    </w:p>
    <w:p w14:paraId="0C92E218" w14:textId="1F6387DE" w:rsidR="002A1732" w:rsidRPr="00C57224" w:rsidRDefault="007B02DA" w:rsidP="009A1ECC">
      <w:pPr>
        <w:spacing w:after="120"/>
        <w:jc w:val="center"/>
      </w:pPr>
      <w:bookmarkStart w:id="199" w:name="_Hlk135237679"/>
      <w:bookmarkStart w:id="200" w:name="_Hlk135237760"/>
      <w:r>
        <w:rPr>
          <w:noProof/>
        </w:rPr>
        <w:drawing>
          <wp:inline distT="0" distB="0" distL="0" distR="0" wp14:anchorId="1DDD121F" wp14:editId="766BC4A3">
            <wp:extent cx="4584700" cy="2755900"/>
            <wp:effectExtent l="0" t="0" r="6350" b="6350"/>
            <wp:docPr id="168186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A5DED09" w14:textId="70EABC65" w:rsidR="002A1732" w:rsidRPr="00C57224" w:rsidRDefault="002A1732" w:rsidP="00C57224">
      <w:pPr>
        <w:pStyle w:val="FigureNotitle"/>
      </w:pPr>
      <w:bookmarkStart w:id="201" w:name="_Toc179221088"/>
      <w:r w:rsidRPr="00C57224">
        <w:t xml:space="preserve">Figure </w:t>
      </w:r>
      <w:r w:rsidR="00DB5555" w:rsidRPr="00C57224">
        <w:t>3</w:t>
      </w:r>
      <w:r w:rsidRPr="00C57224">
        <w:t xml:space="preserve"> – Awarded fellowships by region</w:t>
      </w:r>
      <w:bookmarkEnd w:id="201"/>
    </w:p>
    <w:p w14:paraId="733E5C0A" w14:textId="3E5B0193" w:rsidR="002A1732" w:rsidRPr="00C57224" w:rsidRDefault="007B02DA" w:rsidP="002A1732">
      <w:pPr>
        <w:spacing w:after="120"/>
        <w:jc w:val="center"/>
      </w:pPr>
      <w:bookmarkStart w:id="202" w:name="_Hlk135237734"/>
      <w:bookmarkEnd w:id="199"/>
      <w:r>
        <w:rPr>
          <w:noProof/>
        </w:rPr>
        <w:drawing>
          <wp:inline distT="0" distB="0" distL="0" distR="0" wp14:anchorId="2398146F" wp14:editId="2933AC05">
            <wp:extent cx="4584700" cy="2755900"/>
            <wp:effectExtent l="0" t="0" r="6350" b="6350"/>
            <wp:docPr id="924260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9526746" w14:textId="77777777" w:rsidR="00A26387" w:rsidRPr="00C57224" w:rsidRDefault="00A37418" w:rsidP="00C57224">
      <w:pPr>
        <w:pStyle w:val="FigureNotitle"/>
      </w:pPr>
      <w:bookmarkStart w:id="203" w:name="_Toc179221089"/>
      <w:r w:rsidRPr="00C57224">
        <w:t xml:space="preserve">Figure </w:t>
      </w:r>
      <w:r w:rsidR="00DB5555" w:rsidRPr="00C57224">
        <w:t>4</w:t>
      </w:r>
      <w:r w:rsidRPr="00C57224">
        <w:t xml:space="preserve"> – Awarded fellowships by gender</w:t>
      </w:r>
      <w:bookmarkEnd w:id="202"/>
      <w:bookmarkEnd w:id="203"/>
    </w:p>
    <w:p w14:paraId="0FC68200" w14:textId="74303AF3" w:rsidR="004E1EE3" w:rsidRPr="00C57224" w:rsidRDefault="004E1EE3" w:rsidP="0048381E">
      <w:pPr>
        <w:pStyle w:val="Heading1"/>
        <w:spacing w:before="240"/>
      </w:pPr>
      <w:bookmarkStart w:id="204" w:name="_12_Publications"/>
      <w:bookmarkStart w:id="205" w:name="_12_Gender"/>
      <w:bookmarkStart w:id="206" w:name="_13_Gender"/>
      <w:bookmarkStart w:id="207" w:name="_10_Gender"/>
      <w:bookmarkStart w:id="208" w:name="_Toc179219768"/>
      <w:bookmarkStart w:id="209" w:name="_Toc179221078"/>
      <w:bookmarkStart w:id="210" w:name="_Hlk172212785"/>
      <w:bookmarkStart w:id="211" w:name="_Hlk172213720"/>
      <w:bookmarkEnd w:id="197"/>
      <w:bookmarkEnd w:id="200"/>
      <w:bookmarkEnd w:id="204"/>
      <w:bookmarkEnd w:id="205"/>
      <w:bookmarkEnd w:id="206"/>
      <w:bookmarkEnd w:id="207"/>
      <w:r w:rsidRPr="00C57224">
        <w:t>1</w:t>
      </w:r>
      <w:r w:rsidR="00682E93" w:rsidRPr="00C57224">
        <w:t>0</w:t>
      </w:r>
      <w:r w:rsidRPr="00C57224">
        <w:tab/>
        <w:t>Gender</w:t>
      </w:r>
      <w:bookmarkEnd w:id="208"/>
      <w:bookmarkEnd w:id="209"/>
    </w:p>
    <w:p w14:paraId="51AD0032" w14:textId="47241650" w:rsidR="00A10172" w:rsidRPr="00C57224" w:rsidRDefault="00A10172" w:rsidP="00C15E46">
      <w:pPr>
        <w:rPr>
          <w:rFonts w:asciiTheme="majorBidi" w:hAnsiTheme="majorBidi" w:cstheme="majorBidi"/>
        </w:rPr>
      </w:pPr>
      <w:bookmarkStart w:id="212" w:name="_Hlk172569046"/>
      <w:r w:rsidRPr="00C57224">
        <w:rPr>
          <w:rFonts w:asciiTheme="majorBidi" w:hAnsiTheme="majorBidi" w:cstheme="majorBidi"/>
        </w:rPr>
        <w:t xml:space="preserve">For </w:t>
      </w:r>
      <w:r w:rsidR="008833C3" w:rsidRPr="00C57224">
        <w:rPr>
          <w:rFonts w:asciiTheme="majorBidi" w:hAnsiTheme="majorBidi" w:cstheme="majorBidi"/>
        </w:rPr>
        <w:t xml:space="preserve">a </w:t>
      </w:r>
      <w:r w:rsidRPr="00C57224">
        <w:rPr>
          <w:rFonts w:asciiTheme="majorBidi" w:hAnsiTheme="majorBidi" w:cstheme="majorBidi"/>
        </w:rPr>
        <w:t xml:space="preserve">comprehensive report on TSB activities on gender, see </w:t>
      </w:r>
      <w:hyperlink r:id="rId287" w:history="1">
        <w:r w:rsidRPr="00C57224">
          <w:rPr>
            <w:rStyle w:val="Hyperlink"/>
            <w:rFonts w:asciiTheme="majorBidi" w:hAnsiTheme="majorBidi" w:cstheme="majorBidi"/>
          </w:rPr>
          <w:t>T</w:t>
        </w:r>
        <w:r w:rsidR="008833C3" w:rsidRPr="00C57224">
          <w:rPr>
            <w:rStyle w:val="Hyperlink"/>
            <w:rFonts w:asciiTheme="majorBidi" w:hAnsiTheme="majorBidi" w:cstheme="majorBidi"/>
          </w:rPr>
          <w:t>SAG T</w:t>
        </w:r>
        <w:r w:rsidRPr="00C57224">
          <w:rPr>
            <w:rStyle w:val="Hyperlink"/>
            <w:rFonts w:asciiTheme="majorBidi" w:hAnsiTheme="majorBidi" w:cstheme="majorBidi"/>
          </w:rPr>
          <w:t>D556</w:t>
        </w:r>
      </w:hyperlink>
      <w:r w:rsidR="001376E9">
        <w:t xml:space="preserve"> (July 2024)</w:t>
      </w:r>
      <w:r w:rsidRPr="00C57224">
        <w:rPr>
          <w:rFonts w:asciiTheme="majorBidi" w:hAnsiTheme="majorBidi" w:cstheme="majorBidi"/>
        </w:rPr>
        <w:t>.</w:t>
      </w:r>
    </w:p>
    <w:bookmarkEnd w:id="212"/>
    <w:p w14:paraId="4C19C095" w14:textId="0DF9832B" w:rsidR="00A26387" w:rsidRPr="00C57224" w:rsidRDefault="00C15E46" w:rsidP="00C15E46">
      <w:pPr>
        <w:rPr>
          <w:rFonts w:asciiTheme="majorBidi" w:hAnsiTheme="majorBidi" w:cstheme="majorBidi"/>
        </w:rPr>
      </w:pPr>
      <w:r w:rsidRPr="00C57224">
        <w:rPr>
          <w:rFonts w:asciiTheme="majorBidi" w:hAnsiTheme="majorBidi" w:cstheme="majorBidi"/>
        </w:rPr>
        <w:t xml:space="preserve">TSB remains dedicated to integrating a gender perspective in all </w:t>
      </w:r>
      <w:r w:rsidR="006D3365" w:rsidRPr="00C57224">
        <w:rPr>
          <w:rFonts w:asciiTheme="majorBidi" w:hAnsiTheme="majorBidi" w:cstheme="majorBidi"/>
        </w:rPr>
        <w:t xml:space="preserve">of </w:t>
      </w:r>
      <w:r w:rsidRPr="00C57224">
        <w:rPr>
          <w:rFonts w:asciiTheme="majorBidi" w:hAnsiTheme="majorBidi" w:cstheme="majorBidi"/>
        </w:rPr>
        <w:t xml:space="preserve">its activities and programmes, leveraging the framework of ITU Gender Task Force and the </w:t>
      </w:r>
      <w:hyperlink r:id="rId288" w:history="1">
        <w:r w:rsidRPr="00C57224">
          <w:rPr>
            <w:rStyle w:val="Hyperlink"/>
            <w:rFonts w:asciiTheme="majorBidi" w:hAnsiTheme="majorBidi" w:cstheme="majorBidi"/>
          </w:rPr>
          <w:t>Network of Women in ITU-T (</w:t>
        </w:r>
        <w:proofErr w:type="spellStart"/>
        <w:r w:rsidRPr="00C57224">
          <w:rPr>
            <w:rStyle w:val="Hyperlink"/>
            <w:rFonts w:asciiTheme="majorBidi" w:hAnsiTheme="majorBidi" w:cstheme="majorBidi"/>
          </w:rPr>
          <w:t>NoW</w:t>
        </w:r>
        <w:proofErr w:type="spellEnd"/>
        <w:r w:rsidRPr="00C57224">
          <w:rPr>
            <w:rStyle w:val="Hyperlink"/>
            <w:rFonts w:asciiTheme="majorBidi" w:hAnsiTheme="majorBidi" w:cstheme="majorBidi"/>
          </w:rPr>
          <w:t xml:space="preserve"> in ITU-T)</w:t>
        </w:r>
      </w:hyperlink>
      <w:r w:rsidRPr="00C57224">
        <w:rPr>
          <w:rFonts w:asciiTheme="majorBidi" w:hAnsiTheme="majorBidi" w:cstheme="majorBidi"/>
        </w:rPr>
        <w:t>.</w:t>
      </w:r>
    </w:p>
    <w:p w14:paraId="0C188D27" w14:textId="064FE3FB" w:rsidR="00A26387" w:rsidRPr="00C57224" w:rsidRDefault="00AC484A" w:rsidP="00C15E46">
      <w:pPr>
        <w:rPr>
          <w:rFonts w:asciiTheme="majorBidi" w:hAnsiTheme="majorBidi" w:cstheme="majorBidi"/>
        </w:rPr>
      </w:pPr>
      <w:r w:rsidRPr="00C57224">
        <w:rPr>
          <w:rFonts w:asciiTheme="majorBidi" w:hAnsiTheme="majorBidi" w:cstheme="majorBidi"/>
        </w:rPr>
        <w:t xml:space="preserve">See also the </w:t>
      </w:r>
      <w:proofErr w:type="spellStart"/>
      <w:r w:rsidRPr="00C57224">
        <w:rPr>
          <w:rFonts w:asciiTheme="majorBidi" w:hAnsiTheme="majorBidi" w:cstheme="majorBidi"/>
        </w:rPr>
        <w:t>NoW</w:t>
      </w:r>
      <w:proofErr w:type="spellEnd"/>
      <w:r w:rsidRPr="00C57224">
        <w:rPr>
          <w:rFonts w:asciiTheme="majorBidi" w:hAnsiTheme="majorBidi" w:cstheme="majorBidi"/>
        </w:rPr>
        <w:t xml:space="preserve"> in ITU-T mailing list</w:t>
      </w:r>
      <w:r w:rsidR="00D2502A" w:rsidRPr="00C57224">
        <w:rPr>
          <w:rFonts w:asciiTheme="majorBidi" w:hAnsiTheme="majorBidi" w:cstheme="majorBidi"/>
        </w:rPr>
        <w:t>,</w:t>
      </w:r>
      <w:r w:rsidR="00C15E46" w:rsidRPr="00C57224">
        <w:rPr>
          <w:rFonts w:asciiTheme="majorBidi" w:hAnsiTheme="majorBidi" w:cstheme="majorBidi"/>
        </w:rPr>
        <w:t xml:space="preserve"> </w:t>
      </w:r>
      <w:hyperlink r:id="rId289" w:history="1">
        <w:r w:rsidRPr="00C57224">
          <w:rPr>
            <w:rStyle w:val="Hyperlink"/>
            <w:lang w:eastAsia="en-US"/>
          </w:rPr>
          <w:t>nowinitut@lists.itu.int</w:t>
        </w:r>
      </w:hyperlink>
      <w:r w:rsidR="00D2502A" w:rsidRPr="00C57224">
        <w:rPr>
          <w:rFonts w:asciiTheme="majorBidi" w:hAnsiTheme="majorBidi" w:cstheme="majorBidi"/>
        </w:rPr>
        <w:t xml:space="preserve">, and sign up </w:t>
      </w:r>
      <w:hyperlink r:id="rId290" w:history="1">
        <w:r w:rsidR="00D2502A" w:rsidRPr="00C57224">
          <w:rPr>
            <w:rStyle w:val="Hyperlink"/>
            <w:rFonts w:asciiTheme="majorBidi" w:hAnsiTheme="majorBidi" w:cstheme="majorBidi"/>
          </w:rPr>
          <w:t>here</w:t>
        </w:r>
      </w:hyperlink>
      <w:r w:rsidR="00D2502A" w:rsidRPr="00C57224">
        <w:rPr>
          <w:rFonts w:asciiTheme="majorBidi" w:hAnsiTheme="majorBidi" w:cstheme="majorBidi"/>
        </w:rPr>
        <w:t>.</w:t>
      </w:r>
    </w:p>
    <w:p w14:paraId="345758F2" w14:textId="07CC9331" w:rsidR="000F46CD" w:rsidRPr="00C57224" w:rsidRDefault="00D2502A" w:rsidP="00C15E46">
      <w:pPr>
        <w:rPr>
          <w:rFonts w:asciiTheme="majorBidi" w:hAnsiTheme="majorBidi" w:cstheme="majorBidi"/>
        </w:rPr>
      </w:pPr>
      <w:r w:rsidRPr="00C57224">
        <w:rPr>
          <w:rFonts w:asciiTheme="majorBidi" w:hAnsiTheme="majorBidi" w:cstheme="majorBidi"/>
        </w:rPr>
        <w:t>T</w:t>
      </w:r>
      <w:r w:rsidR="00C15E46" w:rsidRPr="00C57224">
        <w:rPr>
          <w:rFonts w:asciiTheme="majorBidi" w:hAnsiTheme="majorBidi" w:cstheme="majorBidi"/>
        </w:rPr>
        <w:t>SB</w:t>
      </w:r>
      <w:r w:rsidR="007C2FC3" w:rsidRPr="00C57224">
        <w:rPr>
          <w:rFonts w:asciiTheme="majorBidi" w:hAnsiTheme="majorBidi" w:cstheme="majorBidi"/>
        </w:rPr>
        <w:t>'</w:t>
      </w:r>
      <w:r w:rsidR="00C15E46" w:rsidRPr="00C57224">
        <w:rPr>
          <w:rFonts w:asciiTheme="majorBidi" w:hAnsiTheme="majorBidi" w:cstheme="majorBidi"/>
        </w:rPr>
        <w:t>s ongoing efforts to enhance gender equality within TSB and ITU-T underscore ITU's commitment to diversity, gender parity</w:t>
      </w:r>
      <w:r w:rsidR="00EA757B" w:rsidRPr="00C57224">
        <w:rPr>
          <w:rFonts w:asciiTheme="majorBidi" w:hAnsiTheme="majorBidi" w:cstheme="majorBidi"/>
        </w:rPr>
        <w:t xml:space="preserve"> </w:t>
      </w:r>
      <w:r w:rsidR="00C15E46" w:rsidRPr="00C57224">
        <w:rPr>
          <w:rFonts w:asciiTheme="majorBidi" w:hAnsiTheme="majorBidi" w:cstheme="majorBidi"/>
        </w:rPr>
        <w:t>and the empowerment of women.</w:t>
      </w:r>
    </w:p>
    <w:p w14:paraId="3B3533C2" w14:textId="49BEE1D8" w:rsidR="000F46CD" w:rsidRPr="00C57224" w:rsidRDefault="000F46CD" w:rsidP="00C15E46">
      <w:pPr>
        <w:rPr>
          <w:rFonts w:asciiTheme="majorBidi" w:hAnsiTheme="majorBidi" w:cstheme="majorBidi"/>
        </w:rPr>
      </w:pPr>
      <w:r w:rsidRPr="00C57224">
        <w:rPr>
          <w:lang w:eastAsia="en-US"/>
        </w:rPr>
        <w:t xml:space="preserve">At ITU Council 2024, the </w:t>
      </w:r>
      <w:hyperlink r:id="rId291" w:history="1">
        <w:r w:rsidRPr="00C57224">
          <w:rPr>
            <w:rStyle w:val="Hyperlink"/>
            <w:lang w:eastAsia="en-US"/>
          </w:rPr>
          <w:t>report on ITU</w:t>
        </w:r>
        <w:r w:rsidR="007C2FC3" w:rsidRPr="00C57224">
          <w:rPr>
            <w:rStyle w:val="Hyperlink"/>
            <w:lang w:eastAsia="en-US"/>
          </w:rPr>
          <w:t>'</w:t>
        </w:r>
        <w:r w:rsidRPr="00C57224">
          <w:rPr>
            <w:rStyle w:val="Hyperlink"/>
            <w:lang w:eastAsia="en-US"/>
          </w:rPr>
          <w:t>s programme on gender equality including updates on C23 decisions (C24/6)</w:t>
        </w:r>
      </w:hyperlink>
      <w:r w:rsidRPr="00C57224">
        <w:rPr>
          <w:lang w:eastAsia="en-US"/>
        </w:rPr>
        <w:t xml:space="preserve"> – see also </w:t>
      </w:r>
      <w:hyperlink r:id="rId292" w:history="1">
        <w:r w:rsidRPr="00C57224">
          <w:rPr>
            <w:rStyle w:val="Hyperlink"/>
            <w:lang w:eastAsia="en-US"/>
          </w:rPr>
          <w:t>C24/35</w:t>
        </w:r>
      </w:hyperlink>
      <w:r w:rsidRPr="00C57224">
        <w:rPr>
          <w:lang w:eastAsia="en-US"/>
        </w:rPr>
        <w:t xml:space="preserve"> – received broad support from Member States.</w:t>
      </w:r>
    </w:p>
    <w:p w14:paraId="45487F8B" w14:textId="65F96507" w:rsidR="00AC484A" w:rsidRPr="00C57224" w:rsidRDefault="00AC484A" w:rsidP="00C15E46">
      <w:pPr>
        <w:rPr>
          <w:rFonts w:asciiTheme="majorBidi" w:hAnsiTheme="majorBidi" w:cstheme="majorBidi"/>
        </w:rPr>
      </w:pPr>
      <w:r w:rsidRPr="00C57224">
        <w:rPr>
          <w:rFonts w:asciiTheme="majorBidi" w:hAnsiTheme="majorBidi" w:cstheme="majorBidi"/>
        </w:rPr>
        <w:lastRenderedPageBreak/>
        <w:t xml:space="preserve">Gender parity objectives for WTSA-24, supported by the </w:t>
      </w:r>
      <w:hyperlink r:id="rId293" w:history="1">
        <w:r w:rsidRPr="00C57224">
          <w:rPr>
            <w:rStyle w:val="Hyperlink"/>
            <w:rFonts w:asciiTheme="majorBidi" w:hAnsiTheme="majorBidi" w:cstheme="majorBidi"/>
          </w:rPr>
          <w:t>NOW4WTSA-24 campaign</w:t>
        </w:r>
      </w:hyperlink>
      <w:r w:rsidRPr="00C57224">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1C76CFBC" w14:textId="77777777" w:rsidR="00A26387" w:rsidRPr="00C57224" w:rsidRDefault="00AC484A" w:rsidP="00C15E46">
      <w:pPr>
        <w:rPr>
          <w:rFonts w:asciiTheme="majorBidi" w:hAnsiTheme="majorBidi" w:cstheme="majorBidi"/>
        </w:rPr>
      </w:pPr>
      <w:r w:rsidRPr="00C57224">
        <w:rPr>
          <w:rFonts w:asciiTheme="majorBidi" w:hAnsiTheme="majorBidi" w:cstheme="majorBidi"/>
        </w:rPr>
        <w:t>NOW4WTSA-24 activities in 2024:</w:t>
      </w:r>
    </w:p>
    <w:p w14:paraId="5C6CBC1C" w14:textId="0F4AC720" w:rsidR="00A26387" w:rsidRPr="00C57224" w:rsidRDefault="0040759E" w:rsidP="00AC484A">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 xml:space="preserve">Upcoming: </w:t>
      </w:r>
      <w:hyperlink r:id="rId294" w:history="1">
        <w:proofErr w:type="spellStart"/>
        <w:r w:rsidRPr="00C57224">
          <w:rPr>
            <w:rStyle w:val="Hyperlink"/>
            <w:rFonts w:ascii="Times New Roman" w:hAnsi="Times New Roman"/>
            <w:sz w:val="24"/>
            <w:lang w:eastAsia="en-US"/>
          </w:rPr>
          <w:t>NoW</w:t>
        </w:r>
        <w:proofErr w:type="spellEnd"/>
        <w:r w:rsidRPr="00C57224">
          <w:rPr>
            <w:rStyle w:val="Hyperlink"/>
            <w:rFonts w:ascii="Times New Roman" w:hAnsi="Times New Roman"/>
            <w:sz w:val="24"/>
            <w:lang w:eastAsia="en-US"/>
          </w:rPr>
          <w:t xml:space="preserve"> in ITU-T special event at WTSA-24</w:t>
        </w:r>
      </w:hyperlink>
      <w:r w:rsidRPr="00C57224">
        <w:rPr>
          <w:rFonts w:ascii="Times New Roman" w:hAnsi="Times New Roman"/>
          <w:sz w:val="24"/>
          <w:lang w:eastAsia="en-US"/>
        </w:rPr>
        <w:t>, New Delhi, India, 17 October 2024</w:t>
      </w:r>
    </w:p>
    <w:p w14:paraId="3A83C2FA" w14:textId="37F883DA" w:rsidR="00AC484A" w:rsidRPr="00C57224" w:rsidRDefault="00AC484A" w:rsidP="00AC484A">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Regional Activity</w:t>
      </w:r>
      <w:r w:rsidR="00461B8B" w:rsidRPr="00C57224">
        <w:rPr>
          <w:rFonts w:ascii="Times New Roman" w:hAnsi="Times New Roman"/>
          <w:sz w:val="24"/>
          <w:lang w:eastAsia="en-US"/>
        </w:rPr>
        <w:t xml:space="preserve"> </w:t>
      </w:r>
      <w:r w:rsidRPr="00C57224">
        <w:rPr>
          <w:rFonts w:ascii="Times New Roman" w:hAnsi="Times New Roman"/>
          <w:sz w:val="24"/>
          <w:lang w:eastAsia="en-US"/>
        </w:rPr>
        <w:t>for the Americas: 21 August 2024, CI</w:t>
      </w:r>
      <w:r w:rsidR="00D2502A" w:rsidRPr="00C57224">
        <w:rPr>
          <w:rFonts w:ascii="Times New Roman" w:hAnsi="Times New Roman"/>
          <w:sz w:val="24"/>
          <w:lang w:eastAsia="en-US"/>
        </w:rPr>
        <w:t>T</w:t>
      </w:r>
      <w:r w:rsidRPr="00C57224">
        <w:rPr>
          <w:rFonts w:ascii="Times New Roman" w:hAnsi="Times New Roman"/>
          <w:sz w:val="24"/>
          <w:lang w:eastAsia="en-US"/>
        </w:rPr>
        <w:t>EL 4th Preparatory</w:t>
      </w:r>
      <w:r w:rsidR="00D2502A" w:rsidRPr="00C57224">
        <w:rPr>
          <w:rFonts w:ascii="Times New Roman" w:hAnsi="Times New Roman"/>
          <w:sz w:val="24"/>
          <w:lang w:eastAsia="en-US"/>
        </w:rPr>
        <w:t xml:space="preserve"> </w:t>
      </w:r>
      <w:r w:rsidRPr="00C57224">
        <w:rPr>
          <w:rFonts w:ascii="Times New Roman" w:hAnsi="Times New Roman"/>
          <w:sz w:val="24"/>
          <w:lang w:eastAsia="en-US"/>
        </w:rPr>
        <w:t>WGCONF Meeting, João Pessoa, Brazil</w:t>
      </w:r>
      <w:r w:rsidR="00461B8B" w:rsidRPr="00C57224">
        <w:rPr>
          <w:rFonts w:ascii="Times New Roman" w:hAnsi="Times New Roman"/>
          <w:sz w:val="24"/>
          <w:lang w:eastAsia="en-US"/>
        </w:rPr>
        <w:t xml:space="preserve"> </w:t>
      </w:r>
      <w:r w:rsidR="008833C3" w:rsidRPr="00C57224">
        <w:rPr>
          <w:rFonts w:ascii="Times New Roman" w:hAnsi="Times New Roman"/>
          <w:sz w:val="24"/>
          <w:lang w:eastAsia="en-US"/>
        </w:rPr>
        <w:t xml:space="preserve">| </w:t>
      </w:r>
      <w:hyperlink r:id="rId295" w:history="1">
        <w:r w:rsidR="008833C3" w:rsidRPr="00C57224">
          <w:rPr>
            <w:rStyle w:val="Hyperlink"/>
            <w:rFonts w:ascii="Times New Roman" w:hAnsi="Times New Roman"/>
            <w:sz w:val="24"/>
            <w:lang w:eastAsia="en-US"/>
          </w:rPr>
          <w:t>Programme</w:t>
        </w:r>
      </w:hyperlink>
    </w:p>
    <w:p w14:paraId="450C1028" w14:textId="3E72B712" w:rsidR="0040759E" w:rsidRPr="00C57224" w:rsidRDefault="0040759E" w:rsidP="0040759E">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 xml:space="preserve">Regional Activity for Asia and the Pacific: 20 August 2024, APT WTSA24-5, Bangkok, Thailand </w:t>
      </w:r>
      <w:r w:rsidR="008833C3" w:rsidRPr="00C57224">
        <w:rPr>
          <w:rFonts w:ascii="Times New Roman" w:hAnsi="Times New Roman"/>
          <w:sz w:val="24"/>
          <w:lang w:eastAsia="en-US"/>
        </w:rPr>
        <w:t xml:space="preserve">| </w:t>
      </w:r>
      <w:hyperlink r:id="rId296" w:history="1">
        <w:r w:rsidR="008833C3" w:rsidRPr="00C57224">
          <w:rPr>
            <w:rStyle w:val="Hyperlink"/>
            <w:rFonts w:ascii="Times New Roman" w:hAnsi="Times New Roman"/>
            <w:sz w:val="24"/>
            <w:lang w:eastAsia="en-US"/>
          </w:rPr>
          <w:t>Programme</w:t>
        </w:r>
      </w:hyperlink>
      <w:r w:rsidR="008833C3" w:rsidRPr="00C57224">
        <w:rPr>
          <w:rFonts w:ascii="Times New Roman" w:hAnsi="Times New Roman"/>
          <w:sz w:val="24"/>
          <w:lang w:eastAsia="en-US"/>
        </w:rPr>
        <w:t xml:space="preserve"> | </w:t>
      </w:r>
      <w:hyperlink r:id="rId297" w:history="1">
        <w:r w:rsidR="008833C3" w:rsidRPr="00C57224">
          <w:rPr>
            <w:rStyle w:val="Hyperlink"/>
            <w:rFonts w:ascii="Times New Roman" w:hAnsi="Times New Roman"/>
            <w:sz w:val="24"/>
            <w:lang w:eastAsia="en-US"/>
          </w:rPr>
          <w:t>Presentation 1</w:t>
        </w:r>
      </w:hyperlink>
      <w:r w:rsidR="008833C3" w:rsidRPr="00C57224">
        <w:rPr>
          <w:rFonts w:ascii="Times New Roman" w:hAnsi="Times New Roman"/>
          <w:sz w:val="24"/>
          <w:lang w:eastAsia="en-US"/>
        </w:rPr>
        <w:t xml:space="preserve"> | </w:t>
      </w:r>
      <w:hyperlink r:id="rId298" w:history="1">
        <w:r w:rsidR="008833C3" w:rsidRPr="00C57224">
          <w:rPr>
            <w:rStyle w:val="Hyperlink"/>
            <w:rFonts w:ascii="Times New Roman" w:hAnsi="Times New Roman"/>
            <w:sz w:val="24"/>
            <w:lang w:eastAsia="en-US"/>
          </w:rPr>
          <w:t>Presentation 2</w:t>
        </w:r>
      </w:hyperlink>
    </w:p>
    <w:p w14:paraId="6FAF4A30" w14:textId="4AEEE884" w:rsidR="00CB533F" w:rsidRPr="00C57224" w:rsidRDefault="00CB533F" w:rsidP="00AC484A">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Regional Activity Europe:</w:t>
      </w:r>
      <w:r w:rsidR="00461B8B" w:rsidRPr="00C57224">
        <w:rPr>
          <w:rFonts w:ascii="Times New Roman" w:hAnsi="Times New Roman"/>
          <w:sz w:val="24"/>
          <w:lang w:eastAsia="en-US"/>
        </w:rPr>
        <w:t xml:space="preserve"> </w:t>
      </w:r>
      <w:hyperlink r:id="rId299" w:history="1">
        <w:r w:rsidRPr="00C57224">
          <w:rPr>
            <w:rStyle w:val="Hyperlink"/>
            <w:rFonts w:ascii="Times New Roman" w:hAnsi="Times New Roman"/>
            <w:sz w:val="24"/>
            <w:lang w:eastAsia="en-US"/>
          </w:rPr>
          <w:t>Bridging the Gender Gap: Inspiring Women to Lead in Tech</w:t>
        </w:r>
      </w:hyperlink>
      <w:r w:rsidRPr="00C57224">
        <w:rPr>
          <w:rFonts w:ascii="Times New Roman" w:hAnsi="Times New Roman"/>
          <w:sz w:val="24"/>
          <w:lang w:eastAsia="en-US"/>
        </w:rPr>
        <w:t>,</w:t>
      </w:r>
      <w:r w:rsidR="00461B8B" w:rsidRPr="00C57224">
        <w:rPr>
          <w:rFonts w:ascii="Times New Roman" w:hAnsi="Times New Roman"/>
          <w:sz w:val="24"/>
          <w:lang w:eastAsia="en-US"/>
        </w:rPr>
        <w:t xml:space="preserve"> </w:t>
      </w:r>
      <w:r w:rsidRPr="00C57224">
        <w:rPr>
          <w:rFonts w:ascii="Times New Roman" w:hAnsi="Times New Roman"/>
          <w:sz w:val="24"/>
          <w:lang w:eastAsia="en-US"/>
        </w:rPr>
        <w:t>7 May 2024,</w:t>
      </w:r>
      <w:r w:rsidR="00461B8B" w:rsidRPr="00C57224">
        <w:rPr>
          <w:rFonts w:ascii="Times New Roman" w:hAnsi="Times New Roman"/>
          <w:sz w:val="24"/>
          <w:lang w:eastAsia="en-US"/>
        </w:rPr>
        <w:t xml:space="preserve"> </w:t>
      </w:r>
      <w:proofErr w:type="spellStart"/>
      <w:r w:rsidRPr="00C57224">
        <w:rPr>
          <w:rFonts w:ascii="Times New Roman" w:hAnsi="Times New Roman"/>
          <w:sz w:val="24"/>
          <w:lang w:eastAsia="en-US"/>
        </w:rPr>
        <w:t>Gdańsk</w:t>
      </w:r>
      <w:proofErr w:type="spellEnd"/>
      <w:r w:rsidRPr="00C57224">
        <w:rPr>
          <w:rFonts w:ascii="Times New Roman" w:hAnsi="Times New Roman"/>
          <w:sz w:val="24"/>
          <w:lang w:eastAsia="en-US"/>
        </w:rPr>
        <w:t>, Poland</w:t>
      </w:r>
      <w:r w:rsidR="00461B8B" w:rsidRPr="00C57224">
        <w:rPr>
          <w:rFonts w:ascii="Times New Roman" w:hAnsi="Times New Roman"/>
          <w:sz w:val="24"/>
          <w:lang w:eastAsia="en-US"/>
        </w:rPr>
        <w:t xml:space="preserve"> </w:t>
      </w:r>
      <w:r w:rsidRPr="00C57224">
        <w:rPr>
          <w:rFonts w:ascii="Times New Roman" w:hAnsi="Times New Roman"/>
          <w:sz w:val="24"/>
          <w:lang w:eastAsia="en-US"/>
        </w:rPr>
        <w:t>|</w:t>
      </w:r>
      <w:r w:rsidR="00461B8B" w:rsidRPr="00C57224">
        <w:rPr>
          <w:rFonts w:ascii="Times New Roman" w:hAnsi="Times New Roman"/>
          <w:sz w:val="24"/>
          <w:lang w:eastAsia="en-US"/>
        </w:rPr>
        <w:t xml:space="preserve"> </w:t>
      </w:r>
      <w:hyperlink r:id="rId300" w:history="1">
        <w:r w:rsidRPr="00C57224">
          <w:rPr>
            <w:rStyle w:val="Hyperlink"/>
            <w:rFonts w:ascii="Times New Roman" w:hAnsi="Times New Roman"/>
            <w:sz w:val="24"/>
            <w:lang w:eastAsia="en-US"/>
          </w:rPr>
          <w:t>Recording</w:t>
        </w:r>
      </w:hyperlink>
    </w:p>
    <w:p w14:paraId="0B6DF0F9" w14:textId="08AE9D49" w:rsidR="00AC484A" w:rsidRPr="00C57224" w:rsidRDefault="00327645" w:rsidP="00C15E46">
      <w:pPr>
        <w:pStyle w:val="ListParagraph"/>
        <w:numPr>
          <w:ilvl w:val="0"/>
          <w:numId w:val="19"/>
        </w:numPr>
        <w:spacing w:before="120"/>
        <w:contextualSpacing w:val="0"/>
        <w:rPr>
          <w:rFonts w:ascii="Times New Roman" w:hAnsi="Times New Roman"/>
          <w:sz w:val="24"/>
          <w:lang w:eastAsia="en-US"/>
        </w:rPr>
      </w:pPr>
      <w:hyperlink r:id="rId301" w:history="1">
        <w:r w:rsidR="00CB533F" w:rsidRPr="00C57224">
          <w:rPr>
            <w:rStyle w:val="Hyperlink"/>
            <w:rFonts w:ascii="Times New Roman" w:hAnsi="Times New Roman"/>
            <w:sz w:val="24"/>
            <w:lang w:eastAsia="en-US"/>
          </w:rPr>
          <w:t>Network of Women Breakfast at TSAG</w:t>
        </w:r>
      </w:hyperlink>
      <w:r w:rsidR="00CB533F" w:rsidRPr="00C57224">
        <w:rPr>
          <w:rFonts w:ascii="Times New Roman" w:hAnsi="Times New Roman"/>
          <w:sz w:val="24"/>
          <w:lang w:eastAsia="en-US"/>
        </w:rPr>
        <w:t>, 23 January 2024, Geneva, Switzerland</w:t>
      </w:r>
      <w:r w:rsidR="00461B8B" w:rsidRPr="00C57224">
        <w:rPr>
          <w:rFonts w:ascii="Times New Roman" w:hAnsi="Times New Roman"/>
          <w:sz w:val="24"/>
          <w:lang w:eastAsia="en-US"/>
        </w:rPr>
        <w:t xml:space="preserve"> </w:t>
      </w:r>
      <w:r w:rsidR="00CB533F" w:rsidRPr="00C57224">
        <w:rPr>
          <w:rFonts w:ascii="Times New Roman" w:hAnsi="Times New Roman"/>
          <w:sz w:val="24"/>
          <w:lang w:eastAsia="en-US"/>
        </w:rPr>
        <w:t>|</w:t>
      </w:r>
      <w:r w:rsidR="00461B8B" w:rsidRPr="00C57224">
        <w:rPr>
          <w:rFonts w:ascii="Times New Roman" w:hAnsi="Times New Roman"/>
          <w:sz w:val="24"/>
          <w:lang w:eastAsia="en-US"/>
        </w:rPr>
        <w:t xml:space="preserve"> </w:t>
      </w:r>
      <w:hyperlink r:id="rId302" w:history="1">
        <w:r w:rsidR="00CB533F" w:rsidRPr="00C57224">
          <w:rPr>
            <w:rStyle w:val="Hyperlink"/>
            <w:rFonts w:ascii="Times New Roman" w:hAnsi="Times New Roman"/>
            <w:sz w:val="24"/>
            <w:lang w:eastAsia="en-US"/>
          </w:rPr>
          <w:t>Photo Album</w:t>
        </w:r>
      </w:hyperlink>
      <w:r w:rsidR="00461B8B" w:rsidRPr="00C57224">
        <w:rPr>
          <w:rFonts w:ascii="Times New Roman" w:hAnsi="Times New Roman"/>
          <w:sz w:val="24"/>
          <w:lang w:eastAsia="en-US"/>
        </w:rPr>
        <w:t xml:space="preserve"> </w:t>
      </w:r>
      <w:r w:rsidR="00CB533F" w:rsidRPr="00C57224">
        <w:rPr>
          <w:rFonts w:ascii="Times New Roman" w:hAnsi="Times New Roman"/>
          <w:sz w:val="24"/>
          <w:lang w:eastAsia="en-US"/>
        </w:rPr>
        <w:t>|</w:t>
      </w:r>
      <w:r w:rsidR="00461B8B" w:rsidRPr="00C57224">
        <w:rPr>
          <w:rFonts w:ascii="Times New Roman" w:hAnsi="Times New Roman"/>
          <w:sz w:val="24"/>
          <w:lang w:eastAsia="en-US"/>
        </w:rPr>
        <w:t xml:space="preserve"> </w:t>
      </w:r>
      <w:hyperlink r:id="rId303" w:history="1">
        <w:r w:rsidR="00CB533F" w:rsidRPr="00C57224">
          <w:rPr>
            <w:rStyle w:val="Hyperlink"/>
            <w:rFonts w:ascii="Times New Roman" w:hAnsi="Times New Roman"/>
            <w:sz w:val="24"/>
            <w:lang w:eastAsia="en-US"/>
          </w:rPr>
          <w:t>Recording</w:t>
        </w:r>
      </w:hyperlink>
    </w:p>
    <w:p w14:paraId="32015822" w14:textId="540038AB" w:rsidR="000F46CD" w:rsidRPr="00C57224" w:rsidRDefault="000F46CD" w:rsidP="000F46CD">
      <w:pPr>
        <w:rPr>
          <w:rFonts w:asciiTheme="majorBidi" w:hAnsiTheme="majorBidi" w:cstheme="majorBidi"/>
        </w:rPr>
      </w:pPr>
      <w:r w:rsidRPr="00C57224">
        <w:rPr>
          <w:rFonts w:asciiTheme="majorBidi" w:hAnsiTheme="majorBidi" w:cstheme="majorBidi"/>
        </w:rPr>
        <w:t xml:space="preserve">At the January 2024 meeting of TSAG, following discussions on the updated Terms of Reference for </w:t>
      </w:r>
      <w:proofErr w:type="spellStart"/>
      <w:r w:rsidRPr="00C57224">
        <w:rPr>
          <w:rFonts w:asciiTheme="majorBidi" w:hAnsiTheme="majorBidi" w:cstheme="majorBidi"/>
        </w:rPr>
        <w:t>NoW</w:t>
      </w:r>
      <w:proofErr w:type="spellEnd"/>
      <w:r w:rsidRPr="00C57224">
        <w:rPr>
          <w:rFonts w:asciiTheme="majorBidi" w:hAnsiTheme="majorBidi" w:cstheme="majorBidi"/>
        </w:rPr>
        <w:t xml:space="preserve"> in ITU-T and their approval (see </w:t>
      </w:r>
      <w:hyperlink r:id="rId304" w:history="1">
        <w:r w:rsidRPr="00C57224">
          <w:rPr>
            <w:rStyle w:val="Hyperlink"/>
            <w:rFonts w:asciiTheme="majorBidi" w:hAnsiTheme="majorBidi" w:cstheme="majorBidi"/>
          </w:rPr>
          <w:t>T</w:t>
        </w:r>
        <w:r w:rsidR="008833C3" w:rsidRPr="00C57224">
          <w:rPr>
            <w:rStyle w:val="Hyperlink"/>
            <w:rFonts w:asciiTheme="majorBidi" w:hAnsiTheme="majorBidi" w:cstheme="majorBidi"/>
          </w:rPr>
          <w:t>SAG T</w:t>
        </w:r>
        <w:r w:rsidRPr="00C57224">
          <w:rPr>
            <w:rStyle w:val="Hyperlink"/>
            <w:rFonts w:asciiTheme="majorBidi" w:hAnsiTheme="majorBidi" w:cstheme="majorBidi"/>
          </w:rPr>
          <w:t>D423-R2</w:t>
        </w:r>
      </w:hyperlink>
      <w:r w:rsidRPr="00C57224">
        <w:rPr>
          <w:rFonts w:asciiTheme="majorBidi" w:hAnsiTheme="majorBidi" w:cstheme="majorBidi"/>
        </w:rPr>
        <w:t>), it was decided that six Regional Representatives would be appointed by the Regional Telecommunication Organizations (RTOs).</w:t>
      </w:r>
    </w:p>
    <w:p w14:paraId="789ED103" w14:textId="77777777" w:rsidR="000F46CD" w:rsidRPr="00C57224" w:rsidRDefault="000F46CD" w:rsidP="000F46CD">
      <w:pPr>
        <w:rPr>
          <w:rFonts w:asciiTheme="majorBidi" w:hAnsiTheme="majorBidi" w:cstheme="majorBidi"/>
        </w:rPr>
      </w:pPr>
      <w:r w:rsidRPr="00C57224">
        <w:rPr>
          <w:rFonts w:asciiTheme="majorBidi" w:hAnsiTheme="majorBidi" w:cstheme="majorBidi"/>
        </w:rPr>
        <w:t>Regional Representatives:</w:t>
      </w:r>
    </w:p>
    <w:p w14:paraId="1A4F9710" w14:textId="6BAC834C" w:rsidR="000F46CD" w:rsidRPr="00C57224" w:rsidRDefault="000F46CD" w:rsidP="00C073B3">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Africa: Rebecca Mukite, Head of Public &amp; International Relations, Uganda Communications Commission (UCC), Uganda</w:t>
      </w:r>
    </w:p>
    <w:p w14:paraId="52BD71BD" w14:textId="205CCBD4" w:rsidR="000F46CD" w:rsidRPr="00C57224" w:rsidRDefault="000F46CD" w:rsidP="00C073B3">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Americas: Tania Villa, ITU-T Study Group 12 Chair, Federal Institute of Telecommunications (IFT), Mexico</w:t>
      </w:r>
    </w:p>
    <w:p w14:paraId="515B8D34" w14:textId="467ABFDB" w:rsidR="000F46CD" w:rsidRPr="00C57224" w:rsidRDefault="000F46CD" w:rsidP="00C073B3">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Arab States: Basma Tawfik, International Organizations Manager, National Telecom Regulatory Authority (NTRA), Egypt</w:t>
      </w:r>
    </w:p>
    <w:p w14:paraId="39C2C1DB" w14:textId="7C3E0A21" w:rsidR="000F46CD" w:rsidRPr="00C57224" w:rsidRDefault="000F46CD" w:rsidP="00C073B3">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Asia and the Pacific: Miho Naganuma, TSAG Vice Chair, Senior Executive Professional, NEC Corporation, Japan</w:t>
      </w:r>
    </w:p>
    <w:p w14:paraId="68EDC0F2" w14:textId="66F5B9D1" w:rsidR="000F46CD" w:rsidRPr="00C57224" w:rsidRDefault="000F46CD" w:rsidP="00C073B3">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CIS: Maria Bolshakova, Acting Deputy Director General, Regional Commonwealth in the field of Communications (RCC)</w:t>
      </w:r>
    </w:p>
    <w:p w14:paraId="3D940AF0" w14:textId="67E93DC7" w:rsidR="000F46CD" w:rsidRPr="00C57224" w:rsidRDefault="000F46CD" w:rsidP="00C073B3">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 xml:space="preserve">Europe: Izabela </w:t>
      </w:r>
      <w:proofErr w:type="spellStart"/>
      <w:r w:rsidRPr="00C57224">
        <w:rPr>
          <w:rFonts w:ascii="Times New Roman" w:hAnsi="Times New Roman"/>
          <w:sz w:val="24"/>
          <w:lang w:eastAsia="en-US"/>
        </w:rPr>
        <w:t>Iglewska</w:t>
      </w:r>
      <w:proofErr w:type="spellEnd"/>
      <w:r w:rsidRPr="00C57224">
        <w:rPr>
          <w:rFonts w:ascii="Times New Roman" w:hAnsi="Times New Roman"/>
          <w:sz w:val="24"/>
          <w:lang w:eastAsia="en-US"/>
        </w:rPr>
        <w:t>, Minister Advisor, Ministry of Digital Affairs, Poland</w:t>
      </w:r>
    </w:p>
    <w:p w14:paraId="578C32DD" w14:textId="157D06D5" w:rsidR="000F46CD" w:rsidRPr="00C57224" w:rsidRDefault="000F46CD" w:rsidP="000F46CD">
      <w:pPr>
        <w:rPr>
          <w:rFonts w:asciiTheme="majorBidi" w:hAnsiTheme="majorBidi" w:cstheme="majorBidi"/>
        </w:rPr>
      </w:pPr>
      <w:r w:rsidRPr="00C57224">
        <w:rPr>
          <w:rFonts w:asciiTheme="majorBidi" w:hAnsiTheme="majorBidi" w:cstheme="majorBidi"/>
        </w:rPr>
        <w:t xml:space="preserve">The outcomes of survey on promoting gender equality in ITU-T were presented to the May 2023 meeting of TSAG (see </w:t>
      </w:r>
      <w:hyperlink r:id="rId305" w:history="1">
        <w:r w:rsidRPr="00C57224">
          <w:rPr>
            <w:rStyle w:val="Hyperlink"/>
            <w:rFonts w:asciiTheme="majorBidi" w:hAnsiTheme="majorBidi" w:cstheme="majorBidi"/>
            <w:bCs/>
          </w:rPr>
          <w:t>TD196</w:t>
        </w:r>
      </w:hyperlink>
      <w:r w:rsidRPr="00FD391D">
        <w:t>)</w:t>
      </w:r>
      <w:r w:rsidRPr="00C57224">
        <w:rPr>
          <w:rFonts w:asciiTheme="majorBidi" w:hAnsiTheme="majorBidi" w:cstheme="majorBidi"/>
        </w:rPr>
        <w:t xml:space="preserve">. TSB is actively implementing actions based on the survey's findings as part of the </w:t>
      </w:r>
      <w:proofErr w:type="spellStart"/>
      <w:r w:rsidRPr="00C57224">
        <w:rPr>
          <w:rFonts w:asciiTheme="majorBidi" w:hAnsiTheme="majorBidi" w:cstheme="majorBidi"/>
        </w:rPr>
        <w:t>NoW</w:t>
      </w:r>
      <w:proofErr w:type="spellEnd"/>
      <w:r w:rsidRPr="00C57224">
        <w:rPr>
          <w:rFonts w:asciiTheme="majorBidi" w:hAnsiTheme="majorBidi" w:cstheme="majorBidi"/>
        </w:rPr>
        <w:t xml:space="preserve"> in ITU-T work plan.</w:t>
      </w:r>
    </w:p>
    <w:p w14:paraId="69B872F8" w14:textId="6629180C" w:rsidR="00C15E46" w:rsidRPr="00C57224" w:rsidRDefault="00C15E46" w:rsidP="00C073B3">
      <w:pPr>
        <w:rPr>
          <w:rFonts w:asciiTheme="majorBidi" w:hAnsiTheme="majorBidi" w:cstheme="majorBidi"/>
        </w:rPr>
      </w:pPr>
      <w:r w:rsidRPr="00C57224">
        <w:rPr>
          <w:rFonts w:asciiTheme="majorBidi" w:hAnsiTheme="majorBidi" w:cstheme="majorBidi"/>
        </w:rPr>
        <w:t xml:space="preserve">In accordance with the </w:t>
      </w:r>
      <w:hyperlink r:id="rId306" w:history="1">
        <w:r w:rsidRPr="00C57224">
          <w:rPr>
            <w:rStyle w:val="Hyperlink"/>
            <w:rFonts w:asciiTheme="majorBidi" w:hAnsiTheme="majorBidi" w:cstheme="majorBidi"/>
          </w:rPr>
          <w:t>UNECE Declaration on Gender Responsive Standards</w:t>
        </w:r>
      </w:hyperlink>
      <w:r w:rsidRPr="00C57224">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307" w:history="1">
        <w:r w:rsidRPr="00C57224">
          <w:rPr>
            <w:rStyle w:val="Hyperlink"/>
            <w:rFonts w:asciiTheme="majorBidi" w:hAnsiTheme="majorBidi" w:cstheme="majorBidi"/>
          </w:rPr>
          <w:t>training course</w:t>
        </w:r>
      </w:hyperlink>
      <w:r w:rsidRPr="00C57224">
        <w:rPr>
          <w:rFonts w:asciiTheme="majorBidi" w:hAnsiTheme="majorBidi" w:cstheme="majorBidi"/>
        </w:rPr>
        <w:t xml:space="preserve"> on gender-responsive standards development. Members and staff are invited to send certificates of completion to </w:t>
      </w:r>
      <w:hyperlink r:id="rId308" w:history="1">
        <w:r w:rsidR="00CB533F" w:rsidRPr="00C57224">
          <w:rPr>
            <w:rStyle w:val="Hyperlink"/>
            <w:rFonts w:asciiTheme="majorBidi" w:hAnsiTheme="majorBidi" w:cstheme="majorBidi"/>
          </w:rPr>
          <w:t>NoW-T@itu.int</w:t>
        </w:r>
      </w:hyperlink>
      <w:r w:rsidRPr="00C57224">
        <w:rPr>
          <w:rFonts w:asciiTheme="majorBidi" w:hAnsiTheme="majorBidi" w:cstheme="majorBidi"/>
        </w:rPr>
        <w:t>.</w:t>
      </w:r>
    </w:p>
    <w:p w14:paraId="1085A68A" w14:textId="741CB2B9" w:rsidR="00C15E46" w:rsidRPr="00C57224" w:rsidRDefault="001241F4" w:rsidP="00C15E46">
      <w:pPr>
        <w:rPr>
          <w:rFonts w:asciiTheme="majorBidi" w:hAnsiTheme="majorBidi" w:cstheme="majorBidi"/>
        </w:rPr>
      </w:pPr>
      <w:r>
        <w:rPr>
          <w:rFonts w:asciiTheme="majorBidi" w:hAnsiTheme="majorBidi" w:cstheme="majorBidi"/>
        </w:rPr>
        <w:t>Figures 5 to 7</w:t>
      </w:r>
      <w:r w:rsidR="00C15E46" w:rsidRPr="00C57224">
        <w:rPr>
          <w:rFonts w:asciiTheme="majorBidi" w:hAnsiTheme="majorBidi" w:cstheme="majorBidi"/>
        </w:rPr>
        <w:t xml:space="preserve"> provide an overview of TSB/ITU-T activities with respect to participants' gender.</w:t>
      </w:r>
    </w:p>
    <w:bookmarkEnd w:id="210"/>
    <w:p w14:paraId="532F436D" w14:textId="53DA9B43" w:rsidR="00D2502A" w:rsidRPr="00C57224" w:rsidRDefault="007B02DA" w:rsidP="00D2502A">
      <w:pPr>
        <w:jc w:val="center"/>
        <w:rPr>
          <w:rFonts w:eastAsia="SimSun"/>
        </w:rPr>
      </w:pPr>
      <w:r>
        <w:rPr>
          <w:rFonts w:eastAsia="SimSun"/>
          <w:noProof/>
        </w:rPr>
        <w:lastRenderedPageBreak/>
        <w:drawing>
          <wp:inline distT="0" distB="0" distL="0" distR="0" wp14:anchorId="43AF575E" wp14:editId="631265DC">
            <wp:extent cx="4377055" cy="2548255"/>
            <wp:effectExtent l="0" t="0" r="4445" b="4445"/>
            <wp:docPr id="1640886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377055" cy="2548255"/>
                    </a:xfrm>
                    <a:prstGeom prst="rect">
                      <a:avLst/>
                    </a:prstGeom>
                    <a:noFill/>
                  </pic:spPr>
                </pic:pic>
              </a:graphicData>
            </a:graphic>
          </wp:inline>
        </w:drawing>
      </w:r>
    </w:p>
    <w:p w14:paraId="573A94DC" w14:textId="77777777" w:rsidR="00D2502A" w:rsidRPr="00C57224" w:rsidRDefault="00D2502A" w:rsidP="001376E9">
      <w:pPr>
        <w:pStyle w:val="FigureNotitle"/>
      </w:pPr>
      <w:bookmarkStart w:id="213" w:name="_Toc179221090"/>
      <w:r w:rsidRPr="00C57224">
        <w:t>Figure 5 – Women's participation in the past three WTSA</w:t>
      </w:r>
      <w:bookmarkEnd w:id="213"/>
    </w:p>
    <w:p w14:paraId="7D6D9F6C" w14:textId="10930515" w:rsidR="00D2502A" w:rsidRPr="00C57224" w:rsidRDefault="005A6B33" w:rsidP="00D2502A">
      <w:pPr>
        <w:jc w:val="center"/>
        <w:rPr>
          <w:rFonts w:eastAsia="SimSun"/>
        </w:rPr>
      </w:pPr>
      <w:r>
        <w:rPr>
          <w:rFonts w:eastAsia="SimSun"/>
          <w:noProof/>
        </w:rPr>
        <w:drawing>
          <wp:inline distT="0" distB="0" distL="0" distR="0" wp14:anchorId="283D9622" wp14:editId="4DBE175C">
            <wp:extent cx="4395470" cy="2536190"/>
            <wp:effectExtent l="0" t="0" r="5080" b="0"/>
            <wp:docPr id="20004415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395470" cy="2536190"/>
                    </a:xfrm>
                    <a:prstGeom prst="rect">
                      <a:avLst/>
                    </a:prstGeom>
                    <a:noFill/>
                  </pic:spPr>
                </pic:pic>
              </a:graphicData>
            </a:graphic>
          </wp:inline>
        </w:drawing>
      </w:r>
    </w:p>
    <w:p w14:paraId="7189FAD3" w14:textId="77777777" w:rsidR="00D2502A" w:rsidRPr="00C57224" w:rsidRDefault="00D2502A" w:rsidP="001376E9">
      <w:pPr>
        <w:pStyle w:val="FigureNotitle"/>
      </w:pPr>
      <w:bookmarkStart w:id="214" w:name="_Toc179221091"/>
      <w:r w:rsidRPr="00C57224">
        <w:t>Figure 6 – Women's share of ITU-T leadership position and participation in study groups and regional groups within study groups</w:t>
      </w:r>
      <w:bookmarkEnd w:id="214"/>
    </w:p>
    <w:p w14:paraId="556875F3" w14:textId="289672D5" w:rsidR="00D2502A" w:rsidRPr="00C57224" w:rsidRDefault="005A6B33" w:rsidP="00D2502A">
      <w:pPr>
        <w:jc w:val="center"/>
        <w:rPr>
          <w:rFonts w:eastAsia="SimSun"/>
        </w:rPr>
      </w:pPr>
      <w:r>
        <w:rPr>
          <w:rFonts w:eastAsia="SimSun"/>
          <w:noProof/>
        </w:rPr>
        <w:drawing>
          <wp:inline distT="0" distB="0" distL="0" distR="0" wp14:anchorId="301D5686" wp14:editId="108A66CD">
            <wp:extent cx="4383405" cy="2566670"/>
            <wp:effectExtent l="0" t="0" r="0" b="5080"/>
            <wp:docPr id="1920382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383405" cy="2566670"/>
                    </a:xfrm>
                    <a:prstGeom prst="rect">
                      <a:avLst/>
                    </a:prstGeom>
                    <a:noFill/>
                  </pic:spPr>
                </pic:pic>
              </a:graphicData>
            </a:graphic>
          </wp:inline>
        </w:drawing>
      </w:r>
    </w:p>
    <w:p w14:paraId="6447E111" w14:textId="46DCC2B3" w:rsidR="00EA757B" w:rsidRPr="00C57224" w:rsidRDefault="00D2502A" w:rsidP="001376E9">
      <w:pPr>
        <w:pStyle w:val="FigureNotitle"/>
      </w:pPr>
      <w:bookmarkStart w:id="215" w:name="_Toc179221092"/>
      <w:r w:rsidRPr="00C57224">
        <w:t>Figure 7 – Women's participation in ITU-T statutory meetings by study period</w:t>
      </w:r>
      <w:bookmarkEnd w:id="215"/>
    </w:p>
    <w:p w14:paraId="0947295C" w14:textId="332C53D5" w:rsidR="00136E7B" w:rsidRPr="00C57224" w:rsidRDefault="0017570A" w:rsidP="005A4E24">
      <w:pPr>
        <w:pStyle w:val="Heading1"/>
        <w:spacing w:before="240"/>
      </w:pPr>
      <w:bookmarkStart w:id="216" w:name="_11_Human_rights"/>
      <w:bookmarkStart w:id="217" w:name="_14_Publications"/>
      <w:bookmarkStart w:id="218" w:name="_11_Publications"/>
      <w:bookmarkStart w:id="219" w:name="_Toc179219769"/>
      <w:bookmarkStart w:id="220" w:name="_Toc179221079"/>
      <w:bookmarkStart w:id="221" w:name="_Hlk119499545"/>
      <w:bookmarkEnd w:id="211"/>
      <w:bookmarkEnd w:id="216"/>
      <w:bookmarkEnd w:id="217"/>
      <w:bookmarkEnd w:id="218"/>
      <w:r w:rsidRPr="00C57224">
        <w:lastRenderedPageBreak/>
        <w:t>1</w:t>
      </w:r>
      <w:r w:rsidR="003C7FC9" w:rsidRPr="00C57224">
        <w:t>1</w:t>
      </w:r>
      <w:r w:rsidR="00136E7B" w:rsidRPr="00C57224">
        <w:tab/>
        <w:t>Publications</w:t>
      </w:r>
      <w:bookmarkEnd w:id="219"/>
      <w:bookmarkEnd w:id="220"/>
    </w:p>
    <w:p w14:paraId="209931CA" w14:textId="5535F61E" w:rsidR="00CE6518" w:rsidRPr="00C57224" w:rsidRDefault="005C297D" w:rsidP="00A662A0">
      <w:bookmarkStart w:id="222" w:name="_12.1_Recommendations_and"/>
      <w:bookmarkStart w:id="223" w:name="_13.1_Recommendations_and"/>
      <w:bookmarkStart w:id="224" w:name="_14.1_Recommendations_and"/>
      <w:bookmarkStart w:id="225" w:name="_Hlk120610234"/>
      <w:bookmarkEnd w:id="222"/>
      <w:bookmarkEnd w:id="223"/>
      <w:bookmarkEnd w:id="224"/>
      <w:r w:rsidRPr="00C57224">
        <w:rPr>
          <w:b/>
          <w:bCs/>
        </w:rPr>
        <w:t>Recommendations and Supplements:</w:t>
      </w:r>
      <w:r w:rsidRPr="00C57224">
        <w:t xml:space="preserve"> </w:t>
      </w:r>
      <w:r w:rsidR="001241F4">
        <w:t xml:space="preserve">As illustrated in Figure 8, </w:t>
      </w:r>
      <w:r w:rsidR="00094B21">
        <w:t>o</w:t>
      </w:r>
      <w:r w:rsidR="001B73BB" w:rsidRPr="00C57224">
        <w:t xml:space="preserve">ver </w:t>
      </w:r>
      <w:r w:rsidR="00D91FDB" w:rsidRPr="00C57224">
        <w:t xml:space="preserve">860 </w:t>
      </w:r>
      <w:r w:rsidR="00CE6518" w:rsidRPr="00C57224">
        <w:t>ITU-T Recommendations and Supplements were published in</w:t>
      </w:r>
      <w:r w:rsidR="00D91FDB" w:rsidRPr="00C57224">
        <w:t xml:space="preserve"> study period</w:t>
      </w:r>
      <w:r w:rsidR="00CE6518" w:rsidRPr="00C57224">
        <w:t xml:space="preserve">. </w:t>
      </w:r>
      <w:bookmarkEnd w:id="225"/>
      <w:r w:rsidR="00CB0E01" w:rsidRPr="00C57224">
        <w:t>The f</w:t>
      </w:r>
      <w:r w:rsidR="00CE6518" w:rsidRPr="00C57224">
        <w:t xml:space="preserve">igure </w:t>
      </w:r>
      <w:r w:rsidR="00CB0E01" w:rsidRPr="00C57224">
        <w:t>below</w:t>
      </w:r>
      <w:r w:rsidR="00CE6518" w:rsidRPr="00C57224">
        <w:t xml:space="preserve"> illustrates the number of ITU-T Recommendations and Supplements published per year since 20</w:t>
      </w:r>
      <w:r w:rsidR="001353F1" w:rsidRPr="00C57224">
        <w:t>2</w:t>
      </w:r>
      <w:r w:rsidR="00D91FDB" w:rsidRPr="00C57224">
        <w:t>2</w:t>
      </w:r>
      <w:r w:rsidR="00CE6518" w:rsidRPr="00C57224">
        <w:t>.</w:t>
      </w:r>
    </w:p>
    <w:p w14:paraId="5395045C" w14:textId="62241CEB" w:rsidR="00D91FDB" w:rsidRPr="00C57224" w:rsidRDefault="005A6B33" w:rsidP="000A4533">
      <w:pPr>
        <w:jc w:val="center"/>
      </w:pPr>
      <w:r>
        <w:rPr>
          <w:noProof/>
        </w:rPr>
        <w:drawing>
          <wp:inline distT="0" distB="0" distL="0" distR="0" wp14:anchorId="32DEA05B" wp14:editId="11180929">
            <wp:extent cx="4810125" cy="3999230"/>
            <wp:effectExtent l="0" t="0" r="9525" b="1270"/>
            <wp:docPr id="681281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810125" cy="3999230"/>
                    </a:xfrm>
                    <a:prstGeom prst="rect">
                      <a:avLst/>
                    </a:prstGeom>
                    <a:noFill/>
                  </pic:spPr>
                </pic:pic>
              </a:graphicData>
            </a:graphic>
          </wp:inline>
        </w:drawing>
      </w:r>
    </w:p>
    <w:p w14:paraId="4D15F036" w14:textId="77777777" w:rsidR="00A26387" w:rsidRPr="00C57224" w:rsidRDefault="00CE6518" w:rsidP="001376E9">
      <w:pPr>
        <w:pStyle w:val="FigureNotitle"/>
      </w:pPr>
      <w:bookmarkStart w:id="226" w:name="_Toc179221093"/>
      <w:r w:rsidRPr="00C57224">
        <w:t xml:space="preserve">Figure </w:t>
      </w:r>
      <w:r w:rsidR="00DB5555" w:rsidRPr="00C57224">
        <w:t>8</w:t>
      </w:r>
      <w:r w:rsidRPr="00C57224">
        <w:t xml:space="preserve"> – Number of Recommendations, amendments and Supplements </w:t>
      </w:r>
      <w:r w:rsidRPr="00C57224">
        <w:br/>
        <w:t>published per year since 20</w:t>
      </w:r>
      <w:r w:rsidR="00DE710E" w:rsidRPr="00C57224">
        <w:t>2</w:t>
      </w:r>
      <w:r w:rsidR="00D91FDB" w:rsidRPr="00C57224">
        <w:t>2</w:t>
      </w:r>
      <w:bookmarkEnd w:id="226"/>
    </w:p>
    <w:p w14:paraId="39BC0ECF" w14:textId="07045AA4" w:rsidR="005C297D" w:rsidRPr="00C57224" w:rsidRDefault="005C297D" w:rsidP="005C297D">
      <w:pPr>
        <w:rPr>
          <w:lang w:eastAsia="en-US"/>
        </w:rPr>
      </w:pPr>
      <w:bookmarkStart w:id="227" w:name="_14.2_Official_languages"/>
      <w:bookmarkStart w:id="228" w:name="_Hlk155873780"/>
      <w:bookmarkEnd w:id="227"/>
      <w:r w:rsidRPr="00C57224">
        <w:rPr>
          <w:b/>
          <w:bCs/>
          <w:lang w:eastAsia="en-US"/>
        </w:rPr>
        <w:t xml:space="preserve">Official languages on an equal footing: </w:t>
      </w:r>
      <w:r w:rsidRPr="00C57224">
        <w:rPr>
          <w:lang w:eastAsia="en-US"/>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 and Council Resolution 1386.</w:t>
      </w:r>
    </w:p>
    <w:p w14:paraId="7E90FF00" w14:textId="14B851A7" w:rsidR="005C297D" w:rsidRPr="00C57224" w:rsidRDefault="005C297D" w:rsidP="005C297D">
      <w:pPr>
        <w:rPr>
          <w:lang w:eastAsia="en-US"/>
        </w:rPr>
      </w:pPr>
      <w:r w:rsidRPr="00C57224">
        <w:rPr>
          <w:lang w:eastAsia="en-US"/>
        </w:rPr>
        <w:t xml:space="preserve">TSB continues to collect all new terms and definitions proposed by ITU-T SGs, entering them into the online </w:t>
      </w:r>
      <w:hyperlink r:id="rId313" w:anchor="/" w:history="1">
        <w:r w:rsidRPr="00C57224">
          <w:rPr>
            <w:rStyle w:val="Hyperlink"/>
            <w:lang w:eastAsia="en-US"/>
          </w:rPr>
          <w:t>ITU Terms and Definitions database</w:t>
        </w:r>
      </w:hyperlink>
      <w:r w:rsidRPr="00C57224">
        <w:rPr>
          <w:lang w:eastAsia="en-US"/>
        </w:rPr>
        <w:t>.</w:t>
      </w:r>
    </w:p>
    <w:p w14:paraId="1B93A11B" w14:textId="77777777" w:rsidR="005C297D" w:rsidRPr="00C57224" w:rsidRDefault="005C297D" w:rsidP="005C297D">
      <w:pPr>
        <w:rPr>
          <w:lang w:eastAsia="en-US"/>
        </w:rPr>
      </w:pPr>
      <w:r w:rsidRPr="00C57224">
        <w:rPr>
          <w:lang w:eastAsia="en-US"/>
        </w:rPr>
        <w:t>As requested by WTSA Resolution 67, TSB continues to translate all Recommendations approved under the Traditional Approval Process as well as all TSAG reports.</w:t>
      </w:r>
    </w:p>
    <w:p w14:paraId="3FD09EF7" w14:textId="77777777" w:rsidR="005C297D" w:rsidRPr="00C57224" w:rsidRDefault="005C297D" w:rsidP="00EA793D">
      <w:pPr>
        <w:rPr>
          <w:lang w:eastAsia="en-US"/>
        </w:rPr>
      </w:pPr>
      <w:r w:rsidRPr="00C57224">
        <w:rPr>
          <w:lang w:eastAsia="en-US"/>
        </w:rPr>
        <w:t>TSB has also translated ten Recommendations approved under the Alternative Approval Procedure in the study period, in accordance with requests received from ITU-T SGs and linguistic groups, and within the available budget.</w:t>
      </w:r>
    </w:p>
    <w:p w14:paraId="40C8A41A" w14:textId="5FAB0AF7" w:rsidR="00EA793D" w:rsidRPr="00C57224" w:rsidRDefault="005C297D" w:rsidP="00EA793D">
      <w:pPr>
        <w:rPr>
          <w:lang w:eastAsia="en-US"/>
        </w:rPr>
      </w:pPr>
      <w:r w:rsidRPr="00C57224">
        <w:rPr>
          <w:b/>
          <w:bCs/>
          <w:lang w:eastAsia="en-US"/>
        </w:rPr>
        <w:t>Recommendations withdrawn between WTSAs:</w:t>
      </w:r>
      <w:r w:rsidRPr="00C57224">
        <w:rPr>
          <w:lang w:eastAsia="en-US"/>
        </w:rPr>
        <w:t xml:space="preserve"> </w:t>
      </w:r>
      <w:r w:rsidR="00EA793D" w:rsidRPr="00C57224">
        <w:rPr>
          <w:lang w:eastAsia="en-US"/>
        </w:rPr>
        <w:t xml:space="preserve">Since March 2022, the following ITU-T Recommendations </w:t>
      </w:r>
      <w:r w:rsidR="006D7181" w:rsidRPr="00C57224">
        <w:rPr>
          <w:lang w:eastAsia="en-US"/>
        </w:rPr>
        <w:t xml:space="preserve">and Supplements </w:t>
      </w:r>
      <w:r w:rsidR="00EA793D" w:rsidRPr="00C57224">
        <w:rPr>
          <w:lang w:eastAsia="en-US"/>
        </w:rPr>
        <w:t xml:space="preserve">were </w:t>
      </w:r>
      <w:r w:rsidR="00A011C0" w:rsidRPr="00C57224">
        <w:rPr>
          <w:lang w:eastAsia="en-US"/>
        </w:rPr>
        <w:t xml:space="preserve">withdrawn </w:t>
      </w:r>
      <w:r w:rsidR="00EA793D" w:rsidRPr="00C57224">
        <w:rPr>
          <w:lang w:eastAsia="en-US"/>
        </w:rPr>
        <w:t>in accordance with clause 9.8.2.2 of WTSA Resolution 1 (Rev., Geneva, 2022):</w:t>
      </w:r>
    </w:p>
    <w:p w14:paraId="67417C8A" w14:textId="4FCCD3B1" w:rsidR="003B7D20" w:rsidRPr="00C57224" w:rsidRDefault="003B7D20"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 xml:space="preserve">Recommendation ITU-T A.4 </w:t>
      </w:r>
      <w:r w:rsidR="00494B08" w:rsidRPr="00C57224">
        <w:rPr>
          <w:rFonts w:ascii="Times New Roman" w:hAnsi="Times New Roman"/>
          <w:sz w:val="24"/>
          <w:lang w:eastAsia="en-US"/>
        </w:rPr>
        <w:t>"Communication process between the ITU Telecommunication Standardization Sector and forums and consortia"</w:t>
      </w:r>
    </w:p>
    <w:p w14:paraId="1F6D1C16" w14:textId="1FF661C0" w:rsidR="00494B08" w:rsidRPr="00C57224" w:rsidRDefault="00494B08"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A.6 "Cooperation and exchange of information between the ITU Telecommunication Standardization Sector and national and regional standards development organizations"</w:t>
      </w:r>
    </w:p>
    <w:p w14:paraId="68DE6256" w14:textId="618D3E74" w:rsidR="00494B08" w:rsidRPr="00C57224" w:rsidRDefault="00494B08"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lastRenderedPageBreak/>
        <w:t>Recommendation A Suppl. 5 "Guidelines for collaboration and exchange of information with other organizations"</w:t>
      </w:r>
    </w:p>
    <w:p w14:paraId="3C422F8A" w14:textId="33E4B005"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D.280 "Principles for charging and billing, accounting and reimbursements for universal personal telecommunication"</w:t>
      </w:r>
    </w:p>
    <w:p w14:paraId="5226A0AA"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E.168 "Application of E.164 numbering plan for UPT"</w:t>
      </w:r>
    </w:p>
    <w:p w14:paraId="2EEE8A4D"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E.168.1 "Assignment procedures for universal personal telecommunications (UPT) numbers in the provisioning of the international UPT service"</w:t>
      </w:r>
    </w:p>
    <w:p w14:paraId="103C7F12"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E.174 "Routing principles and guidance for Universal Personal Telecommunications (UPT)"</w:t>
      </w:r>
    </w:p>
    <w:p w14:paraId="7BE399DF"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E.755 "Reference connections for UPT traffic performance and GOS"</w:t>
      </w:r>
    </w:p>
    <w:p w14:paraId="6592F306"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E.775 "UPT grade of service concept"</w:t>
      </w:r>
    </w:p>
    <w:p w14:paraId="5182267D"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E.776 "Network grade of service parameters for UPT"</w:t>
      </w:r>
    </w:p>
    <w:p w14:paraId="090B662D"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F.850 "Principles of Universal Personal Telecommunication (UPT)"</w:t>
      </w:r>
    </w:p>
    <w:p w14:paraId="155B7AE2"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F.851 "Universal Personal Telecommunication (UPT) – Service description (service set 1)"</w:t>
      </w:r>
    </w:p>
    <w:p w14:paraId="7185DBDB"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F.852 "Universal Personal Telecommunication (UPT) – Service description (service set 2)"</w:t>
      </w:r>
    </w:p>
    <w:p w14:paraId="375063C2"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F.853 "Supplementary services in the Universal Personal Telecommunication (UPT) environment"</w:t>
      </w:r>
    </w:p>
    <w:p w14:paraId="0D43696A" w14:textId="62EA2842"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G.8021.1/Y.1341.1 "Types and characteristics of Ethernet transport network equipment"</w:t>
      </w:r>
    </w:p>
    <w:p w14:paraId="1C70A216"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K.43 "Immunity requirements for telecommunication network equipment"</w:t>
      </w:r>
    </w:p>
    <w:p w14:paraId="2806E708" w14:textId="77777777"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K.48 "EMC requirements for telecommunication equipment – Product family Recommendation"</w:t>
      </w:r>
    </w:p>
    <w:p w14:paraId="665D180D" w14:textId="55761B0B" w:rsidR="00794366" w:rsidRPr="00C57224" w:rsidRDefault="00794366" w:rsidP="00794366">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K.88 "EMC requirements for next generation network equipment"</w:t>
      </w:r>
    </w:p>
    <w:p w14:paraId="3E06E7D8" w14:textId="07D024BA" w:rsidR="001760DA" w:rsidRPr="00C57224" w:rsidRDefault="001760DA"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L.106 "Optical fibre cables: Special needs for access network"</w:t>
      </w:r>
    </w:p>
    <w:p w14:paraId="1C7E9A6F" w14:textId="13F1CB0A" w:rsidR="00041B38" w:rsidRPr="00C57224" w:rsidRDefault="00041B38"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3877BBED" w14:textId="77777777" w:rsidR="00BB0DC3" w:rsidRPr="00C57224" w:rsidRDefault="00BB0DC3" w:rsidP="00BB0DC3">
      <w:pPr>
        <w:pStyle w:val="ListParagraph"/>
        <w:numPr>
          <w:ilvl w:val="0"/>
          <w:numId w:val="19"/>
        </w:numPr>
        <w:spacing w:before="120"/>
        <w:ind w:left="714" w:hanging="357"/>
        <w:contextualSpacing w:val="0"/>
        <w:rPr>
          <w:rFonts w:ascii="Times New Roman" w:hAnsi="Times New Roman"/>
          <w:sz w:val="24"/>
          <w:lang w:eastAsia="en-US"/>
        </w:rPr>
      </w:pPr>
      <w:r w:rsidRPr="00C57224">
        <w:rPr>
          <w:rFonts w:ascii="Times New Roman" w:hAnsi="Times New Roman"/>
          <w:sz w:val="24"/>
          <w:lang w:eastAsia="en-US"/>
        </w:rPr>
        <w:t>Recommendation ITU-T P.862.1 "Mapping function for transforming P.862 raw result scores to MOS-LQO"</w:t>
      </w:r>
    </w:p>
    <w:p w14:paraId="647138C7" w14:textId="77777777" w:rsidR="00BB0DC3" w:rsidRPr="00C57224" w:rsidRDefault="00BB0DC3" w:rsidP="00BB0DC3">
      <w:pPr>
        <w:pStyle w:val="ListParagraph"/>
        <w:numPr>
          <w:ilvl w:val="0"/>
          <w:numId w:val="19"/>
        </w:numPr>
        <w:spacing w:before="120"/>
        <w:ind w:left="714" w:hanging="357"/>
        <w:contextualSpacing w:val="0"/>
        <w:rPr>
          <w:rFonts w:ascii="Times New Roman" w:hAnsi="Times New Roman"/>
          <w:sz w:val="24"/>
          <w:lang w:eastAsia="en-US"/>
        </w:rPr>
      </w:pPr>
      <w:r w:rsidRPr="00C57224">
        <w:rPr>
          <w:rFonts w:ascii="Times New Roman" w:hAnsi="Times New Roman"/>
          <w:sz w:val="24"/>
          <w:lang w:eastAsia="en-US"/>
        </w:rPr>
        <w:t>Recommendation ITU-T P.862.2 "Wideband extension to Recommendation P.862 for the assessment of wideband telephone networks and speech codecs"</w:t>
      </w:r>
    </w:p>
    <w:p w14:paraId="68156D5F" w14:textId="669C27A5" w:rsidR="00BB0DC3" w:rsidRPr="00C57224" w:rsidRDefault="00BB0DC3" w:rsidP="00BB0DC3">
      <w:pPr>
        <w:pStyle w:val="ListParagraph"/>
        <w:numPr>
          <w:ilvl w:val="0"/>
          <w:numId w:val="19"/>
        </w:numPr>
        <w:spacing w:before="120"/>
        <w:ind w:left="714" w:hanging="357"/>
        <w:contextualSpacing w:val="0"/>
        <w:rPr>
          <w:rFonts w:ascii="Times New Roman" w:hAnsi="Times New Roman"/>
          <w:sz w:val="24"/>
          <w:lang w:eastAsia="en-US"/>
        </w:rPr>
      </w:pPr>
      <w:r w:rsidRPr="00C57224">
        <w:rPr>
          <w:rFonts w:ascii="Times New Roman" w:hAnsi="Times New Roman"/>
          <w:sz w:val="24"/>
          <w:lang w:eastAsia="en-US"/>
        </w:rPr>
        <w:t>Recommendation ITU-T P.862.3 "Application guide for objective quality measurement based on Recommendations P.862, P.862.1 and P.862.2"</w:t>
      </w:r>
    </w:p>
    <w:p w14:paraId="564C0DA6" w14:textId="3F4C2ADE" w:rsidR="001760DA" w:rsidRPr="00C57224" w:rsidRDefault="001760DA"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P.911 "Subjective audiovisual quality assessment methods for multimedia applications"</w:t>
      </w:r>
    </w:p>
    <w:p w14:paraId="54120026" w14:textId="18965213" w:rsidR="001760DA" w:rsidRPr="00C57224" w:rsidRDefault="001760DA"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P.913 "</w:t>
      </w:r>
      <w:r w:rsidRPr="00C57224">
        <w:t xml:space="preserve"> </w:t>
      </w:r>
      <w:r w:rsidRPr="00C57224">
        <w:rPr>
          <w:rFonts w:ascii="Times New Roman" w:hAnsi="Times New Roman"/>
          <w:sz w:val="24"/>
          <w:lang w:eastAsia="en-US"/>
        </w:rPr>
        <w:t>Methods for the subjective assessment of video quality, audio quality and audiovisual quality of Internet video and distribution quality television in any environment"</w:t>
      </w:r>
    </w:p>
    <w:p w14:paraId="02D41144" w14:textId="77777777" w:rsidR="00EA793D" w:rsidRPr="00C57224" w:rsidRDefault="00EA793D"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lastRenderedPageBreak/>
        <w:t>Recommendation ITU-T Q.1521 "Requirements on underlying networks and signalling protocols to support UPT"</w:t>
      </w:r>
    </w:p>
    <w:p w14:paraId="1CA71CCC" w14:textId="77777777" w:rsidR="00EA793D" w:rsidRPr="00C57224" w:rsidRDefault="00EA793D"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Q.1531 "UPT security requirements for Service Set 1"</w:t>
      </w:r>
    </w:p>
    <w:p w14:paraId="52086F57" w14:textId="77777777" w:rsidR="00EA793D" w:rsidRPr="00C57224" w:rsidRDefault="00EA793D"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Q.1541 "UPT stage 2 for Service Set 1 on IN CS-1 – Procedures for universal personal telecommunication: Functional modelling and information flows"</w:t>
      </w:r>
    </w:p>
    <w:p w14:paraId="28A4340C" w14:textId="77777777" w:rsidR="00EA793D" w:rsidRPr="00C57224" w:rsidRDefault="00EA793D" w:rsidP="00770357">
      <w:pPr>
        <w:pStyle w:val="ListParagraph"/>
        <w:numPr>
          <w:ilvl w:val="0"/>
          <w:numId w:val="19"/>
        </w:numPr>
        <w:spacing w:before="120"/>
        <w:contextualSpacing w:val="0"/>
        <w:rPr>
          <w:rFonts w:ascii="Times New Roman" w:hAnsi="Times New Roman"/>
          <w:sz w:val="24"/>
          <w:lang w:eastAsia="en-US"/>
        </w:rPr>
      </w:pPr>
      <w:r w:rsidRPr="00C57224">
        <w:rPr>
          <w:rFonts w:ascii="Times New Roman" w:hAnsi="Times New Roman"/>
          <w:sz w:val="24"/>
          <w:lang w:eastAsia="en-US"/>
        </w:rPr>
        <w:t>Recommendation ITU-T Q.1542 "UPT stage 2 for Service Set 1 on IN CS-2 – Procedures for universal personal telecommunication: Functional modelling and information flows"</w:t>
      </w:r>
    </w:p>
    <w:p w14:paraId="3E6D893A" w14:textId="77777777" w:rsidR="00EA793D" w:rsidRPr="00C57224"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C57224">
        <w:rPr>
          <w:lang w:eastAsia="en-US"/>
        </w:rPr>
        <w:t>Recommendation ITU-T Q.1551 "Application of Intelligent Network Application Protocols (INAP) CS-1 for UPT service set 1"</w:t>
      </w:r>
    </w:p>
    <w:p w14:paraId="03D87AF5" w14:textId="45E567E4" w:rsidR="00494B08" w:rsidRPr="00C57224" w:rsidRDefault="00494B08" w:rsidP="00770357">
      <w:pPr>
        <w:numPr>
          <w:ilvl w:val="0"/>
          <w:numId w:val="19"/>
        </w:numPr>
        <w:tabs>
          <w:tab w:val="left" w:pos="1134"/>
          <w:tab w:val="left" w:pos="1871"/>
          <w:tab w:val="left" w:pos="2268"/>
        </w:tabs>
        <w:overflowPunct w:val="0"/>
        <w:autoSpaceDE w:val="0"/>
        <w:autoSpaceDN w:val="0"/>
        <w:adjustRightInd w:val="0"/>
        <w:textAlignment w:val="baseline"/>
      </w:pPr>
      <w:r w:rsidRPr="00C57224">
        <w:t>Recommendation Y Suppl. 4 "ITU-T Y.1300 series Supplement on transport requirements for T-MPLS OAM and considerations for the application of IETF MPLS technology"</w:t>
      </w:r>
    </w:p>
    <w:p w14:paraId="4CD4589A" w14:textId="0ACED17A" w:rsidR="003C7FC9" w:rsidRPr="00C57224" w:rsidRDefault="003C7FC9" w:rsidP="003C7FC9">
      <w:pPr>
        <w:pStyle w:val="Heading1"/>
        <w:spacing w:before="240"/>
      </w:pPr>
      <w:bookmarkStart w:id="229" w:name="_12_Electronic_working"/>
      <w:bookmarkStart w:id="230" w:name="_Toc179219770"/>
      <w:bookmarkStart w:id="231" w:name="_Toc179221080"/>
      <w:bookmarkEnd w:id="228"/>
      <w:bookmarkEnd w:id="229"/>
      <w:r w:rsidRPr="00C57224">
        <w:t>12</w:t>
      </w:r>
      <w:r w:rsidRPr="00C57224">
        <w:tab/>
        <w:t>Electronic working methods and database applications</w:t>
      </w:r>
      <w:bookmarkEnd w:id="230"/>
      <w:bookmarkEnd w:id="231"/>
    </w:p>
    <w:p w14:paraId="5115FF96" w14:textId="77777777" w:rsidR="00A26387" w:rsidRPr="00C57224" w:rsidRDefault="00E12827" w:rsidP="00E12827">
      <w:r w:rsidRPr="00C57224">
        <w:t>Continuous improvements are made to electronic working methods and tools for the membership in line with WTSA Resolution 32 (Strengthening electronic working methods for the work of the ITU Telecommunication Standardization Sector), WTSA Resolution 44 (Bridging the standardization gap between developing and developed countries) and PP Resolution 167 (Strengthening ITU capabilities for electronic meetings and means to advance the work of the Union).</w:t>
      </w:r>
    </w:p>
    <w:p w14:paraId="24F62D31" w14:textId="6B8B10F2" w:rsidR="00E12827" w:rsidRPr="00C57224" w:rsidRDefault="00E12827" w:rsidP="00E12827">
      <w:r w:rsidRPr="00C57224">
        <w:t>Improvements target the following goals:</w:t>
      </w:r>
    </w:p>
    <w:p w14:paraId="121645F9" w14:textId="77777777" w:rsidR="00E12827" w:rsidRPr="00C57224" w:rsidRDefault="00E12827" w:rsidP="00E12827">
      <w:pPr>
        <w:numPr>
          <w:ilvl w:val="0"/>
          <w:numId w:val="19"/>
        </w:numPr>
      </w:pPr>
      <w:r w:rsidRPr="00C57224">
        <w:t>Increase capabilities with respect to ITU-T electronic working methods and review their benefits.</w:t>
      </w:r>
    </w:p>
    <w:p w14:paraId="7B8716CD" w14:textId="77777777" w:rsidR="00E12827" w:rsidRPr="00C57224" w:rsidRDefault="00E12827" w:rsidP="00E12827">
      <w:pPr>
        <w:numPr>
          <w:ilvl w:val="0"/>
          <w:numId w:val="19"/>
        </w:numPr>
      </w:pPr>
      <w:r w:rsidRPr="00C57224">
        <w:t>Disseminate guidelines, documentation and training to use ITU-T electronic working methods.</w:t>
      </w:r>
    </w:p>
    <w:p w14:paraId="0882C344" w14:textId="77777777" w:rsidR="00E12827" w:rsidRPr="00C57224" w:rsidRDefault="00E12827" w:rsidP="00E12827">
      <w:pPr>
        <w:numPr>
          <w:ilvl w:val="0"/>
          <w:numId w:val="19"/>
        </w:numPr>
      </w:pPr>
      <w:r w:rsidRPr="00C57224">
        <w:t>Provide electronic participation facilities in ITU-T events for delegates unable to attend events in person.</w:t>
      </w:r>
    </w:p>
    <w:p w14:paraId="1B89C6DF" w14:textId="5C9EFD4E" w:rsidR="00E12827" w:rsidRPr="00C57224" w:rsidRDefault="00E12827" w:rsidP="00E12827">
      <w:pPr>
        <w:numPr>
          <w:ilvl w:val="0"/>
          <w:numId w:val="19"/>
        </w:numPr>
      </w:pPr>
      <w:r w:rsidRPr="00C57224">
        <w:t>Maintain mobile-friendly ITU-T websites, e.g.</w:t>
      </w:r>
      <w:r w:rsidR="001B037E" w:rsidRPr="00C57224">
        <w:t>,</w:t>
      </w:r>
      <w:r w:rsidRPr="00C57224">
        <w:t xml:space="preserve"> the </w:t>
      </w:r>
      <w:hyperlink r:id="rId314" w:history="1">
        <w:r w:rsidRPr="00C57224">
          <w:rPr>
            <w:rStyle w:val="Hyperlink"/>
          </w:rPr>
          <w:t>WTSA-24 website</w:t>
        </w:r>
      </w:hyperlink>
      <w:r w:rsidRPr="00C57224">
        <w:t xml:space="preserve"> and its various subsites.</w:t>
      </w:r>
    </w:p>
    <w:p w14:paraId="214524D9" w14:textId="77777777" w:rsidR="00E12827" w:rsidRPr="00C57224" w:rsidRDefault="00E12827" w:rsidP="00E12827">
      <w:r w:rsidRPr="00C57224">
        <w:t>These activities also contribute to bridging the standardization gap by providing tools that:</w:t>
      </w:r>
    </w:p>
    <w:p w14:paraId="2677E77A" w14:textId="77777777" w:rsidR="00E12827" w:rsidRPr="00C57224" w:rsidRDefault="00E12827" w:rsidP="00E12827">
      <w:pPr>
        <w:numPr>
          <w:ilvl w:val="0"/>
          <w:numId w:val="19"/>
        </w:numPr>
      </w:pPr>
      <w:r w:rsidRPr="00C57224">
        <w:t>Ensure equal access to electronic meetings and provide remote participation.</w:t>
      </w:r>
    </w:p>
    <w:p w14:paraId="60F7ED17" w14:textId="77777777" w:rsidR="00E12827" w:rsidRPr="00C57224" w:rsidRDefault="00E12827" w:rsidP="00E12827">
      <w:pPr>
        <w:numPr>
          <w:ilvl w:val="0"/>
          <w:numId w:val="19"/>
        </w:numPr>
      </w:pPr>
      <w:r w:rsidRPr="00C57224">
        <w:t>Provide support to ensure the smooth functioning of ITU-T regional groups.</w:t>
      </w:r>
    </w:p>
    <w:p w14:paraId="224F66EC" w14:textId="77777777" w:rsidR="00E12827" w:rsidRPr="00C57224" w:rsidRDefault="00E12827" w:rsidP="00E12827">
      <w:pPr>
        <w:numPr>
          <w:ilvl w:val="0"/>
          <w:numId w:val="19"/>
        </w:numPr>
      </w:pPr>
      <w:r w:rsidRPr="00C57224">
        <w:t>Compile date relevant the participation of developing and developed countries in ITU-T activities.</w:t>
      </w:r>
    </w:p>
    <w:p w14:paraId="057614CC" w14:textId="10E26BBC" w:rsidR="00E12827" w:rsidRPr="00C57224" w:rsidRDefault="00AB23B7" w:rsidP="001376E9">
      <w:pPr>
        <w:pStyle w:val="Heading2"/>
      </w:pPr>
      <w:bookmarkStart w:id="232" w:name="_Toc179219771"/>
      <w:bookmarkStart w:id="233" w:name="_Toc179221081"/>
      <w:r w:rsidRPr="00C57224">
        <w:t>12.1</w:t>
      </w:r>
      <w:r>
        <w:tab/>
      </w:r>
      <w:r w:rsidR="00E12827" w:rsidRPr="00C57224">
        <w:t>Tools and Applications</w:t>
      </w:r>
      <w:bookmarkEnd w:id="232"/>
      <w:bookmarkEnd w:id="233"/>
    </w:p>
    <w:p w14:paraId="03589A4B" w14:textId="0A0F8414" w:rsidR="00A26387" w:rsidRPr="00C57224" w:rsidRDefault="00E12827" w:rsidP="00E12827">
      <w:r w:rsidRPr="00C57224">
        <w:t>TSB and ITU</w:t>
      </w:r>
      <w:r w:rsidR="007C2FC3" w:rsidRPr="00C57224">
        <w:t>'</w:t>
      </w:r>
      <w:r w:rsidRPr="00C57224">
        <w:t xml:space="preserve">s </w:t>
      </w:r>
      <w:proofErr w:type="gramStart"/>
      <w:r w:rsidRPr="00C57224">
        <w:t>IS</w:t>
      </w:r>
      <w:proofErr w:type="gramEnd"/>
      <w:r w:rsidRPr="00C57224">
        <w:t xml:space="preserve"> and C&amp;P Departments continue to develop several applications and further enhance existing facilities to support and improve ITU-T electronic working methods. TSB strives to support mobile devices in all new applications developed and follow the ITU design charter.</w:t>
      </w:r>
    </w:p>
    <w:p w14:paraId="48765275" w14:textId="76F80042" w:rsidR="00E12827" w:rsidRPr="00C57224" w:rsidRDefault="00E12827" w:rsidP="00E12827">
      <w:r w:rsidRPr="00C57224">
        <w:t>Key achievements include</w:t>
      </w:r>
      <w:r w:rsidR="001376E9">
        <w:t xml:space="preserve"> the following.</w:t>
      </w:r>
    </w:p>
    <w:p w14:paraId="7E462EBD" w14:textId="26299329" w:rsidR="00E12827" w:rsidRPr="00C57224" w:rsidRDefault="00E12827" w:rsidP="001376E9">
      <w:pPr>
        <w:pStyle w:val="Headingb"/>
      </w:pPr>
      <w:r w:rsidRPr="00C57224">
        <w:t>Document Management System for Rapporteur Group Meetings</w:t>
      </w:r>
    </w:p>
    <w:p w14:paraId="657BF980" w14:textId="77777777" w:rsidR="00E12827" w:rsidRPr="00C57224" w:rsidRDefault="00E12827" w:rsidP="00E12827">
      <w:r w:rsidRPr="00C57224">
        <w:t>The Microsoft SharePoint-based Document Management System for ITU-T Rapporteur Group Meetings (RGMs) has been used extensively by the ITU-T study groups and TSAG. Feedback from Rapporteurs drives the continuous improvement of the RGM system.</w:t>
      </w:r>
    </w:p>
    <w:p w14:paraId="601F929E" w14:textId="76957A4E" w:rsidR="00E12827" w:rsidRPr="00C57224" w:rsidRDefault="00E12827" w:rsidP="00E12827">
      <w:r w:rsidRPr="00C57224">
        <w:t xml:space="preserve">Current and past RGM meetings can be accessed at </w:t>
      </w:r>
      <w:hyperlink r:id="rId315" w:history="1">
        <w:r w:rsidR="001376E9">
          <w:rPr>
            <w:rStyle w:val="Hyperlink"/>
          </w:rPr>
          <w:t>https:/</w:t>
        </w:r>
        <w:r w:rsidRPr="00C57224">
          <w:rPr>
            <w:rStyle w:val="Hyperlink"/>
          </w:rPr>
          <w:t>/itu.int/go/itu-t/rgm</w:t>
        </w:r>
      </w:hyperlink>
      <w:r w:rsidRPr="00C57224">
        <w:t>.</w:t>
      </w:r>
    </w:p>
    <w:p w14:paraId="36489F8D" w14:textId="1A773092" w:rsidR="00E12827" w:rsidRPr="00C57224" w:rsidRDefault="00E12827" w:rsidP="00E12827">
      <w:r w:rsidRPr="00C57224">
        <w:lastRenderedPageBreak/>
        <w:t xml:space="preserve">A comprehensive support and FAQ page offering RGM tips and best practices is available at </w:t>
      </w:r>
      <w:hyperlink r:id="rId316" w:history="1">
        <w:r w:rsidR="001376E9">
          <w:rPr>
            <w:rStyle w:val="Hyperlink"/>
          </w:rPr>
          <w:t>https:/</w:t>
        </w:r>
        <w:r w:rsidRPr="00C57224">
          <w:rPr>
            <w:rStyle w:val="Hyperlink"/>
          </w:rPr>
          <w:t>/itu.int/go/itu-t/rgm-support</w:t>
        </w:r>
      </w:hyperlink>
      <w:r w:rsidRPr="00C57224">
        <w:t>.</w:t>
      </w:r>
    </w:p>
    <w:p w14:paraId="1B1DAA22" w14:textId="312E10C9" w:rsidR="00E12827" w:rsidRPr="00C57224" w:rsidRDefault="00E12827" w:rsidP="00E12827">
      <w:r w:rsidRPr="00C57224">
        <w:t xml:space="preserve">A detailed online user guide for the RGM System, including video tutorials, is available at </w:t>
      </w:r>
      <w:hyperlink r:id="rId317" w:history="1">
        <w:r w:rsidR="001376E9">
          <w:rPr>
            <w:rStyle w:val="Hyperlink"/>
          </w:rPr>
          <w:t>https:/</w:t>
        </w:r>
        <w:r w:rsidRPr="00C57224">
          <w:rPr>
            <w:rStyle w:val="Hyperlink"/>
          </w:rPr>
          <w:t>/itu.int/go/itu-t/rgm-guide</w:t>
        </w:r>
      </w:hyperlink>
      <w:r w:rsidRPr="00C57224">
        <w:t>.</w:t>
      </w:r>
    </w:p>
    <w:p w14:paraId="5C149FE2" w14:textId="77777777" w:rsidR="00E12827" w:rsidRPr="00C57224" w:rsidRDefault="00E12827" w:rsidP="00E12827">
      <w:r w:rsidRPr="00C57224">
        <w:t>The RGM system is one of several services available in the ITU-T SharePoint collaboration sites. Access to these sites is an ITU-T membership privilege, requiring an ITU User (TIES) account.</w:t>
      </w:r>
    </w:p>
    <w:p w14:paraId="1E469086" w14:textId="07EFF14A" w:rsidR="00E12827" w:rsidRPr="00C57224" w:rsidRDefault="00E12827" w:rsidP="001376E9">
      <w:pPr>
        <w:pStyle w:val="Headingb"/>
      </w:pPr>
      <w:r w:rsidRPr="00C57224">
        <w:t>ITU-T SharePoint Collaboration Sites</w:t>
      </w:r>
    </w:p>
    <w:p w14:paraId="14231BFB" w14:textId="77777777" w:rsidR="00E12827" w:rsidRPr="00C57224" w:rsidRDefault="00E12827" w:rsidP="00E12827">
      <w:r w:rsidRPr="00C57224">
        <w:t>The ITU-T SharePoint collaboration sites enable participants in ITU-T working groups to conduct online discussions, work on projects, schedule meetings and manage and store documents in a secure shared environment.</w:t>
      </w:r>
    </w:p>
    <w:p w14:paraId="21F5219C" w14:textId="69C54F65" w:rsidR="00E12827" w:rsidRPr="00C57224" w:rsidRDefault="00E12827" w:rsidP="00E12827">
      <w:r w:rsidRPr="00C57224">
        <w:t xml:space="preserve">The home of ITU-T SharePoint collaboration sites can be accessed at: </w:t>
      </w:r>
      <w:hyperlink r:id="rId318" w:history="1">
        <w:r w:rsidRPr="00C57224">
          <w:rPr>
            <w:rStyle w:val="Hyperlink"/>
          </w:rPr>
          <w:t>https://extranet.itu.int/sites/ITU-T/</w:t>
        </w:r>
      </w:hyperlink>
      <w:r w:rsidRPr="00C57224">
        <w:t>.</w:t>
      </w:r>
    </w:p>
    <w:p w14:paraId="541724B4" w14:textId="44E05B58" w:rsidR="00E12827" w:rsidRPr="00C57224" w:rsidRDefault="00E12827" w:rsidP="00E12827">
      <w:r w:rsidRPr="00C57224">
        <w:t xml:space="preserve">A support site that contains a knowledge base of FAQs and user guides on the various SharePoint services is also available at: </w:t>
      </w:r>
      <w:hyperlink r:id="rId319" w:history="1">
        <w:r w:rsidRPr="00C57224">
          <w:rPr>
            <w:rStyle w:val="Hyperlink"/>
          </w:rPr>
          <w:t>https://extranet.itu.int/ITU-T/support/</w:t>
        </w:r>
      </w:hyperlink>
      <w:r w:rsidRPr="00C57224">
        <w:t>.</w:t>
      </w:r>
    </w:p>
    <w:p w14:paraId="23D0B860" w14:textId="77777777" w:rsidR="00E12827" w:rsidRPr="00C57224" w:rsidRDefault="00E12827" w:rsidP="00E12827">
      <w:r w:rsidRPr="00C57224">
        <w:t>Access to most of the collaboration sites is an ITU-T membership privilege, requiring an ITU User (TIES) account. Some collaboration sites are open to non-members and may be accessed using non-member ITU User accounts.</w:t>
      </w:r>
      <w:bookmarkStart w:id="234" w:name="_Hlk49861831"/>
    </w:p>
    <w:p w14:paraId="18CB2C08" w14:textId="6590DD4F" w:rsidR="00E12827" w:rsidRPr="00C57224" w:rsidRDefault="00AB23B7" w:rsidP="001376E9">
      <w:pPr>
        <w:pStyle w:val="Heading2"/>
      </w:pPr>
      <w:bookmarkStart w:id="235" w:name="_Toc179219772"/>
      <w:bookmarkStart w:id="236" w:name="_Toc179221082"/>
      <w:r w:rsidRPr="00C57224">
        <w:t>12.2</w:t>
      </w:r>
      <w:r>
        <w:tab/>
      </w:r>
      <w:r w:rsidR="00E12827" w:rsidRPr="00C57224">
        <w:t xml:space="preserve">Web </w:t>
      </w:r>
      <w:r w:rsidR="001376E9" w:rsidRPr="00C57224">
        <w:t>applications</w:t>
      </w:r>
      <w:bookmarkEnd w:id="235"/>
      <w:bookmarkEnd w:id="236"/>
    </w:p>
    <w:p w14:paraId="4564F3C4" w14:textId="52D34F7E" w:rsidR="00E12827" w:rsidRPr="00C57224" w:rsidRDefault="00E12827" w:rsidP="00746967">
      <w:pPr>
        <w:pStyle w:val="Headingb"/>
      </w:pPr>
      <w:proofErr w:type="spellStart"/>
      <w:r w:rsidRPr="00C57224">
        <w:t>MyWorkspace</w:t>
      </w:r>
      <w:proofErr w:type="spellEnd"/>
    </w:p>
    <w:p w14:paraId="4CE87D45" w14:textId="6DB7EA15" w:rsidR="00E12827" w:rsidRPr="00C57224" w:rsidRDefault="00327645" w:rsidP="00E12827">
      <w:hyperlink r:id="rId320" w:history="1">
        <w:proofErr w:type="spellStart"/>
        <w:r w:rsidR="00E12827" w:rsidRPr="00C57224">
          <w:rPr>
            <w:rStyle w:val="Hyperlink"/>
          </w:rPr>
          <w:t>MyWorkspace</w:t>
        </w:r>
        <w:proofErr w:type="spellEnd"/>
      </w:hyperlink>
      <w:r w:rsidR="00E12827" w:rsidRPr="00C57224">
        <w:t xml:space="preserve"> is a user-friendly mobile platform that centralizes a set of applications and services.</w:t>
      </w:r>
    </w:p>
    <w:p w14:paraId="0E1A9C75" w14:textId="77777777" w:rsidR="00E12827" w:rsidRPr="00C57224" w:rsidRDefault="00E12827" w:rsidP="00E12827">
      <w:r w:rsidRPr="00C57224">
        <w:t>This platform has been built as a Progressive Web App (PWA) solution allowing the same user experience regardless of the device used. Access to this platform requires an ITU User account.</w:t>
      </w:r>
    </w:p>
    <w:p w14:paraId="2DF0E68F" w14:textId="77777777" w:rsidR="00E12827" w:rsidRPr="00C57224" w:rsidRDefault="00E12827" w:rsidP="00E12827">
      <w:r w:rsidRPr="00C57224">
        <w:t>This platform is being updated continuously to make the most of ITU's latest and common IT resources, while integrating and modernizing a growing number of applications.</w:t>
      </w:r>
    </w:p>
    <w:p w14:paraId="0DC9BC51" w14:textId="77777777" w:rsidR="00E12827" w:rsidRPr="00C57224" w:rsidRDefault="00E12827" w:rsidP="00E12827">
      <w:r w:rsidRPr="00C57224">
        <w:t xml:space="preserve">The following applications and services are available from </w:t>
      </w:r>
      <w:proofErr w:type="spellStart"/>
      <w:r w:rsidRPr="00C57224">
        <w:t>MyWorkspace</w:t>
      </w:r>
      <w:proofErr w:type="spellEnd"/>
      <w:r w:rsidRPr="00C57224">
        <w:t>:</w:t>
      </w:r>
    </w:p>
    <w:p w14:paraId="53D46929" w14:textId="58C7E717" w:rsidR="00E12827" w:rsidRPr="00C57224" w:rsidRDefault="00327645" w:rsidP="00E12827">
      <w:pPr>
        <w:numPr>
          <w:ilvl w:val="0"/>
          <w:numId w:val="19"/>
        </w:numPr>
      </w:pPr>
      <w:hyperlink r:id="rId321" w:anchor="/Translate">
        <w:r w:rsidR="00E12827" w:rsidRPr="00C57224">
          <w:rPr>
            <w:rStyle w:val="Hyperlink"/>
          </w:rPr>
          <w:t>ITU Translate</w:t>
        </w:r>
      </w:hyperlink>
      <w:r w:rsidR="00E12827" w:rsidRPr="00C57224">
        <w:t>:</w:t>
      </w:r>
      <w:r w:rsidR="00A26387" w:rsidRPr="00C57224">
        <w:t xml:space="preserve"> </w:t>
      </w:r>
      <w:r w:rsidR="00E12827" w:rsidRPr="00C57224">
        <w:t>ITU Translate is a neural machine translation tool developed by TSB for ITU documents and websites. Based on an open-source framework, it has been trained using ITU material to ensure greater accuracy for technical content, but also includes website translation from external cloud-based translation services for general language expressions.</w:t>
      </w:r>
      <w:r w:rsidR="00E12827" w:rsidRPr="00C57224">
        <w:br/>
      </w:r>
      <w:r w:rsidR="00E12827" w:rsidRPr="00C57224">
        <w:br/>
        <w:t>ITU Translate identifies and applies the best tools available for each language pair to translate general language webpages not currently available in the six official ITU languages. It uses innovative technologies to ensure high-quality translation services to complement the reach of the work carried out by ITU</w:t>
      </w:r>
      <w:r w:rsidR="007C2FC3" w:rsidRPr="00C57224">
        <w:t>'</w:t>
      </w:r>
      <w:r w:rsidR="00E12827" w:rsidRPr="00C57224">
        <w:t>s human translation service. This is in line with PP Resolution 154 on the use of the six official languages of the Union on an equal footing.</w:t>
      </w:r>
    </w:p>
    <w:p w14:paraId="16D31A25" w14:textId="0D684F83" w:rsidR="00E12827" w:rsidRPr="00C57224" w:rsidRDefault="00327645" w:rsidP="00E12827">
      <w:pPr>
        <w:numPr>
          <w:ilvl w:val="0"/>
          <w:numId w:val="19"/>
        </w:numPr>
      </w:pPr>
      <w:hyperlink r:id="rId322" w:anchor="/wp-external" w:history="1">
        <w:r w:rsidR="00E12827" w:rsidRPr="00C57224">
          <w:rPr>
            <w:rStyle w:val="Hyperlink"/>
          </w:rPr>
          <w:t>Work Programme</w:t>
        </w:r>
      </w:hyperlink>
      <w:r w:rsidR="00E12827" w:rsidRPr="00C57224">
        <w:t xml:space="preserve">: This new application will replace the ageing </w:t>
      </w:r>
      <w:hyperlink r:id="rId323" w:history="1">
        <w:r w:rsidR="00E12827" w:rsidRPr="00C57224">
          <w:rPr>
            <w:rStyle w:val="Hyperlink"/>
          </w:rPr>
          <w:t>ITU-T Work Programme</w:t>
        </w:r>
      </w:hyperlink>
      <w:r w:rsidR="00E12827" w:rsidRPr="00C57224">
        <w:t xml:space="preserve"> web application which will be phased out smoothly. Offering the same range of services, through a modern and centralized public application, this new application enhances access to the ITU-T Work Programme and increases its visibility.</w:t>
      </w:r>
    </w:p>
    <w:p w14:paraId="65F673AF" w14:textId="0DC1B126" w:rsidR="00A26387" w:rsidRPr="00C57224" w:rsidRDefault="00327645" w:rsidP="00E12827">
      <w:pPr>
        <w:numPr>
          <w:ilvl w:val="0"/>
          <w:numId w:val="19"/>
        </w:numPr>
      </w:pPr>
      <w:hyperlink r:id="rId324" w:anchor="/rec-external" w:history="1">
        <w:hyperlink r:id="rId325" w:history="1">
          <w:r w:rsidR="00E12827" w:rsidRPr="00C57224">
            <w:rPr>
              <w:rStyle w:val="Hyperlink"/>
            </w:rPr>
            <w:t>Standards</w:t>
          </w:r>
        </w:hyperlink>
      </w:hyperlink>
      <w:r w:rsidR="00E12827" w:rsidRPr="00C57224">
        <w:t xml:space="preserve">: This new application will replace the ageing </w:t>
      </w:r>
      <w:hyperlink r:id="rId326" w:history="1">
        <w:r w:rsidR="00E12827" w:rsidRPr="00C57224">
          <w:rPr>
            <w:rStyle w:val="Hyperlink"/>
          </w:rPr>
          <w:t>ITU-T Recommendations</w:t>
        </w:r>
      </w:hyperlink>
      <w:r w:rsidR="00E12827" w:rsidRPr="00C57224">
        <w:t xml:space="preserve"> web application, which will also be discontinued once all services have been transferred. The aim is to provide fast, modern access to ITU-T Recommendations and Supplements, with all relevant information, while also increasing their visibility to the public.</w:t>
      </w:r>
    </w:p>
    <w:p w14:paraId="550C757A" w14:textId="174D503D" w:rsidR="00E12827" w:rsidRPr="00C57224" w:rsidRDefault="00327645" w:rsidP="00E12827">
      <w:pPr>
        <w:numPr>
          <w:ilvl w:val="0"/>
          <w:numId w:val="19"/>
        </w:numPr>
      </w:pPr>
      <w:hyperlink r:id="rId327" w:anchor="/MyMeetings">
        <w:proofErr w:type="spellStart"/>
        <w:r w:rsidR="00E12827" w:rsidRPr="00C57224">
          <w:rPr>
            <w:rStyle w:val="Hyperlink"/>
          </w:rPr>
          <w:t>MyMeetings</w:t>
        </w:r>
        <w:proofErr w:type="spellEnd"/>
      </w:hyperlink>
      <w:r w:rsidR="00E12827" w:rsidRPr="00C57224">
        <w:t xml:space="preserve">: Remote participation service based on the </w:t>
      </w:r>
      <w:hyperlink r:id="rId328">
        <w:proofErr w:type="spellStart"/>
        <w:r w:rsidR="00E12827" w:rsidRPr="00C57224">
          <w:rPr>
            <w:rStyle w:val="Hyperlink"/>
          </w:rPr>
          <w:t>BigBlueButton</w:t>
        </w:r>
        <w:proofErr w:type="spellEnd"/>
      </w:hyperlink>
      <w:r w:rsidR="00E12827" w:rsidRPr="00C57224">
        <w:t xml:space="preserve"> open-source solution and customized by TSB to support requirements – at headquarters and in the regions – of both statutory and non-statutory ITU-T meetings, with appropriate access controls.</w:t>
      </w:r>
    </w:p>
    <w:p w14:paraId="1209162E" w14:textId="77777777" w:rsidR="00A26387" w:rsidRPr="00C57224" w:rsidRDefault="00E12827" w:rsidP="00E12827">
      <w:pPr>
        <w:numPr>
          <w:ilvl w:val="0"/>
          <w:numId w:val="19"/>
        </w:numPr>
      </w:pPr>
      <w:r w:rsidRPr="00C57224">
        <w:t>Documents:</w:t>
      </w:r>
    </w:p>
    <w:p w14:paraId="5B296FF3" w14:textId="40ED1C70" w:rsidR="00E12827" w:rsidRPr="00C57224" w:rsidRDefault="00327645" w:rsidP="00E12827">
      <w:pPr>
        <w:numPr>
          <w:ilvl w:val="1"/>
          <w:numId w:val="19"/>
        </w:numPr>
      </w:pPr>
      <w:hyperlink r:id="rId329" w:anchor="/Documents/MyDocuments/meeting=T22-TSAG-221212">
        <w:proofErr w:type="spellStart"/>
        <w:r w:rsidR="00E12827" w:rsidRPr="00C57224">
          <w:rPr>
            <w:rStyle w:val="Hyperlink"/>
          </w:rPr>
          <w:t>MyDocuments</w:t>
        </w:r>
        <w:proofErr w:type="spellEnd"/>
      </w:hyperlink>
      <w:r w:rsidR="00E12827" w:rsidRPr="00C57224">
        <w:t xml:space="preserve">: Enhanced access to ITU-T study group meeting documents, per meeting, with multiple sorting and selection filters and full-text search, and automatic translation from English into the five </w:t>
      </w:r>
      <w:proofErr w:type="gramStart"/>
      <w:r w:rsidR="00E12827" w:rsidRPr="00C57224">
        <w:t>other</w:t>
      </w:r>
      <w:proofErr w:type="gramEnd"/>
      <w:r w:rsidR="00E12827" w:rsidRPr="00C57224">
        <w:t xml:space="preserve"> official ITU languages on demand.</w:t>
      </w:r>
    </w:p>
    <w:p w14:paraId="5FB8A607" w14:textId="45B9AEDF" w:rsidR="00E12827" w:rsidRPr="00C57224" w:rsidRDefault="00327645" w:rsidP="00E12827">
      <w:pPr>
        <w:numPr>
          <w:ilvl w:val="1"/>
          <w:numId w:val="19"/>
        </w:numPr>
      </w:pPr>
      <w:hyperlink r:id="rId330" w:anchor="/Documents/Suggested-Documents" w:history="1">
        <w:r w:rsidR="00E12827" w:rsidRPr="00C57224">
          <w:rPr>
            <w:rStyle w:val="Hyperlink"/>
          </w:rPr>
          <w:t>Suggested documents</w:t>
        </w:r>
      </w:hyperlink>
      <w:r w:rsidR="00E12827" w:rsidRPr="00C57224">
        <w:t>: A proposed list of documents based on pre-set user interests, with the option to bookmark favourites.</w:t>
      </w:r>
    </w:p>
    <w:p w14:paraId="49C631D6" w14:textId="7FD2492C" w:rsidR="00E12827" w:rsidRPr="00C57224" w:rsidRDefault="00327645" w:rsidP="00E12827">
      <w:pPr>
        <w:numPr>
          <w:ilvl w:val="0"/>
          <w:numId w:val="19"/>
        </w:numPr>
      </w:pPr>
      <w:hyperlink r:id="rId331" w:anchor="/sdg">
        <w:r w:rsidR="00E12827" w:rsidRPr="00C57224">
          <w:rPr>
            <w:rStyle w:val="Hyperlink"/>
          </w:rPr>
          <w:t>SDG Mapping</w:t>
        </w:r>
      </w:hyperlink>
      <w:r w:rsidR="00E12827" w:rsidRPr="00C57224">
        <w:t>: AI-based mapping of the United Nations Sustainable Development Goals (SDGs) to ITU-T publications and Recommendations by evaluating semantic relevance of the texts to the achievement of these goals.</w:t>
      </w:r>
    </w:p>
    <w:p w14:paraId="5372A9AB" w14:textId="6E497A98" w:rsidR="00E12827" w:rsidRPr="00C57224" w:rsidRDefault="00327645" w:rsidP="00E12827">
      <w:pPr>
        <w:numPr>
          <w:ilvl w:val="0"/>
          <w:numId w:val="19"/>
        </w:numPr>
      </w:pPr>
      <w:hyperlink r:id="rId332" w:anchor="/Calendar">
        <w:r w:rsidR="00E12827" w:rsidRPr="00C57224">
          <w:rPr>
            <w:rStyle w:val="Hyperlink"/>
          </w:rPr>
          <w:t>Calendar</w:t>
        </w:r>
      </w:hyperlink>
      <w:r w:rsidR="00E12827" w:rsidRPr="00C57224">
        <w:t>: Monthly calendar view of all ITU events with filters on ITU sectors and ITU-T working groups, with detailed information.</w:t>
      </w:r>
    </w:p>
    <w:p w14:paraId="70E3F789" w14:textId="20E25328" w:rsidR="00E12827" w:rsidRPr="00C57224" w:rsidRDefault="00327645" w:rsidP="00E12827">
      <w:pPr>
        <w:numPr>
          <w:ilvl w:val="0"/>
          <w:numId w:val="19"/>
        </w:numPr>
      </w:pPr>
      <w:hyperlink r:id="rId333" w:anchor="/Myevents">
        <w:proofErr w:type="spellStart"/>
        <w:r w:rsidR="00E12827" w:rsidRPr="00C57224">
          <w:rPr>
            <w:rStyle w:val="Hyperlink"/>
          </w:rPr>
          <w:t>MyEvents</w:t>
        </w:r>
        <w:proofErr w:type="spellEnd"/>
      </w:hyperlink>
      <w:r w:rsidR="00E12827" w:rsidRPr="00C57224">
        <w:t>: Events management platform that provides real-time ITU-T events agenda, list of registered participants, speakers and exhibitors, as well as a matchmaking function to enable networking among participants.</w:t>
      </w:r>
    </w:p>
    <w:p w14:paraId="749C2A9E" w14:textId="103D70DF" w:rsidR="00E12827" w:rsidRPr="00C57224" w:rsidRDefault="00327645" w:rsidP="00E12827">
      <w:pPr>
        <w:numPr>
          <w:ilvl w:val="0"/>
          <w:numId w:val="19"/>
        </w:numPr>
      </w:pPr>
      <w:hyperlink r:id="rId334" w:anchor="/Mailing">
        <w:r w:rsidR="00E12827" w:rsidRPr="00C57224">
          <w:rPr>
            <w:rStyle w:val="Hyperlink"/>
          </w:rPr>
          <w:t>Mailing list</w:t>
        </w:r>
      </w:hyperlink>
      <w:r w:rsidR="00E12827" w:rsidRPr="00C57224">
        <w:t>: Subscription management with search functionality.</w:t>
      </w:r>
    </w:p>
    <w:p w14:paraId="261BE650" w14:textId="0104AEC8" w:rsidR="00E12827" w:rsidRPr="00C57224" w:rsidRDefault="00327645" w:rsidP="00E12827">
      <w:pPr>
        <w:numPr>
          <w:ilvl w:val="0"/>
          <w:numId w:val="19"/>
        </w:numPr>
      </w:pPr>
      <w:hyperlink r:id="rId335" w:anchor="/Community">
        <w:r w:rsidR="00E12827" w:rsidRPr="00C57224">
          <w:rPr>
            <w:rStyle w:val="Hyperlink"/>
          </w:rPr>
          <w:t>Community</w:t>
        </w:r>
      </w:hyperlink>
      <w:r w:rsidR="00E12827" w:rsidRPr="00C57224">
        <w:t xml:space="preserve">: </w:t>
      </w:r>
      <w:proofErr w:type="spellStart"/>
      <w:r w:rsidR="00E12827" w:rsidRPr="00C57224">
        <w:t>MyWorkspace</w:t>
      </w:r>
      <w:proofErr w:type="spellEnd"/>
      <w:r w:rsidR="00E12827" w:rsidRPr="00C57224">
        <w:t xml:space="preserve"> user directory.</w:t>
      </w:r>
    </w:p>
    <w:p w14:paraId="175F48BB" w14:textId="62F21BE0" w:rsidR="00E12827" w:rsidRPr="00C57224" w:rsidRDefault="00327645" w:rsidP="00E12827">
      <w:pPr>
        <w:numPr>
          <w:ilvl w:val="0"/>
          <w:numId w:val="19"/>
        </w:numPr>
      </w:pPr>
      <w:hyperlink r:id="rId336" w:anchor="/profile">
        <w:r w:rsidR="00E12827" w:rsidRPr="00C57224">
          <w:rPr>
            <w:rStyle w:val="Hyperlink"/>
          </w:rPr>
          <w:t>Profile and preferences</w:t>
        </w:r>
      </w:hyperlink>
      <w:r w:rsidR="00E12827" w:rsidRPr="00C57224">
        <w:t>: User personal information and interests.</w:t>
      </w:r>
    </w:p>
    <w:p w14:paraId="2389AEEF" w14:textId="77777777" w:rsidR="00E12827" w:rsidRPr="00C57224" w:rsidRDefault="00E12827" w:rsidP="00E12827">
      <w:r w:rsidRPr="00C57224">
        <w:t xml:space="preserve">In addition to those integrated applications, </w:t>
      </w:r>
      <w:proofErr w:type="spellStart"/>
      <w:r w:rsidRPr="00C57224">
        <w:t>MyWorkspace</w:t>
      </w:r>
      <w:proofErr w:type="spellEnd"/>
      <w:r w:rsidRPr="00C57224">
        <w:t xml:space="preserve"> also offers access to an external set of services:</w:t>
      </w:r>
    </w:p>
    <w:p w14:paraId="3BAAEE9B" w14:textId="115935B2" w:rsidR="00E12827" w:rsidRPr="00C57224" w:rsidRDefault="00327645" w:rsidP="00E12827">
      <w:pPr>
        <w:numPr>
          <w:ilvl w:val="0"/>
          <w:numId w:val="19"/>
        </w:numPr>
      </w:pPr>
      <w:hyperlink r:id="rId337" w:anchor="/Other-apps">
        <w:r w:rsidR="00E12827" w:rsidRPr="00C57224">
          <w:rPr>
            <w:rStyle w:val="Hyperlink"/>
          </w:rPr>
          <w:t>Other Apps</w:t>
        </w:r>
      </w:hyperlink>
      <w:r w:rsidR="00E12827" w:rsidRPr="00C57224">
        <w:t xml:space="preserve">: Direct access to external services such as </w:t>
      </w:r>
      <w:hyperlink r:id="rId338">
        <w:r w:rsidR="00E12827" w:rsidRPr="00C57224">
          <w:rPr>
            <w:rStyle w:val="Hyperlink"/>
          </w:rPr>
          <w:t>ITU-T Cloud</w:t>
        </w:r>
      </w:hyperlink>
      <w:r w:rsidR="00E12827" w:rsidRPr="00C57224">
        <w:t xml:space="preserve">, </w:t>
      </w:r>
      <w:hyperlink r:id="rId339">
        <w:r w:rsidR="00E12827" w:rsidRPr="00C57224">
          <w:rPr>
            <w:rStyle w:val="Hyperlink"/>
          </w:rPr>
          <w:t>ITU-T Databases</w:t>
        </w:r>
      </w:hyperlink>
      <w:r w:rsidR="00E12827" w:rsidRPr="00C57224">
        <w:t xml:space="preserve">, a </w:t>
      </w:r>
      <w:hyperlink r:id="rId340">
        <w:r w:rsidR="00E12827" w:rsidRPr="00C57224">
          <w:rPr>
            <w:rStyle w:val="Hyperlink"/>
          </w:rPr>
          <w:t>Meeting documents synchronisation tool</w:t>
        </w:r>
      </w:hyperlink>
      <w:r w:rsidR="00E12827" w:rsidRPr="00C57224">
        <w:t xml:space="preserve">, Extranet collaboration platforms, </w:t>
      </w:r>
      <w:hyperlink r:id="rId341">
        <w:r w:rsidR="00E12827" w:rsidRPr="00C57224">
          <w:rPr>
            <w:rStyle w:val="Hyperlink"/>
          </w:rPr>
          <w:t>ITU Search</w:t>
        </w:r>
      </w:hyperlink>
      <w:r w:rsidR="00E12827" w:rsidRPr="00C57224">
        <w:t xml:space="preserve">, </w:t>
      </w:r>
      <w:hyperlink r:id="rId342">
        <w:r w:rsidR="00E12827" w:rsidRPr="00C57224">
          <w:rPr>
            <w:rStyle w:val="Hyperlink"/>
          </w:rPr>
          <w:t>Frequently asked questions</w:t>
        </w:r>
      </w:hyperlink>
      <w:r w:rsidR="00E12827" w:rsidRPr="00C57224">
        <w:t>.</w:t>
      </w:r>
    </w:p>
    <w:p w14:paraId="0FFF3535" w14:textId="11508E94" w:rsidR="00E12827" w:rsidRPr="00C57224" w:rsidRDefault="00E12827" w:rsidP="00746967">
      <w:pPr>
        <w:pStyle w:val="Headingb"/>
      </w:pPr>
      <w:bookmarkStart w:id="237" w:name="_Toc531592355"/>
      <w:r w:rsidRPr="00C57224">
        <w:t xml:space="preserve">Alternative </w:t>
      </w:r>
      <w:r w:rsidR="0010428B" w:rsidRPr="00C57224">
        <w:t>approval process system</w:t>
      </w:r>
    </w:p>
    <w:p w14:paraId="11115C99" w14:textId="56169BE5" w:rsidR="00E12827" w:rsidRPr="00C57224" w:rsidRDefault="00E12827" w:rsidP="00E12827">
      <w:r w:rsidRPr="00C57224">
        <w:t xml:space="preserve">Online solution to apply the ITU-T A.8 simplified and faster procedure used for seeking the approval of draft new and revised Recommendations: </w:t>
      </w:r>
      <w:hyperlink r:id="rId343">
        <w:r w:rsidRPr="00C57224">
          <w:rPr>
            <w:rStyle w:val="Hyperlink"/>
          </w:rPr>
          <w:t>https://www.itu.int/t/aap/aap-recs</w:t>
        </w:r>
      </w:hyperlink>
      <w:r w:rsidRPr="00C57224">
        <w:t>.</w:t>
      </w:r>
    </w:p>
    <w:p w14:paraId="04B61D4D" w14:textId="0E1D6DDF" w:rsidR="00E12827" w:rsidRPr="00C57224" w:rsidRDefault="00E12827" w:rsidP="00746967">
      <w:pPr>
        <w:pStyle w:val="Headingb"/>
      </w:pPr>
      <w:r w:rsidRPr="00C57224">
        <w:t xml:space="preserve">ITU-T </w:t>
      </w:r>
      <w:r w:rsidR="0010428B" w:rsidRPr="00C57224">
        <w:t>work p</w:t>
      </w:r>
      <w:r w:rsidRPr="00C57224">
        <w:t>rogramme</w:t>
      </w:r>
    </w:p>
    <w:p w14:paraId="42247056" w14:textId="6D19C487" w:rsidR="00E12827" w:rsidRPr="00C57224" w:rsidRDefault="00E12827" w:rsidP="00E12827">
      <w:r w:rsidRPr="00C57224">
        <w:t xml:space="preserve">Suite of Windows and </w:t>
      </w:r>
      <w:hyperlink r:id="rId344">
        <w:r w:rsidRPr="00C57224">
          <w:rPr>
            <w:rStyle w:val="Hyperlink"/>
          </w:rPr>
          <w:t>Web applications</w:t>
        </w:r>
      </w:hyperlink>
      <w:r w:rsidRPr="00C57224">
        <w:t xml:space="preserve"> to follow ITU-T working groups</w:t>
      </w:r>
      <w:r w:rsidR="007C2FC3" w:rsidRPr="00C57224">
        <w:t>'</w:t>
      </w:r>
      <w:r w:rsidRPr="00C57224">
        <w:t xml:space="preserve"> current and past structure and work items (currently shifted to </w:t>
      </w:r>
      <w:proofErr w:type="spellStart"/>
      <w:r w:rsidRPr="00C57224">
        <w:t>MyWorkspace</w:t>
      </w:r>
      <w:proofErr w:type="spellEnd"/>
      <w:r w:rsidRPr="00C57224">
        <w:t>).</w:t>
      </w:r>
    </w:p>
    <w:p w14:paraId="5662AFCF" w14:textId="282A80BB" w:rsidR="00E12827" w:rsidRPr="00360BC6" w:rsidRDefault="00E12827" w:rsidP="00746967">
      <w:pPr>
        <w:pStyle w:val="Headingb"/>
        <w:rPr>
          <w:lang w:val="fr-FR"/>
        </w:rPr>
      </w:pPr>
      <w:r w:rsidRPr="00360BC6">
        <w:rPr>
          <w:lang w:val="fr-FR"/>
        </w:rPr>
        <w:t xml:space="preserve">ITU-T </w:t>
      </w:r>
      <w:r w:rsidR="0010428B" w:rsidRPr="00360BC6">
        <w:rPr>
          <w:lang w:val="fr-FR"/>
        </w:rPr>
        <w:t>liaison statements</w:t>
      </w:r>
    </w:p>
    <w:p w14:paraId="201B2C73" w14:textId="4C7E1C3A" w:rsidR="00E12827" w:rsidRPr="00360BC6" w:rsidRDefault="00E12827" w:rsidP="00E12827">
      <w:pPr>
        <w:rPr>
          <w:lang w:val="fr-FR"/>
        </w:rPr>
      </w:pPr>
      <w:r w:rsidRPr="00360BC6">
        <w:rPr>
          <w:lang w:val="fr-FR"/>
        </w:rPr>
        <w:t xml:space="preserve">Online application to </w:t>
      </w:r>
      <w:proofErr w:type="spellStart"/>
      <w:r w:rsidRPr="00360BC6">
        <w:rPr>
          <w:lang w:val="fr-FR"/>
        </w:rPr>
        <w:t>access</w:t>
      </w:r>
      <w:proofErr w:type="spellEnd"/>
      <w:r w:rsidRPr="00360BC6">
        <w:rPr>
          <w:lang w:val="fr-FR"/>
        </w:rPr>
        <w:t xml:space="preserve"> the </w:t>
      </w:r>
      <w:hyperlink r:id="rId345" w:history="1">
        <w:r w:rsidRPr="00360BC6">
          <w:rPr>
            <w:rStyle w:val="Hyperlink"/>
            <w:lang w:val="fr-FR"/>
          </w:rPr>
          <w:t>ITU-T Liaison Statements</w:t>
        </w:r>
      </w:hyperlink>
      <w:r w:rsidRPr="00360BC6">
        <w:rPr>
          <w:lang w:val="fr-FR"/>
        </w:rPr>
        <w:t xml:space="preserve"> </w:t>
      </w:r>
      <w:proofErr w:type="spellStart"/>
      <w:r w:rsidRPr="00360BC6">
        <w:rPr>
          <w:lang w:val="fr-FR"/>
        </w:rPr>
        <w:t>database</w:t>
      </w:r>
      <w:proofErr w:type="spellEnd"/>
      <w:r w:rsidRPr="00360BC6">
        <w:rPr>
          <w:lang w:val="fr-FR"/>
        </w:rPr>
        <w:t>.</w:t>
      </w:r>
    </w:p>
    <w:p w14:paraId="54284ECB" w14:textId="45D8900D" w:rsidR="00E12827" w:rsidRPr="00360BC6" w:rsidRDefault="00E12827" w:rsidP="00746967">
      <w:pPr>
        <w:pStyle w:val="Headingb"/>
        <w:rPr>
          <w:lang w:val="fr-FR"/>
        </w:rPr>
      </w:pPr>
      <w:r w:rsidRPr="00360BC6">
        <w:rPr>
          <w:lang w:val="fr-FR"/>
        </w:rPr>
        <w:t xml:space="preserve">ITU-T </w:t>
      </w:r>
      <w:proofErr w:type="spellStart"/>
      <w:r w:rsidRPr="00360BC6">
        <w:rPr>
          <w:lang w:val="fr-FR"/>
        </w:rPr>
        <w:t>Recommendations</w:t>
      </w:r>
      <w:proofErr w:type="spellEnd"/>
    </w:p>
    <w:p w14:paraId="241653B0" w14:textId="32CCF334" w:rsidR="00E12827" w:rsidRPr="00C57224" w:rsidRDefault="00E12827" w:rsidP="00E12827">
      <w:r w:rsidRPr="00C57224">
        <w:t xml:space="preserve">Suite of Windows and Web applications to follow and access </w:t>
      </w:r>
      <w:hyperlink r:id="rId346">
        <w:r w:rsidRPr="00C57224">
          <w:rPr>
            <w:rStyle w:val="Hyperlink"/>
          </w:rPr>
          <w:t>ITU-T Recommendations</w:t>
        </w:r>
      </w:hyperlink>
      <w:r w:rsidRPr="00C57224">
        <w:t xml:space="preserve"> publications (currently shifted to </w:t>
      </w:r>
      <w:proofErr w:type="spellStart"/>
      <w:r w:rsidRPr="00C57224">
        <w:t>MyWorkspace</w:t>
      </w:r>
      <w:proofErr w:type="spellEnd"/>
      <w:r w:rsidRPr="00C57224">
        <w:t>).</w:t>
      </w:r>
    </w:p>
    <w:p w14:paraId="6F0C6760" w14:textId="0D51D331" w:rsidR="00E12827" w:rsidRPr="00C57224" w:rsidRDefault="00E12827" w:rsidP="00746967">
      <w:pPr>
        <w:pStyle w:val="Headingb"/>
      </w:pPr>
      <w:r w:rsidRPr="00C57224">
        <w:t xml:space="preserve">ICT </w:t>
      </w:r>
      <w:r w:rsidR="0010428B" w:rsidRPr="00C57224">
        <w:t>standards landscape</w:t>
      </w:r>
    </w:p>
    <w:p w14:paraId="49E6BCEB" w14:textId="01C8114F" w:rsidR="00E12827" w:rsidRPr="00C57224" w:rsidRDefault="00E12827" w:rsidP="00E12827">
      <w:r w:rsidRPr="00C57224">
        <w:t xml:space="preserve">Online management and research tool across the </w:t>
      </w:r>
      <w:hyperlink r:id="rId347" w:history="1">
        <w:r w:rsidRPr="00C57224">
          <w:rPr>
            <w:rStyle w:val="Hyperlink"/>
          </w:rPr>
          <w:t>ICT Standards Landscape</w:t>
        </w:r>
      </w:hyperlink>
      <w:r w:rsidRPr="00C57224">
        <w:t xml:space="preserve"> covering various topics linked to ITU-T and other SDOs</w:t>
      </w:r>
      <w:r w:rsidR="007C2FC3" w:rsidRPr="00C57224">
        <w:t>'</w:t>
      </w:r>
      <w:r w:rsidRPr="00C57224">
        <w:t xml:space="preserve"> standards, under the responsibility of experts in the respective domain, such as:</w:t>
      </w:r>
    </w:p>
    <w:p w14:paraId="6DE09AE3" w14:textId="5EBAA670" w:rsidR="00E12827" w:rsidRPr="00C57224" w:rsidRDefault="00327645" w:rsidP="00E12827">
      <w:pPr>
        <w:numPr>
          <w:ilvl w:val="0"/>
          <w:numId w:val="19"/>
        </w:numPr>
      </w:pPr>
      <w:hyperlink r:id="rId348" w:history="1">
        <w:r w:rsidR="00E12827" w:rsidRPr="00C57224">
          <w:rPr>
            <w:rStyle w:val="Hyperlink"/>
          </w:rPr>
          <w:t>Access Network Transport</w:t>
        </w:r>
      </w:hyperlink>
    </w:p>
    <w:p w14:paraId="5CA2F0D2" w14:textId="6421E4A9" w:rsidR="00E12827" w:rsidRPr="00C57224" w:rsidRDefault="00327645" w:rsidP="00E12827">
      <w:pPr>
        <w:numPr>
          <w:ilvl w:val="0"/>
          <w:numId w:val="19"/>
        </w:numPr>
      </w:pPr>
      <w:hyperlink r:id="rId349" w:history="1">
        <w:r w:rsidR="00E12827" w:rsidRPr="00C57224">
          <w:rPr>
            <w:rStyle w:val="Hyperlink"/>
          </w:rPr>
          <w:t>Cloud Computing</w:t>
        </w:r>
      </w:hyperlink>
    </w:p>
    <w:p w14:paraId="69F4D411" w14:textId="629DABF3" w:rsidR="00A26387" w:rsidRPr="00C57224" w:rsidRDefault="00327645" w:rsidP="00E12827">
      <w:pPr>
        <w:numPr>
          <w:ilvl w:val="0"/>
          <w:numId w:val="19"/>
        </w:numPr>
      </w:pPr>
      <w:hyperlink r:id="rId350" w:history="1">
        <w:r w:rsidR="00E12827" w:rsidRPr="00C57224">
          <w:rPr>
            <w:rStyle w:val="Hyperlink"/>
          </w:rPr>
          <w:t>Home Network Transport</w:t>
        </w:r>
      </w:hyperlink>
    </w:p>
    <w:p w14:paraId="58C9D000" w14:textId="394F7996" w:rsidR="00A26387" w:rsidRPr="00C57224" w:rsidRDefault="00327645" w:rsidP="00E12827">
      <w:pPr>
        <w:numPr>
          <w:ilvl w:val="0"/>
          <w:numId w:val="19"/>
        </w:numPr>
      </w:pPr>
      <w:hyperlink r:id="rId351" w:history="1">
        <w:r w:rsidR="00E12827" w:rsidRPr="00C57224">
          <w:rPr>
            <w:rStyle w:val="Hyperlink"/>
          </w:rPr>
          <w:t>ICT Security</w:t>
        </w:r>
      </w:hyperlink>
    </w:p>
    <w:p w14:paraId="36089F04" w14:textId="284D319D" w:rsidR="00E12827" w:rsidRPr="00C57224" w:rsidRDefault="00327645" w:rsidP="00E12827">
      <w:pPr>
        <w:numPr>
          <w:ilvl w:val="0"/>
          <w:numId w:val="19"/>
        </w:numPr>
      </w:pPr>
      <w:hyperlink r:id="rId352" w:history="1">
        <w:r w:rsidR="00E12827" w:rsidRPr="00C57224">
          <w:rPr>
            <w:rStyle w:val="Hyperlink"/>
          </w:rPr>
          <w:t>IMT-2020 and beyond</w:t>
        </w:r>
      </w:hyperlink>
    </w:p>
    <w:p w14:paraId="03C92EBA" w14:textId="0AD8C54E" w:rsidR="00E12827" w:rsidRPr="00C57224" w:rsidRDefault="00327645" w:rsidP="00E12827">
      <w:pPr>
        <w:numPr>
          <w:ilvl w:val="0"/>
          <w:numId w:val="19"/>
        </w:numPr>
      </w:pPr>
      <w:hyperlink r:id="rId353" w:history="1">
        <w:r w:rsidR="00E12827" w:rsidRPr="00C57224">
          <w:rPr>
            <w:rStyle w:val="Hyperlink"/>
          </w:rPr>
          <w:t>ITS Communication</w:t>
        </w:r>
      </w:hyperlink>
    </w:p>
    <w:p w14:paraId="581259FB" w14:textId="1BD6304C" w:rsidR="00E12827" w:rsidRPr="00C57224" w:rsidRDefault="00327645" w:rsidP="00E12827">
      <w:pPr>
        <w:numPr>
          <w:ilvl w:val="0"/>
          <w:numId w:val="19"/>
        </w:numPr>
      </w:pPr>
      <w:hyperlink r:id="rId354">
        <w:r w:rsidR="00E12827" w:rsidRPr="00C57224">
          <w:rPr>
            <w:rStyle w:val="Hyperlink"/>
          </w:rPr>
          <w:t>IoT &amp; Smart Sustainable Cities</w:t>
        </w:r>
      </w:hyperlink>
    </w:p>
    <w:p w14:paraId="5312C5CD" w14:textId="77777777" w:rsidR="00E12827" w:rsidRPr="00C57224" w:rsidRDefault="00E12827" w:rsidP="00E12827">
      <w:pPr>
        <w:numPr>
          <w:ilvl w:val="0"/>
          <w:numId w:val="19"/>
        </w:numPr>
      </w:pPr>
      <w:r w:rsidRPr="00C57224">
        <w:t>Quantum information technology</w:t>
      </w:r>
    </w:p>
    <w:p w14:paraId="123B3E97" w14:textId="77777777" w:rsidR="00E12827" w:rsidRPr="00C57224" w:rsidRDefault="00E12827" w:rsidP="00E12827">
      <w:pPr>
        <w:numPr>
          <w:ilvl w:val="0"/>
          <w:numId w:val="19"/>
        </w:numPr>
      </w:pPr>
      <w:r w:rsidRPr="00C57224">
        <w:t>Optical transport networks &amp; technologies</w:t>
      </w:r>
    </w:p>
    <w:p w14:paraId="73A337FE" w14:textId="77777777" w:rsidR="00E12827" w:rsidRPr="00C57224" w:rsidRDefault="00E12827" w:rsidP="00E12827">
      <w:pPr>
        <w:numPr>
          <w:ilvl w:val="0"/>
          <w:numId w:val="19"/>
        </w:numPr>
      </w:pPr>
      <w:r w:rsidRPr="00C57224">
        <w:t>Verifiable health credentials</w:t>
      </w:r>
    </w:p>
    <w:p w14:paraId="605CA39A" w14:textId="2D08E89D" w:rsidR="00E12827" w:rsidRPr="00C57224" w:rsidRDefault="00E12827" w:rsidP="0010428B">
      <w:pPr>
        <w:pStyle w:val="Headingb"/>
      </w:pPr>
      <w:r w:rsidRPr="00C57224">
        <w:t xml:space="preserve">Intellectual </w:t>
      </w:r>
      <w:r w:rsidR="0010428B" w:rsidRPr="00C57224">
        <w:t>property right</w:t>
      </w:r>
      <w:r w:rsidRPr="00C57224">
        <w:t>s (IPR) in ITU-T Recommendations</w:t>
      </w:r>
    </w:p>
    <w:p w14:paraId="5FDDE4E3" w14:textId="525A8E39" w:rsidR="00E12827" w:rsidRPr="00C57224" w:rsidRDefault="00E12827" w:rsidP="00E12827">
      <w:r w:rsidRPr="00C57224">
        <w:t xml:space="preserve">Online search on </w:t>
      </w:r>
      <w:hyperlink r:id="rId355" w:history="1">
        <w:r w:rsidRPr="00C57224">
          <w:rPr>
            <w:rStyle w:val="Hyperlink"/>
          </w:rPr>
          <w:t>ITU-T Recommendations patents and software</w:t>
        </w:r>
      </w:hyperlink>
      <w:r w:rsidRPr="00C57224">
        <w:t xml:space="preserve"> copyright declarations.</w:t>
      </w:r>
    </w:p>
    <w:p w14:paraId="7747FB60" w14:textId="2D846804" w:rsidR="00E12827" w:rsidRPr="00C57224" w:rsidRDefault="00E12827" w:rsidP="0010428B">
      <w:pPr>
        <w:pStyle w:val="Headingb"/>
      </w:pPr>
      <w:r w:rsidRPr="00C57224">
        <w:t xml:space="preserve">ITU-R/ITU-T </w:t>
      </w:r>
      <w:r w:rsidR="0010428B" w:rsidRPr="00C57224">
        <w:t xml:space="preserve">terms </w:t>
      </w:r>
      <w:r w:rsidRPr="00C57224">
        <w:t xml:space="preserve">&amp; </w:t>
      </w:r>
      <w:r w:rsidR="0010428B" w:rsidRPr="00C57224">
        <w:t>definitions d</w:t>
      </w:r>
      <w:r w:rsidRPr="00C57224">
        <w:t>atabase</w:t>
      </w:r>
    </w:p>
    <w:p w14:paraId="1F839BD2" w14:textId="182CAD51" w:rsidR="00E12827" w:rsidRPr="00C57224" w:rsidRDefault="00E12827" w:rsidP="00E12827">
      <w:r w:rsidRPr="00C57224">
        <w:t xml:space="preserve">Online search on </w:t>
      </w:r>
      <w:hyperlink r:id="rId356" w:history="1">
        <w:r w:rsidRPr="00C57224">
          <w:rPr>
            <w:rStyle w:val="Hyperlink"/>
          </w:rPr>
          <w:t>ITU-R and ITU-T Recommendations terms and definitions</w:t>
        </w:r>
      </w:hyperlink>
      <w:r w:rsidRPr="00C57224">
        <w:t xml:space="preserve"> databases.</w:t>
      </w:r>
    </w:p>
    <w:p w14:paraId="34A122D9" w14:textId="2EBFEBD4" w:rsidR="00E12827" w:rsidRPr="00C57224" w:rsidRDefault="00E12827" w:rsidP="00E12827">
      <w:r w:rsidRPr="00C57224">
        <w:t>This is maintained in close collaboration with the Coordination Committee for Vocabulary (</w:t>
      </w:r>
      <w:hyperlink r:id="rId357" w:history="1">
        <w:r w:rsidRPr="00C57224">
          <w:rPr>
            <w:rStyle w:val="Hyperlink"/>
          </w:rPr>
          <w:t>CCV</w:t>
        </w:r>
      </w:hyperlink>
      <w:r w:rsidRPr="00C57224">
        <w:t>).</w:t>
      </w:r>
    </w:p>
    <w:p w14:paraId="17ABA83D" w14:textId="4C6EAF19" w:rsidR="00E12827" w:rsidRPr="00C57224" w:rsidRDefault="00E12827" w:rsidP="0010428B">
      <w:pPr>
        <w:pStyle w:val="Headingb"/>
      </w:pPr>
      <w:r w:rsidRPr="00C57224">
        <w:t xml:space="preserve">ITU </w:t>
      </w:r>
      <w:r w:rsidR="0010428B" w:rsidRPr="00C57224">
        <w:t>national numbering plans repository</w:t>
      </w:r>
    </w:p>
    <w:p w14:paraId="2AE55BB7" w14:textId="547E46CC" w:rsidR="00E12827" w:rsidRPr="00C57224" w:rsidRDefault="00E12827" w:rsidP="00E12827">
      <w:pPr>
        <w:rPr>
          <w:b/>
          <w:bCs/>
        </w:rPr>
      </w:pPr>
      <w:r w:rsidRPr="00C57224">
        <w:t xml:space="preserve">Online access to </w:t>
      </w:r>
      <w:hyperlink r:id="rId358" w:anchor="/home">
        <w:r w:rsidRPr="00C57224">
          <w:rPr>
            <w:rStyle w:val="Hyperlink"/>
          </w:rPr>
          <w:t>ITU National Numbering Plans</w:t>
        </w:r>
      </w:hyperlink>
      <w:r w:rsidRPr="00C57224">
        <w:t xml:space="preserve"> which has been enhanced to allow users to access both the notifications of the administrations' plans in Word format and in dynamic lists, when applicable.</w:t>
      </w:r>
    </w:p>
    <w:p w14:paraId="43B0632F" w14:textId="7FF4F5A9" w:rsidR="00E12827" w:rsidRPr="00C57224" w:rsidRDefault="00E12827" w:rsidP="0010428B">
      <w:pPr>
        <w:pStyle w:val="Headingb"/>
      </w:pPr>
      <w:r w:rsidRPr="00C57224">
        <w:t xml:space="preserve">International </w:t>
      </w:r>
      <w:r w:rsidR="0010428B" w:rsidRPr="00C57224">
        <w:t>numbering r</w:t>
      </w:r>
      <w:r w:rsidRPr="00C57224">
        <w:t>esources</w:t>
      </w:r>
    </w:p>
    <w:p w14:paraId="60D9E534" w14:textId="39697165" w:rsidR="00E12827" w:rsidRPr="00C57224" w:rsidRDefault="00E12827" w:rsidP="00E12827">
      <w:r w:rsidRPr="00C57224">
        <w:t xml:space="preserve">The </w:t>
      </w:r>
      <w:hyperlink r:id="rId359">
        <w:r w:rsidRPr="00C57224">
          <w:rPr>
            <w:rStyle w:val="Hyperlink"/>
          </w:rPr>
          <w:t>International Numbering Resources</w:t>
        </w:r>
      </w:hyperlink>
      <w:r w:rsidRPr="00C57224">
        <w:t xml:space="preserve"> include databases such as:</w:t>
      </w:r>
    </w:p>
    <w:p w14:paraId="10053F37" w14:textId="55A2C6D2" w:rsidR="00E12827" w:rsidRPr="00C57224" w:rsidRDefault="00327645" w:rsidP="00E12827">
      <w:pPr>
        <w:numPr>
          <w:ilvl w:val="0"/>
          <w:numId w:val="19"/>
        </w:numPr>
      </w:pPr>
      <w:hyperlink r:id="rId360" w:history="1">
        <w:r w:rsidR="00E12827" w:rsidRPr="00C57224">
          <w:rPr>
            <w:rStyle w:val="Hyperlink"/>
          </w:rPr>
          <w:t>Universal Numbers applications</w:t>
        </w:r>
      </w:hyperlink>
      <w:r w:rsidR="00E12827" w:rsidRPr="00C57224">
        <w:t>: Enables the tracking of operators whose numbers have been reclaimed.</w:t>
      </w:r>
    </w:p>
    <w:p w14:paraId="0C0EACD8" w14:textId="32ABF424" w:rsidR="00E12827" w:rsidRPr="00C57224" w:rsidRDefault="00327645" w:rsidP="00E12827">
      <w:pPr>
        <w:numPr>
          <w:ilvl w:val="0"/>
          <w:numId w:val="19"/>
        </w:numPr>
      </w:pPr>
      <w:hyperlink r:id="rId361" w:history="1">
        <w:r w:rsidR="00E12827" w:rsidRPr="00C57224">
          <w:rPr>
            <w:rStyle w:val="Hyperlink"/>
          </w:rPr>
          <w:t>Issuer Identifier Number</w:t>
        </w:r>
      </w:hyperlink>
      <w:r w:rsidR="00E12827" w:rsidRPr="00C57224">
        <w:t xml:space="preserve"> (IIN): Workflow application allowing TSB to manage IIN registration.</w:t>
      </w:r>
    </w:p>
    <w:p w14:paraId="71D4507D" w14:textId="11C6A0AC" w:rsidR="00E12827" w:rsidRPr="00C57224" w:rsidRDefault="00E12827" w:rsidP="0010428B">
      <w:pPr>
        <w:pStyle w:val="Headingb"/>
      </w:pPr>
      <w:proofErr w:type="spellStart"/>
      <w:r w:rsidRPr="00C57224">
        <w:t>ITUSearch</w:t>
      </w:r>
      <w:proofErr w:type="spellEnd"/>
    </w:p>
    <w:p w14:paraId="5980D6A4" w14:textId="6EBADC93" w:rsidR="00A26387" w:rsidRPr="00C57224" w:rsidRDefault="00E12827" w:rsidP="00E12827">
      <w:r w:rsidRPr="00C57224">
        <w:t>Online search on ITU digital resources, including files that public search engines cannot access. The IS department recently adopted Google</w:t>
      </w:r>
      <w:r w:rsidR="007C2FC3" w:rsidRPr="00C57224">
        <w:t>'</w:t>
      </w:r>
      <w:r w:rsidRPr="00C57224">
        <w:t>s engine to search ITU web pages (</w:t>
      </w:r>
      <w:hyperlink r:id="rId362" w:history="1">
        <w:r w:rsidRPr="00C57224">
          <w:rPr>
            <w:rStyle w:val="Hyperlink"/>
          </w:rPr>
          <w:t>https://www.itu.int/search</w:t>
        </w:r>
      </w:hyperlink>
      <w:r w:rsidRPr="00C57224">
        <w:t>). This greatly improved result accuracy.</w:t>
      </w:r>
    </w:p>
    <w:p w14:paraId="7AAECBA5" w14:textId="30D6EC68" w:rsidR="00E12827" w:rsidRPr="00C57224" w:rsidRDefault="00E12827" w:rsidP="00E12827">
      <w:r w:rsidRPr="00C57224">
        <w:t xml:space="preserve">The </w:t>
      </w:r>
      <w:hyperlink r:id="rId363" w:history="1">
        <w:r w:rsidRPr="00C57224">
          <w:rPr>
            <w:rStyle w:val="Hyperlink"/>
            <w:i/>
            <w:iCs/>
          </w:rPr>
          <w:t>Deep Search</w:t>
        </w:r>
      </w:hyperlink>
      <w:r w:rsidRPr="00C57224">
        <w:t xml:space="preserve"> function still uses the legacy engine, whose search scope has been reduced to meeting documents, publications and ITU regulatory texts in six languages and the latest WTDC and WTSA outputs, avoiding mixing its results with ITU web pages</w:t>
      </w:r>
      <w:r w:rsidR="007C2FC3" w:rsidRPr="00C57224">
        <w:t>'</w:t>
      </w:r>
      <w:r w:rsidRPr="00C57224">
        <w:t xml:space="preserve"> resources.</w:t>
      </w:r>
      <w:bookmarkEnd w:id="234"/>
      <w:bookmarkEnd w:id="237"/>
    </w:p>
    <w:p w14:paraId="5149EFE2" w14:textId="2CC6924A" w:rsidR="00E12827" w:rsidRPr="00C57224" w:rsidRDefault="00E12827" w:rsidP="0010428B">
      <w:pPr>
        <w:pStyle w:val="Headingb"/>
      </w:pPr>
      <w:r w:rsidRPr="00C57224">
        <w:lastRenderedPageBreak/>
        <w:t xml:space="preserve">ITU-T </w:t>
      </w:r>
      <w:r w:rsidR="0010428B" w:rsidRPr="00C57224">
        <w:t>mailing l</w:t>
      </w:r>
      <w:r w:rsidRPr="00C57224">
        <w:t>ists</w:t>
      </w:r>
    </w:p>
    <w:p w14:paraId="1C848540" w14:textId="77777777" w:rsidR="00E12827" w:rsidRDefault="00E12827" w:rsidP="00E85F17">
      <w:pPr>
        <w:pStyle w:val="Normalbeforetable"/>
      </w:pPr>
      <w:r w:rsidRPr="00C57224">
        <w:t>The mailing lists continue remain essential tools for the work of study groups and other groups. The following table shows active ITU-T mailing lists and subscriptions. TSB recently established a new mailing list for ITU-T experts to receive an alert for each TSB Circular posting.</w:t>
      </w:r>
    </w:p>
    <w:p w14:paraId="0A39ECF7" w14:textId="0BD95B53" w:rsidR="00251DAA" w:rsidRPr="00C57224" w:rsidRDefault="00251DAA" w:rsidP="00251DAA">
      <w:pPr>
        <w:pStyle w:val="TableNotitle"/>
      </w:pPr>
      <w:bookmarkStart w:id="238" w:name="_Toc179232462"/>
      <w:r>
        <w:t xml:space="preserve">Table </w:t>
      </w:r>
      <w:r w:rsidR="00C63EF5">
        <w:t>3</w:t>
      </w:r>
      <w:r>
        <w:t xml:space="preserve"> – List of mailing lists and subscribers in the 2022-2024 study period</w:t>
      </w:r>
      <w:bookmarkEnd w:id="238"/>
    </w:p>
    <w:tbl>
      <w:tblPr>
        <w:tblStyle w:val="TableGrid"/>
        <w:tblW w:w="693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13"/>
        <w:gridCol w:w="1733"/>
        <w:gridCol w:w="1689"/>
      </w:tblGrid>
      <w:tr w:rsidR="00E12827" w:rsidRPr="0010428B" w14:paraId="3C8BB53B" w14:textId="77777777" w:rsidTr="0010428B">
        <w:trPr>
          <w:tblHeader/>
          <w:jc w:val="center"/>
        </w:trPr>
        <w:tc>
          <w:tcPr>
            <w:tcW w:w="3513" w:type="dxa"/>
            <w:tcBorders>
              <w:top w:val="single" w:sz="12" w:space="0" w:color="auto"/>
              <w:bottom w:val="single" w:sz="12" w:space="0" w:color="auto"/>
            </w:tcBorders>
            <w:shd w:val="clear" w:color="auto" w:fill="auto"/>
            <w:hideMark/>
          </w:tcPr>
          <w:p w14:paraId="36612168" w14:textId="77777777" w:rsidR="00E12827" w:rsidRPr="0010428B" w:rsidRDefault="00E12827" w:rsidP="0010428B">
            <w:pPr>
              <w:pStyle w:val="Tablehead"/>
            </w:pPr>
            <w:r w:rsidRPr="0010428B">
              <w:t>Group</w:t>
            </w:r>
          </w:p>
        </w:tc>
        <w:tc>
          <w:tcPr>
            <w:tcW w:w="1733" w:type="dxa"/>
            <w:tcBorders>
              <w:top w:val="single" w:sz="12" w:space="0" w:color="auto"/>
              <w:bottom w:val="single" w:sz="12" w:space="0" w:color="auto"/>
            </w:tcBorders>
            <w:shd w:val="clear" w:color="auto" w:fill="auto"/>
            <w:hideMark/>
          </w:tcPr>
          <w:p w14:paraId="474B6AE6" w14:textId="77777777" w:rsidR="00E12827" w:rsidRPr="0010428B" w:rsidRDefault="00E12827" w:rsidP="0010428B">
            <w:pPr>
              <w:pStyle w:val="Tablehead"/>
            </w:pPr>
            <w:r w:rsidRPr="0010428B">
              <w:t>Mailing lists</w:t>
            </w:r>
          </w:p>
        </w:tc>
        <w:tc>
          <w:tcPr>
            <w:tcW w:w="1689" w:type="dxa"/>
            <w:tcBorders>
              <w:top w:val="single" w:sz="12" w:space="0" w:color="auto"/>
              <w:bottom w:val="single" w:sz="12" w:space="0" w:color="auto"/>
            </w:tcBorders>
            <w:shd w:val="clear" w:color="auto" w:fill="auto"/>
            <w:hideMark/>
          </w:tcPr>
          <w:p w14:paraId="3350C469" w14:textId="77777777" w:rsidR="00E12827" w:rsidRPr="0010428B" w:rsidRDefault="00E12827" w:rsidP="0010428B">
            <w:pPr>
              <w:pStyle w:val="Tablehead"/>
            </w:pPr>
            <w:r w:rsidRPr="0010428B">
              <w:t>Subscribers</w:t>
            </w:r>
          </w:p>
        </w:tc>
      </w:tr>
      <w:tr w:rsidR="00E12827" w:rsidRPr="0010428B" w14:paraId="7E2F9038" w14:textId="77777777" w:rsidTr="0010428B">
        <w:trPr>
          <w:jc w:val="center"/>
        </w:trPr>
        <w:tc>
          <w:tcPr>
            <w:tcW w:w="3513" w:type="dxa"/>
            <w:tcBorders>
              <w:top w:val="single" w:sz="12" w:space="0" w:color="auto"/>
            </w:tcBorders>
            <w:shd w:val="clear" w:color="auto" w:fill="auto"/>
            <w:hideMark/>
          </w:tcPr>
          <w:p w14:paraId="56B45E0A" w14:textId="77777777" w:rsidR="00E12827" w:rsidRPr="0010428B" w:rsidRDefault="00E12827" w:rsidP="0010428B">
            <w:pPr>
              <w:pStyle w:val="Tabletext"/>
            </w:pPr>
            <w:r w:rsidRPr="0010428B">
              <w:t>TSAG</w:t>
            </w:r>
          </w:p>
        </w:tc>
        <w:tc>
          <w:tcPr>
            <w:tcW w:w="1733" w:type="dxa"/>
            <w:tcBorders>
              <w:top w:val="single" w:sz="12" w:space="0" w:color="auto"/>
            </w:tcBorders>
            <w:shd w:val="clear" w:color="auto" w:fill="auto"/>
            <w:hideMark/>
          </w:tcPr>
          <w:p w14:paraId="60889C05" w14:textId="77777777" w:rsidR="00E12827" w:rsidRPr="0010428B" w:rsidRDefault="00E12827" w:rsidP="0010428B">
            <w:pPr>
              <w:pStyle w:val="Tabletext"/>
              <w:jc w:val="center"/>
            </w:pPr>
            <w:r w:rsidRPr="0010428B">
              <w:t>11</w:t>
            </w:r>
          </w:p>
        </w:tc>
        <w:tc>
          <w:tcPr>
            <w:tcW w:w="1689" w:type="dxa"/>
            <w:tcBorders>
              <w:top w:val="single" w:sz="12" w:space="0" w:color="auto"/>
            </w:tcBorders>
            <w:shd w:val="clear" w:color="auto" w:fill="auto"/>
            <w:hideMark/>
          </w:tcPr>
          <w:p w14:paraId="73D6455A" w14:textId="77777777" w:rsidR="00E12827" w:rsidRPr="0010428B" w:rsidRDefault="00E12827" w:rsidP="0010428B">
            <w:pPr>
              <w:pStyle w:val="Tabletext"/>
              <w:jc w:val="center"/>
            </w:pPr>
            <w:r w:rsidRPr="0010428B">
              <w:t>2620</w:t>
            </w:r>
          </w:p>
        </w:tc>
      </w:tr>
      <w:tr w:rsidR="00E12827" w:rsidRPr="0010428B" w14:paraId="4957E736" w14:textId="77777777" w:rsidTr="0010428B">
        <w:trPr>
          <w:jc w:val="center"/>
        </w:trPr>
        <w:tc>
          <w:tcPr>
            <w:tcW w:w="3513" w:type="dxa"/>
            <w:shd w:val="clear" w:color="auto" w:fill="auto"/>
            <w:hideMark/>
          </w:tcPr>
          <w:p w14:paraId="01BC9E5F" w14:textId="77777777" w:rsidR="00E12827" w:rsidRPr="0010428B" w:rsidRDefault="00E12827" w:rsidP="0010428B">
            <w:pPr>
              <w:pStyle w:val="Tabletext"/>
            </w:pPr>
            <w:r w:rsidRPr="0010428B">
              <w:t>SG2</w:t>
            </w:r>
          </w:p>
        </w:tc>
        <w:tc>
          <w:tcPr>
            <w:tcW w:w="1733" w:type="dxa"/>
            <w:shd w:val="clear" w:color="auto" w:fill="auto"/>
            <w:hideMark/>
          </w:tcPr>
          <w:p w14:paraId="3C1456E3" w14:textId="77777777" w:rsidR="00E12827" w:rsidRPr="0010428B" w:rsidRDefault="00E12827" w:rsidP="0010428B">
            <w:pPr>
              <w:pStyle w:val="Tabletext"/>
              <w:jc w:val="center"/>
            </w:pPr>
            <w:r w:rsidRPr="0010428B">
              <w:t>17</w:t>
            </w:r>
          </w:p>
        </w:tc>
        <w:tc>
          <w:tcPr>
            <w:tcW w:w="1689" w:type="dxa"/>
            <w:shd w:val="clear" w:color="auto" w:fill="auto"/>
            <w:hideMark/>
          </w:tcPr>
          <w:p w14:paraId="73561B08" w14:textId="77777777" w:rsidR="00E12827" w:rsidRPr="0010428B" w:rsidRDefault="00E12827" w:rsidP="0010428B">
            <w:pPr>
              <w:pStyle w:val="Tabletext"/>
              <w:jc w:val="center"/>
            </w:pPr>
            <w:r w:rsidRPr="0010428B">
              <w:t>5954</w:t>
            </w:r>
          </w:p>
        </w:tc>
      </w:tr>
      <w:tr w:rsidR="00E12827" w:rsidRPr="0010428B" w14:paraId="0FF94617" w14:textId="77777777" w:rsidTr="0010428B">
        <w:trPr>
          <w:jc w:val="center"/>
        </w:trPr>
        <w:tc>
          <w:tcPr>
            <w:tcW w:w="3513" w:type="dxa"/>
            <w:shd w:val="clear" w:color="auto" w:fill="auto"/>
            <w:hideMark/>
          </w:tcPr>
          <w:p w14:paraId="4C4DCC45" w14:textId="77777777" w:rsidR="00E12827" w:rsidRPr="0010428B" w:rsidRDefault="00E12827" w:rsidP="0010428B">
            <w:pPr>
              <w:pStyle w:val="Tabletext"/>
            </w:pPr>
            <w:r w:rsidRPr="0010428B">
              <w:t>SG3</w:t>
            </w:r>
          </w:p>
        </w:tc>
        <w:tc>
          <w:tcPr>
            <w:tcW w:w="1733" w:type="dxa"/>
            <w:shd w:val="clear" w:color="auto" w:fill="auto"/>
            <w:hideMark/>
          </w:tcPr>
          <w:p w14:paraId="5FA2621C" w14:textId="77777777" w:rsidR="00E12827" w:rsidRPr="0010428B" w:rsidRDefault="00E12827" w:rsidP="0010428B">
            <w:pPr>
              <w:pStyle w:val="Tabletext"/>
              <w:jc w:val="center"/>
            </w:pPr>
            <w:r w:rsidRPr="0010428B">
              <w:t>14</w:t>
            </w:r>
          </w:p>
        </w:tc>
        <w:tc>
          <w:tcPr>
            <w:tcW w:w="1689" w:type="dxa"/>
            <w:shd w:val="clear" w:color="auto" w:fill="auto"/>
            <w:hideMark/>
          </w:tcPr>
          <w:p w14:paraId="739AAD5A" w14:textId="77777777" w:rsidR="00E12827" w:rsidRPr="0010428B" w:rsidRDefault="00E12827" w:rsidP="0010428B">
            <w:pPr>
              <w:pStyle w:val="Tabletext"/>
              <w:jc w:val="center"/>
            </w:pPr>
            <w:r w:rsidRPr="0010428B">
              <w:t>2336</w:t>
            </w:r>
          </w:p>
        </w:tc>
      </w:tr>
      <w:tr w:rsidR="00E12827" w:rsidRPr="0010428B" w14:paraId="45A1769D" w14:textId="77777777" w:rsidTr="0010428B">
        <w:trPr>
          <w:jc w:val="center"/>
        </w:trPr>
        <w:tc>
          <w:tcPr>
            <w:tcW w:w="3513" w:type="dxa"/>
            <w:shd w:val="clear" w:color="auto" w:fill="auto"/>
            <w:hideMark/>
          </w:tcPr>
          <w:p w14:paraId="6902A583" w14:textId="77777777" w:rsidR="00E12827" w:rsidRPr="0010428B" w:rsidRDefault="00E12827" w:rsidP="0010428B">
            <w:pPr>
              <w:pStyle w:val="Tabletext"/>
            </w:pPr>
            <w:r w:rsidRPr="0010428B">
              <w:t>SG5</w:t>
            </w:r>
          </w:p>
        </w:tc>
        <w:tc>
          <w:tcPr>
            <w:tcW w:w="1733" w:type="dxa"/>
            <w:shd w:val="clear" w:color="auto" w:fill="auto"/>
            <w:hideMark/>
          </w:tcPr>
          <w:p w14:paraId="25948588" w14:textId="77777777" w:rsidR="00E12827" w:rsidRPr="0010428B" w:rsidRDefault="00E12827" w:rsidP="0010428B">
            <w:pPr>
              <w:pStyle w:val="Tabletext"/>
              <w:jc w:val="center"/>
            </w:pPr>
            <w:r w:rsidRPr="0010428B">
              <w:t>14</w:t>
            </w:r>
          </w:p>
        </w:tc>
        <w:tc>
          <w:tcPr>
            <w:tcW w:w="1689" w:type="dxa"/>
            <w:shd w:val="clear" w:color="auto" w:fill="auto"/>
            <w:hideMark/>
          </w:tcPr>
          <w:p w14:paraId="4DD37E4F" w14:textId="77777777" w:rsidR="00E12827" w:rsidRPr="0010428B" w:rsidRDefault="00E12827" w:rsidP="0010428B">
            <w:pPr>
              <w:pStyle w:val="Tabletext"/>
              <w:jc w:val="center"/>
            </w:pPr>
            <w:r w:rsidRPr="0010428B">
              <w:t>2362</w:t>
            </w:r>
          </w:p>
        </w:tc>
      </w:tr>
      <w:tr w:rsidR="00E12827" w:rsidRPr="0010428B" w14:paraId="7CB872BA" w14:textId="77777777" w:rsidTr="0010428B">
        <w:trPr>
          <w:jc w:val="center"/>
        </w:trPr>
        <w:tc>
          <w:tcPr>
            <w:tcW w:w="3513" w:type="dxa"/>
            <w:shd w:val="clear" w:color="auto" w:fill="auto"/>
            <w:hideMark/>
          </w:tcPr>
          <w:p w14:paraId="5E503DAC" w14:textId="77777777" w:rsidR="00E12827" w:rsidRPr="0010428B" w:rsidRDefault="00E12827" w:rsidP="0010428B">
            <w:pPr>
              <w:pStyle w:val="Tabletext"/>
            </w:pPr>
            <w:r w:rsidRPr="0010428B">
              <w:t>SG9</w:t>
            </w:r>
          </w:p>
        </w:tc>
        <w:tc>
          <w:tcPr>
            <w:tcW w:w="1733" w:type="dxa"/>
            <w:shd w:val="clear" w:color="auto" w:fill="auto"/>
            <w:hideMark/>
          </w:tcPr>
          <w:p w14:paraId="475AEB1E" w14:textId="77777777" w:rsidR="00E12827" w:rsidRPr="0010428B" w:rsidRDefault="00E12827" w:rsidP="0010428B">
            <w:pPr>
              <w:pStyle w:val="Tabletext"/>
              <w:jc w:val="center"/>
            </w:pPr>
            <w:r w:rsidRPr="0010428B">
              <w:t>3</w:t>
            </w:r>
          </w:p>
        </w:tc>
        <w:tc>
          <w:tcPr>
            <w:tcW w:w="1689" w:type="dxa"/>
            <w:shd w:val="clear" w:color="auto" w:fill="auto"/>
            <w:hideMark/>
          </w:tcPr>
          <w:p w14:paraId="05FAAC81" w14:textId="77777777" w:rsidR="00E12827" w:rsidRPr="0010428B" w:rsidRDefault="00E12827" w:rsidP="0010428B">
            <w:pPr>
              <w:pStyle w:val="Tabletext"/>
              <w:jc w:val="center"/>
            </w:pPr>
            <w:r w:rsidRPr="0010428B">
              <w:t>294</w:t>
            </w:r>
          </w:p>
        </w:tc>
      </w:tr>
      <w:tr w:rsidR="00E12827" w:rsidRPr="0010428B" w14:paraId="673810E6" w14:textId="77777777" w:rsidTr="0010428B">
        <w:trPr>
          <w:jc w:val="center"/>
        </w:trPr>
        <w:tc>
          <w:tcPr>
            <w:tcW w:w="3513" w:type="dxa"/>
            <w:shd w:val="clear" w:color="auto" w:fill="auto"/>
            <w:hideMark/>
          </w:tcPr>
          <w:p w14:paraId="4B164DAB" w14:textId="77777777" w:rsidR="00E12827" w:rsidRPr="0010428B" w:rsidRDefault="00E12827" w:rsidP="0010428B">
            <w:pPr>
              <w:pStyle w:val="Tabletext"/>
            </w:pPr>
            <w:r w:rsidRPr="0010428B">
              <w:t>SG11</w:t>
            </w:r>
          </w:p>
        </w:tc>
        <w:tc>
          <w:tcPr>
            <w:tcW w:w="1733" w:type="dxa"/>
            <w:shd w:val="clear" w:color="auto" w:fill="auto"/>
            <w:hideMark/>
          </w:tcPr>
          <w:p w14:paraId="31AE7BF4" w14:textId="77777777" w:rsidR="00E12827" w:rsidRPr="0010428B" w:rsidRDefault="00E12827" w:rsidP="0010428B">
            <w:pPr>
              <w:pStyle w:val="Tabletext"/>
              <w:jc w:val="center"/>
            </w:pPr>
            <w:r w:rsidRPr="0010428B">
              <w:t>18</w:t>
            </w:r>
          </w:p>
        </w:tc>
        <w:tc>
          <w:tcPr>
            <w:tcW w:w="1689" w:type="dxa"/>
            <w:shd w:val="clear" w:color="auto" w:fill="auto"/>
            <w:hideMark/>
          </w:tcPr>
          <w:p w14:paraId="0DD60986" w14:textId="77777777" w:rsidR="00E12827" w:rsidRPr="0010428B" w:rsidRDefault="00E12827" w:rsidP="0010428B">
            <w:pPr>
              <w:pStyle w:val="Tabletext"/>
              <w:jc w:val="center"/>
            </w:pPr>
            <w:r w:rsidRPr="0010428B">
              <w:t>2320</w:t>
            </w:r>
          </w:p>
        </w:tc>
      </w:tr>
      <w:tr w:rsidR="00E12827" w:rsidRPr="0010428B" w14:paraId="36CF14AD" w14:textId="77777777" w:rsidTr="0010428B">
        <w:trPr>
          <w:jc w:val="center"/>
        </w:trPr>
        <w:tc>
          <w:tcPr>
            <w:tcW w:w="3513" w:type="dxa"/>
            <w:shd w:val="clear" w:color="auto" w:fill="auto"/>
            <w:hideMark/>
          </w:tcPr>
          <w:p w14:paraId="6CED42BC" w14:textId="77777777" w:rsidR="00E12827" w:rsidRPr="0010428B" w:rsidRDefault="00E12827" w:rsidP="0010428B">
            <w:pPr>
              <w:pStyle w:val="Tabletext"/>
            </w:pPr>
            <w:r w:rsidRPr="0010428B">
              <w:t>SG12</w:t>
            </w:r>
          </w:p>
        </w:tc>
        <w:tc>
          <w:tcPr>
            <w:tcW w:w="1733" w:type="dxa"/>
            <w:shd w:val="clear" w:color="auto" w:fill="auto"/>
            <w:hideMark/>
          </w:tcPr>
          <w:p w14:paraId="652617D0" w14:textId="77777777" w:rsidR="00E12827" w:rsidRPr="0010428B" w:rsidRDefault="00E12827" w:rsidP="0010428B">
            <w:pPr>
              <w:pStyle w:val="Tabletext"/>
              <w:jc w:val="center"/>
            </w:pPr>
            <w:r w:rsidRPr="0010428B">
              <w:t>24</w:t>
            </w:r>
          </w:p>
        </w:tc>
        <w:tc>
          <w:tcPr>
            <w:tcW w:w="1689" w:type="dxa"/>
            <w:shd w:val="clear" w:color="auto" w:fill="auto"/>
            <w:hideMark/>
          </w:tcPr>
          <w:p w14:paraId="016C6799" w14:textId="77777777" w:rsidR="00E12827" w:rsidRPr="0010428B" w:rsidRDefault="00E12827" w:rsidP="0010428B">
            <w:pPr>
              <w:pStyle w:val="Tabletext"/>
              <w:jc w:val="center"/>
            </w:pPr>
            <w:r w:rsidRPr="0010428B">
              <w:t>4333</w:t>
            </w:r>
          </w:p>
        </w:tc>
      </w:tr>
      <w:tr w:rsidR="00E12827" w:rsidRPr="0010428B" w14:paraId="00ED38A7" w14:textId="77777777" w:rsidTr="0010428B">
        <w:trPr>
          <w:jc w:val="center"/>
        </w:trPr>
        <w:tc>
          <w:tcPr>
            <w:tcW w:w="3513" w:type="dxa"/>
            <w:shd w:val="clear" w:color="auto" w:fill="auto"/>
            <w:hideMark/>
          </w:tcPr>
          <w:p w14:paraId="4158FE40" w14:textId="77777777" w:rsidR="00E12827" w:rsidRPr="0010428B" w:rsidRDefault="00E12827" w:rsidP="0010428B">
            <w:pPr>
              <w:pStyle w:val="Tabletext"/>
            </w:pPr>
            <w:r w:rsidRPr="0010428B">
              <w:t>SG13</w:t>
            </w:r>
          </w:p>
        </w:tc>
        <w:tc>
          <w:tcPr>
            <w:tcW w:w="1733" w:type="dxa"/>
            <w:shd w:val="clear" w:color="auto" w:fill="auto"/>
            <w:hideMark/>
          </w:tcPr>
          <w:p w14:paraId="0E1EB48B" w14:textId="77777777" w:rsidR="00E12827" w:rsidRPr="0010428B" w:rsidRDefault="00E12827" w:rsidP="0010428B">
            <w:pPr>
              <w:pStyle w:val="Tabletext"/>
              <w:jc w:val="center"/>
            </w:pPr>
            <w:r w:rsidRPr="0010428B">
              <w:t>28</w:t>
            </w:r>
          </w:p>
        </w:tc>
        <w:tc>
          <w:tcPr>
            <w:tcW w:w="1689" w:type="dxa"/>
            <w:shd w:val="clear" w:color="auto" w:fill="auto"/>
            <w:hideMark/>
          </w:tcPr>
          <w:p w14:paraId="4B01036D" w14:textId="77777777" w:rsidR="00E12827" w:rsidRPr="0010428B" w:rsidRDefault="00E12827" w:rsidP="0010428B">
            <w:pPr>
              <w:pStyle w:val="Tabletext"/>
              <w:jc w:val="center"/>
            </w:pPr>
            <w:r w:rsidRPr="0010428B">
              <w:t>6187</w:t>
            </w:r>
          </w:p>
        </w:tc>
      </w:tr>
      <w:tr w:rsidR="00E12827" w:rsidRPr="0010428B" w14:paraId="1D80505B" w14:textId="77777777" w:rsidTr="0010428B">
        <w:trPr>
          <w:jc w:val="center"/>
        </w:trPr>
        <w:tc>
          <w:tcPr>
            <w:tcW w:w="3513" w:type="dxa"/>
            <w:shd w:val="clear" w:color="auto" w:fill="auto"/>
            <w:hideMark/>
          </w:tcPr>
          <w:p w14:paraId="27A32028" w14:textId="77777777" w:rsidR="00E12827" w:rsidRPr="0010428B" w:rsidRDefault="00E12827" w:rsidP="0010428B">
            <w:pPr>
              <w:pStyle w:val="Tabletext"/>
            </w:pPr>
            <w:r w:rsidRPr="0010428B">
              <w:t>SG15</w:t>
            </w:r>
          </w:p>
        </w:tc>
        <w:tc>
          <w:tcPr>
            <w:tcW w:w="1733" w:type="dxa"/>
            <w:shd w:val="clear" w:color="auto" w:fill="auto"/>
            <w:hideMark/>
          </w:tcPr>
          <w:p w14:paraId="38156EEE" w14:textId="77777777" w:rsidR="00E12827" w:rsidRPr="0010428B" w:rsidRDefault="00E12827" w:rsidP="0010428B">
            <w:pPr>
              <w:pStyle w:val="Tabletext"/>
              <w:jc w:val="center"/>
            </w:pPr>
            <w:r w:rsidRPr="0010428B">
              <w:t>19</w:t>
            </w:r>
          </w:p>
        </w:tc>
        <w:tc>
          <w:tcPr>
            <w:tcW w:w="1689" w:type="dxa"/>
            <w:shd w:val="clear" w:color="auto" w:fill="auto"/>
            <w:hideMark/>
          </w:tcPr>
          <w:p w14:paraId="294D81FB" w14:textId="77777777" w:rsidR="00E12827" w:rsidRPr="0010428B" w:rsidRDefault="00E12827" w:rsidP="0010428B">
            <w:pPr>
              <w:pStyle w:val="Tabletext"/>
              <w:jc w:val="center"/>
            </w:pPr>
            <w:r w:rsidRPr="0010428B">
              <w:t>6290</w:t>
            </w:r>
          </w:p>
        </w:tc>
      </w:tr>
      <w:tr w:rsidR="00E12827" w:rsidRPr="0010428B" w14:paraId="26DE1898" w14:textId="77777777" w:rsidTr="0010428B">
        <w:trPr>
          <w:jc w:val="center"/>
        </w:trPr>
        <w:tc>
          <w:tcPr>
            <w:tcW w:w="3513" w:type="dxa"/>
            <w:shd w:val="clear" w:color="auto" w:fill="auto"/>
            <w:hideMark/>
          </w:tcPr>
          <w:p w14:paraId="5E976230" w14:textId="77777777" w:rsidR="00E12827" w:rsidRPr="0010428B" w:rsidRDefault="00E12827" w:rsidP="0010428B">
            <w:pPr>
              <w:pStyle w:val="Tabletext"/>
            </w:pPr>
            <w:r w:rsidRPr="0010428B">
              <w:t>SG16</w:t>
            </w:r>
          </w:p>
        </w:tc>
        <w:tc>
          <w:tcPr>
            <w:tcW w:w="1733" w:type="dxa"/>
            <w:shd w:val="clear" w:color="auto" w:fill="auto"/>
            <w:hideMark/>
          </w:tcPr>
          <w:p w14:paraId="709EAEF1" w14:textId="77777777" w:rsidR="00E12827" w:rsidRPr="0010428B" w:rsidRDefault="00E12827" w:rsidP="0010428B">
            <w:pPr>
              <w:pStyle w:val="Tabletext"/>
              <w:jc w:val="center"/>
            </w:pPr>
            <w:r w:rsidRPr="0010428B">
              <w:t>19</w:t>
            </w:r>
          </w:p>
        </w:tc>
        <w:tc>
          <w:tcPr>
            <w:tcW w:w="1689" w:type="dxa"/>
            <w:shd w:val="clear" w:color="auto" w:fill="auto"/>
            <w:hideMark/>
          </w:tcPr>
          <w:p w14:paraId="12AA35C9" w14:textId="77777777" w:rsidR="00E12827" w:rsidRPr="0010428B" w:rsidRDefault="00E12827" w:rsidP="0010428B">
            <w:pPr>
              <w:pStyle w:val="Tabletext"/>
              <w:jc w:val="center"/>
            </w:pPr>
            <w:r w:rsidRPr="0010428B">
              <w:t>2887</w:t>
            </w:r>
          </w:p>
        </w:tc>
      </w:tr>
      <w:tr w:rsidR="00E12827" w:rsidRPr="0010428B" w14:paraId="0F93877A" w14:textId="77777777" w:rsidTr="0010428B">
        <w:trPr>
          <w:jc w:val="center"/>
        </w:trPr>
        <w:tc>
          <w:tcPr>
            <w:tcW w:w="3513" w:type="dxa"/>
            <w:shd w:val="clear" w:color="auto" w:fill="auto"/>
            <w:hideMark/>
          </w:tcPr>
          <w:p w14:paraId="31623804" w14:textId="77777777" w:rsidR="00E12827" w:rsidRPr="0010428B" w:rsidRDefault="00E12827" w:rsidP="0010428B">
            <w:pPr>
              <w:pStyle w:val="Tabletext"/>
            </w:pPr>
            <w:r w:rsidRPr="0010428B">
              <w:t>SG17</w:t>
            </w:r>
          </w:p>
        </w:tc>
        <w:tc>
          <w:tcPr>
            <w:tcW w:w="1733" w:type="dxa"/>
            <w:shd w:val="clear" w:color="auto" w:fill="auto"/>
            <w:hideMark/>
          </w:tcPr>
          <w:p w14:paraId="200BBF28" w14:textId="77777777" w:rsidR="00E12827" w:rsidRPr="0010428B" w:rsidRDefault="00E12827" w:rsidP="0010428B">
            <w:pPr>
              <w:pStyle w:val="Tabletext"/>
              <w:jc w:val="center"/>
            </w:pPr>
            <w:r w:rsidRPr="0010428B">
              <w:t>21</w:t>
            </w:r>
          </w:p>
        </w:tc>
        <w:tc>
          <w:tcPr>
            <w:tcW w:w="1689" w:type="dxa"/>
            <w:shd w:val="clear" w:color="auto" w:fill="auto"/>
            <w:hideMark/>
          </w:tcPr>
          <w:p w14:paraId="7DB122DE" w14:textId="77777777" w:rsidR="00E12827" w:rsidRPr="0010428B" w:rsidRDefault="00E12827" w:rsidP="0010428B">
            <w:pPr>
              <w:pStyle w:val="Tabletext"/>
              <w:jc w:val="center"/>
            </w:pPr>
            <w:r w:rsidRPr="0010428B">
              <w:t>4177</w:t>
            </w:r>
          </w:p>
        </w:tc>
      </w:tr>
      <w:tr w:rsidR="00E12827" w:rsidRPr="0010428B" w14:paraId="644889D3" w14:textId="77777777" w:rsidTr="0010428B">
        <w:trPr>
          <w:jc w:val="center"/>
        </w:trPr>
        <w:tc>
          <w:tcPr>
            <w:tcW w:w="3513" w:type="dxa"/>
            <w:shd w:val="clear" w:color="auto" w:fill="auto"/>
            <w:hideMark/>
          </w:tcPr>
          <w:p w14:paraId="29C10B4B" w14:textId="77777777" w:rsidR="00E12827" w:rsidRPr="0010428B" w:rsidRDefault="00E12827" w:rsidP="0010428B">
            <w:pPr>
              <w:pStyle w:val="Tabletext"/>
            </w:pPr>
            <w:r w:rsidRPr="0010428B">
              <w:t>SG20</w:t>
            </w:r>
          </w:p>
        </w:tc>
        <w:tc>
          <w:tcPr>
            <w:tcW w:w="1733" w:type="dxa"/>
            <w:shd w:val="clear" w:color="auto" w:fill="auto"/>
            <w:hideMark/>
          </w:tcPr>
          <w:p w14:paraId="6DDB0A05" w14:textId="77777777" w:rsidR="00E12827" w:rsidRPr="0010428B" w:rsidRDefault="00E12827" w:rsidP="0010428B">
            <w:pPr>
              <w:pStyle w:val="Tabletext"/>
              <w:jc w:val="center"/>
            </w:pPr>
            <w:r w:rsidRPr="0010428B">
              <w:t>14</w:t>
            </w:r>
          </w:p>
        </w:tc>
        <w:tc>
          <w:tcPr>
            <w:tcW w:w="1689" w:type="dxa"/>
            <w:shd w:val="clear" w:color="auto" w:fill="auto"/>
            <w:hideMark/>
          </w:tcPr>
          <w:p w14:paraId="071C507D" w14:textId="77777777" w:rsidR="00E12827" w:rsidRPr="0010428B" w:rsidRDefault="00E12827" w:rsidP="0010428B">
            <w:pPr>
              <w:pStyle w:val="Tabletext"/>
              <w:jc w:val="center"/>
            </w:pPr>
            <w:r w:rsidRPr="0010428B">
              <w:t>4244</w:t>
            </w:r>
          </w:p>
        </w:tc>
      </w:tr>
      <w:tr w:rsidR="00E12827" w:rsidRPr="0010428B" w14:paraId="082C0EE6" w14:textId="77777777" w:rsidTr="0010428B">
        <w:trPr>
          <w:jc w:val="center"/>
        </w:trPr>
        <w:tc>
          <w:tcPr>
            <w:tcW w:w="3513" w:type="dxa"/>
            <w:shd w:val="clear" w:color="auto" w:fill="auto"/>
            <w:hideMark/>
          </w:tcPr>
          <w:p w14:paraId="4DDC4941" w14:textId="77777777" w:rsidR="00E12827" w:rsidRPr="0010428B" w:rsidRDefault="00E12827" w:rsidP="0010428B">
            <w:pPr>
              <w:pStyle w:val="Tabletext"/>
            </w:pPr>
            <w:r w:rsidRPr="0010428B">
              <w:t>Regional Groups</w:t>
            </w:r>
          </w:p>
        </w:tc>
        <w:tc>
          <w:tcPr>
            <w:tcW w:w="1733" w:type="dxa"/>
            <w:shd w:val="clear" w:color="auto" w:fill="auto"/>
            <w:hideMark/>
          </w:tcPr>
          <w:p w14:paraId="16F32825" w14:textId="77777777" w:rsidR="00E12827" w:rsidRPr="0010428B" w:rsidRDefault="00E12827" w:rsidP="0010428B">
            <w:pPr>
              <w:pStyle w:val="Tabletext"/>
              <w:jc w:val="center"/>
            </w:pPr>
            <w:r w:rsidRPr="0010428B">
              <w:t>25</w:t>
            </w:r>
          </w:p>
        </w:tc>
        <w:tc>
          <w:tcPr>
            <w:tcW w:w="1689" w:type="dxa"/>
            <w:shd w:val="clear" w:color="auto" w:fill="auto"/>
            <w:hideMark/>
          </w:tcPr>
          <w:p w14:paraId="0957CBA4" w14:textId="77777777" w:rsidR="00E12827" w:rsidRPr="0010428B" w:rsidRDefault="00E12827" w:rsidP="0010428B">
            <w:pPr>
              <w:pStyle w:val="Tabletext"/>
              <w:jc w:val="center"/>
            </w:pPr>
            <w:r w:rsidRPr="0010428B">
              <w:t>2484</w:t>
            </w:r>
          </w:p>
        </w:tc>
      </w:tr>
      <w:tr w:rsidR="00E12827" w:rsidRPr="0010428B" w14:paraId="299827AC" w14:textId="77777777" w:rsidTr="0010428B">
        <w:trPr>
          <w:jc w:val="center"/>
        </w:trPr>
        <w:tc>
          <w:tcPr>
            <w:tcW w:w="3513" w:type="dxa"/>
            <w:shd w:val="clear" w:color="auto" w:fill="auto"/>
            <w:hideMark/>
          </w:tcPr>
          <w:p w14:paraId="1D444980" w14:textId="77777777" w:rsidR="00E12827" w:rsidRPr="0010428B" w:rsidRDefault="00E12827" w:rsidP="0010428B">
            <w:pPr>
              <w:pStyle w:val="Tabletext"/>
            </w:pPr>
            <w:r w:rsidRPr="0010428B">
              <w:t>Focus Groups</w:t>
            </w:r>
          </w:p>
        </w:tc>
        <w:tc>
          <w:tcPr>
            <w:tcW w:w="1733" w:type="dxa"/>
            <w:shd w:val="clear" w:color="auto" w:fill="auto"/>
            <w:hideMark/>
          </w:tcPr>
          <w:p w14:paraId="5FC472F6" w14:textId="77777777" w:rsidR="00E12827" w:rsidRPr="0010428B" w:rsidRDefault="00E12827" w:rsidP="0010428B">
            <w:pPr>
              <w:pStyle w:val="Tabletext"/>
              <w:jc w:val="center"/>
            </w:pPr>
            <w:r w:rsidRPr="0010428B">
              <w:t>76</w:t>
            </w:r>
          </w:p>
        </w:tc>
        <w:tc>
          <w:tcPr>
            <w:tcW w:w="1689" w:type="dxa"/>
            <w:shd w:val="clear" w:color="auto" w:fill="auto"/>
            <w:hideMark/>
          </w:tcPr>
          <w:p w14:paraId="0E7B41CE" w14:textId="77777777" w:rsidR="00E12827" w:rsidRPr="0010428B" w:rsidRDefault="00E12827" w:rsidP="0010428B">
            <w:pPr>
              <w:pStyle w:val="Tabletext"/>
              <w:jc w:val="center"/>
            </w:pPr>
            <w:r w:rsidRPr="0010428B">
              <w:t>10004</w:t>
            </w:r>
          </w:p>
        </w:tc>
      </w:tr>
      <w:tr w:rsidR="00E12827" w:rsidRPr="0010428B" w14:paraId="3E864F60" w14:textId="77777777" w:rsidTr="0010428B">
        <w:trPr>
          <w:jc w:val="center"/>
        </w:trPr>
        <w:tc>
          <w:tcPr>
            <w:tcW w:w="3513" w:type="dxa"/>
            <w:shd w:val="clear" w:color="auto" w:fill="auto"/>
            <w:hideMark/>
          </w:tcPr>
          <w:p w14:paraId="4D36AEED" w14:textId="77777777" w:rsidR="00E12827" w:rsidRPr="0010428B" w:rsidRDefault="00E12827" w:rsidP="0010428B">
            <w:pPr>
              <w:pStyle w:val="Tabletext"/>
            </w:pPr>
            <w:r w:rsidRPr="0010428B">
              <w:t>Joint Coordination Activities</w:t>
            </w:r>
          </w:p>
        </w:tc>
        <w:tc>
          <w:tcPr>
            <w:tcW w:w="1733" w:type="dxa"/>
            <w:shd w:val="clear" w:color="auto" w:fill="auto"/>
            <w:hideMark/>
          </w:tcPr>
          <w:p w14:paraId="45E191D7" w14:textId="77777777" w:rsidR="00E12827" w:rsidRPr="0010428B" w:rsidRDefault="00E12827" w:rsidP="0010428B">
            <w:pPr>
              <w:pStyle w:val="Tabletext"/>
              <w:jc w:val="center"/>
            </w:pPr>
            <w:r w:rsidRPr="0010428B">
              <w:t>13</w:t>
            </w:r>
          </w:p>
        </w:tc>
        <w:tc>
          <w:tcPr>
            <w:tcW w:w="1689" w:type="dxa"/>
            <w:shd w:val="clear" w:color="auto" w:fill="auto"/>
            <w:hideMark/>
          </w:tcPr>
          <w:p w14:paraId="79A4B37A" w14:textId="77777777" w:rsidR="00E12827" w:rsidRPr="0010428B" w:rsidRDefault="00E12827" w:rsidP="0010428B">
            <w:pPr>
              <w:pStyle w:val="Tabletext"/>
              <w:jc w:val="center"/>
            </w:pPr>
            <w:r w:rsidRPr="0010428B">
              <w:t>1566</w:t>
            </w:r>
          </w:p>
        </w:tc>
      </w:tr>
      <w:tr w:rsidR="00E12827" w:rsidRPr="0010428B" w14:paraId="6FC4C68F" w14:textId="77777777" w:rsidTr="0010428B">
        <w:trPr>
          <w:jc w:val="center"/>
        </w:trPr>
        <w:tc>
          <w:tcPr>
            <w:tcW w:w="3513" w:type="dxa"/>
            <w:shd w:val="clear" w:color="auto" w:fill="auto"/>
            <w:hideMark/>
          </w:tcPr>
          <w:p w14:paraId="419FD9AF" w14:textId="77777777" w:rsidR="00E12827" w:rsidRPr="0010428B" w:rsidRDefault="00E12827" w:rsidP="0010428B">
            <w:pPr>
              <w:pStyle w:val="Tabletext"/>
            </w:pPr>
            <w:r w:rsidRPr="0010428B">
              <w:t>Other Groups</w:t>
            </w:r>
          </w:p>
        </w:tc>
        <w:tc>
          <w:tcPr>
            <w:tcW w:w="1733" w:type="dxa"/>
            <w:shd w:val="clear" w:color="auto" w:fill="auto"/>
            <w:hideMark/>
          </w:tcPr>
          <w:p w14:paraId="2C6EF72D" w14:textId="77777777" w:rsidR="00E12827" w:rsidRPr="0010428B" w:rsidRDefault="00E12827" w:rsidP="0010428B">
            <w:pPr>
              <w:pStyle w:val="Tabletext"/>
              <w:jc w:val="center"/>
            </w:pPr>
            <w:r w:rsidRPr="0010428B">
              <w:t>66</w:t>
            </w:r>
          </w:p>
        </w:tc>
        <w:tc>
          <w:tcPr>
            <w:tcW w:w="1689" w:type="dxa"/>
            <w:shd w:val="clear" w:color="auto" w:fill="auto"/>
            <w:hideMark/>
          </w:tcPr>
          <w:p w14:paraId="380D42B4" w14:textId="77777777" w:rsidR="00E12827" w:rsidRPr="0010428B" w:rsidRDefault="00E12827" w:rsidP="0010428B">
            <w:pPr>
              <w:pStyle w:val="Tabletext"/>
              <w:jc w:val="center"/>
            </w:pPr>
            <w:r w:rsidRPr="0010428B">
              <w:t>2253</w:t>
            </w:r>
          </w:p>
        </w:tc>
      </w:tr>
      <w:tr w:rsidR="00E12827" w:rsidRPr="0010428B" w14:paraId="7BD102C8" w14:textId="77777777" w:rsidTr="0010428B">
        <w:trPr>
          <w:jc w:val="center"/>
        </w:trPr>
        <w:tc>
          <w:tcPr>
            <w:tcW w:w="3513" w:type="dxa"/>
            <w:shd w:val="clear" w:color="auto" w:fill="auto"/>
            <w:hideMark/>
          </w:tcPr>
          <w:p w14:paraId="6B024D9D" w14:textId="77777777" w:rsidR="00E12827" w:rsidRPr="0010428B" w:rsidRDefault="00E12827" w:rsidP="0010428B">
            <w:pPr>
              <w:pStyle w:val="Tabletext"/>
              <w:rPr>
                <w:b/>
                <w:bCs/>
              </w:rPr>
            </w:pPr>
            <w:r w:rsidRPr="0010428B">
              <w:rPr>
                <w:b/>
                <w:bCs/>
              </w:rPr>
              <w:t>Total</w:t>
            </w:r>
          </w:p>
        </w:tc>
        <w:tc>
          <w:tcPr>
            <w:tcW w:w="1733" w:type="dxa"/>
            <w:shd w:val="clear" w:color="auto" w:fill="auto"/>
            <w:hideMark/>
          </w:tcPr>
          <w:p w14:paraId="52686F01" w14:textId="77777777" w:rsidR="00E12827" w:rsidRPr="0010428B" w:rsidRDefault="00E12827" w:rsidP="0010428B">
            <w:pPr>
              <w:pStyle w:val="Tabletext"/>
              <w:jc w:val="center"/>
              <w:rPr>
                <w:b/>
                <w:bCs/>
              </w:rPr>
            </w:pPr>
            <w:r w:rsidRPr="0010428B">
              <w:rPr>
                <w:b/>
                <w:bCs/>
              </w:rPr>
              <w:t>382</w:t>
            </w:r>
          </w:p>
        </w:tc>
        <w:tc>
          <w:tcPr>
            <w:tcW w:w="1689" w:type="dxa"/>
            <w:shd w:val="clear" w:color="auto" w:fill="auto"/>
            <w:hideMark/>
          </w:tcPr>
          <w:p w14:paraId="0B7753A8" w14:textId="77777777" w:rsidR="00E12827" w:rsidRPr="0010428B" w:rsidRDefault="00E12827" w:rsidP="0010428B">
            <w:pPr>
              <w:pStyle w:val="Tabletext"/>
              <w:jc w:val="center"/>
              <w:rPr>
                <w:b/>
                <w:bCs/>
              </w:rPr>
            </w:pPr>
            <w:r w:rsidRPr="0010428B">
              <w:rPr>
                <w:b/>
                <w:bCs/>
              </w:rPr>
              <w:t>60311</w:t>
            </w:r>
          </w:p>
        </w:tc>
      </w:tr>
    </w:tbl>
    <w:p w14:paraId="0B5151CA" w14:textId="6392B04A" w:rsidR="004F5029" w:rsidRPr="00C57224" w:rsidRDefault="004F5029" w:rsidP="0010428B">
      <w:bookmarkStart w:id="239" w:name="_12.2_Official_languages"/>
      <w:bookmarkStart w:id="240" w:name="_13.2_Official_languages"/>
      <w:bookmarkStart w:id="241" w:name="_13_Services_and"/>
      <w:bookmarkStart w:id="242" w:name="_14_Services_and"/>
      <w:bookmarkStart w:id="243" w:name="_15_Services_and"/>
      <w:bookmarkStart w:id="244" w:name="_15_Electronic_working"/>
      <w:bookmarkEnd w:id="0"/>
      <w:bookmarkEnd w:id="1"/>
      <w:bookmarkEnd w:id="2"/>
      <w:bookmarkEnd w:id="188"/>
      <w:bookmarkEnd w:id="189"/>
      <w:bookmarkEnd w:id="190"/>
      <w:bookmarkEnd w:id="191"/>
      <w:bookmarkEnd w:id="192"/>
      <w:bookmarkEnd w:id="193"/>
      <w:bookmarkEnd w:id="221"/>
      <w:bookmarkEnd w:id="239"/>
      <w:bookmarkEnd w:id="240"/>
      <w:bookmarkEnd w:id="241"/>
      <w:bookmarkEnd w:id="242"/>
      <w:bookmarkEnd w:id="243"/>
      <w:bookmarkEnd w:id="244"/>
    </w:p>
    <w:p w14:paraId="7A46DF32" w14:textId="5CD77705" w:rsidR="00BB5842" w:rsidRDefault="00BB5842" w:rsidP="009311EA">
      <w:pPr>
        <w:pStyle w:val="Heading1"/>
        <w:pageBreakBefore/>
        <w:ind w:left="0" w:firstLine="0"/>
        <w:jc w:val="center"/>
      </w:pPr>
      <w:bookmarkStart w:id="245" w:name="_Toc117161212"/>
      <w:bookmarkStart w:id="246" w:name="_Toc120622862"/>
      <w:bookmarkStart w:id="247" w:name="_Toc120896464"/>
      <w:bookmarkStart w:id="248" w:name="_Toc179219773"/>
      <w:bookmarkStart w:id="249" w:name="_Toc179221083"/>
      <w:r w:rsidRPr="00C57224">
        <w:lastRenderedPageBreak/>
        <w:t>Appendix I</w:t>
      </w:r>
      <w:r w:rsidR="009311EA">
        <w:t>:</w:t>
      </w:r>
      <w:r w:rsidR="009311EA">
        <w:br/>
      </w:r>
      <w:r w:rsidRPr="00C57224">
        <w:t xml:space="preserve">Non-attendance of </w:t>
      </w:r>
      <w:r w:rsidR="00B54832" w:rsidRPr="00C57224">
        <w:t>v</w:t>
      </w:r>
      <w:r w:rsidRPr="00C57224">
        <w:t>ice-</w:t>
      </w:r>
      <w:r w:rsidR="00B54832" w:rsidRPr="00C57224">
        <w:t>c</w:t>
      </w:r>
      <w:r w:rsidRPr="00C57224">
        <w:t>hairs</w:t>
      </w:r>
      <w:bookmarkEnd w:id="245"/>
      <w:bookmarkEnd w:id="246"/>
      <w:bookmarkEnd w:id="247"/>
      <w:bookmarkEnd w:id="248"/>
      <w:bookmarkEnd w:id="249"/>
    </w:p>
    <w:p w14:paraId="6161EAF0" w14:textId="77777777" w:rsidR="00251DAA" w:rsidRPr="00251DAA" w:rsidRDefault="00251DAA" w:rsidP="00251DAA">
      <w:pPr>
        <w:rPr>
          <w:lang w:eastAsia="en-US"/>
        </w:rPr>
      </w:pP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9"/>
        <w:gridCol w:w="3782"/>
        <w:gridCol w:w="4536"/>
      </w:tblGrid>
      <w:tr w:rsidR="00BB5842" w:rsidRPr="0010428B" w14:paraId="3892D370" w14:textId="77777777" w:rsidTr="00AA5E36">
        <w:trPr>
          <w:tblHeader/>
          <w:jc w:val="center"/>
        </w:trPr>
        <w:tc>
          <w:tcPr>
            <w:tcW w:w="742" w:type="pct"/>
            <w:tcBorders>
              <w:top w:val="single" w:sz="12" w:space="0" w:color="auto"/>
              <w:bottom w:val="single" w:sz="12" w:space="0" w:color="auto"/>
            </w:tcBorders>
            <w:shd w:val="clear" w:color="auto" w:fill="auto"/>
          </w:tcPr>
          <w:p w14:paraId="1349C9F3" w14:textId="77777777" w:rsidR="00BB5842" w:rsidRPr="0010428B" w:rsidRDefault="00BB5842" w:rsidP="00AA5E36">
            <w:pPr>
              <w:pStyle w:val="Tablehead"/>
            </w:pPr>
            <w:r w:rsidRPr="0010428B">
              <w:t>Study Group</w:t>
            </w:r>
          </w:p>
        </w:tc>
        <w:tc>
          <w:tcPr>
            <w:tcW w:w="1936" w:type="pct"/>
            <w:tcBorders>
              <w:top w:val="single" w:sz="12" w:space="0" w:color="auto"/>
              <w:bottom w:val="single" w:sz="12" w:space="0" w:color="auto"/>
            </w:tcBorders>
            <w:shd w:val="clear" w:color="auto" w:fill="auto"/>
          </w:tcPr>
          <w:p w14:paraId="10D51A84" w14:textId="77777777" w:rsidR="00BB5842" w:rsidRPr="0010428B" w:rsidRDefault="00BB5842" w:rsidP="0010428B">
            <w:pPr>
              <w:pStyle w:val="Tablehead"/>
            </w:pPr>
            <w:r w:rsidRPr="0010428B">
              <w:t>Meetings</w:t>
            </w:r>
          </w:p>
        </w:tc>
        <w:tc>
          <w:tcPr>
            <w:tcW w:w="2322" w:type="pct"/>
            <w:tcBorders>
              <w:top w:val="single" w:sz="12" w:space="0" w:color="auto"/>
              <w:bottom w:val="single" w:sz="12" w:space="0" w:color="auto"/>
            </w:tcBorders>
            <w:shd w:val="clear" w:color="auto" w:fill="auto"/>
          </w:tcPr>
          <w:p w14:paraId="5A66E602" w14:textId="77777777" w:rsidR="00BB5842" w:rsidRPr="0010428B" w:rsidRDefault="00BB5842" w:rsidP="0010428B">
            <w:pPr>
              <w:pStyle w:val="Tablehead"/>
            </w:pPr>
            <w:r w:rsidRPr="0010428B">
              <w:t>Non-attendance of</w:t>
            </w:r>
          </w:p>
        </w:tc>
      </w:tr>
      <w:tr w:rsidR="00BB5842" w:rsidRPr="0010428B" w14:paraId="743D8BF9" w14:textId="77777777" w:rsidTr="00AA5E36">
        <w:trPr>
          <w:jc w:val="center"/>
        </w:trPr>
        <w:tc>
          <w:tcPr>
            <w:tcW w:w="742" w:type="pct"/>
            <w:tcBorders>
              <w:top w:val="single" w:sz="12" w:space="0" w:color="auto"/>
            </w:tcBorders>
            <w:shd w:val="clear" w:color="auto" w:fill="auto"/>
          </w:tcPr>
          <w:p w14:paraId="73C63B10" w14:textId="77777777" w:rsidR="00BB5842" w:rsidRPr="0010428B" w:rsidRDefault="00BB5842" w:rsidP="00AA5E36">
            <w:pPr>
              <w:pStyle w:val="Tabletext"/>
              <w:jc w:val="center"/>
            </w:pPr>
            <w:r w:rsidRPr="0010428B">
              <w:t>SG2</w:t>
            </w:r>
          </w:p>
        </w:tc>
        <w:tc>
          <w:tcPr>
            <w:tcW w:w="1936" w:type="pct"/>
            <w:tcBorders>
              <w:top w:val="single" w:sz="12" w:space="0" w:color="auto"/>
            </w:tcBorders>
            <w:shd w:val="clear" w:color="auto" w:fill="auto"/>
          </w:tcPr>
          <w:p w14:paraId="16D4CAAD" w14:textId="77777777" w:rsidR="00BB5842" w:rsidRPr="0010428B" w:rsidRDefault="00BB5842" w:rsidP="0010428B">
            <w:pPr>
              <w:pStyle w:val="Tabletext"/>
            </w:pPr>
            <w:r w:rsidRPr="0010428B">
              <w:t>Geneva, 19 - 28 June 2024</w:t>
            </w:r>
          </w:p>
        </w:tc>
        <w:tc>
          <w:tcPr>
            <w:tcW w:w="2322" w:type="pct"/>
            <w:tcBorders>
              <w:top w:val="single" w:sz="12" w:space="0" w:color="auto"/>
            </w:tcBorders>
            <w:shd w:val="clear" w:color="auto" w:fill="auto"/>
          </w:tcPr>
          <w:p w14:paraId="7C701E0B" w14:textId="77777777" w:rsidR="00BB5842" w:rsidRPr="0010428B" w:rsidRDefault="00BB5842" w:rsidP="0010428B">
            <w:pPr>
              <w:pStyle w:val="Tabletext"/>
            </w:pPr>
            <w:r w:rsidRPr="0010428B">
              <w:t>Hossam SAKAR, Egypt</w:t>
            </w:r>
          </w:p>
        </w:tc>
      </w:tr>
      <w:tr w:rsidR="00BB5842" w:rsidRPr="0010428B" w14:paraId="0C430CFE" w14:textId="77777777" w:rsidTr="00AA5E36">
        <w:trPr>
          <w:jc w:val="center"/>
        </w:trPr>
        <w:tc>
          <w:tcPr>
            <w:tcW w:w="742" w:type="pct"/>
            <w:shd w:val="clear" w:color="auto" w:fill="auto"/>
          </w:tcPr>
          <w:p w14:paraId="782FB296" w14:textId="77777777" w:rsidR="00BB5842" w:rsidRPr="0010428B" w:rsidRDefault="00BB5842" w:rsidP="00AA5E36">
            <w:pPr>
              <w:pStyle w:val="Tabletext"/>
              <w:jc w:val="center"/>
            </w:pPr>
            <w:r w:rsidRPr="0010428B">
              <w:t>SG2</w:t>
            </w:r>
          </w:p>
        </w:tc>
        <w:tc>
          <w:tcPr>
            <w:tcW w:w="1936" w:type="pct"/>
            <w:shd w:val="clear" w:color="auto" w:fill="auto"/>
          </w:tcPr>
          <w:p w14:paraId="58E30A52" w14:textId="77777777" w:rsidR="00BB5842" w:rsidRPr="0010428B" w:rsidRDefault="00BB5842" w:rsidP="0010428B">
            <w:pPr>
              <w:pStyle w:val="Tabletext"/>
            </w:pPr>
            <w:r w:rsidRPr="0010428B">
              <w:t>Virtual, 11 March 2024</w:t>
            </w:r>
          </w:p>
        </w:tc>
        <w:tc>
          <w:tcPr>
            <w:tcW w:w="2322" w:type="pct"/>
            <w:shd w:val="clear" w:color="auto" w:fill="auto"/>
          </w:tcPr>
          <w:p w14:paraId="190FBFF0" w14:textId="77777777" w:rsidR="00BB5842" w:rsidRPr="0010428B" w:rsidRDefault="00BB5842" w:rsidP="0010428B">
            <w:pPr>
              <w:pStyle w:val="Tabletext"/>
            </w:pPr>
            <w:r w:rsidRPr="0010428B">
              <w:t>Hossam SAKAR, Egypt</w:t>
            </w:r>
          </w:p>
        </w:tc>
      </w:tr>
      <w:tr w:rsidR="00BB5842" w:rsidRPr="0010428B" w14:paraId="5C2A4A2A" w14:textId="77777777" w:rsidTr="00AA5E36">
        <w:trPr>
          <w:jc w:val="center"/>
        </w:trPr>
        <w:tc>
          <w:tcPr>
            <w:tcW w:w="742" w:type="pct"/>
            <w:shd w:val="clear" w:color="auto" w:fill="auto"/>
          </w:tcPr>
          <w:p w14:paraId="03562599" w14:textId="77777777" w:rsidR="00BB5842" w:rsidRPr="0010428B" w:rsidRDefault="00BB5842" w:rsidP="00AA5E36">
            <w:pPr>
              <w:pStyle w:val="Tabletext"/>
              <w:jc w:val="center"/>
            </w:pPr>
            <w:r w:rsidRPr="0010428B">
              <w:t>SG2</w:t>
            </w:r>
          </w:p>
        </w:tc>
        <w:tc>
          <w:tcPr>
            <w:tcW w:w="1936" w:type="pct"/>
            <w:shd w:val="clear" w:color="auto" w:fill="auto"/>
          </w:tcPr>
          <w:p w14:paraId="1AED1056" w14:textId="77777777" w:rsidR="00BB5842" w:rsidRPr="0010428B" w:rsidRDefault="00BB5842" w:rsidP="0010428B">
            <w:pPr>
              <w:pStyle w:val="Tabletext"/>
            </w:pPr>
            <w:r w:rsidRPr="0010428B">
              <w:t>Virtual, 11 March 2024</w:t>
            </w:r>
          </w:p>
        </w:tc>
        <w:tc>
          <w:tcPr>
            <w:tcW w:w="2322" w:type="pct"/>
            <w:shd w:val="clear" w:color="auto" w:fill="auto"/>
          </w:tcPr>
          <w:p w14:paraId="13987E19" w14:textId="77777777" w:rsidR="00BB5842" w:rsidRPr="0010428B" w:rsidRDefault="00BB5842" w:rsidP="0010428B">
            <w:pPr>
              <w:pStyle w:val="Tabletext"/>
            </w:pPr>
            <w:r w:rsidRPr="0010428B">
              <w:t>Ramazan YILMAZ, Turkey</w:t>
            </w:r>
          </w:p>
        </w:tc>
      </w:tr>
      <w:tr w:rsidR="00BB5842" w:rsidRPr="0010428B" w14:paraId="3293B829" w14:textId="77777777" w:rsidTr="00AA5E36">
        <w:trPr>
          <w:jc w:val="center"/>
        </w:trPr>
        <w:tc>
          <w:tcPr>
            <w:tcW w:w="742" w:type="pct"/>
            <w:shd w:val="clear" w:color="auto" w:fill="auto"/>
          </w:tcPr>
          <w:p w14:paraId="5D6C193A" w14:textId="77777777" w:rsidR="00BB5842" w:rsidRPr="0010428B" w:rsidRDefault="00BB5842" w:rsidP="00AA5E36">
            <w:pPr>
              <w:pStyle w:val="Tabletext"/>
              <w:jc w:val="center"/>
            </w:pPr>
            <w:r w:rsidRPr="0010428B">
              <w:t>SG2</w:t>
            </w:r>
          </w:p>
        </w:tc>
        <w:tc>
          <w:tcPr>
            <w:tcW w:w="1936" w:type="pct"/>
            <w:shd w:val="clear" w:color="auto" w:fill="auto"/>
          </w:tcPr>
          <w:p w14:paraId="1710BC76" w14:textId="77777777" w:rsidR="00BB5842" w:rsidRPr="0010428B" w:rsidRDefault="00BB5842" w:rsidP="0010428B">
            <w:pPr>
              <w:pStyle w:val="Tabletext"/>
            </w:pPr>
            <w:r w:rsidRPr="0010428B">
              <w:t>Virtual, 11 March 2024</w:t>
            </w:r>
          </w:p>
        </w:tc>
        <w:tc>
          <w:tcPr>
            <w:tcW w:w="2322" w:type="pct"/>
            <w:shd w:val="clear" w:color="auto" w:fill="auto"/>
          </w:tcPr>
          <w:p w14:paraId="781AAE0A" w14:textId="77777777" w:rsidR="00BB5842" w:rsidRPr="0010428B" w:rsidRDefault="00BB5842" w:rsidP="0010428B">
            <w:pPr>
              <w:pStyle w:val="Tabletext"/>
            </w:pPr>
            <w:r w:rsidRPr="0010428B">
              <w:t>Rashid AL MEMARI, United Arab Emirates</w:t>
            </w:r>
          </w:p>
        </w:tc>
      </w:tr>
      <w:tr w:rsidR="00BB5842" w:rsidRPr="0010428B" w14:paraId="62E79140" w14:textId="77777777" w:rsidTr="00AA5E36">
        <w:trPr>
          <w:jc w:val="center"/>
        </w:trPr>
        <w:tc>
          <w:tcPr>
            <w:tcW w:w="742" w:type="pct"/>
            <w:shd w:val="clear" w:color="auto" w:fill="auto"/>
          </w:tcPr>
          <w:p w14:paraId="680CC08D" w14:textId="77777777" w:rsidR="00BB5842" w:rsidRPr="0010428B" w:rsidRDefault="00BB5842" w:rsidP="00AA5E36">
            <w:pPr>
              <w:pStyle w:val="Tabletext"/>
              <w:jc w:val="center"/>
            </w:pPr>
            <w:r w:rsidRPr="0010428B">
              <w:t>SG2</w:t>
            </w:r>
          </w:p>
        </w:tc>
        <w:tc>
          <w:tcPr>
            <w:tcW w:w="1936" w:type="pct"/>
            <w:shd w:val="clear" w:color="auto" w:fill="auto"/>
          </w:tcPr>
          <w:p w14:paraId="4C43E240" w14:textId="77777777" w:rsidR="00BB5842" w:rsidRPr="0010428B" w:rsidRDefault="00BB5842" w:rsidP="0010428B">
            <w:pPr>
              <w:pStyle w:val="Tabletext"/>
            </w:pPr>
            <w:r w:rsidRPr="0010428B">
              <w:t>Virtual, 11 March 2024</w:t>
            </w:r>
          </w:p>
        </w:tc>
        <w:tc>
          <w:tcPr>
            <w:tcW w:w="2322" w:type="pct"/>
            <w:shd w:val="clear" w:color="auto" w:fill="auto"/>
          </w:tcPr>
          <w:p w14:paraId="634B82D8" w14:textId="77777777" w:rsidR="00BB5842" w:rsidRPr="0010428B" w:rsidRDefault="00BB5842" w:rsidP="0010428B">
            <w:pPr>
              <w:pStyle w:val="Tabletext"/>
            </w:pPr>
            <w:r w:rsidRPr="0010428B">
              <w:t>Vijay Kumar ROY, India</w:t>
            </w:r>
          </w:p>
        </w:tc>
      </w:tr>
      <w:tr w:rsidR="00BB5842" w:rsidRPr="0010428B" w14:paraId="0921DD98" w14:textId="77777777" w:rsidTr="00AA5E36">
        <w:trPr>
          <w:jc w:val="center"/>
        </w:trPr>
        <w:tc>
          <w:tcPr>
            <w:tcW w:w="742" w:type="pct"/>
            <w:shd w:val="clear" w:color="auto" w:fill="auto"/>
          </w:tcPr>
          <w:p w14:paraId="68BC3CF5" w14:textId="77777777" w:rsidR="00BB5842" w:rsidRPr="0010428B" w:rsidRDefault="00BB5842" w:rsidP="00AA5E36">
            <w:pPr>
              <w:pStyle w:val="Tabletext"/>
              <w:jc w:val="center"/>
            </w:pPr>
            <w:r w:rsidRPr="0010428B">
              <w:t>SG2</w:t>
            </w:r>
          </w:p>
        </w:tc>
        <w:tc>
          <w:tcPr>
            <w:tcW w:w="1936" w:type="pct"/>
            <w:shd w:val="clear" w:color="auto" w:fill="auto"/>
          </w:tcPr>
          <w:p w14:paraId="187B74BF" w14:textId="77777777" w:rsidR="00BB5842" w:rsidRPr="0010428B" w:rsidRDefault="00BB5842" w:rsidP="0010428B">
            <w:pPr>
              <w:pStyle w:val="Tabletext"/>
            </w:pPr>
            <w:r w:rsidRPr="0010428B">
              <w:t>Virtual, 11 March 2024</w:t>
            </w:r>
          </w:p>
        </w:tc>
        <w:tc>
          <w:tcPr>
            <w:tcW w:w="2322" w:type="pct"/>
            <w:shd w:val="clear" w:color="auto" w:fill="auto"/>
          </w:tcPr>
          <w:p w14:paraId="533A92E3" w14:textId="77777777" w:rsidR="00BB5842" w:rsidRPr="0010428B" w:rsidRDefault="00BB5842" w:rsidP="0010428B">
            <w:pPr>
              <w:pStyle w:val="Tabletext"/>
            </w:pPr>
            <w:r w:rsidRPr="0010428B">
              <w:t>Yaw BOAMAH BAAFI, Ghana</w:t>
            </w:r>
          </w:p>
        </w:tc>
      </w:tr>
      <w:tr w:rsidR="00BB5842" w:rsidRPr="0010428B" w14:paraId="0667CA5B" w14:textId="77777777" w:rsidTr="00AA5E36">
        <w:trPr>
          <w:jc w:val="center"/>
        </w:trPr>
        <w:tc>
          <w:tcPr>
            <w:tcW w:w="742" w:type="pct"/>
            <w:shd w:val="clear" w:color="auto" w:fill="auto"/>
            <w:hideMark/>
          </w:tcPr>
          <w:p w14:paraId="733EBC80" w14:textId="77777777" w:rsidR="00BB5842" w:rsidRPr="0010428B" w:rsidRDefault="00BB5842" w:rsidP="00AA5E36">
            <w:pPr>
              <w:pStyle w:val="Tabletext"/>
              <w:jc w:val="center"/>
            </w:pPr>
            <w:r w:rsidRPr="0010428B">
              <w:t>SG3</w:t>
            </w:r>
          </w:p>
        </w:tc>
        <w:tc>
          <w:tcPr>
            <w:tcW w:w="1936" w:type="pct"/>
            <w:shd w:val="clear" w:color="auto" w:fill="auto"/>
            <w:hideMark/>
          </w:tcPr>
          <w:p w14:paraId="48D261C0" w14:textId="77777777" w:rsidR="00BB5842" w:rsidRPr="0010428B" w:rsidRDefault="00BB5842" w:rsidP="0010428B">
            <w:pPr>
              <w:pStyle w:val="Tabletext"/>
            </w:pPr>
            <w:r w:rsidRPr="0010428B">
              <w:t>Geneva, 10 November 2023</w:t>
            </w:r>
          </w:p>
        </w:tc>
        <w:tc>
          <w:tcPr>
            <w:tcW w:w="2322" w:type="pct"/>
            <w:shd w:val="clear" w:color="auto" w:fill="auto"/>
            <w:hideMark/>
          </w:tcPr>
          <w:p w14:paraId="49FCE847" w14:textId="77777777" w:rsidR="00BB5842" w:rsidRPr="0010428B" w:rsidRDefault="00BB5842" w:rsidP="0010428B">
            <w:pPr>
              <w:pStyle w:val="Tabletext"/>
            </w:pPr>
            <w:r w:rsidRPr="0010428B">
              <w:t>Karima MAHMOUDI, Tunisia</w:t>
            </w:r>
          </w:p>
        </w:tc>
      </w:tr>
      <w:tr w:rsidR="00BB5842" w:rsidRPr="0010428B" w14:paraId="7265D633" w14:textId="77777777" w:rsidTr="00AA5E36">
        <w:trPr>
          <w:jc w:val="center"/>
        </w:trPr>
        <w:tc>
          <w:tcPr>
            <w:tcW w:w="742" w:type="pct"/>
            <w:shd w:val="clear" w:color="auto" w:fill="auto"/>
          </w:tcPr>
          <w:p w14:paraId="56CAC160" w14:textId="77777777" w:rsidR="00BB5842" w:rsidRPr="0010428B" w:rsidRDefault="00BB5842" w:rsidP="00AA5E36">
            <w:pPr>
              <w:pStyle w:val="Tabletext"/>
              <w:jc w:val="center"/>
            </w:pPr>
            <w:r w:rsidRPr="0010428B">
              <w:t>SG3</w:t>
            </w:r>
          </w:p>
        </w:tc>
        <w:tc>
          <w:tcPr>
            <w:tcW w:w="1936" w:type="pct"/>
            <w:shd w:val="clear" w:color="auto" w:fill="auto"/>
          </w:tcPr>
          <w:p w14:paraId="3B69622E" w14:textId="77777777" w:rsidR="00BB5842" w:rsidRPr="0010428B" w:rsidRDefault="00BB5842" w:rsidP="0010428B">
            <w:pPr>
              <w:pStyle w:val="Tabletext"/>
            </w:pPr>
            <w:r w:rsidRPr="0010428B">
              <w:t>Geneva, 11 November 2022</w:t>
            </w:r>
          </w:p>
        </w:tc>
        <w:tc>
          <w:tcPr>
            <w:tcW w:w="2322" w:type="pct"/>
            <w:shd w:val="clear" w:color="auto" w:fill="auto"/>
          </w:tcPr>
          <w:p w14:paraId="54E8648A" w14:textId="77777777" w:rsidR="00BB5842" w:rsidRPr="0010428B" w:rsidRDefault="00BB5842" w:rsidP="0010428B">
            <w:pPr>
              <w:pStyle w:val="Tabletext"/>
            </w:pPr>
            <w:r w:rsidRPr="0010428B">
              <w:t>Karima MAHMOUDI, Tunisia</w:t>
            </w:r>
          </w:p>
        </w:tc>
      </w:tr>
      <w:tr w:rsidR="00BB5842" w:rsidRPr="0010428B" w14:paraId="4483B676" w14:textId="77777777" w:rsidTr="00AA5E36">
        <w:trPr>
          <w:jc w:val="center"/>
        </w:trPr>
        <w:tc>
          <w:tcPr>
            <w:tcW w:w="742" w:type="pct"/>
            <w:shd w:val="clear" w:color="auto" w:fill="auto"/>
            <w:hideMark/>
          </w:tcPr>
          <w:p w14:paraId="47D75B16" w14:textId="77777777" w:rsidR="00BB5842" w:rsidRPr="0010428B" w:rsidRDefault="00BB5842" w:rsidP="00AA5E36">
            <w:pPr>
              <w:pStyle w:val="Tabletext"/>
              <w:jc w:val="center"/>
            </w:pPr>
            <w:r w:rsidRPr="0010428B">
              <w:t>SG3</w:t>
            </w:r>
          </w:p>
        </w:tc>
        <w:tc>
          <w:tcPr>
            <w:tcW w:w="1936" w:type="pct"/>
            <w:shd w:val="clear" w:color="auto" w:fill="auto"/>
            <w:hideMark/>
          </w:tcPr>
          <w:p w14:paraId="2BCE3EE0" w14:textId="77777777" w:rsidR="00BB5842" w:rsidRPr="0010428B" w:rsidRDefault="00BB5842" w:rsidP="0010428B">
            <w:pPr>
              <w:pStyle w:val="Tabletext"/>
            </w:pPr>
            <w:r w:rsidRPr="0010428B">
              <w:t>Geneva, 10 November 2023</w:t>
            </w:r>
          </w:p>
        </w:tc>
        <w:tc>
          <w:tcPr>
            <w:tcW w:w="2322" w:type="pct"/>
            <w:shd w:val="clear" w:color="auto" w:fill="auto"/>
            <w:hideMark/>
          </w:tcPr>
          <w:p w14:paraId="224ECFB9" w14:textId="77777777" w:rsidR="00BB5842" w:rsidRPr="0010428B" w:rsidRDefault="00BB5842" w:rsidP="0010428B">
            <w:pPr>
              <w:pStyle w:val="Tabletext"/>
            </w:pPr>
            <w:r w:rsidRPr="0010428B">
              <w:t>Marthe UWAMARIYA, Rwanda</w:t>
            </w:r>
          </w:p>
        </w:tc>
      </w:tr>
      <w:tr w:rsidR="00BB5842" w:rsidRPr="0010428B" w14:paraId="1968D5BF" w14:textId="77777777" w:rsidTr="00AA5E36">
        <w:trPr>
          <w:jc w:val="center"/>
        </w:trPr>
        <w:tc>
          <w:tcPr>
            <w:tcW w:w="742" w:type="pct"/>
            <w:shd w:val="clear" w:color="auto" w:fill="auto"/>
          </w:tcPr>
          <w:p w14:paraId="0BFBA6EF" w14:textId="77777777" w:rsidR="00BB5842" w:rsidRPr="0010428B" w:rsidRDefault="00BB5842" w:rsidP="00AA5E36">
            <w:pPr>
              <w:pStyle w:val="Tabletext"/>
              <w:jc w:val="center"/>
            </w:pPr>
            <w:r w:rsidRPr="0010428B">
              <w:t>SG3</w:t>
            </w:r>
          </w:p>
        </w:tc>
        <w:tc>
          <w:tcPr>
            <w:tcW w:w="1936" w:type="pct"/>
            <w:shd w:val="clear" w:color="auto" w:fill="auto"/>
          </w:tcPr>
          <w:p w14:paraId="503FDF09" w14:textId="77777777" w:rsidR="00BB5842" w:rsidRPr="0010428B" w:rsidRDefault="00BB5842" w:rsidP="0010428B">
            <w:pPr>
              <w:pStyle w:val="Tabletext"/>
            </w:pPr>
            <w:r w:rsidRPr="0010428B">
              <w:t>Geneva, 11 November 2022</w:t>
            </w:r>
          </w:p>
        </w:tc>
        <w:tc>
          <w:tcPr>
            <w:tcW w:w="2322" w:type="pct"/>
            <w:shd w:val="clear" w:color="auto" w:fill="auto"/>
          </w:tcPr>
          <w:p w14:paraId="3D5C4FA9" w14:textId="77777777" w:rsidR="00BB5842" w:rsidRPr="0010428B" w:rsidRDefault="00BB5842" w:rsidP="0010428B">
            <w:pPr>
              <w:pStyle w:val="Tabletext"/>
            </w:pPr>
            <w:r w:rsidRPr="0010428B">
              <w:t>Marthe UWAMARIYA, Rwanda</w:t>
            </w:r>
          </w:p>
        </w:tc>
      </w:tr>
      <w:tr w:rsidR="00BB5842" w:rsidRPr="0010428B" w14:paraId="36B5BC06" w14:textId="77777777" w:rsidTr="00AA5E36">
        <w:trPr>
          <w:jc w:val="center"/>
        </w:trPr>
        <w:tc>
          <w:tcPr>
            <w:tcW w:w="742" w:type="pct"/>
            <w:shd w:val="clear" w:color="auto" w:fill="auto"/>
          </w:tcPr>
          <w:p w14:paraId="65DCC193" w14:textId="77777777" w:rsidR="00BB5842" w:rsidRPr="0010428B" w:rsidRDefault="00BB5842" w:rsidP="00AA5E36">
            <w:pPr>
              <w:pStyle w:val="Tabletext"/>
              <w:jc w:val="center"/>
            </w:pPr>
            <w:r w:rsidRPr="0010428B">
              <w:t>SG3</w:t>
            </w:r>
          </w:p>
        </w:tc>
        <w:tc>
          <w:tcPr>
            <w:tcW w:w="1936" w:type="pct"/>
            <w:shd w:val="clear" w:color="auto" w:fill="auto"/>
          </w:tcPr>
          <w:p w14:paraId="60FAFF4A" w14:textId="77777777" w:rsidR="00BB5842" w:rsidRPr="0010428B" w:rsidRDefault="00BB5842" w:rsidP="0010428B">
            <w:pPr>
              <w:pStyle w:val="Tabletext"/>
            </w:pPr>
            <w:r w:rsidRPr="0010428B">
              <w:t>Geneva, 9 - 18 July 2024</w:t>
            </w:r>
          </w:p>
        </w:tc>
        <w:tc>
          <w:tcPr>
            <w:tcW w:w="2322" w:type="pct"/>
            <w:shd w:val="clear" w:color="auto" w:fill="auto"/>
          </w:tcPr>
          <w:p w14:paraId="1820A063" w14:textId="77777777" w:rsidR="00BB5842" w:rsidRPr="0010428B" w:rsidRDefault="00BB5842" w:rsidP="0010428B">
            <w:pPr>
              <w:pStyle w:val="Tabletext"/>
            </w:pPr>
            <w:r w:rsidRPr="0010428B">
              <w:t>Omar ALNEMER, United Arab Emirates</w:t>
            </w:r>
          </w:p>
        </w:tc>
      </w:tr>
      <w:tr w:rsidR="00BB5842" w:rsidRPr="0010428B" w14:paraId="4C439E55" w14:textId="77777777" w:rsidTr="00AA5E36">
        <w:trPr>
          <w:jc w:val="center"/>
        </w:trPr>
        <w:tc>
          <w:tcPr>
            <w:tcW w:w="742" w:type="pct"/>
            <w:shd w:val="clear" w:color="auto" w:fill="auto"/>
          </w:tcPr>
          <w:p w14:paraId="74FB05A6" w14:textId="77777777" w:rsidR="00BB5842" w:rsidRPr="0010428B" w:rsidRDefault="00BB5842" w:rsidP="00AA5E36">
            <w:pPr>
              <w:pStyle w:val="Tabletext"/>
              <w:jc w:val="center"/>
            </w:pPr>
            <w:r w:rsidRPr="0010428B">
              <w:t>SG3</w:t>
            </w:r>
          </w:p>
        </w:tc>
        <w:tc>
          <w:tcPr>
            <w:tcW w:w="1936" w:type="pct"/>
            <w:shd w:val="clear" w:color="auto" w:fill="auto"/>
          </w:tcPr>
          <w:p w14:paraId="5D14987B" w14:textId="77777777" w:rsidR="00BB5842" w:rsidRPr="0010428B" w:rsidRDefault="00BB5842" w:rsidP="0010428B">
            <w:pPr>
              <w:pStyle w:val="Tabletext"/>
            </w:pPr>
            <w:r w:rsidRPr="0010428B">
              <w:t>Geneva, 11 November 2022</w:t>
            </w:r>
          </w:p>
        </w:tc>
        <w:tc>
          <w:tcPr>
            <w:tcW w:w="2322" w:type="pct"/>
            <w:shd w:val="clear" w:color="auto" w:fill="auto"/>
          </w:tcPr>
          <w:p w14:paraId="7A2A852A" w14:textId="7FD6D0E9" w:rsidR="00BB5842" w:rsidRPr="0010428B" w:rsidRDefault="00BB5842" w:rsidP="0010428B">
            <w:pPr>
              <w:pStyle w:val="Tabletext"/>
            </w:pPr>
            <w:r w:rsidRPr="0010428B">
              <w:t>Zuhair AL-ZUHAIR, Vice Chair, Kuwait</w:t>
            </w:r>
          </w:p>
        </w:tc>
      </w:tr>
      <w:tr w:rsidR="00BB5842" w:rsidRPr="0010428B" w14:paraId="16EF8D56" w14:textId="77777777" w:rsidTr="00AA5E36">
        <w:trPr>
          <w:jc w:val="center"/>
        </w:trPr>
        <w:tc>
          <w:tcPr>
            <w:tcW w:w="742" w:type="pct"/>
            <w:shd w:val="clear" w:color="auto" w:fill="auto"/>
            <w:hideMark/>
          </w:tcPr>
          <w:p w14:paraId="591E094E" w14:textId="77777777" w:rsidR="00BB5842" w:rsidRPr="0010428B" w:rsidRDefault="00BB5842" w:rsidP="00AA5E36">
            <w:pPr>
              <w:pStyle w:val="Tabletext"/>
              <w:jc w:val="center"/>
            </w:pPr>
            <w:r w:rsidRPr="0010428B">
              <w:t>SG5</w:t>
            </w:r>
          </w:p>
        </w:tc>
        <w:tc>
          <w:tcPr>
            <w:tcW w:w="1936" w:type="pct"/>
            <w:shd w:val="clear" w:color="auto" w:fill="auto"/>
            <w:hideMark/>
          </w:tcPr>
          <w:p w14:paraId="7057DAC9" w14:textId="77777777" w:rsidR="00BB5842" w:rsidRPr="0010428B" w:rsidRDefault="00BB5842" w:rsidP="0010428B">
            <w:pPr>
              <w:pStyle w:val="Tabletext"/>
            </w:pPr>
            <w:r w:rsidRPr="0010428B">
              <w:t>Geneva, 13-22 November 2023</w:t>
            </w:r>
          </w:p>
        </w:tc>
        <w:tc>
          <w:tcPr>
            <w:tcW w:w="2322" w:type="pct"/>
            <w:shd w:val="clear" w:color="auto" w:fill="auto"/>
            <w:hideMark/>
          </w:tcPr>
          <w:p w14:paraId="75714EF9" w14:textId="77777777" w:rsidR="00BB5842" w:rsidRPr="0010428B" w:rsidRDefault="00BB5842" w:rsidP="0010428B">
            <w:pPr>
              <w:pStyle w:val="Tabletext"/>
            </w:pPr>
            <w:r w:rsidRPr="0010428B">
              <w:t>Kazuhiro TAKAYA, Japan</w:t>
            </w:r>
          </w:p>
        </w:tc>
      </w:tr>
      <w:tr w:rsidR="00BB5842" w:rsidRPr="0010428B" w14:paraId="0A995328" w14:textId="77777777" w:rsidTr="00AA5E36">
        <w:trPr>
          <w:jc w:val="center"/>
        </w:trPr>
        <w:tc>
          <w:tcPr>
            <w:tcW w:w="742" w:type="pct"/>
            <w:shd w:val="clear" w:color="auto" w:fill="auto"/>
          </w:tcPr>
          <w:p w14:paraId="7F0DDEDA" w14:textId="77777777" w:rsidR="00BB5842" w:rsidRPr="0010428B" w:rsidRDefault="00BB5842" w:rsidP="00AA5E36">
            <w:pPr>
              <w:pStyle w:val="Tabletext"/>
              <w:jc w:val="center"/>
            </w:pPr>
            <w:r w:rsidRPr="0010428B">
              <w:t>SG5</w:t>
            </w:r>
          </w:p>
        </w:tc>
        <w:tc>
          <w:tcPr>
            <w:tcW w:w="1936" w:type="pct"/>
            <w:shd w:val="clear" w:color="auto" w:fill="auto"/>
          </w:tcPr>
          <w:p w14:paraId="522B3D64" w14:textId="77777777" w:rsidR="00BB5842" w:rsidRPr="0010428B" w:rsidRDefault="00BB5842" w:rsidP="0010428B">
            <w:pPr>
              <w:pStyle w:val="Tabletext"/>
            </w:pPr>
            <w:r w:rsidRPr="0010428B">
              <w:t>E-meeting, 5 December 2022</w:t>
            </w:r>
          </w:p>
        </w:tc>
        <w:tc>
          <w:tcPr>
            <w:tcW w:w="2322" w:type="pct"/>
            <w:shd w:val="clear" w:color="auto" w:fill="auto"/>
          </w:tcPr>
          <w:p w14:paraId="5FDF0A41" w14:textId="77777777" w:rsidR="00BB5842" w:rsidRPr="0010428B" w:rsidRDefault="00BB5842" w:rsidP="0010428B">
            <w:pPr>
              <w:pStyle w:val="Tabletext"/>
            </w:pPr>
            <w:r w:rsidRPr="0010428B">
              <w:t>Nevine TEWFIK, Egypt</w:t>
            </w:r>
          </w:p>
        </w:tc>
      </w:tr>
      <w:tr w:rsidR="00BB5842" w:rsidRPr="0010428B" w14:paraId="178A71F8" w14:textId="77777777" w:rsidTr="00AA5E36">
        <w:trPr>
          <w:jc w:val="center"/>
        </w:trPr>
        <w:tc>
          <w:tcPr>
            <w:tcW w:w="742" w:type="pct"/>
            <w:shd w:val="clear" w:color="auto" w:fill="auto"/>
          </w:tcPr>
          <w:p w14:paraId="3717DC74" w14:textId="77777777" w:rsidR="00BB5842" w:rsidRPr="0010428B" w:rsidRDefault="00BB5842" w:rsidP="00AA5E36">
            <w:pPr>
              <w:pStyle w:val="Tabletext"/>
              <w:jc w:val="center"/>
            </w:pPr>
            <w:r w:rsidRPr="0010428B">
              <w:t>SG5</w:t>
            </w:r>
          </w:p>
        </w:tc>
        <w:tc>
          <w:tcPr>
            <w:tcW w:w="1936" w:type="pct"/>
            <w:shd w:val="clear" w:color="auto" w:fill="auto"/>
          </w:tcPr>
          <w:p w14:paraId="29712D73" w14:textId="77777777" w:rsidR="00BB5842" w:rsidRPr="0010428B" w:rsidRDefault="00BB5842" w:rsidP="0010428B">
            <w:pPr>
              <w:pStyle w:val="Tabletext"/>
            </w:pPr>
            <w:r w:rsidRPr="0010428B">
              <w:t>E-meeting, 5 December 2022</w:t>
            </w:r>
          </w:p>
        </w:tc>
        <w:tc>
          <w:tcPr>
            <w:tcW w:w="2322" w:type="pct"/>
            <w:shd w:val="clear" w:color="auto" w:fill="auto"/>
          </w:tcPr>
          <w:p w14:paraId="75E97069" w14:textId="77777777" w:rsidR="00BB5842" w:rsidRPr="0010428B" w:rsidRDefault="00BB5842" w:rsidP="0010428B">
            <w:pPr>
              <w:pStyle w:val="Tabletext"/>
            </w:pPr>
            <w:r w:rsidRPr="0010428B">
              <w:t>Pedro BRISSON, Argentina</w:t>
            </w:r>
          </w:p>
        </w:tc>
      </w:tr>
      <w:tr w:rsidR="00BB5842" w:rsidRPr="0010428B" w14:paraId="11464B71" w14:textId="77777777" w:rsidTr="00AA5E36">
        <w:trPr>
          <w:jc w:val="center"/>
        </w:trPr>
        <w:tc>
          <w:tcPr>
            <w:tcW w:w="742" w:type="pct"/>
            <w:shd w:val="clear" w:color="auto" w:fill="auto"/>
          </w:tcPr>
          <w:p w14:paraId="3542FA75" w14:textId="77777777" w:rsidR="00BB5842" w:rsidRPr="0010428B" w:rsidRDefault="00BB5842" w:rsidP="00AA5E36">
            <w:pPr>
              <w:pStyle w:val="Tabletext"/>
              <w:jc w:val="center"/>
            </w:pPr>
            <w:r w:rsidRPr="0010428B">
              <w:t>SG5</w:t>
            </w:r>
          </w:p>
        </w:tc>
        <w:tc>
          <w:tcPr>
            <w:tcW w:w="1936" w:type="pct"/>
            <w:shd w:val="clear" w:color="auto" w:fill="auto"/>
          </w:tcPr>
          <w:p w14:paraId="658F194B" w14:textId="77777777" w:rsidR="00BB5842" w:rsidRPr="0010428B" w:rsidRDefault="00BB5842" w:rsidP="0010428B">
            <w:pPr>
              <w:pStyle w:val="Tabletext"/>
            </w:pPr>
            <w:r w:rsidRPr="0010428B">
              <w:t>Rome, Italy, 17-27 October 2022</w:t>
            </w:r>
          </w:p>
        </w:tc>
        <w:tc>
          <w:tcPr>
            <w:tcW w:w="2322" w:type="pct"/>
            <w:shd w:val="clear" w:color="auto" w:fill="auto"/>
          </w:tcPr>
          <w:p w14:paraId="3DCA3454" w14:textId="77777777" w:rsidR="00BB5842" w:rsidRPr="0010428B" w:rsidRDefault="00BB5842" w:rsidP="0010428B">
            <w:pPr>
              <w:pStyle w:val="Tabletext"/>
            </w:pPr>
            <w:r w:rsidRPr="0010428B">
              <w:t>Pedro BRISSON, Argentina</w:t>
            </w:r>
          </w:p>
        </w:tc>
      </w:tr>
      <w:tr w:rsidR="00BB5842" w:rsidRPr="0010428B" w14:paraId="32CBAD15" w14:textId="77777777" w:rsidTr="00AA5E36">
        <w:trPr>
          <w:jc w:val="center"/>
        </w:trPr>
        <w:tc>
          <w:tcPr>
            <w:tcW w:w="742" w:type="pct"/>
            <w:shd w:val="clear" w:color="auto" w:fill="auto"/>
            <w:hideMark/>
          </w:tcPr>
          <w:p w14:paraId="50C8E81F" w14:textId="77777777" w:rsidR="00BB5842" w:rsidRPr="0010428B" w:rsidRDefault="00BB5842" w:rsidP="00AA5E36">
            <w:pPr>
              <w:pStyle w:val="Tabletext"/>
              <w:jc w:val="center"/>
            </w:pPr>
            <w:r w:rsidRPr="0010428B">
              <w:t>SG5</w:t>
            </w:r>
          </w:p>
        </w:tc>
        <w:tc>
          <w:tcPr>
            <w:tcW w:w="1936" w:type="pct"/>
            <w:shd w:val="clear" w:color="auto" w:fill="auto"/>
            <w:hideMark/>
          </w:tcPr>
          <w:p w14:paraId="467DBE56" w14:textId="77777777" w:rsidR="00BB5842" w:rsidRPr="0010428B" w:rsidRDefault="00BB5842" w:rsidP="0010428B">
            <w:pPr>
              <w:pStyle w:val="Tabletext"/>
            </w:pPr>
            <w:r w:rsidRPr="0010428B">
              <w:t>Sophia Antipolis, France, 13-23 June 2023</w:t>
            </w:r>
          </w:p>
        </w:tc>
        <w:tc>
          <w:tcPr>
            <w:tcW w:w="2322" w:type="pct"/>
            <w:shd w:val="clear" w:color="auto" w:fill="auto"/>
            <w:hideMark/>
          </w:tcPr>
          <w:p w14:paraId="60FBB13F" w14:textId="77777777" w:rsidR="00BB5842" w:rsidRPr="0010428B" w:rsidRDefault="00BB5842" w:rsidP="0010428B">
            <w:pPr>
              <w:pStyle w:val="Tabletext"/>
            </w:pPr>
            <w:r w:rsidRPr="0010428B">
              <w:t>Pedro BRISSON, Argentina</w:t>
            </w:r>
          </w:p>
        </w:tc>
      </w:tr>
      <w:tr w:rsidR="00BB5842" w:rsidRPr="0010428B" w14:paraId="27E6C7B7" w14:textId="77777777" w:rsidTr="00AA5E36">
        <w:trPr>
          <w:jc w:val="center"/>
        </w:trPr>
        <w:tc>
          <w:tcPr>
            <w:tcW w:w="742" w:type="pct"/>
            <w:shd w:val="clear" w:color="auto" w:fill="auto"/>
          </w:tcPr>
          <w:p w14:paraId="4ABBC762" w14:textId="77777777" w:rsidR="00BB5842" w:rsidRPr="0010428B" w:rsidRDefault="00BB5842" w:rsidP="00AA5E36">
            <w:pPr>
              <w:pStyle w:val="Tabletext"/>
              <w:jc w:val="center"/>
            </w:pPr>
            <w:r w:rsidRPr="0010428B">
              <w:t>SG5</w:t>
            </w:r>
          </w:p>
        </w:tc>
        <w:tc>
          <w:tcPr>
            <w:tcW w:w="1936" w:type="pct"/>
            <w:shd w:val="clear" w:color="auto" w:fill="auto"/>
          </w:tcPr>
          <w:p w14:paraId="20DCE2C1" w14:textId="77777777" w:rsidR="00BB5842" w:rsidRPr="0010428B" w:rsidRDefault="00BB5842" w:rsidP="0010428B">
            <w:pPr>
              <w:pStyle w:val="Tabletext"/>
            </w:pPr>
            <w:r w:rsidRPr="0010428B">
              <w:t>E-meeting, 5 December 2022</w:t>
            </w:r>
          </w:p>
        </w:tc>
        <w:tc>
          <w:tcPr>
            <w:tcW w:w="2322" w:type="pct"/>
            <w:shd w:val="clear" w:color="auto" w:fill="auto"/>
          </w:tcPr>
          <w:p w14:paraId="54F3CC05" w14:textId="77777777" w:rsidR="00BB5842" w:rsidRPr="0010428B" w:rsidRDefault="00BB5842" w:rsidP="0010428B">
            <w:pPr>
              <w:pStyle w:val="Tabletext"/>
            </w:pPr>
            <w:proofErr w:type="spellStart"/>
            <w:r w:rsidRPr="0010428B">
              <w:t>Saidiahrol</w:t>
            </w:r>
            <w:proofErr w:type="spellEnd"/>
            <w:r w:rsidRPr="0010428B">
              <w:t xml:space="preserve"> SAIDIAKBAROV, Republic of Uzbekistan</w:t>
            </w:r>
          </w:p>
        </w:tc>
      </w:tr>
      <w:tr w:rsidR="00BB5842" w:rsidRPr="0010428B" w14:paraId="0D2FF4C9" w14:textId="77777777" w:rsidTr="00AA5E36">
        <w:trPr>
          <w:jc w:val="center"/>
        </w:trPr>
        <w:tc>
          <w:tcPr>
            <w:tcW w:w="742" w:type="pct"/>
            <w:shd w:val="clear" w:color="auto" w:fill="auto"/>
            <w:hideMark/>
          </w:tcPr>
          <w:p w14:paraId="5B888089" w14:textId="77777777" w:rsidR="00BB5842" w:rsidRPr="0010428B" w:rsidRDefault="00BB5842" w:rsidP="00AA5E36">
            <w:pPr>
              <w:pStyle w:val="Tabletext"/>
              <w:jc w:val="center"/>
            </w:pPr>
            <w:r w:rsidRPr="0010428B">
              <w:t>SG5</w:t>
            </w:r>
          </w:p>
        </w:tc>
        <w:tc>
          <w:tcPr>
            <w:tcW w:w="1936" w:type="pct"/>
            <w:shd w:val="clear" w:color="auto" w:fill="auto"/>
            <w:hideMark/>
          </w:tcPr>
          <w:p w14:paraId="1EB7E56F" w14:textId="77777777" w:rsidR="00BB5842" w:rsidRPr="0010428B" w:rsidRDefault="00BB5842" w:rsidP="0010428B">
            <w:pPr>
              <w:pStyle w:val="Tabletext"/>
            </w:pPr>
            <w:r w:rsidRPr="0010428B">
              <w:t>Geneva, 13-22 November 2023</w:t>
            </w:r>
          </w:p>
        </w:tc>
        <w:tc>
          <w:tcPr>
            <w:tcW w:w="2322" w:type="pct"/>
            <w:shd w:val="clear" w:color="auto" w:fill="auto"/>
            <w:hideMark/>
          </w:tcPr>
          <w:p w14:paraId="0FE988C0" w14:textId="77777777" w:rsidR="00BB5842" w:rsidRPr="0010428B" w:rsidRDefault="00BB5842" w:rsidP="0010428B">
            <w:pPr>
              <w:pStyle w:val="Tabletext"/>
            </w:pPr>
            <w:proofErr w:type="spellStart"/>
            <w:r w:rsidRPr="0010428B">
              <w:t>Saidiahrol</w:t>
            </w:r>
            <w:proofErr w:type="spellEnd"/>
            <w:r w:rsidRPr="0010428B">
              <w:t xml:space="preserve"> SAIDIAKBAROV, Republic of Uzbekistan</w:t>
            </w:r>
          </w:p>
        </w:tc>
      </w:tr>
      <w:tr w:rsidR="00BB5842" w:rsidRPr="0010428B" w14:paraId="1E45185C" w14:textId="77777777" w:rsidTr="00AA5E36">
        <w:trPr>
          <w:jc w:val="center"/>
        </w:trPr>
        <w:tc>
          <w:tcPr>
            <w:tcW w:w="742" w:type="pct"/>
            <w:shd w:val="clear" w:color="auto" w:fill="auto"/>
          </w:tcPr>
          <w:p w14:paraId="03CE7DFE" w14:textId="77777777" w:rsidR="00BB5842" w:rsidRPr="0010428B" w:rsidRDefault="00BB5842" w:rsidP="00AA5E36">
            <w:pPr>
              <w:pStyle w:val="Tabletext"/>
              <w:jc w:val="center"/>
            </w:pPr>
            <w:r w:rsidRPr="0010428B">
              <w:t>SG5</w:t>
            </w:r>
          </w:p>
        </w:tc>
        <w:tc>
          <w:tcPr>
            <w:tcW w:w="1936" w:type="pct"/>
            <w:shd w:val="clear" w:color="auto" w:fill="auto"/>
          </w:tcPr>
          <w:p w14:paraId="23C42AE1" w14:textId="77777777" w:rsidR="00BB5842" w:rsidRPr="0010428B" w:rsidRDefault="00BB5842" w:rsidP="0010428B">
            <w:pPr>
              <w:pStyle w:val="Tabletext"/>
            </w:pPr>
            <w:r w:rsidRPr="0010428B">
              <w:t>Geneva, 21 June - 1 July 2022</w:t>
            </w:r>
          </w:p>
        </w:tc>
        <w:tc>
          <w:tcPr>
            <w:tcW w:w="2322" w:type="pct"/>
            <w:shd w:val="clear" w:color="auto" w:fill="auto"/>
          </w:tcPr>
          <w:p w14:paraId="37ADB6A8" w14:textId="77777777" w:rsidR="00BB5842" w:rsidRPr="0010428B" w:rsidRDefault="00BB5842" w:rsidP="0010428B">
            <w:pPr>
              <w:pStyle w:val="Tabletext"/>
            </w:pPr>
            <w:proofErr w:type="spellStart"/>
            <w:r w:rsidRPr="0010428B">
              <w:t>Saidiahrol</w:t>
            </w:r>
            <w:proofErr w:type="spellEnd"/>
            <w:r w:rsidRPr="0010428B">
              <w:t xml:space="preserve"> SAIDIAKBAROV, Republic of Uzbekistan</w:t>
            </w:r>
          </w:p>
        </w:tc>
      </w:tr>
      <w:tr w:rsidR="00BB5842" w:rsidRPr="0010428B" w14:paraId="4910A322" w14:textId="77777777" w:rsidTr="00AA5E36">
        <w:trPr>
          <w:jc w:val="center"/>
        </w:trPr>
        <w:tc>
          <w:tcPr>
            <w:tcW w:w="742" w:type="pct"/>
            <w:shd w:val="clear" w:color="auto" w:fill="auto"/>
          </w:tcPr>
          <w:p w14:paraId="5BC44648" w14:textId="77777777" w:rsidR="00BB5842" w:rsidRPr="0010428B" w:rsidRDefault="00BB5842" w:rsidP="00AA5E36">
            <w:pPr>
              <w:pStyle w:val="Tabletext"/>
              <w:jc w:val="center"/>
            </w:pPr>
            <w:r w:rsidRPr="0010428B">
              <w:t>SG5</w:t>
            </w:r>
          </w:p>
        </w:tc>
        <w:tc>
          <w:tcPr>
            <w:tcW w:w="1936" w:type="pct"/>
            <w:shd w:val="clear" w:color="auto" w:fill="auto"/>
          </w:tcPr>
          <w:p w14:paraId="13C90F3A" w14:textId="77777777" w:rsidR="00BB5842" w:rsidRPr="0010428B" w:rsidRDefault="00BB5842" w:rsidP="0010428B">
            <w:pPr>
              <w:pStyle w:val="Tabletext"/>
            </w:pPr>
            <w:r w:rsidRPr="0010428B">
              <w:t>Rome, Italy, 17-27 October 2022</w:t>
            </w:r>
          </w:p>
        </w:tc>
        <w:tc>
          <w:tcPr>
            <w:tcW w:w="2322" w:type="pct"/>
            <w:shd w:val="clear" w:color="auto" w:fill="auto"/>
          </w:tcPr>
          <w:p w14:paraId="2359DA18" w14:textId="77777777" w:rsidR="00BB5842" w:rsidRPr="0010428B" w:rsidRDefault="00BB5842" w:rsidP="0010428B">
            <w:pPr>
              <w:pStyle w:val="Tabletext"/>
            </w:pPr>
            <w:proofErr w:type="spellStart"/>
            <w:r w:rsidRPr="0010428B">
              <w:t>Saidiahrol</w:t>
            </w:r>
            <w:proofErr w:type="spellEnd"/>
            <w:r w:rsidRPr="0010428B">
              <w:t xml:space="preserve"> SAIDIAKBAROV, Republic of Uzbekistan</w:t>
            </w:r>
          </w:p>
        </w:tc>
      </w:tr>
      <w:tr w:rsidR="00BB5842" w:rsidRPr="0010428B" w14:paraId="3C90346F" w14:textId="77777777" w:rsidTr="00AA5E36">
        <w:trPr>
          <w:jc w:val="center"/>
        </w:trPr>
        <w:tc>
          <w:tcPr>
            <w:tcW w:w="742" w:type="pct"/>
            <w:shd w:val="clear" w:color="auto" w:fill="auto"/>
            <w:hideMark/>
          </w:tcPr>
          <w:p w14:paraId="1E4F3615" w14:textId="77777777" w:rsidR="00BB5842" w:rsidRPr="0010428B" w:rsidRDefault="00BB5842" w:rsidP="00AA5E36">
            <w:pPr>
              <w:pStyle w:val="Tabletext"/>
              <w:jc w:val="center"/>
            </w:pPr>
            <w:r w:rsidRPr="0010428B">
              <w:t>SG5</w:t>
            </w:r>
          </w:p>
        </w:tc>
        <w:tc>
          <w:tcPr>
            <w:tcW w:w="1936" w:type="pct"/>
            <w:shd w:val="clear" w:color="auto" w:fill="auto"/>
            <w:hideMark/>
          </w:tcPr>
          <w:p w14:paraId="5FDA783A" w14:textId="77777777" w:rsidR="00BB5842" w:rsidRPr="0010428B" w:rsidRDefault="00BB5842" w:rsidP="0010428B">
            <w:pPr>
              <w:pStyle w:val="Tabletext"/>
            </w:pPr>
            <w:r w:rsidRPr="0010428B">
              <w:t>Sophia Antipolis, France, 13-23 June 2023</w:t>
            </w:r>
          </w:p>
        </w:tc>
        <w:tc>
          <w:tcPr>
            <w:tcW w:w="2322" w:type="pct"/>
            <w:shd w:val="clear" w:color="auto" w:fill="auto"/>
            <w:hideMark/>
          </w:tcPr>
          <w:p w14:paraId="5B43368A" w14:textId="77777777" w:rsidR="00BB5842" w:rsidRPr="0010428B" w:rsidRDefault="00BB5842" w:rsidP="0010428B">
            <w:pPr>
              <w:pStyle w:val="Tabletext"/>
            </w:pPr>
            <w:proofErr w:type="spellStart"/>
            <w:r w:rsidRPr="0010428B">
              <w:t>Saidiahrol</w:t>
            </w:r>
            <w:proofErr w:type="spellEnd"/>
            <w:r w:rsidRPr="0010428B">
              <w:t xml:space="preserve"> SAIDIAKBAROV, Republic of Uzbekistan</w:t>
            </w:r>
          </w:p>
        </w:tc>
      </w:tr>
      <w:tr w:rsidR="00BB5842" w:rsidRPr="0010428B" w14:paraId="242CF334" w14:textId="77777777" w:rsidTr="00AA5E36">
        <w:trPr>
          <w:jc w:val="center"/>
        </w:trPr>
        <w:tc>
          <w:tcPr>
            <w:tcW w:w="742" w:type="pct"/>
            <w:shd w:val="clear" w:color="auto" w:fill="auto"/>
          </w:tcPr>
          <w:p w14:paraId="03385A2C" w14:textId="77777777" w:rsidR="00BB5842" w:rsidRPr="0010428B" w:rsidRDefault="00BB5842" w:rsidP="00AA5E36">
            <w:pPr>
              <w:pStyle w:val="Tabletext"/>
              <w:jc w:val="center"/>
            </w:pPr>
            <w:r w:rsidRPr="0010428B">
              <w:t>SG5</w:t>
            </w:r>
          </w:p>
        </w:tc>
        <w:tc>
          <w:tcPr>
            <w:tcW w:w="1936" w:type="pct"/>
            <w:shd w:val="clear" w:color="auto" w:fill="auto"/>
          </w:tcPr>
          <w:p w14:paraId="23E80747" w14:textId="77777777" w:rsidR="00BB5842" w:rsidRPr="0010428B" w:rsidRDefault="00BB5842" w:rsidP="0010428B">
            <w:pPr>
              <w:pStyle w:val="Tabletext"/>
            </w:pPr>
            <w:r w:rsidRPr="0010428B">
              <w:t>Wroclaw, 17 - 21 June 2024</w:t>
            </w:r>
          </w:p>
        </w:tc>
        <w:tc>
          <w:tcPr>
            <w:tcW w:w="2322" w:type="pct"/>
            <w:shd w:val="clear" w:color="auto" w:fill="auto"/>
          </w:tcPr>
          <w:p w14:paraId="176BF89A" w14:textId="77777777" w:rsidR="00BB5842" w:rsidRPr="0010428B" w:rsidRDefault="00BB5842" w:rsidP="0010428B">
            <w:pPr>
              <w:pStyle w:val="Tabletext"/>
            </w:pPr>
            <w:proofErr w:type="spellStart"/>
            <w:r w:rsidRPr="0010428B">
              <w:t>Saidiahrol</w:t>
            </w:r>
            <w:proofErr w:type="spellEnd"/>
            <w:r w:rsidRPr="0010428B">
              <w:t xml:space="preserve"> SAIDIAKBAROV, Republic of Uzbekistan</w:t>
            </w:r>
          </w:p>
        </w:tc>
      </w:tr>
      <w:tr w:rsidR="00BB5842" w:rsidRPr="0010428B" w14:paraId="503C2328" w14:textId="77777777" w:rsidTr="00AA5E36">
        <w:trPr>
          <w:jc w:val="center"/>
        </w:trPr>
        <w:tc>
          <w:tcPr>
            <w:tcW w:w="742" w:type="pct"/>
            <w:shd w:val="clear" w:color="auto" w:fill="auto"/>
            <w:hideMark/>
          </w:tcPr>
          <w:p w14:paraId="6B7AE1C3" w14:textId="77777777" w:rsidR="00BB5842" w:rsidRPr="0010428B" w:rsidRDefault="00BB5842" w:rsidP="00AA5E36">
            <w:pPr>
              <w:pStyle w:val="Tabletext"/>
              <w:jc w:val="center"/>
            </w:pPr>
            <w:r w:rsidRPr="0010428B">
              <w:t>SG5</w:t>
            </w:r>
          </w:p>
        </w:tc>
        <w:tc>
          <w:tcPr>
            <w:tcW w:w="1936" w:type="pct"/>
            <w:shd w:val="clear" w:color="auto" w:fill="auto"/>
            <w:hideMark/>
          </w:tcPr>
          <w:p w14:paraId="6433E7CE" w14:textId="77777777" w:rsidR="00BB5842" w:rsidRPr="0010428B" w:rsidRDefault="00BB5842" w:rsidP="0010428B">
            <w:pPr>
              <w:pStyle w:val="Tabletext"/>
            </w:pPr>
            <w:r w:rsidRPr="0010428B">
              <w:t>Geneva, 13-22 November 2023</w:t>
            </w:r>
          </w:p>
        </w:tc>
        <w:tc>
          <w:tcPr>
            <w:tcW w:w="2322" w:type="pct"/>
            <w:shd w:val="clear" w:color="auto" w:fill="auto"/>
            <w:hideMark/>
          </w:tcPr>
          <w:p w14:paraId="3650AE51" w14:textId="77777777" w:rsidR="00BB5842" w:rsidRPr="0010428B" w:rsidRDefault="00BB5842" w:rsidP="0010428B">
            <w:pPr>
              <w:pStyle w:val="Tabletext"/>
            </w:pPr>
            <w:r w:rsidRPr="0010428B">
              <w:t>Vincent Urbain NAMRONA, Central African Rep.</w:t>
            </w:r>
          </w:p>
        </w:tc>
      </w:tr>
      <w:tr w:rsidR="00BB5842" w:rsidRPr="0010428B" w14:paraId="3385A4E1" w14:textId="77777777" w:rsidTr="00AA5E36">
        <w:trPr>
          <w:jc w:val="center"/>
        </w:trPr>
        <w:tc>
          <w:tcPr>
            <w:tcW w:w="742" w:type="pct"/>
            <w:shd w:val="clear" w:color="auto" w:fill="auto"/>
            <w:hideMark/>
          </w:tcPr>
          <w:p w14:paraId="2E1D852E" w14:textId="77777777" w:rsidR="00BB5842" w:rsidRPr="0010428B" w:rsidRDefault="00BB5842" w:rsidP="00AA5E36">
            <w:pPr>
              <w:pStyle w:val="Tabletext"/>
              <w:jc w:val="center"/>
            </w:pPr>
            <w:r w:rsidRPr="0010428B">
              <w:t>SG5</w:t>
            </w:r>
          </w:p>
        </w:tc>
        <w:tc>
          <w:tcPr>
            <w:tcW w:w="1936" w:type="pct"/>
            <w:shd w:val="clear" w:color="auto" w:fill="auto"/>
            <w:hideMark/>
          </w:tcPr>
          <w:p w14:paraId="3D8B12C6" w14:textId="77777777" w:rsidR="00BB5842" w:rsidRPr="0010428B" w:rsidRDefault="00BB5842" w:rsidP="0010428B">
            <w:pPr>
              <w:pStyle w:val="Tabletext"/>
            </w:pPr>
            <w:r w:rsidRPr="0010428B">
              <w:t>Sophia Antipolis, France, 13-23 June 2023</w:t>
            </w:r>
          </w:p>
        </w:tc>
        <w:tc>
          <w:tcPr>
            <w:tcW w:w="2322" w:type="pct"/>
            <w:shd w:val="clear" w:color="auto" w:fill="auto"/>
            <w:hideMark/>
          </w:tcPr>
          <w:p w14:paraId="1B5C0056" w14:textId="77777777" w:rsidR="00BB5842" w:rsidRPr="0010428B" w:rsidRDefault="00BB5842" w:rsidP="0010428B">
            <w:pPr>
              <w:pStyle w:val="Tabletext"/>
            </w:pPr>
            <w:r w:rsidRPr="0010428B">
              <w:t>Vincent Urbain NAMRONA, Central African Rep.</w:t>
            </w:r>
          </w:p>
        </w:tc>
      </w:tr>
      <w:tr w:rsidR="00BB5842" w:rsidRPr="0010428B" w14:paraId="47C763A8" w14:textId="77777777" w:rsidTr="00AA5E36">
        <w:trPr>
          <w:jc w:val="center"/>
        </w:trPr>
        <w:tc>
          <w:tcPr>
            <w:tcW w:w="742" w:type="pct"/>
            <w:shd w:val="clear" w:color="auto" w:fill="auto"/>
          </w:tcPr>
          <w:p w14:paraId="29132A13" w14:textId="77777777" w:rsidR="00BB5842" w:rsidRPr="0010428B" w:rsidRDefault="00BB5842" w:rsidP="00AA5E36">
            <w:pPr>
              <w:pStyle w:val="Tabletext"/>
              <w:jc w:val="center"/>
            </w:pPr>
            <w:r w:rsidRPr="0010428B">
              <w:t>SG5</w:t>
            </w:r>
          </w:p>
        </w:tc>
        <w:tc>
          <w:tcPr>
            <w:tcW w:w="1936" w:type="pct"/>
            <w:shd w:val="clear" w:color="auto" w:fill="auto"/>
          </w:tcPr>
          <w:p w14:paraId="5F41E8AD" w14:textId="77777777" w:rsidR="00BB5842" w:rsidRPr="0010428B" w:rsidRDefault="00BB5842" w:rsidP="0010428B">
            <w:pPr>
              <w:pStyle w:val="Tabletext"/>
            </w:pPr>
            <w:r w:rsidRPr="0010428B">
              <w:t>Wroclaw, 17 - 21 June 2024</w:t>
            </w:r>
          </w:p>
        </w:tc>
        <w:tc>
          <w:tcPr>
            <w:tcW w:w="2322" w:type="pct"/>
            <w:shd w:val="clear" w:color="auto" w:fill="auto"/>
          </w:tcPr>
          <w:p w14:paraId="7E882383" w14:textId="77777777" w:rsidR="00BB5842" w:rsidRPr="0010428B" w:rsidRDefault="00BB5842" w:rsidP="0010428B">
            <w:pPr>
              <w:pStyle w:val="Tabletext"/>
            </w:pPr>
            <w:r w:rsidRPr="0010428B">
              <w:t>Vincent Urbain NAMRONA, Central African Rep.</w:t>
            </w:r>
          </w:p>
        </w:tc>
      </w:tr>
      <w:tr w:rsidR="00BB5842" w:rsidRPr="0010428B" w14:paraId="36C775EF" w14:textId="77777777" w:rsidTr="00AA5E36">
        <w:trPr>
          <w:jc w:val="center"/>
        </w:trPr>
        <w:tc>
          <w:tcPr>
            <w:tcW w:w="742" w:type="pct"/>
            <w:shd w:val="clear" w:color="auto" w:fill="auto"/>
          </w:tcPr>
          <w:p w14:paraId="474702AA" w14:textId="77777777" w:rsidR="00BB5842" w:rsidRPr="0010428B" w:rsidRDefault="00BB5842" w:rsidP="00AA5E36">
            <w:pPr>
              <w:pStyle w:val="Tabletext"/>
              <w:jc w:val="center"/>
            </w:pPr>
            <w:r w:rsidRPr="0010428B">
              <w:t>SG5</w:t>
            </w:r>
          </w:p>
        </w:tc>
        <w:tc>
          <w:tcPr>
            <w:tcW w:w="1936" w:type="pct"/>
            <w:shd w:val="clear" w:color="auto" w:fill="auto"/>
          </w:tcPr>
          <w:p w14:paraId="0A3E1D69" w14:textId="77777777" w:rsidR="00BB5842" w:rsidRPr="0010428B" w:rsidRDefault="00BB5842" w:rsidP="0010428B">
            <w:pPr>
              <w:pStyle w:val="Tabletext"/>
            </w:pPr>
            <w:r w:rsidRPr="0010428B">
              <w:t>E-meeting, 5 December 2022</w:t>
            </w:r>
          </w:p>
        </w:tc>
        <w:tc>
          <w:tcPr>
            <w:tcW w:w="2322" w:type="pct"/>
            <w:shd w:val="clear" w:color="auto" w:fill="auto"/>
          </w:tcPr>
          <w:p w14:paraId="0BFAFCF8" w14:textId="77777777" w:rsidR="00BB5842" w:rsidRPr="0010428B" w:rsidRDefault="00BB5842" w:rsidP="0010428B">
            <w:pPr>
              <w:pStyle w:val="Tabletext"/>
            </w:pPr>
            <w:r w:rsidRPr="0010428B">
              <w:t>Vincent Urbain NAMRONA, Central African Republic</w:t>
            </w:r>
          </w:p>
        </w:tc>
      </w:tr>
      <w:tr w:rsidR="00BB5842" w:rsidRPr="0010428B" w14:paraId="05860CC8" w14:textId="77777777" w:rsidTr="00AA5E36">
        <w:trPr>
          <w:jc w:val="center"/>
        </w:trPr>
        <w:tc>
          <w:tcPr>
            <w:tcW w:w="742" w:type="pct"/>
            <w:shd w:val="clear" w:color="auto" w:fill="auto"/>
          </w:tcPr>
          <w:p w14:paraId="1D042260" w14:textId="77777777" w:rsidR="00BB5842" w:rsidRPr="0010428B" w:rsidRDefault="00BB5842" w:rsidP="00AA5E36">
            <w:pPr>
              <w:pStyle w:val="Tabletext"/>
              <w:jc w:val="center"/>
            </w:pPr>
            <w:r w:rsidRPr="0010428B">
              <w:t>SG5</w:t>
            </w:r>
          </w:p>
        </w:tc>
        <w:tc>
          <w:tcPr>
            <w:tcW w:w="1936" w:type="pct"/>
            <w:shd w:val="clear" w:color="auto" w:fill="auto"/>
          </w:tcPr>
          <w:p w14:paraId="42A77A77" w14:textId="77777777" w:rsidR="00BB5842" w:rsidRPr="0010428B" w:rsidRDefault="00BB5842" w:rsidP="0010428B">
            <w:pPr>
              <w:pStyle w:val="Tabletext"/>
            </w:pPr>
            <w:r w:rsidRPr="0010428B">
              <w:t>Geneva, 21 June - 1 July 2022</w:t>
            </w:r>
          </w:p>
        </w:tc>
        <w:tc>
          <w:tcPr>
            <w:tcW w:w="2322" w:type="pct"/>
            <w:shd w:val="clear" w:color="auto" w:fill="auto"/>
          </w:tcPr>
          <w:p w14:paraId="2E120CE9" w14:textId="77777777" w:rsidR="00BB5842" w:rsidRPr="0010428B" w:rsidRDefault="00BB5842" w:rsidP="0010428B">
            <w:pPr>
              <w:pStyle w:val="Tabletext"/>
            </w:pPr>
            <w:r w:rsidRPr="0010428B">
              <w:t>Vincent Urbain NAMRONA, Central African Republic</w:t>
            </w:r>
          </w:p>
        </w:tc>
      </w:tr>
      <w:tr w:rsidR="00BB5842" w:rsidRPr="0010428B" w14:paraId="38298CE4" w14:textId="77777777" w:rsidTr="00AA5E36">
        <w:trPr>
          <w:jc w:val="center"/>
        </w:trPr>
        <w:tc>
          <w:tcPr>
            <w:tcW w:w="742" w:type="pct"/>
            <w:shd w:val="clear" w:color="auto" w:fill="auto"/>
          </w:tcPr>
          <w:p w14:paraId="02A508BC" w14:textId="77777777" w:rsidR="00BB5842" w:rsidRPr="0010428B" w:rsidRDefault="00BB5842" w:rsidP="00AA5E36">
            <w:pPr>
              <w:pStyle w:val="Tabletext"/>
              <w:jc w:val="center"/>
            </w:pPr>
            <w:r w:rsidRPr="0010428B">
              <w:lastRenderedPageBreak/>
              <w:t>SG5</w:t>
            </w:r>
          </w:p>
        </w:tc>
        <w:tc>
          <w:tcPr>
            <w:tcW w:w="1936" w:type="pct"/>
            <w:shd w:val="clear" w:color="auto" w:fill="auto"/>
          </w:tcPr>
          <w:p w14:paraId="104CD0FE" w14:textId="77777777" w:rsidR="00BB5842" w:rsidRPr="0010428B" w:rsidRDefault="00BB5842" w:rsidP="0010428B">
            <w:pPr>
              <w:pStyle w:val="Tabletext"/>
            </w:pPr>
            <w:r w:rsidRPr="0010428B">
              <w:t>Rome, Italy, 17-27 October 2022</w:t>
            </w:r>
          </w:p>
        </w:tc>
        <w:tc>
          <w:tcPr>
            <w:tcW w:w="2322" w:type="pct"/>
            <w:shd w:val="clear" w:color="auto" w:fill="auto"/>
          </w:tcPr>
          <w:p w14:paraId="6DFA58B2" w14:textId="77777777" w:rsidR="00BB5842" w:rsidRPr="0010428B" w:rsidRDefault="00BB5842" w:rsidP="0010428B">
            <w:pPr>
              <w:pStyle w:val="Tabletext"/>
            </w:pPr>
            <w:r w:rsidRPr="0010428B">
              <w:t>Vincent Urbain NAMRONA, Central African Republic</w:t>
            </w:r>
          </w:p>
        </w:tc>
      </w:tr>
      <w:tr w:rsidR="00BB5842" w:rsidRPr="0010428B" w14:paraId="50A85410" w14:textId="77777777" w:rsidTr="00AA5E36">
        <w:trPr>
          <w:jc w:val="center"/>
        </w:trPr>
        <w:tc>
          <w:tcPr>
            <w:tcW w:w="742" w:type="pct"/>
            <w:shd w:val="clear" w:color="auto" w:fill="auto"/>
            <w:hideMark/>
          </w:tcPr>
          <w:p w14:paraId="2D0ED3C8" w14:textId="77777777" w:rsidR="00BB5842" w:rsidRPr="0010428B" w:rsidRDefault="00BB5842" w:rsidP="00AA5E36">
            <w:pPr>
              <w:pStyle w:val="Tabletext"/>
              <w:jc w:val="center"/>
            </w:pPr>
            <w:r w:rsidRPr="0010428B">
              <w:t>SG9</w:t>
            </w:r>
          </w:p>
        </w:tc>
        <w:tc>
          <w:tcPr>
            <w:tcW w:w="1936" w:type="pct"/>
            <w:shd w:val="clear" w:color="auto" w:fill="auto"/>
            <w:hideMark/>
          </w:tcPr>
          <w:p w14:paraId="2CDF680A" w14:textId="77777777" w:rsidR="00BB5842" w:rsidRPr="0010428B" w:rsidRDefault="00BB5842" w:rsidP="0010428B">
            <w:pPr>
              <w:pStyle w:val="Tabletext"/>
            </w:pPr>
            <w:r w:rsidRPr="0010428B">
              <w:t>Bogotá, Colombia, 14-23 November 2023</w:t>
            </w:r>
          </w:p>
        </w:tc>
        <w:tc>
          <w:tcPr>
            <w:tcW w:w="2322" w:type="pct"/>
            <w:shd w:val="clear" w:color="auto" w:fill="auto"/>
            <w:hideMark/>
          </w:tcPr>
          <w:p w14:paraId="11A70CF2" w14:textId="77777777" w:rsidR="00BB5842" w:rsidRPr="0010428B" w:rsidRDefault="00BB5842" w:rsidP="0010428B">
            <w:pPr>
              <w:pStyle w:val="Tabletext"/>
            </w:pPr>
            <w:r w:rsidRPr="0010428B">
              <w:t>Blaise MAMADOU, Central African Rep.</w:t>
            </w:r>
          </w:p>
        </w:tc>
      </w:tr>
      <w:tr w:rsidR="00BB5842" w:rsidRPr="0010428B" w14:paraId="6D7531BB" w14:textId="77777777" w:rsidTr="00AA5E36">
        <w:trPr>
          <w:jc w:val="center"/>
        </w:trPr>
        <w:tc>
          <w:tcPr>
            <w:tcW w:w="742" w:type="pct"/>
            <w:shd w:val="clear" w:color="auto" w:fill="auto"/>
          </w:tcPr>
          <w:p w14:paraId="64ADD3D6" w14:textId="77777777" w:rsidR="00BB5842" w:rsidRPr="0010428B" w:rsidRDefault="00BB5842" w:rsidP="00AA5E36">
            <w:pPr>
              <w:pStyle w:val="Tabletext"/>
              <w:jc w:val="center"/>
            </w:pPr>
            <w:r w:rsidRPr="0010428B">
              <w:t>SG9</w:t>
            </w:r>
          </w:p>
        </w:tc>
        <w:tc>
          <w:tcPr>
            <w:tcW w:w="1936" w:type="pct"/>
            <w:shd w:val="clear" w:color="auto" w:fill="auto"/>
          </w:tcPr>
          <w:p w14:paraId="7BA49367" w14:textId="77777777" w:rsidR="00BB5842" w:rsidRPr="0010428B" w:rsidRDefault="00BB5842" w:rsidP="0010428B">
            <w:pPr>
              <w:pStyle w:val="Tabletext"/>
            </w:pPr>
            <w:r w:rsidRPr="0010428B">
              <w:t>Virtual, 9 - 17 May 2024</w:t>
            </w:r>
          </w:p>
        </w:tc>
        <w:tc>
          <w:tcPr>
            <w:tcW w:w="2322" w:type="pct"/>
            <w:shd w:val="clear" w:color="auto" w:fill="auto"/>
          </w:tcPr>
          <w:p w14:paraId="73B7CE60" w14:textId="77777777" w:rsidR="00BB5842" w:rsidRPr="0010428B" w:rsidRDefault="00BB5842" w:rsidP="0010428B">
            <w:pPr>
              <w:pStyle w:val="Tabletext"/>
            </w:pPr>
            <w:r w:rsidRPr="0010428B">
              <w:t>Blaise MAMADOU, Central African Rep.</w:t>
            </w:r>
          </w:p>
        </w:tc>
      </w:tr>
      <w:tr w:rsidR="00BB5842" w:rsidRPr="0010428B" w14:paraId="1B7F3BF6" w14:textId="77777777" w:rsidTr="00AA5E36">
        <w:trPr>
          <w:jc w:val="center"/>
        </w:trPr>
        <w:tc>
          <w:tcPr>
            <w:tcW w:w="742" w:type="pct"/>
            <w:shd w:val="clear" w:color="auto" w:fill="auto"/>
          </w:tcPr>
          <w:p w14:paraId="4401D2B0" w14:textId="77777777" w:rsidR="00BB5842" w:rsidRPr="0010428B" w:rsidRDefault="00BB5842" w:rsidP="00AA5E36">
            <w:pPr>
              <w:pStyle w:val="Tabletext"/>
              <w:jc w:val="center"/>
            </w:pPr>
            <w:r w:rsidRPr="0010428B">
              <w:t>SG9</w:t>
            </w:r>
          </w:p>
        </w:tc>
        <w:tc>
          <w:tcPr>
            <w:tcW w:w="1936" w:type="pct"/>
            <w:shd w:val="clear" w:color="auto" w:fill="auto"/>
          </w:tcPr>
          <w:p w14:paraId="14FC783E" w14:textId="77777777" w:rsidR="00BB5842" w:rsidRPr="0010428B" w:rsidRDefault="00BB5842" w:rsidP="0010428B">
            <w:pPr>
              <w:pStyle w:val="Tabletext"/>
            </w:pPr>
            <w:r w:rsidRPr="0010428B">
              <w:t xml:space="preserve">Bangalore, India, 9-18 May 2023 </w:t>
            </w:r>
          </w:p>
        </w:tc>
        <w:tc>
          <w:tcPr>
            <w:tcW w:w="2322" w:type="pct"/>
            <w:shd w:val="clear" w:color="auto" w:fill="auto"/>
          </w:tcPr>
          <w:p w14:paraId="349D8EE2" w14:textId="77777777" w:rsidR="00BB5842" w:rsidRPr="0010428B" w:rsidRDefault="00BB5842" w:rsidP="0010428B">
            <w:pPr>
              <w:pStyle w:val="Tabletext"/>
            </w:pPr>
            <w:r w:rsidRPr="0010428B">
              <w:t>Blaise MAMADOU, Central African Republic</w:t>
            </w:r>
          </w:p>
        </w:tc>
      </w:tr>
      <w:tr w:rsidR="00BB5842" w:rsidRPr="0010428B" w14:paraId="6377DEC3" w14:textId="77777777" w:rsidTr="00AA5E36">
        <w:trPr>
          <w:jc w:val="center"/>
        </w:trPr>
        <w:tc>
          <w:tcPr>
            <w:tcW w:w="742" w:type="pct"/>
            <w:shd w:val="clear" w:color="auto" w:fill="auto"/>
          </w:tcPr>
          <w:p w14:paraId="7B2C0742" w14:textId="77777777" w:rsidR="00BB5842" w:rsidRPr="0010428B" w:rsidRDefault="00BB5842" w:rsidP="00AA5E36">
            <w:pPr>
              <w:pStyle w:val="Tabletext"/>
              <w:jc w:val="center"/>
            </w:pPr>
            <w:r w:rsidRPr="0010428B">
              <w:t>SG9</w:t>
            </w:r>
          </w:p>
        </w:tc>
        <w:tc>
          <w:tcPr>
            <w:tcW w:w="1936" w:type="pct"/>
            <w:shd w:val="clear" w:color="auto" w:fill="auto"/>
          </w:tcPr>
          <w:p w14:paraId="631F6656" w14:textId="77777777" w:rsidR="00BB5842" w:rsidRPr="0010428B" w:rsidRDefault="00BB5842" w:rsidP="0010428B">
            <w:pPr>
              <w:pStyle w:val="Tabletext"/>
            </w:pPr>
            <w:r w:rsidRPr="0010428B">
              <w:t>Tokyo, Japan, 2-10 September 2024</w:t>
            </w:r>
          </w:p>
        </w:tc>
        <w:tc>
          <w:tcPr>
            <w:tcW w:w="2322" w:type="pct"/>
            <w:shd w:val="clear" w:color="auto" w:fill="auto"/>
          </w:tcPr>
          <w:p w14:paraId="46A5D8B8" w14:textId="77777777" w:rsidR="00BB5842" w:rsidRPr="0010428B" w:rsidRDefault="00BB5842" w:rsidP="0010428B">
            <w:pPr>
              <w:pStyle w:val="Tabletext"/>
            </w:pPr>
            <w:r w:rsidRPr="0010428B">
              <w:t>Blaise MAMADOU, Central African Republic</w:t>
            </w:r>
          </w:p>
        </w:tc>
      </w:tr>
      <w:tr w:rsidR="00BB5842" w:rsidRPr="0010428B" w14:paraId="5BF5F47E" w14:textId="77777777" w:rsidTr="00AA5E36">
        <w:trPr>
          <w:jc w:val="center"/>
        </w:trPr>
        <w:tc>
          <w:tcPr>
            <w:tcW w:w="742" w:type="pct"/>
            <w:shd w:val="clear" w:color="auto" w:fill="auto"/>
            <w:hideMark/>
          </w:tcPr>
          <w:p w14:paraId="08A9C977" w14:textId="77777777" w:rsidR="00BB5842" w:rsidRPr="0010428B" w:rsidRDefault="00BB5842" w:rsidP="00AA5E36">
            <w:pPr>
              <w:pStyle w:val="Tabletext"/>
              <w:jc w:val="center"/>
            </w:pPr>
            <w:r w:rsidRPr="0010428B">
              <w:t>SG9</w:t>
            </w:r>
          </w:p>
        </w:tc>
        <w:tc>
          <w:tcPr>
            <w:tcW w:w="1936" w:type="pct"/>
            <w:shd w:val="clear" w:color="auto" w:fill="auto"/>
            <w:hideMark/>
          </w:tcPr>
          <w:p w14:paraId="74A29FE9" w14:textId="77777777" w:rsidR="00BB5842" w:rsidRPr="0010428B" w:rsidRDefault="00BB5842" w:rsidP="0010428B">
            <w:pPr>
              <w:pStyle w:val="Tabletext"/>
            </w:pPr>
            <w:r w:rsidRPr="0010428B">
              <w:t>Bogotá, Colombia, 14-23 November 2023</w:t>
            </w:r>
          </w:p>
        </w:tc>
        <w:tc>
          <w:tcPr>
            <w:tcW w:w="2322" w:type="pct"/>
            <w:shd w:val="clear" w:color="auto" w:fill="auto"/>
            <w:hideMark/>
          </w:tcPr>
          <w:p w14:paraId="1DDDAB01" w14:textId="77777777" w:rsidR="00BB5842" w:rsidRPr="0010428B" w:rsidRDefault="00BB5842" w:rsidP="0010428B">
            <w:pPr>
              <w:pStyle w:val="Tabletext"/>
            </w:pPr>
            <w:proofErr w:type="spellStart"/>
            <w:r w:rsidRPr="0010428B">
              <w:t>Zhifan</w:t>
            </w:r>
            <w:proofErr w:type="spellEnd"/>
            <w:r w:rsidRPr="0010428B">
              <w:t xml:space="preserve"> SHENG, China</w:t>
            </w:r>
          </w:p>
        </w:tc>
      </w:tr>
      <w:tr w:rsidR="00BB5842" w:rsidRPr="0010428B" w14:paraId="59322BD3" w14:textId="77777777" w:rsidTr="00AA5E36">
        <w:trPr>
          <w:jc w:val="center"/>
        </w:trPr>
        <w:tc>
          <w:tcPr>
            <w:tcW w:w="742" w:type="pct"/>
            <w:shd w:val="clear" w:color="auto" w:fill="auto"/>
          </w:tcPr>
          <w:p w14:paraId="05B16948" w14:textId="77777777" w:rsidR="00BB5842" w:rsidRPr="0010428B" w:rsidRDefault="00BB5842" w:rsidP="00AA5E36">
            <w:pPr>
              <w:pStyle w:val="Tabletext"/>
              <w:jc w:val="center"/>
            </w:pPr>
            <w:r w:rsidRPr="0010428B">
              <w:t>SG9</w:t>
            </w:r>
          </w:p>
        </w:tc>
        <w:tc>
          <w:tcPr>
            <w:tcW w:w="1936" w:type="pct"/>
            <w:shd w:val="clear" w:color="auto" w:fill="auto"/>
          </w:tcPr>
          <w:p w14:paraId="0220AB07" w14:textId="77777777" w:rsidR="00BB5842" w:rsidRPr="0010428B" w:rsidRDefault="00BB5842" w:rsidP="0010428B">
            <w:pPr>
              <w:pStyle w:val="Tabletext"/>
            </w:pPr>
            <w:r w:rsidRPr="0010428B">
              <w:t>Tokyo, Japan, 2-10 September 2024</w:t>
            </w:r>
          </w:p>
        </w:tc>
        <w:tc>
          <w:tcPr>
            <w:tcW w:w="2322" w:type="pct"/>
            <w:shd w:val="clear" w:color="auto" w:fill="auto"/>
          </w:tcPr>
          <w:p w14:paraId="3A4DE40A" w14:textId="77777777" w:rsidR="00BB5842" w:rsidRPr="0010428B" w:rsidRDefault="00BB5842" w:rsidP="0010428B">
            <w:pPr>
              <w:pStyle w:val="Tabletext"/>
            </w:pPr>
            <w:proofErr w:type="spellStart"/>
            <w:r w:rsidRPr="0010428B">
              <w:t>Zhifan</w:t>
            </w:r>
            <w:proofErr w:type="spellEnd"/>
            <w:r w:rsidRPr="0010428B">
              <w:t xml:space="preserve"> SHENG, China</w:t>
            </w:r>
          </w:p>
        </w:tc>
      </w:tr>
      <w:tr w:rsidR="00BB5842" w:rsidRPr="0010428B" w14:paraId="48EE895B" w14:textId="77777777" w:rsidTr="00AA5E36">
        <w:trPr>
          <w:jc w:val="center"/>
        </w:trPr>
        <w:tc>
          <w:tcPr>
            <w:tcW w:w="742" w:type="pct"/>
            <w:shd w:val="clear" w:color="auto" w:fill="auto"/>
          </w:tcPr>
          <w:p w14:paraId="74C82679" w14:textId="77777777" w:rsidR="00BB5842" w:rsidRPr="0010428B" w:rsidRDefault="00BB5842" w:rsidP="00AA5E36">
            <w:pPr>
              <w:pStyle w:val="Tabletext"/>
              <w:jc w:val="center"/>
            </w:pPr>
            <w:r w:rsidRPr="0010428B">
              <w:t>SG11</w:t>
            </w:r>
          </w:p>
        </w:tc>
        <w:tc>
          <w:tcPr>
            <w:tcW w:w="1936" w:type="pct"/>
            <w:shd w:val="clear" w:color="auto" w:fill="auto"/>
          </w:tcPr>
          <w:p w14:paraId="3D78F495" w14:textId="77777777" w:rsidR="00BB5842" w:rsidRPr="0010428B" w:rsidRDefault="00BB5842" w:rsidP="0010428B">
            <w:pPr>
              <w:pStyle w:val="Tabletext"/>
            </w:pPr>
            <w:r w:rsidRPr="0010428B">
              <w:t>Geneva, 1 - 10 May 2024</w:t>
            </w:r>
          </w:p>
        </w:tc>
        <w:tc>
          <w:tcPr>
            <w:tcW w:w="2322" w:type="pct"/>
            <w:shd w:val="clear" w:color="auto" w:fill="auto"/>
          </w:tcPr>
          <w:p w14:paraId="644BBF16" w14:textId="77777777" w:rsidR="00BB5842" w:rsidRPr="0010428B" w:rsidRDefault="00BB5842" w:rsidP="0010428B">
            <w:pPr>
              <w:pStyle w:val="Tabletext"/>
            </w:pPr>
            <w:r w:rsidRPr="0010428B">
              <w:t>Arezu OROJLU, Iran</w:t>
            </w:r>
          </w:p>
        </w:tc>
      </w:tr>
      <w:tr w:rsidR="00BB5842" w:rsidRPr="0010428B" w14:paraId="4FA5B22D" w14:textId="77777777" w:rsidTr="00AA5E36">
        <w:trPr>
          <w:jc w:val="center"/>
        </w:trPr>
        <w:tc>
          <w:tcPr>
            <w:tcW w:w="742" w:type="pct"/>
            <w:shd w:val="clear" w:color="auto" w:fill="auto"/>
          </w:tcPr>
          <w:p w14:paraId="02184426" w14:textId="77777777" w:rsidR="00BB5842" w:rsidRPr="0010428B" w:rsidRDefault="00BB5842" w:rsidP="00AA5E36">
            <w:pPr>
              <w:pStyle w:val="Tabletext"/>
              <w:jc w:val="center"/>
            </w:pPr>
            <w:r w:rsidRPr="0010428B">
              <w:t>SG11</w:t>
            </w:r>
          </w:p>
        </w:tc>
        <w:tc>
          <w:tcPr>
            <w:tcW w:w="1936" w:type="pct"/>
            <w:shd w:val="clear" w:color="auto" w:fill="auto"/>
          </w:tcPr>
          <w:p w14:paraId="77FB2258" w14:textId="77777777" w:rsidR="00BB5842" w:rsidRPr="0010428B" w:rsidRDefault="00BB5842" w:rsidP="0010428B">
            <w:pPr>
              <w:pStyle w:val="Tabletext"/>
            </w:pPr>
            <w:r w:rsidRPr="0010428B">
              <w:t>Geneva, 10-19 May 2023</w:t>
            </w:r>
          </w:p>
        </w:tc>
        <w:tc>
          <w:tcPr>
            <w:tcW w:w="2322" w:type="pct"/>
            <w:shd w:val="clear" w:color="auto" w:fill="auto"/>
          </w:tcPr>
          <w:p w14:paraId="7861812E" w14:textId="77777777" w:rsidR="00BB5842" w:rsidRPr="0010428B" w:rsidRDefault="00BB5842" w:rsidP="0010428B">
            <w:pPr>
              <w:pStyle w:val="Tabletext"/>
            </w:pPr>
            <w:r w:rsidRPr="0010428B">
              <w:t>Arezu OROJLU, Iran</w:t>
            </w:r>
          </w:p>
        </w:tc>
      </w:tr>
      <w:tr w:rsidR="00BB5842" w:rsidRPr="0010428B" w14:paraId="0D486974" w14:textId="77777777" w:rsidTr="00AA5E36">
        <w:trPr>
          <w:jc w:val="center"/>
        </w:trPr>
        <w:tc>
          <w:tcPr>
            <w:tcW w:w="742" w:type="pct"/>
            <w:shd w:val="clear" w:color="auto" w:fill="auto"/>
            <w:hideMark/>
          </w:tcPr>
          <w:p w14:paraId="22B15AEA" w14:textId="77777777" w:rsidR="00BB5842" w:rsidRPr="0010428B" w:rsidRDefault="00BB5842" w:rsidP="00AA5E36">
            <w:pPr>
              <w:pStyle w:val="Tabletext"/>
              <w:jc w:val="center"/>
            </w:pPr>
            <w:r w:rsidRPr="0010428B">
              <w:t>SG11</w:t>
            </w:r>
          </w:p>
        </w:tc>
        <w:tc>
          <w:tcPr>
            <w:tcW w:w="1936" w:type="pct"/>
            <w:shd w:val="clear" w:color="auto" w:fill="auto"/>
            <w:hideMark/>
          </w:tcPr>
          <w:p w14:paraId="08F9926F" w14:textId="77777777" w:rsidR="00BB5842" w:rsidRPr="0010428B" w:rsidRDefault="00BB5842" w:rsidP="0010428B">
            <w:pPr>
              <w:pStyle w:val="Tabletext"/>
            </w:pPr>
            <w:r w:rsidRPr="0010428B">
              <w:t>Geneva, 10-20 October 2023</w:t>
            </w:r>
          </w:p>
        </w:tc>
        <w:tc>
          <w:tcPr>
            <w:tcW w:w="2322" w:type="pct"/>
            <w:shd w:val="clear" w:color="auto" w:fill="auto"/>
            <w:hideMark/>
          </w:tcPr>
          <w:p w14:paraId="6973747A" w14:textId="77777777" w:rsidR="00BB5842" w:rsidRPr="0010428B" w:rsidRDefault="00BB5842" w:rsidP="0010428B">
            <w:pPr>
              <w:pStyle w:val="Tabletext"/>
            </w:pPr>
            <w:r w:rsidRPr="0010428B">
              <w:t>Arezu OROJLU, Iran</w:t>
            </w:r>
          </w:p>
        </w:tc>
      </w:tr>
      <w:tr w:rsidR="00BB5842" w:rsidRPr="0010428B" w14:paraId="701C53F7" w14:textId="77777777" w:rsidTr="00AA5E36">
        <w:trPr>
          <w:jc w:val="center"/>
        </w:trPr>
        <w:tc>
          <w:tcPr>
            <w:tcW w:w="742" w:type="pct"/>
            <w:shd w:val="clear" w:color="auto" w:fill="auto"/>
          </w:tcPr>
          <w:p w14:paraId="2E0247A8" w14:textId="77777777" w:rsidR="00BB5842" w:rsidRPr="0010428B" w:rsidRDefault="00BB5842" w:rsidP="00AA5E36">
            <w:pPr>
              <w:pStyle w:val="Tabletext"/>
              <w:jc w:val="center"/>
            </w:pPr>
            <w:r w:rsidRPr="0010428B">
              <w:t>SG11</w:t>
            </w:r>
          </w:p>
        </w:tc>
        <w:tc>
          <w:tcPr>
            <w:tcW w:w="1936" w:type="pct"/>
            <w:shd w:val="clear" w:color="auto" w:fill="auto"/>
          </w:tcPr>
          <w:p w14:paraId="2883BA92" w14:textId="77777777" w:rsidR="00BB5842" w:rsidRPr="0010428B" w:rsidRDefault="00BB5842" w:rsidP="0010428B">
            <w:pPr>
              <w:pStyle w:val="Tabletext"/>
            </w:pPr>
            <w:r w:rsidRPr="0010428B">
              <w:t>Geneva, 1 - 10 May 2024</w:t>
            </w:r>
          </w:p>
        </w:tc>
        <w:tc>
          <w:tcPr>
            <w:tcW w:w="2322" w:type="pct"/>
            <w:shd w:val="clear" w:color="auto" w:fill="auto"/>
          </w:tcPr>
          <w:p w14:paraId="609931E7" w14:textId="77777777" w:rsidR="00BB5842" w:rsidRPr="0010428B" w:rsidRDefault="00BB5842" w:rsidP="0010428B">
            <w:pPr>
              <w:pStyle w:val="Tabletext"/>
            </w:pPr>
            <w:r w:rsidRPr="0010428B">
              <w:t>Ibrahim Abdalah Mohamed BALA, Sudan</w:t>
            </w:r>
          </w:p>
        </w:tc>
      </w:tr>
      <w:tr w:rsidR="00BB5842" w:rsidRPr="0010428B" w14:paraId="6023B0E0" w14:textId="77777777" w:rsidTr="00AA5E36">
        <w:trPr>
          <w:jc w:val="center"/>
        </w:trPr>
        <w:tc>
          <w:tcPr>
            <w:tcW w:w="742" w:type="pct"/>
            <w:shd w:val="clear" w:color="auto" w:fill="auto"/>
          </w:tcPr>
          <w:p w14:paraId="09CE1DE6" w14:textId="77777777" w:rsidR="00BB5842" w:rsidRPr="0010428B" w:rsidRDefault="00BB5842" w:rsidP="00AA5E36">
            <w:pPr>
              <w:pStyle w:val="Tabletext"/>
              <w:jc w:val="center"/>
            </w:pPr>
            <w:r w:rsidRPr="0010428B">
              <w:t>SG11</w:t>
            </w:r>
          </w:p>
        </w:tc>
        <w:tc>
          <w:tcPr>
            <w:tcW w:w="1936" w:type="pct"/>
            <w:shd w:val="clear" w:color="auto" w:fill="auto"/>
          </w:tcPr>
          <w:p w14:paraId="435DBB13" w14:textId="77777777" w:rsidR="00BB5842" w:rsidRPr="0010428B" w:rsidRDefault="00BB5842" w:rsidP="0010428B">
            <w:pPr>
              <w:pStyle w:val="Tabletext"/>
            </w:pPr>
            <w:r w:rsidRPr="0010428B">
              <w:t>Geneva, 10-19 May 2023</w:t>
            </w:r>
          </w:p>
        </w:tc>
        <w:tc>
          <w:tcPr>
            <w:tcW w:w="2322" w:type="pct"/>
            <w:shd w:val="clear" w:color="auto" w:fill="auto"/>
          </w:tcPr>
          <w:p w14:paraId="7DDE9C6B" w14:textId="77777777" w:rsidR="00BB5842" w:rsidRPr="0010428B" w:rsidRDefault="00BB5842" w:rsidP="0010428B">
            <w:pPr>
              <w:pStyle w:val="Tabletext"/>
            </w:pPr>
            <w:r w:rsidRPr="0010428B">
              <w:t>Ibrahim Abdalah Mohamed BALA, Sudan</w:t>
            </w:r>
          </w:p>
        </w:tc>
      </w:tr>
      <w:tr w:rsidR="00BB5842" w:rsidRPr="0010428B" w14:paraId="7F52FBBF" w14:textId="77777777" w:rsidTr="00AA5E36">
        <w:trPr>
          <w:jc w:val="center"/>
        </w:trPr>
        <w:tc>
          <w:tcPr>
            <w:tcW w:w="742" w:type="pct"/>
            <w:shd w:val="clear" w:color="auto" w:fill="auto"/>
            <w:hideMark/>
          </w:tcPr>
          <w:p w14:paraId="544572E4" w14:textId="77777777" w:rsidR="00BB5842" w:rsidRPr="0010428B" w:rsidRDefault="00BB5842" w:rsidP="00AA5E36">
            <w:pPr>
              <w:pStyle w:val="Tabletext"/>
              <w:jc w:val="center"/>
            </w:pPr>
            <w:r w:rsidRPr="0010428B">
              <w:t>SG11</w:t>
            </w:r>
          </w:p>
        </w:tc>
        <w:tc>
          <w:tcPr>
            <w:tcW w:w="1936" w:type="pct"/>
            <w:shd w:val="clear" w:color="auto" w:fill="auto"/>
            <w:hideMark/>
          </w:tcPr>
          <w:p w14:paraId="075575CA" w14:textId="77777777" w:rsidR="00BB5842" w:rsidRPr="0010428B" w:rsidRDefault="00BB5842" w:rsidP="0010428B">
            <w:pPr>
              <w:pStyle w:val="Tabletext"/>
            </w:pPr>
            <w:r w:rsidRPr="0010428B">
              <w:t>Geneva, 10-20 October 2023</w:t>
            </w:r>
          </w:p>
        </w:tc>
        <w:tc>
          <w:tcPr>
            <w:tcW w:w="2322" w:type="pct"/>
            <w:shd w:val="clear" w:color="auto" w:fill="auto"/>
            <w:hideMark/>
          </w:tcPr>
          <w:p w14:paraId="74947B81" w14:textId="77777777" w:rsidR="00BB5842" w:rsidRPr="0010428B" w:rsidRDefault="00BB5842" w:rsidP="0010428B">
            <w:pPr>
              <w:pStyle w:val="Tabletext"/>
            </w:pPr>
            <w:r w:rsidRPr="0010428B">
              <w:t>Ibrahim Abdalah Mohamed BALA, Sudan</w:t>
            </w:r>
          </w:p>
        </w:tc>
      </w:tr>
      <w:tr w:rsidR="00BB5842" w:rsidRPr="0010428B" w14:paraId="2AE67F83" w14:textId="77777777" w:rsidTr="00AA5E36">
        <w:trPr>
          <w:jc w:val="center"/>
        </w:trPr>
        <w:tc>
          <w:tcPr>
            <w:tcW w:w="742" w:type="pct"/>
            <w:shd w:val="clear" w:color="auto" w:fill="auto"/>
          </w:tcPr>
          <w:p w14:paraId="2D90C034" w14:textId="77777777" w:rsidR="00BB5842" w:rsidRPr="0010428B" w:rsidRDefault="00BB5842" w:rsidP="00AA5E36">
            <w:pPr>
              <w:pStyle w:val="Tabletext"/>
              <w:jc w:val="center"/>
            </w:pPr>
            <w:r w:rsidRPr="0010428B">
              <w:t>SG11</w:t>
            </w:r>
          </w:p>
        </w:tc>
        <w:tc>
          <w:tcPr>
            <w:tcW w:w="1936" w:type="pct"/>
            <w:shd w:val="clear" w:color="auto" w:fill="auto"/>
          </w:tcPr>
          <w:p w14:paraId="252A616F" w14:textId="77777777" w:rsidR="00BB5842" w:rsidRPr="0010428B" w:rsidRDefault="00BB5842" w:rsidP="0010428B">
            <w:pPr>
              <w:pStyle w:val="Tabletext"/>
            </w:pPr>
            <w:r w:rsidRPr="0010428B">
              <w:t>Geneva, 1 - 10 May 2024</w:t>
            </w:r>
          </w:p>
        </w:tc>
        <w:tc>
          <w:tcPr>
            <w:tcW w:w="2322" w:type="pct"/>
            <w:shd w:val="clear" w:color="auto" w:fill="auto"/>
          </w:tcPr>
          <w:p w14:paraId="65E8B14B" w14:textId="77777777" w:rsidR="00BB5842" w:rsidRPr="0010428B" w:rsidRDefault="00BB5842" w:rsidP="0010428B">
            <w:pPr>
              <w:pStyle w:val="Tabletext"/>
            </w:pPr>
            <w:r w:rsidRPr="0010428B">
              <w:t>Juan Matias CATTANEO, Argentina</w:t>
            </w:r>
          </w:p>
        </w:tc>
      </w:tr>
      <w:tr w:rsidR="00BB5842" w:rsidRPr="0010428B" w14:paraId="7064C7B5" w14:textId="77777777" w:rsidTr="00AA5E36">
        <w:trPr>
          <w:jc w:val="center"/>
        </w:trPr>
        <w:tc>
          <w:tcPr>
            <w:tcW w:w="742" w:type="pct"/>
            <w:shd w:val="clear" w:color="auto" w:fill="auto"/>
          </w:tcPr>
          <w:p w14:paraId="67B68254" w14:textId="77777777" w:rsidR="00BB5842" w:rsidRPr="0010428B" w:rsidRDefault="00BB5842" w:rsidP="00AA5E36">
            <w:pPr>
              <w:pStyle w:val="Tabletext"/>
              <w:jc w:val="center"/>
            </w:pPr>
            <w:r w:rsidRPr="0010428B">
              <w:t>SG11</w:t>
            </w:r>
          </w:p>
        </w:tc>
        <w:tc>
          <w:tcPr>
            <w:tcW w:w="1936" w:type="pct"/>
            <w:shd w:val="clear" w:color="auto" w:fill="auto"/>
          </w:tcPr>
          <w:p w14:paraId="5FB2C421" w14:textId="77777777" w:rsidR="00BB5842" w:rsidRPr="0010428B" w:rsidRDefault="00BB5842" w:rsidP="0010428B">
            <w:pPr>
              <w:pStyle w:val="Tabletext"/>
            </w:pPr>
            <w:r w:rsidRPr="0010428B">
              <w:t>Geneva, 10-19 May 2023</w:t>
            </w:r>
          </w:p>
        </w:tc>
        <w:tc>
          <w:tcPr>
            <w:tcW w:w="2322" w:type="pct"/>
            <w:shd w:val="clear" w:color="auto" w:fill="auto"/>
          </w:tcPr>
          <w:p w14:paraId="681B0A3D" w14:textId="77777777" w:rsidR="00BB5842" w:rsidRPr="0010428B" w:rsidRDefault="00BB5842" w:rsidP="0010428B">
            <w:pPr>
              <w:pStyle w:val="Tabletext"/>
            </w:pPr>
            <w:r w:rsidRPr="0010428B">
              <w:t>Juan Matias CATTANEO, Argentina</w:t>
            </w:r>
          </w:p>
        </w:tc>
      </w:tr>
      <w:tr w:rsidR="00BB5842" w:rsidRPr="0010428B" w14:paraId="17D8D045" w14:textId="77777777" w:rsidTr="00AA5E36">
        <w:trPr>
          <w:jc w:val="center"/>
        </w:trPr>
        <w:tc>
          <w:tcPr>
            <w:tcW w:w="742" w:type="pct"/>
            <w:shd w:val="clear" w:color="auto" w:fill="auto"/>
            <w:hideMark/>
          </w:tcPr>
          <w:p w14:paraId="654E6D21" w14:textId="77777777" w:rsidR="00BB5842" w:rsidRPr="0010428B" w:rsidRDefault="00BB5842" w:rsidP="00AA5E36">
            <w:pPr>
              <w:pStyle w:val="Tabletext"/>
              <w:jc w:val="center"/>
            </w:pPr>
            <w:r w:rsidRPr="0010428B">
              <w:t>SG11</w:t>
            </w:r>
          </w:p>
        </w:tc>
        <w:tc>
          <w:tcPr>
            <w:tcW w:w="1936" w:type="pct"/>
            <w:shd w:val="clear" w:color="auto" w:fill="auto"/>
            <w:hideMark/>
          </w:tcPr>
          <w:p w14:paraId="0CBD66EE" w14:textId="77777777" w:rsidR="00BB5842" w:rsidRPr="0010428B" w:rsidRDefault="00BB5842" w:rsidP="0010428B">
            <w:pPr>
              <w:pStyle w:val="Tabletext"/>
            </w:pPr>
            <w:r w:rsidRPr="0010428B">
              <w:t>Geneva, 10-20 October 2023</w:t>
            </w:r>
          </w:p>
        </w:tc>
        <w:tc>
          <w:tcPr>
            <w:tcW w:w="2322" w:type="pct"/>
            <w:shd w:val="clear" w:color="auto" w:fill="auto"/>
            <w:hideMark/>
          </w:tcPr>
          <w:p w14:paraId="59226711" w14:textId="77777777" w:rsidR="00BB5842" w:rsidRPr="0010428B" w:rsidRDefault="00BB5842" w:rsidP="0010428B">
            <w:pPr>
              <w:pStyle w:val="Tabletext"/>
            </w:pPr>
            <w:r w:rsidRPr="0010428B">
              <w:t>Juan Matias CATTANEO, Argentina</w:t>
            </w:r>
          </w:p>
        </w:tc>
      </w:tr>
      <w:tr w:rsidR="00BB5842" w:rsidRPr="0010428B" w14:paraId="14AA0526" w14:textId="77777777" w:rsidTr="00AA5E36">
        <w:trPr>
          <w:jc w:val="center"/>
        </w:trPr>
        <w:tc>
          <w:tcPr>
            <w:tcW w:w="742" w:type="pct"/>
            <w:shd w:val="clear" w:color="auto" w:fill="auto"/>
          </w:tcPr>
          <w:p w14:paraId="73BA996A" w14:textId="77777777" w:rsidR="00BB5842" w:rsidRPr="0010428B" w:rsidRDefault="00BB5842" w:rsidP="00AA5E36">
            <w:pPr>
              <w:pStyle w:val="Tabletext"/>
              <w:jc w:val="center"/>
            </w:pPr>
            <w:r w:rsidRPr="0010428B">
              <w:t>SG11</w:t>
            </w:r>
          </w:p>
        </w:tc>
        <w:tc>
          <w:tcPr>
            <w:tcW w:w="1936" w:type="pct"/>
            <w:shd w:val="clear" w:color="auto" w:fill="auto"/>
          </w:tcPr>
          <w:p w14:paraId="589C7A1B" w14:textId="77777777" w:rsidR="00BB5842" w:rsidRPr="0010428B" w:rsidRDefault="00BB5842" w:rsidP="0010428B">
            <w:pPr>
              <w:pStyle w:val="Tabletext"/>
            </w:pPr>
            <w:r w:rsidRPr="0010428B">
              <w:t>Geneva, 6-15 July 2022</w:t>
            </w:r>
          </w:p>
        </w:tc>
        <w:tc>
          <w:tcPr>
            <w:tcW w:w="2322" w:type="pct"/>
            <w:shd w:val="clear" w:color="auto" w:fill="auto"/>
          </w:tcPr>
          <w:p w14:paraId="06054EBB" w14:textId="77777777" w:rsidR="00BB5842" w:rsidRPr="0010428B" w:rsidRDefault="00BB5842" w:rsidP="0010428B">
            <w:pPr>
              <w:pStyle w:val="Tabletext"/>
            </w:pPr>
            <w:r w:rsidRPr="0010428B">
              <w:t>Juan Matias CATTANEO, Argentina</w:t>
            </w:r>
          </w:p>
        </w:tc>
      </w:tr>
      <w:tr w:rsidR="00BB5842" w:rsidRPr="0010428B" w14:paraId="58EAE0DE" w14:textId="77777777" w:rsidTr="00AA5E36">
        <w:trPr>
          <w:jc w:val="center"/>
        </w:trPr>
        <w:tc>
          <w:tcPr>
            <w:tcW w:w="742" w:type="pct"/>
            <w:shd w:val="clear" w:color="auto" w:fill="auto"/>
            <w:hideMark/>
          </w:tcPr>
          <w:p w14:paraId="59943288" w14:textId="77777777" w:rsidR="00BB5842" w:rsidRPr="0010428B" w:rsidRDefault="00BB5842" w:rsidP="00AA5E36">
            <w:pPr>
              <w:pStyle w:val="Tabletext"/>
              <w:jc w:val="center"/>
            </w:pPr>
            <w:r w:rsidRPr="0010428B">
              <w:t>SG12</w:t>
            </w:r>
          </w:p>
        </w:tc>
        <w:tc>
          <w:tcPr>
            <w:tcW w:w="1936" w:type="pct"/>
            <w:shd w:val="clear" w:color="auto" w:fill="auto"/>
            <w:hideMark/>
          </w:tcPr>
          <w:p w14:paraId="2563804C" w14:textId="77777777" w:rsidR="00BB5842" w:rsidRPr="0010428B" w:rsidRDefault="00BB5842" w:rsidP="0010428B">
            <w:pPr>
              <w:pStyle w:val="Tabletext"/>
            </w:pPr>
            <w:r w:rsidRPr="0010428B">
              <w:t>Mexico City, Mexico, 19-28 September 2023</w:t>
            </w:r>
          </w:p>
        </w:tc>
        <w:tc>
          <w:tcPr>
            <w:tcW w:w="2322" w:type="pct"/>
            <w:shd w:val="clear" w:color="auto" w:fill="auto"/>
            <w:hideMark/>
          </w:tcPr>
          <w:p w14:paraId="753DA4DE" w14:textId="77777777" w:rsidR="00BB5842" w:rsidRPr="0010428B" w:rsidRDefault="00BB5842" w:rsidP="0010428B">
            <w:pPr>
              <w:pStyle w:val="Tabletext"/>
            </w:pPr>
            <w:r w:rsidRPr="0010428B">
              <w:t>Ammar ABDALLAH ALARAKI, Sudan</w:t>
            </w:r>
          </w:p>
        </w:tc>
      </w:tr>
      <w:tr w:rsidR="00BB5842" w:rsidRPr="0010428B" w14:paraId="7961B38F" w14:textId="77777777" w:rsidTr="00AA5E36">
        <w:trPr>
          <w:jc w:val="center"/>
        </w:trPr>
        <w:tc>
          <w:tcPr>
            <w:tcW w:w="742" w:type="pct"/>
            <w:shd w:val="clear" w:color="auto" w:fill="auto"/>
          </w:tcPr>
          <w:p w14:paraId="45C1872E" w14:textId="77777777" w:rsidR="00BB5842" w:rsidRPr="0010428B" w:rsidRDefault="00BB5842" w:rsidP="00AA5E36">
            <w:pPr>
              <w:pStyle w:val="Tabletext"/>
              <w:jc w:val="center"/>
            </w:pPr>
            <w:r w:rsidRPr="0010428B">
              <w:t>SG12</w:t>
            </w:r>
          </w:p>
        </w:tc>
        <w:tc>
          <w:tcPr>
            <w:tcW w:w="1936" w:type="pct"/>
            <w:shd w:val="clear" w:color="auto" w:fill="auto"/>
          </w:tcPr>
          <w:p w14:paraId="2C6BC415" w14:textId="77777777" w:rsidR="00BB5842" w:rsidRPr="0010428B" w:rsidRDefault="00BB5842" w:rsidP="0010428B">
            <w:pPr>
              <w:pStyle w:val="Tabletext"/>
            </w:pPr>
            <w:r w:rsidRPr="0010428B">
              <w:t>Geneva, 18-26 January 2023</w:t>
            </w:r>
          </w:p>
        </w:tc>
        <w:tc>
          <w:tcPr>
            <w:tcW w:w="2322" w:type="pct"/>
            <w:shd w:val="clear" w:color="auto" w:fill="auto"/>
          </w:tcPr>
          <w:p w14:paraId="3D4E2156" w14:textId="77777777" w:rsidR="00BB5842" w:rsidRPr="0010428B" w:rsidRDefault="00BB5842" w:rsidP="0010428B">
            <w:pPr>
              <w:pStyle w:val="Tabletext"/>
            </w:pPr>
            <w:r w:rsidRPr="0010428B">
              <w:t>Collins MBULO, Zambia</w:t>
            </w:r>
          </w:p>
        </w:tc>
      </w:tr>
      <w:tr w:rsidR="00BB5842" w:rsidRPr="0010428B" w14:paraId="7DB8E5A0" w14:textId="77777777" w:rsidTr="00AA5E36">
        <w:trPr>
          <w:jc w:val="center"/>
        </w:trPr>
        <w:tc>
          <w:tcPr>
            <w:tcW w:w="742" w:type="pct"/>
            <w:shd w:val="clear" w:color="auto" w:fill="auto"/>
            <w:hideMark/>
          </w:tcPr>
          <w:p w14:paraId="3432748E" w14:textId="77777777" w:rsidR="00BB5842" w:rsidRPr="0010428B" w:rsidRDefault="00BB5842" w:rsidP="00AA5E36">
            <w:pPr>
              <w:pStyle w:val="Tabletext"/>
              <w:jc w:val="center"/>
            </w:pPr>
            <w:r w:rsidRPr="0010428B">
              <w:t>SG12</w:t>
            </w:r>
          </w:p>
        </w:tc>
        <w:tc>
          <w:tcPr>
            <w:tcW w:w="1936" w:type="pct"/>
            <w:shd w:val="clear" w:color="auto" w:fill="auto"/>
            <w:hideMark/>
          </w:tcPr>
          <w:p w14:paraId="0EAE2BF4" w14:textId="77777777" w:rsidR="00BB5842" w:rsidRPr="0010428B" w:rsidRDefault="00BB5842" w:rsidP="0010428B">
            <w:pPr>
              <w:pStyle w:val="Tabletext"/>
            </w:pPr>
            <w:r w:rsidRPr="0010428B">
              <w:t>Mexico City, Mexico, 19-28 September 2023</w:t>
            </w:r>
          </w:p>
        </w:tc>
        <w:tc>
          <w:tcPr>
            <w:tcW w:w="2322" w:type="pct"/>
            <w:shd w:val="clear" w:color="auto" w:fill="auto"/>
            <w:hideMark/>
          </w:tcPr>
          <w:p w14:paraId="4AD8E43D" w14:textId="77777777" w:rsidR="00BB5842" w:rsidRPr="0010428B" w:rsidRDefault="00BB5842" w:rsidP="0010428B">
            <w:pPr>
              <w:pStyle w:val="Tabletext"/>
            </w:pPr>
            <w:r w:rsidRPr="0010428B">
              <w:t>Collins MBULO, Zambia</w:t>
            </w:r>
          </w:p>
        </w:tc>
      </w:tr>
      <w:tr w:rsidR="00BB5842" w:rsidRPr="0010428B" w14:paraId="29522B60" w14:textId="77777777" w:rsidTr="00AA5E36">
        <w:trPr>
          <w:jc w:val="center"/>
        </w:trPr>
        <w:tc>
          <w:tcPr>
            <w:tcW w:w="742" w:type="pct"/>
            <w:shd w:val="clear" w:color="auto" w:fill="auto"/>
          </w:tcPr>
          <w:p w14:paraId="394E39CA" w14:textId="77777777" w:rsidR="00BB5842" w:rsidRPr="0010428B" w:rsidRDefault="00BB5842" w:rsidP="00AA5E36">
            <w:pPr>
              <w:pStyle w:val="Tabletext"/>
              <w:jc w:val="center"/>
            </w:pPr>
            <w:r w:rsidRPr="0010428B">
              <w:t>SG12</w:t>
            </w:r>
          </w:p>
        </w:tc>
        <w:tc>
          <w:tcPr>
            <w:tcW w:w="1936" w:type="pct"/>
            <w:shd w:val="clear" w:color="auto" w:fill="auto"/>
          </w:tcPr>
          <w:p w14:paraId="090BCE3B" w14:textId="77777777" w:rsidR="00BB5842" w:rsidRPr="0010428B" w:rsidRDefault="00BB5842" w:rsidP="0010428B">
            <w:pPr>
              <w:pStyle w:val="Tabletext"/>
            </w:pPr>
            <w:r w:rsidRPr="0010428B">
              <w:t>Geneva, 16 - 25 April 2024</w:t>
            </w:r>
          </w:p>
        </w:tc>
        <w:tc>
          <w:tcPr>
            <w:tcW w:w="2322" w:type="pct"/>
            <w:shd w:val="clear" w:color="auto" w:fill="auto"/>
          </w:tcPr>
          <w:p w14:paraId="24F36ABA" w14:textId="77777777" w:rsidR="00BB5842" w:rsidRPr="0010428B" w:rsidRDefault="00BB5842" w:rsidP="0010428B">
            <w:pPr>
              <w:pStyle w:val="Tabletext"/>
            </w:pPr>
            <w:proofErr w:type="spellStart"/>
            <w:r w:rsidRPr="0010428B">
              <w:t>Edoyemi</w:t>
            </w:r>
            <w:proofErr w:type="spellEnd"/>
            <w:r w:rsidRPr="0010428B">
              <w:t xml:space="preserve"> OGOH, Nigeria</w:t>
            </w:r>
          </w:p>
        </w:tc>
      </w:tr>
      <w:tr w:rsidR="00BB5842" w:rsidRPr="0010428B" w14:paraId="618A0574" w14:textId="77777777" w:rsidTr="00AA5E36">
        <w:trPr>
          <w:jc w:val="center"/>
        </w:trPr>
        <w:tc>
          <w:tcPr>
            <w:tcW w:w="742" w:type="pct"/>
            <w:shd w:val="clear" w:color="auto" w:fill="auto"/>
          </w:tcPr>
          <w:p w14:paraId="5056D87E" w14:textId="77777777" w:rsidR="00BB5842" w:rsidRPr="0010428B" w:rsidRDefault="00BB5842" w:rsidP="00AA5E36">
            <w:pPr>
              <w:pStyle w:val="Tabletext"/>
              <w:jc w:val="center"/>
            </w:pPr>
            <w:r w:rsidRPr="0010428B">
              <w:t>SG12</w:t>
            </w:r>
          </w:p>
        </w:tc>
        <w:tc>
          <w:tcPr>
            <w:tcW w:w="1936" w:type="pct"/>
            <w:shd w:val="clear" w:color="auto" w:fill="auto"/>
          </w:tcPr>
          <w:p w14:paraId="2EBC32B7" w14:textId="77777777" w:rsidR="00BB5842" w:rsidRPr="0010428B" w:rsidRDefault="00BB5842" w:rsidP="0010428B">
            <w:pPr>
              <w:pStyle w:val="Tabletext"/>
            </w:pPr>
            <w:r w:rsidRPr="0010428B">
              <w:t>Geneva, 18-26 January 2023</w:t>
            </w:r>
          </w:p>
        </w:tc>
        <w:tc>
          <w:tcPr>
            <w:tcW w:w="2322" w:type="pct"/>
            <w:shd w:val="clear" w:color="auto" w:fill="auto"/>
          </w:tcPr>
          <w:p w14:paraId="04F26143" w14:textId="77777777" w:rsidR="00BB5842" w:rsidRPr="0010428B" w:rsidRDefault="00BB5842" w:rsidP="0010428B">
            <w:pPr>
              <w:pStyle w:val="Tabletext"/>
            </w:pPr>
            <w:proofErr w:type="spellStart"/>
            <w:r w:rsidRPr="0010428B">
              <w:t>Edoyemi</w:t>
            </w:r>
            <w:proofErr w:type="spellEnd"/>
            <w:r w:rsidRPr="0010428B">
              <w:t xml:space="preserve"> OGOH, Nigeria</w:t>
            </w:r>
          </w:p>
        </w:tc>
      </w:tr>
      <w:tr w:rsidR="00BB5842" w:rsidRPr="0010428B" w14:paraId="4DBBA0B9" w14:textId="77777777" w:rsidTr="00AA5E36">
        <w:trPr>
          <w:jc w:val="center"/>
        </w:trPr>
        <w:tc>
          <w:tcPr>
            <w:tcW w:w="742" w:type="pct"/>
            <w:shd w:val="clear" w:color="auto" w:fill="auto"/>
          </w:tcPr>
          <w:p w14:paraId="0700233D" w14:textId="77777777" w:rsidR="00BB5842" w:rsidRPr="0010428B" w:rsidRDefault="00BB5842" w:rsidP="00AA5E36">
            <w:pPr>
              <w:pStyle w:val="Tabletext"/>
              <w:jc w:val="center"/>
            </w:pPr>
            <w:r w:rsidRPr="0010428B">
              <w:t>SG12</w:t>
            </w:r>
          </w:p>
        </w:tc>
        <w:tc>
          <w:tcPr>
            <w:tcW w:w="1936" w:type="pct"/>
            <w:shd w:val="clear" w:color="auto" w:fill="auto"/>
          </w:tcPr>
          <w:p w14:paraId="2B548472" w14:textId="77777777" w:rsidR="00BB5842" w:rsidRPr="0010428B" w:rsidRDefault="00BB5842" w:rsidP="0010428B">
            <w:pPr>
              <w:pStyle w:val="Tabletext"/>
            </w:pPr>
            <w:r w:rsidRPr="0010428B">
              <w:t>Geneva, 16 - 25 April 2024</w:t>
            </w:r>
          </w:p>
        </w:tc>
        <w:tc>
          <w:tcPr>
            <w:tcW w:w="2322" w:type="pct"/>
            <w:shd w:val="clear" w:color="auto" w:fill="auto"/>
          </w:tcPr>
          <w:p w14:paraId="6469E679" w14:textId="77777777" w:rsidR="00BB5842" w:rsidRPr="0010428B" w:rsidDel="00EF3BAF" w:rsidRDefault="00BB5842" w:rsidP="0010428B">
            <w:pPr>
              <w:pStyle w:val="Tabletext"/>
            </w:pPr>
            <w:r w:rsidRPr="0010428B">
              <w:t>Sergio Daniel D'UVA, Argentina</w:t>
            </w:r>
          </w:p>
        </w:tc>
      </w:tr>
      <w:tr w:rsidR="00BB5842" w:rsidRPr="0010428B" w14:paraId="36A2514F" w14:textId="77777777" w:rsidTr="00AA5E36">
        <w:trPr>
          <w:jc w:val="center"/>
        </w:trPr>
        <w:tc>
          <w:tcPr>
            <w:tcW w:w="742" w:type="pct"/>
            <w:shd w:val="clear" w:color="auto" w:fill="auto"/>
          </w:tcPr>
          <w:p w14:paraId="3211C135" w14:textId="77777777" w:rsidR="00BB5842" w:rsidRPr="0010428B" w:rsidRDefault="00BB5842" w:rsidP="00AA5E36">
            <w:pPr>
              <w:pStyle w:val="Tabletext"/>
              <w:jc w:val="center"/>
            </w:pPr>
            <w:r w:rsidRPr="0010428B">
              <w:t>SG13</w:t>
            </w:r>
          </w:p>
        </w:tc>
        <w:tc>
          <w:tcPr>
            <w:tcW w:w="1936" w:type="pct"/>
            <w:shd w:val="clear" w:color="auto" w:fill="auto"/>
          </w:tcPr>
          <w:p w14:paraId="6E2DEC96" w14:textId="77777777" w:rsidR="00BB5842" w:rsidRPr="0010428B" w:rsidRDefault="00BB5842" w:rsidP="0010428B">
            <w:pPr>
              <w:pStyle w:val="Tabletext"/>
            </w:pPr>
            <w:r w:rsidRPr="0010428B">
              <w:t>Geneva, 13-24 March 2023</w:t>
            </w:r>
          </w:p>
        </w:tc>
        <w:tc>
          <w:tcPr>
            <w:tcW w:w="2322" w:type="pct"/>
            <w:shd w:val="clear" w:color="auto" w:fill="auto"/>
          </w:tcPr>
          <w:p w14:paraId="72DA2AA1" w14:textId="77777777" w:rsidR="00BB5842" w:rsidRPr="0010428B" w:rsidRDefault="00BB5842" w:rsidP="0010428B">
            <w:pPr>
              <w:pStyle w:val="Tabletext"/>
            </w:pPr>
            <w:r w:rsidRPr="0010428B">
              <w:t>Anabel DEL CARMEN CISNEROS, Argentina</w:t>
            </w:r>
          </w:p>
        </w:tc>
      </w:tr>
      <w:tr w:rsidR="00BB5842" w:rsidRPr="0010428B" w14:paraId="58C53ACC" w14:textId="77777777" w:rsidTr="00AA5E36">
        <w:trPr>
          <w:jc w:val="center"/>
        </w:trPr>
        <w:tc>
          <w:tcPr>
            <w:tcW w:w="742" w:type="pct"/>
            <w:shd w:val="clear" w:color="auto" w:fill="auto"/>
          </w:tcPr>
          <w:p w14:paraId="0C16100E" w14:textId="77777777" w:rsidR="00BB5842" w:rsidRPr="0010428B" w:rsidRDefault="00BB5842" w:rsidP="00AA5E36">
            <w:pPr>
              <w:pStyle w:val="Tabletext"/>
              <w:jc w:val="center"/>
            </w:pPr>
            <w:r w:rsidRPr="0010428B">
              <w:t>SG13</w:t>
            </w:r>
          </w:p>
        </w:tc>
        <w:tc>
          <w:tcPr>
            <w:tcW w:w="1936" w:type="pct"/>
            <w:shd w:val="clear" w:color="auto" w:fill="auto"/>
          </w:tcPr>
          <w:p w14:paraId="4572A015" w14:textId="77777777" w:rsidR="00BB5842" w:rsidRPr="0010428B" w:rsidRDefault="00BB5842" w:rsidP="0010428B">
            <w:pPr>
              <w:pStyle w:val="Tabletext"/>
            </w:pPr>
            <w:r w:rsidRPr="0010428B">
              <w:t>Geneva, 14 November 2022</w:t>
            </w:r>
          </w:p>
        </w:tc>
        <w:tc>
          <w:tcPr>
            <w:tcW w:w="2322" w:type="pct"/>
            <w:shd w:val="clear" w:color="auto" w:fill="auto"/>
          </w:tcPr>
          <w:p w14:paraId="59742BE8" w14:textId="77777777" w:rsidR="00BB5842" w:rsidRPr="0010428B" w:rsidRDefault="00BB5842" w:rsidP="0010428B">
            <w:pPr>
              <w:pStyle w:val="Tabletext"/>
            </w:pPr>
            <w:r w:rsidRPr="0010428B">
              <w:t>Anabel DEL CARMEN CISNEROS, Argentina</w:t>
            </w:r>
          </w:p>
        </w:tc>
      </w:tr>
      <w:tr w:rsidR="00BB5842" w:rsidRPr="0010428B" w14:paraId="42D89992" w14:textId="77777777" w:rsidTr="00AA5E36">
        <w:trPr>
          <w:jc w:val="center"/>
        </w:trPr>
        <w:tc>
          <w:tcPr>
            <w:tcW w:w="742" w:type="pct"/>
            <w:shd w:val="clear" w:color="auto" w:fill="auto"/>
          </w:tcPr>
          <w:p w14:paraId="216D83F2" w14:textId="77777777" w:rsidR="00BB5842" w:rsidRPr="0010428B" w:rsidRDefault="00BB5842" w:rsidP="00AA5E36">
            <w:pPr>
              <w:pStyle w:val="Tabletext"/>
              <w:jc w:val="center"/>
            </w:pPr>
            <w:r w:rsidRPr="0010428B">
              <w:t>SG13</w:t>
            </w:r>
          </w:p>
        </w:tc>
        <w:tc>
          <w:tcPr>
            <w:tcW w:w="1936" w:type="pct"/>
            <w:shd w:val="clear" w:color="auto" w:fill="auto"/>
          </w:tcPr>
          <w:p w14:paraId="016B9A9B" w14:textId="77777777" w:rsidR="00BB5842" w:rsidRPr="0010428B" w:rsidRDefault="00BB5842" w:rsidP="0010428B">
            <w:pPr>
              <w:pStyle w:val="Tabletext"/>
            </w:pPr>
            <w:r w:rsidRPr="0010428B">
              <w:t>Geneva, 15-26 July 2024</w:t>
            </w:r>
          </w:p>
        </w:tc>
        <w:tc>
          <w:tcPr>
            <w:tcW w:w="2322" w:type="pct"/>
            <w:shd w:val="clear" w:color="auto" w:fill="auto"/>
          </w:tcPr>
          <w:p w14:paraId="1816EEEC" w14:textId="77777777" w:rsidR="00BB5842" w:rsidRPr="0010428B" w:rsidRDefault="00BB5842" w:rsidP="0010428B">
            <w:pPr>
              <w:pStyle w:val="Tabletext"/>
            </w:pPr>
            <w:r w:rsidRPr="0010428B">
              <w:t>Anabel DEL CARMEN CISNEROS, Argentina</w:t>
            </w:r>
          </w:p>
        </w:tc>
      </w:tr>
      <w:tr w:rsidR="00BB5842" w:rsidRPr="0010428B" w14:paraId="2C94D542" w14:textId="77777777" w:rsidTr="00AA5E36">
        <w:trPr>
          <w:jc w:val="center"/>
        </w:trPr>
        <w:tc>
          <w:tcPr>
            <w:tcW w:w="742" w:type="pct"/>
            <w:shd w:val="clear" w:color="auto" w:fill="auto"/>
            <w:hideMark/>
          </w:tcPr>
          <w:p w14:paraId="0A88401C" w14:textId="77777777" w:rsidR="00BB5842" w:rsidRPr="0010428B" w:rsidRDefault="00BB5842" w:rsidP="00AA5E36">
            <w:pPr>
              <w:pStyle w:val="Tabletext"/>
              <w:jc w:val="center"/>
            </w:pPr>
            <w:r w:rsidRPr="0010428B">
              <w:t>SG13</w:t>
            </w:r>
          </w:p>
        </w:tc>
        <w:tc>
          <w:tcPr>
            <w:tcW w:w="1936" w:type="pct"/>
            <w:shd w:val="clear" w:color="auto" w:fill="auto"/>
            <w:hideMark/>
          </w:tcPr>
          <w:p w14:paraId="281027AC" w14:textId="77777777" w:rsidR="00BB5842" w:rsidRPr="0010428B" w:rsidRDefault="00BB5842" w:rsidP="0010428B">
            <w:pPr>
              <w:pStyle w:val="Tabletext"/>
            </w:pPr>
            <w:r w:rsidRPr="0010428B">
              <w:t>Geneva, 23 October – 3 November 2023</w:t>
            </w:r>
          </w:p>
        </w:tc>
        <w:tc>
          <w:tcPr>
            <w:tcW w:w="2322" w:type="pct"/>
            <w:shd w:val="clear" w:color="auto" w:fill="auto"/>
            <w:hideMark/>
          </w:tcPr>
          <w:p w14:paraId="0ECEBF7D" w14:textId="77777777" w:rsidR="00BB5842" w:rsidRPr="0010428B" w:rsidRDefault="00BB5842" w:rsidP="0010428B">
            <w:pPr>
              <w:pStyle w:val="Tabletext"/>
            </w:pPr>
            <w:r w:rsidRPr="0010428B">
              <w:t>Anabel DEL CARMEN CISNEROS, Argentina</w:t>
            </w:r>
          </w:p>
        </w:tc>
      </w:tr>
      <w:tr w:rsidR="00BB5842" w:rsidRPr="0010428B" w14:paraId="066BD9A1" w14:textId="77777777" w:rsidTr="00AA5E36">
        <w:trPr>
          <w:jc w:val="center"/>
        </w:trPr>
        <w:tc>
          <w:tcPr>
            <w:tcW w:w="742" w:type="pct"/>
            <w:shd w:val="clear" w:color="auto" w:fill="auto"/>
          </w:tcPr>
          <w:p w14:paraId="64C61D51" w14:textId="77777777" w:rsidR="00BB5842" w:rsidRPr="0010428B" w:rsidRDefault="00BB5842" w:rsidP="00AA5E36">
            <w:pPr>
              <w:pStyle w:val="Tabletext"/>
              <w:jc w:val="center"/>
            </w:pPr>
            <w:r w:rsidRPr="0010428B">
              <w:t>SG13</w:t>
            </w:r>
          </w:p>
        </w:tc>
        <w:tc>
          <w:tcPr>
            <w:tcW w:w="1936" w:type="pct"/>
            <w:shd w:val="clear" w:color="auto" w:fill="auto"/>
          </w:tcPr>
          <w:p w14:paraId="1F5F8C30" w14:textId="77777777" w:rsidR="00BB5842" w:rsidRPr="0010428B" w:rsidRDefault="00BB5842" w:rsidP="0010428B">
            <w:pPr>
              <w:pStyle w:val="Tabletext"/>
            </w:pPr>
            <w:r w:rsidRPr="0010428B">
              <w:t>Geneva, 4 - 15 March 2024</w:t>
            </w:r>
          </w:p>
        </w:tc>
        <w:tc>
          <w:tcPr>
            <w:tcW w:w="2322" w:type="pct"/>
            <w:shd w:val="clear" w:color="auto" w:fill="auto"/>
          </w:tcPr>
          <w:p w14:paraId="2F91C629" w14:textId="77777777" w:rsidR="00BB5842" w:rsidRPr="0010428B" w:rsidRDefault="00BB5842" w:rsidP="0010428B">
            <w:pPr>
              <w:pStyle w:val="Tabletext"/>
            </w:pPr>
            <w:r w:rsidRPr="0010428B">
              <w:t>Anabel DEL CARMEN CISNEROS, Argentina</w:t>
            </w:r>
          </w:p>
        </w:tc>
      </w:tr>
      <w:tr w:rsidR="00BB5842" w:rsidRPr="0010428B" w14:paraId="45FF70D5" w14:textId="77777777" w:rsidTr="00AA5E36">
        <w:trPr>
          <w:jc w:val="center"/>
        </w:trPr>
        <w:tc>
          <w:tcPr>
            <w:tcW w:w="742" w:type="pct"/>
            <w:shd w:val="clear" w:color="auto" w:fill="auto"/>
          </w:tcPr>
          <w:p w14:paraId="7288BAF2" w14:textId="77777777" w:rsidR="00BB5842" w:rsidRPr="0010428B" w:rsidRDefault="00BB5842" w:rsidP="00AA5E36">
            <w:pPr>
              <w:pStyle w:val="Tabletext"/>
              <w:jc w:val="center"/>
            </w:pPr>
            <w:r w:rsidRPr="0010428B">
              <w:t>SG13</w:t>
            </w:r>
          </w:p>
        </w:tc>
        <w:tc>
          <w:tcPr>
            <w:tcW w:w="1936" w:type="pct"/>
            <w:shd w:val="clear" w:color="auto" w:fill="auto"/>
          </w:tcPr>
          <w:p w14:paraId="0278BE5E" w14:textId="77777777" w:rsidR="00BB5842" w:rsidRPr="0010428B" w:rsidRDefault="00BB5842" w:rsidP="0010428B">
            <w:pPr>
              <w:pStyle w:val="Tabletext"/>
            </w:pPr>
            <w:r w:rsidRPr="0010428B">
              <w:t>Geneva, 14 November 2022</w:t>
            </w:r>
          </w:p>
        </w:tc>
        <w:tc>
          <w:tcPr>
            <w:tcW w:w="2322" w:type="pct"/>
            <w:shd w:val="clear" w:color="auto" w:fill="auto"/>
          </w:tcPr>
          <w:p w14:paraId="6D2BD7B7" w14:textId="77777777" w:rsidR="00BB5842" w:rsidRPr="0010428B" w:rsidRDefault="00BB5842" w:rsidP="0010428B">
            <w:pPr>
              <w:pStyle w:val="Tabletext"/>
            </w:pPr>
            <w:r w:rsidRPr="0010428B">
              <w:t>Brice MURARA, Rwanda</w:t>
            </w:r>
          </w:p>
        </w:tc>
      </w:tr>
      <w:tr w:rsidR="00BB5842" w:rsidRPr="0010428B" w14:paraId="5D19647A" w14:textId="77777777" w:rsidTr="00AA5E36">
        <w:trPr>
          <w:jc w:val="center"/>
        </w:trPr>
        <w:tc>
          <w:tcPr>
            <w:tcW w:w="742" w:type="pct"/>
            <w:shd w:val="clear" w:color="auto" w:fill="auto"/>
          </w:tcPr>
          <w:p w14:paraId="739874C4" w14:textId="77777777" w:rsidR="00BB5842" w:rsidRPr="0010428B" w:rsidRDefault="00BB5842" w:rsidP="00AA5E36">
            <w:pPr>
              <w:pStyle w:val="Tabletext"/>
              <w:jc w:val="center"/>
            </w:pPr>
            <w:r w:rsidRPr="0010428B">
              <w:t>SG13</w:t>
            </w:r>
          </w:p>
        </w:tc>
        <w:tc>
          <w:tcPr>
            <w:tcW w:w="1936" w:type="pct"/>
            <w:shd w:val="clear" w:color="auto" w:fill="auto"/>
          </w:tcPr>
          <w:p w14:paraId="3AC477CB" w14:textId="77777777" w:rsidR="00BB5842" w:rsidRPr="0010428B" w:rsidRDefault="00BB5842" w:rsidP="0010428B">
            <w:pPr>
              <w:pStyle w:val="Tabletext"/>
            </w:pPr>
            <w:r w:rsidRPr="0010428B">
              <w:t>Geneva, 15-26 July 2024</w:t>
            </w:r>
          </w:p>
        </w:tc>
        <w:tc>
          <w:tcPr>
            <w:tcW w:w="2322" w:type="pct"/>
            <w:shd w:val="clear" w:color="auto" w:fill="auto"/>
          </w:tcPr>
          <w:p w14:paraId="1E347280" w14:textId="77777777" w:rsidR="00BB5842" w:rsidRPr="0010428B" w:rsidRDefault="00BB5842" w:rsidP="0010428B">
            <w:pPr>
              <w:pStyle w:val="Tabletext"/>
            </w:pPr>
            <w:r w:rsidRPr="0010428B">
              <w:t>Brice MURARA, Rwanda</w:t>
            </w:r>
          </w:p>
        </w:tc>
      </w:tr>
      <w:tr w:rsidR="00BB5842" w:rsidRPr="0010428B" w14:paraId="33400576" w14:textId="77777777" w:rsidTr="00AA5E36">
        <w:trPr>
          <w:jc w:val="center"/>
        </w:trPr>
        <w:tc>
          <w:tcPr>
            <w:tcW w:w="742" w:type="pct"/>
            <w:shd w:val="clear" w:color="auto" w:fill="auto"/>
          </w:tcPr>
          <w:p w14:paraId="32307D34" w14:textId="77777777" w:rsidR="00BB5842" w:rsidRPr="0010428B" w:rsidRDefault="00BB5842" w:rsidP="00AA5E36">
            <w:pPr>
              <w:pStyle w:val="Tabletext"/>
              <w:jc w:val="center"/>
            </w:pPr>
            <w:r w:rsidRPr="0010428B">
              <w:t>SG13</w:t>
            </w:r>
          </w:p>
        </w:tc>
        <w:tc>
          <w:tcPr>
            <w:tcW w:w="1936" w:type="pct"/>
            <w:shd w:val="clear" w:color="auto" w:fill="auto"/>
          </w:tcPr>
          <w:p w14:paraId="0940086A" w14:textId="77777777" w:rsidR="00BB5842" w:rsidRPr="0010428B" w:rsidRDefault="00BB5842" w:rsidP="0010428B">
            <w:pPr>
              <w:pStyle w:val="Tabletext"/>
            </w:pPr>
            <w:r w:rsidRPr="0010428B">
              <w:t>Geneva, 4 - 15 March 2024</w:t>
            </w:r>
          </w:p>
        </w:tc>
        <w:tc>
          <w:tcPr>
            <w:tcW w:w="2322" w:type="pct"/>
            <w:shd w:val="clear" w:color="auto" w:fill="auto"/>
          </w:tcPr>
          <w:p w14:paraId="788F79C9" w14:textId="77777777" w:rsidR="00BB5842" w:rsidRPr="0010428B" w:rsidRDefault="00BB5842" w:rsidP="0010428B">
            <w:pPr>
              <w:pStyle w:val="Tabletext"/>
            </w:pPr>
            <w:r w:rsidRPr="0010428B">
              <w:t>Brice MURARA, Rwanda</w:t>
            </w:r>
          </w:p>
        </w:tc>
      </w:tr>
      <w:tr w:rsidR="00BB5842" w:rsidRPr="0010428B" w14:paraId="283AA4F3" w14:textId="77777777" w:rsidTr="00AA5E36">
        <w:trPr>
          <w:jc w:val="center"/>
        </w:trPr>
        <w:tc>
          <w:tcPr>
            <w:tcW w:w="742" w:type="pct"/>
            <w:shd w:val="clear" w:color="auto" w:fill="auto"/>
          </w:tcPr>
          <w:p w14:paraId="3A1E5A02" w14:textId="77777777" w:rsidR="00BB5842" w:rsidRPr="0010428B" w:rsidRDefault="00BB5842" w:rsidP="00AA5E36">
            <w:pPr>
              <w:pStyle w:val="Tabletext"/>
              <w:jc w:val="center"/>
            </w:pPr>
            <w:r w:rsidRPr="0010428B">
              <w:t>SG13</w:t>
            </w:r>
          </w:p>
        </w:tc>
        <w:tc>
          <w:tcPr>
            <w:tcW w:w="1936" w:type="pct"/>
            <w:shd w:val="clear" w:color="auto" w:fill="auto"/>
          </w:tcPr>
          <w:p w14:paraId="396FC5E9" w14:textId="77777777" w:rsidR="00BB5842" w:rsidRPr="0010428B" w:rsidRDefault="00BB5842" w:rsidP="0010428B">
            <w:pPr>
              <w:pStyle w:val="Tabletext"/>
            </w:pPr>
            <w:r w:rsidRPr="0010428B">
              <w:t>Geneva, 4-15 July 2022</w:t>
            </w:r>
          </w:p>
        </w:tc>
        <w:tc>
          <w:tcPr>
            <w:tcW w:w="2322" w:type="pct"/>
            <w:shd w:val="clear" w:color="auto" w:fill="auto"/>
          </w:tcPr>
          <w:p w14:paraId="1008448E" w14:textId="77777777" w:rsidR="00BB5842" w:rsidRPr="0010428B" w:rsidRDefault="00BB5842" w:rsidP="0010428B">
            <w:pPr>
              <w:pStyle w:val="Tabletext"/>
            </w:pPr>
            <w:r w:rsidRPr="0010428B">
              <w:t>Brice MURARA, Rwanda</w:t>
            </w:r>
          </w:p>
        </w:tc>
      </w:tr>
      <w:tr w:rsidR="00BB5842" w:rsidRPr="0010428B" w14:paraId="7FE0D7AF" w14:textId="77777777" w:rsidTr="00AA5E36">
        <w:trPr>
          <w:jc w:val="center"/>
        </w:trPr>
        <w:tc>
          <w:tcPr>
            <w:tcW w:w="742" w:type="pct"/>
            <w:shd w:val="clear" w:color="auto" w:fill="auto"/>
          </w:tcPr>
          <w:p w14:paraId="6CD6BBF1" w14:textId="77777777" w:rsidR="00BB5842" w:rsidRPr="0010428B" w:rsidRDefault="00BB5842" w:rsidP="00AA5E36">
            <w:pPr>
              <w:pStyle w:val="Tabletext"/>
              <w:jc w:val="center"/>
            </w:pPr>
            <w:r w:rsidRPr="0010428B">
              <w:t>SG13</w:t>
            </w:r>
          </w:p>
        </w:tc>
        <w:tc>
          <w:tcPr>
            <w:tcW w:w="1936" w:type="pct"/>
            <w:shd w:val="clear" w:color="auto" w:fill="auto"/>
          </w:tcPr>
          <w:p w14:paraId="04F4F933" w14:textId="77777777" w:rsidR="00BB5842" w:rsidRPr="0010428B" w:rsidRDefault="00BB5842" w:rsidP="0010428B">
            <w:pPr>
              <w:pStyle w:val="Tabletext"/>
            </w:pPr>
            <w:r w:rsidRPr="0010428B">
              <w:t>Geneva, 13-24 March 2023</w:t>
            </w:r>
          </w:p>
        </w:tc>
        <w:tc>
          <w:tcPr>
            <w:tcW w:w="2322" w:type="pct"/>
            <w:shd w:val="clear" w:color="auto" w:fill="auto"/>
          </w:tcPr>
          <w:p w14:paraId="4508DBB0" w14:textId="77777777" w:rsidR="00BB5842" w:rsidRPr="0010428B" w:rsidRDefault="00BB5842" w:rsidP="0010428B">
            <w:pPr>
              <w:pStyle w:val="Tabletext"/>
            </w:pPr>
            <w:r w:rsidRPr="0010428B">
              <w:t>Bülent ARSAL, Turkey</w:t>
            </w:r>
          </w:p>
        </w:tc>
      </w:tr>
      <w:tr w:rsidR="00BB5842" w:rsidRPr="0010428B" w14:paraId="3150FE5B" w14:textId="77777777" w:rsidTr="00AA5E36">
        <w:trPr>
          <w:jc w:val="center"/>
        </w:trPr>
        <w:tc>
          <w:tcPr>
            <w:tcW w:w="742" w:type="pct"/>
            <w:shd w:val="clear" w:color="auto" w:fill="auto"/>
          </w:tcPr>
          <w:p w14:paraId="6FBF523A" w14:textId="77777777" w:rsidR="00BB5842" w:rsidRPr="0010428B" w:rsidRDefault="00BB5842" w:rsidP="00AA5E36">
            <w:pPr>
              <w:pStyle w:val="Tabletext"/>
              <w:jc w:val="center"/>
            </w:pPr>
            <w:r w:rsidRPr="0010428B">
              <w:t>SG13</w:t>
            </w:r>
          </w:p>
        </w:tc>
        <w:tc>
          <w:tcPr>
            <w:tcW w:w="1936" w:type="pct"/>
            <w:shd w:val="clear" w:color="auto" w:fill="auto"/>
          </w:tcPr>
          <w:p w14:paraId="19C26C71" w14:textId="77777777" w:rsidR="00BB5842" w:rsidRPr="0010428B" w:rsidRDefault="00BB5842" w:rsidP="0010428B">
            <w:pPr>
              <w:pStyle w:val="Tabletext"/>
            </w:pPr>
            <w:r w:rsidRPr="0010428B">
              <w:t>Geneva, 14 November 2022</w:t>
            </w:r>
          </w:p>
        </w:tc>
        <w:tc>
          <w:tcPr>
            <w:tcW w:w="2322" w:type="pct"/>
            <w:shd w:val="clear" w:color="auto" w:fill="auto"/>
          </w:tcPr>
          <w:p w14:paraId="52C6D7C8" w14:textId="77777777" w:rsidR="00BB5842" w:rsidRPr="0010428B" w:rsidRDefault="00BB5842" w:rsidP="0010428B">
            <w:pPr>
              <w:pStyle w:val="Tabletext"/>
            </w:pPr>
            <w:r w:rsidRPr="0010428B">
              <w:t>Bülent ARSAL, Turkey</w:t>
            </w:r>
          </w:p>
        </w:tc>
      </w:tr>
      <w:tr w:rsidR="00BB5842" w:rsidRPr="0010428B" w14:paraId="1DB19668" w14:textId="77777777" w:rsidTr="00AA5E36">
        <w:trPr>
          <w:jc w:val="center"/>
        </w:trPr>
        <w:tc>
          <w:tcPr>
            <w:tcW w:w="742" w:type="pct"/>
            <w:shd w:val="clear" w:color="auto" w:fill="auto"/>
          </w:tcPr>
          <w:p w14:paraId="0B3AB5B7" w14:textId="77777777" w:rsidR="00BB5842" w:rsidRPr="0010428B" w:rsidRDefault="00BB5842" w:rsidP="00AA5E36">
            <w:pPr>
              <w:pStyle w:val="Tabletext"/>
              <w:jc w:val="center"/>
            </w:pPr>
            <w:r w:rsidRPr="0010428B">
              <w:t>SG13</w:t>
            </w:r>
          </w:p>
        </w:tc>
        <w:tc>
          <w:tcPr>
            <w:tcW w:w="1936" w:type="pct"/>
            <w:shd w:val="clear" w:color="auto" w:fill="auto"/>
          </w:tcPr>
          <w:p w14:paraId="6659D9FC" w14:textId="77777777" w:rsidR="00BB5842" w:rsidRPr="0010428B" w:rsidRDefault="00BB5842" w:rsidP="0010428B">
            <w:pPr>
              <w:pStyle w:val="Tabletext"/>
            </w:pPr>
            <w:r w:rsidRPr="0010428B">
              <w:t>Geneva, 15-26 July 2024</w:t>
            </w:r>
          </w:p>
        </w:tc>
        <w:tc>
          <w:tcPr>
            <w:tcW w:w="2322" w:type="pct"/>
            <w:shd w:val="clear" w:color="auto" w:fill="auto"/>
          </w:tcPr>
          <w:p w14:paraId="200C94B5" w14:textId="77777777" w:rsidR="00BB5842" w:rsidRPr="0010428B" w:rsidRDefault="00BB5842" w:rsidP="0010428B">
            <w:pPr>
              <w:pStyle w:val="Tabletext"/>
            </w:pPr>
            <w:r w:rsidRPr="0010428B">
              <w:t>Bülent ARSAL, Turkey</w:t>
            </w:r>
          </w:p>
        </w:tc>
      </w:tr>
      <w:tr w:rsidR="00BB5842" w:rsidRPr="0010428B" w14:paraId="162041D0" w14:textId="77777777" w:rsidTr="00AA5E36">
        <w:trPr>
          <w:jc w:val="center"/>
        </w:trPr>
        <w:tc>
          <w:tcPr>
            <w:tcW w:w="742" w:type="pct"/>
            <w:shd w:val="clear" w:color="auto" w:fill="auto"/>
            <w:hideMark/>
          </w:tcPr>
          <w:p w14:paraId="40E3E587" w14:textId="77777777" w:rsidR="00BB5842" w:rsidRPr="0010428B" w:rsidRDefault="00BB5842" w:rsidP="00AA5E36">
            <w:pPr>
              <w:pStyle w:val="Tabletext"/>
              <w:jc w:val="center"/>
            </w:pPr>
            <w:r w:rsidRPr="0010428B">
              <w:lastRenderedPageBreak/>
              <w:t>SG13</w:t>
            </w:r>
          </w:p>
        </w:tc>
        <w:tc>
          <w:tcPr>
            <w:tcW w:w="1936" w:type="pct"/>
            <w:shd w:val="clear" w:color="auto" w:fill="auto"/>
            <w:hideMark/>
          </w:tcPr>
          <w:p w14:paraId="01E94C68" w14:textId="77777777" w:rsidR="00BB5842" w:rsidRPr="0010428B" w:rsidRDefault="00BB5842" w:rsidP="0010428B">
            <w:pPr>
              <w:pStyle w:val="Tabletext"/>
            </w:pPr>
            <w:r w:rsidRPr="0010428B">
              <w:t>Geneva, 23 October – 3 November 2023</w:t>
            </w:r>
          </w:p>
        </w:tc>
        <w:tc>
          <w:tcPr>
            <w:tcW w:w="2322" w:type="pct"/>
            <w:shd w:val="clear" w:color="auto" w:fill="auto"/>
            <w:hideMark/>
          </w:tcPr>
          <w:p w14:paraId="6E24D585" w14:textId="77777777" w:rsidR="00BB5842" w:rsidRPr="0010428B" w:rsidRDefault="00BB5842" w:rsidP="0010428B">
            <w:pPr>
              <w:pStyle w:val="Tabletext"/>
            </w:pPr>
            <w:r w:rsidRPr="0010428B">
              <w:t>Bülent ARSAL, Turkey</w:t>
            </w:r>
          </w:p>
        </w:tc>
      </w:tr>
      <w:tr w:rsidR="00BB5842" w:rsidRPr="0010428B" w14:paraId="16B006F3" w14:textId="77777777" w:rsidTr="00AA5E36">
        <w:trPr>
          <w:jc w:val="center"/>
        </w:trPr>
        <w:tc>
          <w:tcPr>
            <w:tcW w:w="742" w:type="pct"/>
            <w:shd w:val="clear" w:color="auto" w:fill="auto"/>
          </w:tcPr>
          <w:p w14:paraId="6E8981BB" w14:textId="77777777" w:rsidR="00BB5842" w:rsidRPr="0010428B" w:rsidRDefault="00BB5842" w:rsidP="00AA5E36">
            <w:pPr>
              <w:pStyle w:val="Tabletext"/>
              <w:jc w:val="center"/>
            </w:pPr>
            <w:r w:rsidRPr="0010428B">
              <w:t>SG13</w:t>
            </w:r>
          </w:p>
        </w:tc>
        <w:tc>
          <w:tcPr>
            <w:tcW w:w="1936" w:type="pct"/>
            <w:shd w:val="clear" w:color="auto" w:fill="auto"/>
          </w:tcPr>
          <w:p w14:paraId="2C42D37A" w14:textId="77777777" w:rsidR="00BB5842" w:rsidRPr="0010428B" w:rsidRDefault="00BB5842" w:rsidP="0010428B">
            <w:pPr>
              <w:pStyle w:val="Tabletext"/>
            </w:pPr>
            <w:r w:rsidRPr="0010428B">
              <w:t>Geneva, 4 - 15 March 2024</w:t>
            </w:r>
          </w:p>
        </w:tc>
        <w:tc>
          <w:tcPr>
            <w:tcW w:w="2322" w:type="pct"/>
            <w:shd w:val="clear" w:color="auto" w:fill="auto"/>
          </w:tcPr>
          <w:p w14:paraId="1AB7C291" w14:textId="77777777" w:rsidR="00BB5842" w:rsidRPr="0010428B" w:rsidRDefault="00BB5842" w:rsidP="0010428B">
            <w:pPr>
              <w:pStyle w:val="Tabletext"/>
            </w:pPr>
            <w:r w:rsidRPr="0010428B">
              <w:t>Bülent ARSAL, Turkey</w:t>
            </w:r>
          </w:p>
        </w:tc>
      </w:tr>
      <w:tr w:rsidR="00BB5842" w:rsidRPr="0010428B" w14:paraId="50F24C32" w14:textId="77777777" w:rsidTr="00AA5E36">
        <w:trPr>
          <w:jc w:val="center"/>
        </w:trPr>
        <w:tc>
          <w:tcPr>
            <w:tcW w:w="742" w:type="pct"/>
            <w:shd w:val="clear" w:color="auto" w:fill="auto"/>
          </w:tcPr>
          <w:p w14:paraId="7A075CAF" w14:textId="77777777" w:rsidR="00BB5842" w:rsidRPr="0010428B" w:rsidRDefault="00BB5842" w:rsidP="00AA5E36">
            <w:pPr>
              <w:pStyle w:val="Tabletext"/>
              <w:jc w:val="center"/>
            </w:pPr>
            <w:r w:rsidRPr="0010428B">
              <w:t>SG13</w:t>
            </w:r>
          </w:p>
        </w:tc>
        <w:tc>
          <w:tcPr>
            <w:tcW w:w="1936" w:type="pct"/>
            <w:shd w:val="clear" w:color="auto" w:fill="auto"/>
          </w:tcPr>
          <w:p w14:paraId="077B9F90" w14:textId="77777777" w:rsidR="00BB5842" w:rsidRPr="0010428B" w:rsidRDefault="00BB5842" w:rsidP="0010428B">
            <w:pPr>
              <w:pStyle w:val="Tabletext"/>
            </w:pPr>
            <w:r w:rsidRPr="0010428B">
              <w:t>Geneva, 4-15 July 2022</w:t>
            </w:r>
          </w:p>
        </w:tc>
        <w:tc>
          <w:tcPr>
            <w:tcW w:w="2322" w:type="pct"/>
            <w:shd w:val="clear" w:color="auto" w:fill="auto"/>
          </w:tcPr>
          <w:p w14:paraId="2CA4FFB3" w14:textId="77777777" w:rsidR="00BB5842" w:rsidRPr="0010428B" w:rsidRDefault="00BB5842" w:rsidP="0010428B">
            <w:pPr>
              <w:pStyle w:val="Tabletext"/>
            </w:pPr>
            <w:r w:rsidRPr="0010428B">
              <w:t>Bülent ARSAL, Turkey</w:t>
            </w:r>
          </w:p>
        </w:tc>
      </w:tr>
      <w:tr w:rsidR="00BB5842" w:rsidRPr="0010428B" w14:paraId="2A409BDC" w14:textId="77777777" w:rsidTr="00AA5E36">
        <w:trPr>
          <w:jc w:val="center"/>
        </w:trPr>
        <w:tc>
          <w:tcPr>
            <w:tcW w:w="742" w:type="pct"/>
            <w:shd w:val="clear" w:color="auto" w:fill="auto"/>
          </w:tcPr>
          <w:p w14:paraId="7A61EFA7" w14:textId="77777777" w:rsidR="00BB5842" w:rsidRPr="0010428B" w:rsidRDefault="00BB5842" w:rsidP="00AA5E36">
            <w:pPr>
              <w:pStyle w:val="Tabletext"/>
              <w:jc w:val="center"/>
            </w:pPr>
            <w:r w:rsidRPr="0010428B">
              <w:t>SG13</w:t>
            </w:r>
          </w:p>
        </w:tc>
        <w:tc>
          <w:tcPr>
            <w:tcW w:w="1936" w:type="pct"/>
            <w:shd w:val="clear" w:color="auto" w:fill="auto"/>
          </w:tcPr>
          <w:p w14:paraId="1A33E38A" w14:textId="77777777" w:rsidR="00BB5842" w:rsidRPr="0010428B" w:rsidRDefault="00BB5842" w:rsidP="0010428B">
            <w:pPr>
              <w:pStyle w:val="Tabletext"/>
            </w:pPr>
            <w:r w:rsidRPr="0010428B">
              <w:t>Geneva, 14 November 2022</w:t>
            </w:r>
          </w:p>
        </w:tc>
        <w:tc>
          <w:tcPr>
            <w:tcW w:w="2322" w:type="pct"/>
            <w:shd w:val="clear" w:color="auto" w:fill="auto"/>
          </w:tcPr>
          <w:p w14:paraId="53ACE100" w14:textId="77777777" w:rsidR="00BB5842" w:rsidRPr="0010428B" w:rsidRDefault="00BB5842" w:rsidP="0010428B">
            <w:pPr>
              <w:pStyle w:val="Tabletext"/>
            </w:pPr>
            <w:r w:rsidRPr="0010428B">
              <w:t>Hyung-Soo (Hans) KIM, Korea (Rep. of)</w:t>
            </w:r>
          </w:p>
        </w:tc>
      </w:tr>
      <w:tr w:rsidR="00BB5842" w:rsidRPr="0010428B" w14:paraId="463852F3" w14:textId="77777777" w:rsidTr="00AA5E36">
        <w:trPr>
          <w:jc w:val="center"/>
        </w:trPr>
        <w:tc>
          <w:tcPr>
            <w:tcW w:w="742" w:type="pct"/>
            <w:shd w:val="clear" w:color="auto" w:fill="auto"/>
          </w:tcPr>
          <w:p w14:paraId="0BA81F1E" w14:textId="77777777" w:rsidR="00BB5842" w:rsidRPr="0010428B" w:rsidRDefault="00BB5842" w:rsidP="00AA5E36">
            <w:pPr>
              <w:pStyle w:val="Tabletext"/>
              <w:jc w:val="center"/>
            </w:pPr>
            <w:r w:rsidRPr="0010428B">
              <w:t>SG13</w:t>
            </w:r>
          </w:p>
        </w:tc>
        <w:tc>
          <w:tcPr>
            <w:tcW w:w="1936" w:type="pct"/>
            <w:shd w:val="clear" w:color="auto" w:fill="auto"/>
          </w:tcPr>
          <w:p w14:paraId="4BBE6D5B" w14:textId="77777777" w:rsidR="00BB5842" w:rsidRPr="0010428B" w:rsidRDefault="00BB5842" w:rsidP="0010428B">
            <w:pPr>
              <w:pStyle w:val="Tabletext"/>
            </w:pPr>
            <w:r w:rsidRPr="0010428B">
              <w:t>Geneva, 14 November 2022</w:t>
            </w:r>
          </w:p>
        </w:tc>
        <w:tc>
          <w:tcPr>
            <w:tcW w:w="2322" w:type="pct"/>
            <w:shd w:val="clear" w:color="auto" w:fill="auto"/>
          </w:tcPr>
          <w:p w14:paraId="63762362" w14:textId="77777777" w:rsidR="00BB5842" w:rsidRPr="0010428B" w:rsidRDefault="00BB5842" w:rsidP="0010428B">
            <w:pPr>
              <w:pStyle w:val="Tabletext"/>
            </w:pPr>
            <w:r w:rsidRPr="0010428B">
              <w:t>Mehmet TOY, United States</w:t>
            </w:r>
          </w:p>
        </w:tc>
      </w:tr>
      <w:tr w:rsidR="00BB5842" w:rsidRPr="0010428B" w14:paraId="59FE2E18" w14:textId="77777777" w:rsidTr="00AA5E36">
        <w:trPr>
          <w:jc w:val="center"/>
        </w:trPr>
        <w:tc>
          <w:tcPr>
            <w:tcW w:w="742" w:type="pct"/>
            <w:shd w:val="clear" w:color="auto" w:fill="auto"/>
          </w:tcPr>
          <w:p w14:paraId="79D300C7" w14:textId="77777777" w:rsidR="00BB5842" w:rsidRPr="0010428B" w:rsidRDefault="00BB5842" w:rsidP="00AA5E36">
            <w:pPr>
              <w:pStyle w:val="Tabletext"/>
              <w:jc w:val="center"/>
            </w:pPr>
            <w:r w:rsidRPr="0010428B">
              <w:t>SG13</w:t>
            </w:r>
          </w:p>
        </w:tc>
        <w:tc>
          <w:tcPr>
            <w:tcW w:w="1936" w:type="pct"/>
            <w:shd w:val="clear" w:color="auto" w:fill="auto"/>
          </w:tcPr>
          <w:p w14:paraId="2ED1BD97" w14:textId="77777777" w:rsidR="00BB5842" w:rsidRPr="0010428B" w:rsidRDefault="00BB5842" w:rsidP="0010428B">
            <w:pPr>
              <w:pStyle w:val="Tabletext"/>
            </w:pPr>
            <w:r w:rsidRPr="0010428B">
              <w:t>Geneva, 15-26 July 2024</w:t>
            </w:r>
          </w:p>
        </w:tc>
        <w:tc>
          <w:tcPr>
            <w:tcW w:w="2322" w:type="pct"/>
            <w:shd w:val="clear" w:color="auto" w:fill="auto"/>
          </w:tcPr>
          <w:p w14:paraId="3F6327E4" w14:textId="77777777" w:rsidR="00BB5842" w:rsidRPr="0010428B" w:rsidRDefault="00BB5842" w:rsidP="0010428B">
            <w:pPr>
              <w:pStyle w:val="Tabletext"/>
            </w:pPr>
            <w:proofErr w:type="spellStart"/>
            <w:r w:rsidRPr="0010428B">
              <w:t>Obid</w:t>
            </w:r>
            <w:proofErr w:type="spellEnd"/>
            <w:r w:rsidRPr="0010428B">
              <w:t xml:space="preserve"> ASADOV, Uzbekistan</w:t>
            </w:r>
          </w:p>
        </w:tc>
      </w:tr>
      <w:tr w:rsidR="00BB5842" w:rsidRPr="0010428B" w14:paraId="25B55B8E" w14:textId="77777777" w:rsidTr="00AA5E36">
        <w:trPr>
          <w:jc w:val="center"/>
        </w:trPr>
        <w:tc>
          <w:tcPr>
            <w:tcW w:w="742" w:type="pct"/>
            <w:shd w:val="clear" w:color="auto" w:fill="auto"/>
            <w:hideMark/>
          </w:tcPr>
          <w:p w14:paraId="073B2783" w14:textId="77777777" w:rsidR="00BB5842" w:rsidRPr="0010428B" w:rsidRDefault="00BB5842" w:rsidP="00AA5E36">
            <w:pPr>
              <w:pStyle w:val="Tabletext"/>
              <w:jc w:val="center"/>
            </w:pPr>
            <w:r w:rsidRPr="0010428B">
              <w:t>SG13</w:t>
            </w:r>
          </w:p>
        </w:tc>
        <w:tc>
          <w:tcPr>
            <w:tcW w:w="1936" w:type="pct"/>
            <w:shd w:val="clear" w:color="auto" w:fill="auto"/>
            <w:hideMark/>
          </w:tcPr>
          <w:p w14:paraId="03678970" w14:textId="77777777" w:rsidR="00BB5842" w:rsidRPr="0010428B" w:rsidRDefault="00BB5842" w:rsidP="0010428B">
            <w:pPr>
              <w:pStyle w:val="Tabletext"/>
            </w:pPr>
            <w:r w:rsidRPr="0010428B">
              <w:t>Geneva, 23 October – 3 November 2023</w:t>
            </w:r>
          </w:p>
        </w:tc>
        <w:tc>
          <w:tcPr>
            <w:tcW w:w="2322" w:type="pct"/>
            <w:shd w:val="clear" w:color="auto" w:fill="auto"/>
            <w:hideMark/>
          </w:tcPr>
          <w:p w14:paraId="36102DAF" w14:textId="77777777" w:rsidR="00BB5842" w:rsidRPr="0010428B" w:rsidRDefault="00BB5842" w:rsidP="0010428B">
            <w:pPr>
              <w:pStyle w:val="Tabletext"/>
            </w:pPr>
            <w:r w:rsidRPr="0010428B">
              <w:t>Yuan ZHANG, China</w:t>
            </w:r>
          </w:p>
        </w:tc>
      </w:tr>
      <w:tr w:rsidR="00BB5842" w:rsidRPr="0010428B" w14:paraId="46F32D4A" w14:textId="77777777" w:rsidTr="00AA5E36">
        <w:trPr>
          <w:jc w:val="center"/>
        </w:trPr>
        <w:tc>
          <w:tcPr>
            <w:tcW w:w="742" w:type="pct"/>
            <w:shd w:val="clear" w:color="auto" w:fill="auto"/>
          </w:tcPr>
          <w:p w14:paraId="39862D47" w14:textId="77777777" w:rsidR="00BB5842" w:rsidRPr="0010428B" w:rsidRDefault="00BB5842" w:rsidP="00AA5E36">
            <w:pPr>
              <w:pStyle w:val="Tabletext"/>
              <w:jc w:val="center"/>
            </w:pPr>
            <w:r w:rsidRPr="0010428B">
              <w:t>SG15</w:t>
            </w:r>
          </w:p>
        </w:tc>
        <w:tc>
          <w:tcPr>
            <w:tcW w:w="1936" w:type="pct"/>
            <w:shd w:val="clear" w:color="auto" w:fill="auto"/>
          </w:tcPr>
          <w:p w14:paraId="6B83DCB3" w14:textId="77777777" w:rsidR="00BB5842" w:rsidRPr="0010428B" w:rsidRDefault="00BB5842" w:rsidP="0010428B">
            <w:pPr>
              <w:pStyle w:val="Tabletext"/>
            </w:pPr>
            <w:r w:rsidRPr="0010428B">
              <w:t>Montreal, 1 - 12 July 2024</w:t>
            </w:r>
          </w:p>
        </w:tc>
        <w:tc>
          <w:tcPr>
            <w:tcW w:w="2322" w:type="pct"/>
            <w:shd w:val="clear" w:color="auto" w:fill="auto"/>
          </w:tcPr>
          <w:p w14:paraId="3CB6AC0C" w14:textId="77777777" w:rsidR="00BB5842" w:rsidRPr="0010428B" w:rsidRDefault="00BB5842" w:rsidP="0010428B">
            <w:pPr>
              <w:pStyle w:val="Tabletext"/>
            </w:pPr>
            <w:r w:rsidRPr="0010428B">
              <w:t>Emanuele NASTRI, Italy</w:t>
            </w:r>
          </w:p>
        </w:tc>
      </w:tr>
      <w:tr w:rsidR="00BB5842" w:rsidRPr="0010428B" w14:paraId="5C7521D1" w14:textId="77777777" w:rsidTr="00AA5E36">
        <w:trPr>
          <w:jc w:val="center"/>
        </w:trPr>
        <w:tc>
          <w:tcPr>
            <w:tcW w:w="742" w:type="pct"/>
            <w:shd w:val="clear" w:color="auto" w:fill="auto"/>
            <w:hideMark/>
          </w:tcPr>
          <w:p w14:paraId="7A1D3D0E" w14:textId="77777777" w:rsidR="00BB5842" w:rsidRPr="0010428B" w:rsidRDefault="00BB5842" w:rsidP="00AA5E36">
            <w:pPr>
              <w:pStyle w:val="Tabletext"/>
              <w:jc w:val="center"/>
            </w:pPr>
            <w:r w:rsidRPr="0010428B">
              <w:t>SG16</w:t>
            </w:r>
          </w:p>
        </w:tc>
        <w:tc>
          <w:tcPr>
            <w:tcW w:w="1936" w:type="pct"/>
            <w:shd w:val="clear" w:color="auto" w:fill="auto"/>
            <w:hideMark/>
          </w:tcPr>
          <w:p w14:paraId="4EBC45BC" w14:textId="77777777" w:rsidR="00BB5842" w:rsidRPr="0010428B" w:rsidRDefault="00BB5842" w:rsidP="0010428B">
            <w:pPr>
              <w:pStyle w:val="Tabletext"/>
            </w:pPr>
            <w:r w:rsidRPr="0010428B">
              <w:t>Geneva, 10-21 July 2023</w:t>
            </w:r>
          </w:p>
        </w:tc>
        <w:tc>
          <w:tcPr>
            <w:tcW w:w="2322" w:type="pct"/>
            <w:shd w:val="clear" w:color="auto" w:fill="auto"/>
            <w:hideMark/>
          </w:tcPr>
          <w:p w14:paraId="27CC1CAF" w14:textId="77777777" w:rsidR="00BB5842" w:rsidRPr="0010428B" w:rsidRDefault="00BB5842" w:rsidP="0010428B">
            <w:pPr>
              <w:pStyle w:val="Tabletext"/>
            </w:pPr>
            <w:r w:rsidRPr="0010428B">
              <w:t>Akmal SAVURBAEV, Uzbekistan</w:t>
            </w:r>
          </w:p>
        </w:tc>
      </w:tr>
      <w:tr w:rsidR="00BB5842" w:rsidRPr="0010428B" w14:paraId="20A46B7C" w14:textId="77777777" w:rsidTr="00AA5E36">
        <w:trPr>
          <w:jc w:val="center"/>
        </w:trPr>
        <w:tc>
          <w:tcPr>
            <w:tcW w:w="742" w:type="pct"/>
            <w:shd w:val="clear" w:color="auto" w:fill="auto"/>
          </w:tcPr>
          <w:p w14:paraId="149F2A44" w14:textId="77777777" w:rsidR="00BB5842" w:rsidRPr="0010428B" w:rsidRDefault="00BB5842" w:rsidP="00AA5E36">
            <w:pPr>
              <w:pStyle w:val="Tabletext"/>
              <w:jc w:val="center"/>
            </w:pPr>
            <w:r w:rsidRPr="0010428B">
              <w:t>SG16</w:t>
            </w:r>
          </w:p>
        </w:tc>
        <w:tc>
          <w:tcPr>
            <w:tcW w:w="1936" w:type="pct"/>
            <w:shd w:val="clear" w:color="auto" w:fill="auto"/>
          </w:tcPr>
          <w:p w14:paraId="3925364A" w14:textId="77777777" w:rsidR="00BB5842" w:rsidRPr="0010428B" w:rsidRDefault="00BB5842" w:rsidP="0010428B">
            <w:pPr>
              <w:pStyle w:val="Tabletext"/>
            </w:pPr>
            <w:r w:rsidRPr="0010428B">
              <w:t>Geneva, 17-28 October 2022</w:t>
            </w:r>
          </w:p>
        </w:tc>
        <w:tc>
          <w:tcPr>
            <w:tcW w:w="2322" w:type="pct"/>
            <w:shd w:val="clear" w:color="auto" w:fill="auto"/>
          </w:tcPr>
          <w:p w14:paraId="63A08893" w14:textId="77777777" w:rsidR="00BB5842" w:rsidRPr="0010428B" w:rsidRDefault="00BB5842" w:rsidP="0010428B">
            <w:pPr>
              <w:pStyle w:val="Tabletext"/>
            </w:pPr>
            <w:r w:rsidRPr="0010428B">
              <w:t>Akmal SAVURBAEV, Uzbekistan</w:t>
            </w:r>
          </w:p>
        </w:tc>
      </w:tr>
      <w:tr w:rsidR="00BB5842" w:rsidRPr="0010428B" w14:paraId="4BCC8405" w14:textId="77777777" w:rsidTr="00AA5E36">
        <w:trPr>
          <w:jc w:val="center"/>
        </w:trPr>
        <w:tc>
          <w:tcPr>
            <w:tcW w:w="742" w:type="pct"/>
            <w:shd w:val="clear" w:color="auto" w:fill="auto"/>
          </w:tcPr>
          <w:p w14:paraId="5EBC4618" w14:textId="77777777" w:rsidR="00BB5842" w:rsidRPr="0010428B" w:rsidRDefault="00BB5842" w:rsidP="00AA5E36">
            <w:pPr>
              <w:pStyle w:val="Tabletext"/>
              <w:jc w:val="center"/>
            </w:pPr>
            <w:r w:rsidRPr="0010428B">
              <w:t>SG16</w:t>
            </w:r>
          </w:p>
        </w:tc>
        <w:tc>
          <w:tcPr>
            <w:tcW w:w="1936" w:type="pct"/>
            <w:shd w:val="clear" w:color="auto" w:fill="auto"/>
          </w:tcPr>
          <w:p w14:paraId="77D9DC95" w14:textId="77777777" w:rsidR="00BB5842" w:rsidRPr="0010428B" w:rsidRDefault="00BB5842" w:rsidP="0010428B">
            <w:pPr>
              <w:pStyle w:val="Tabletext"/>
            </w:pPr>
            <w:r w:rsidRPr="0010428B">
              <w:t>Rennes, 15 - 26 April 2024</w:t>
            </w:r>
          </w:p>
        </w:tc>
        <w:tc>
          <w:tcPr>
            <w:tcW w:w="2322" w:type="pct"/>
            <w:shd w:val="clear" w:color="auto" w:fill="auto"/>
          </w:tcPr>
          <w:p w14:paraId="7BF04679" w14:textId="77777777" w:rsidR="00BB5842" w:rsidRPr="0010428B" w:rsidRDefault="00BB5842" w:rsidP="0010428B">
            <w:pPr>
              <w:pStyle w:val="Tabletext"/>
            </w:pPr>
            <w:r w:rsidRPr="0010428B">
              <w:t>Akmal SAVURBAEV, Uzbekistan</w:t>
            </w:r>
          </w:p>
        </w:tc>
      </w:tr>
      <w:tr w:rsidR="00BB5842" w:rsidRPr="0010428B" w14:paraId="137A85AD" w14:textId="77777777" w:rsidTr="00AA5E36">
        <w:trPr>
          <w:jc w:val="center"/>
        </w:trPr>
        <w:tc>
          <w:tcPr>
            <w:tcW w:w="742" w:type="pct"/>
            <w:shd w:val="clear" w:color="auto" w:fill="auto"/>
          </w:tcPr>
          <w:p w14:paraId="7FF19B97" w14:textId="77777777" w:rsidR="00BB5842" w:rsidRPr="0010428B" w:rsidRDefault="00BB5842" w:rsidP="00AA5E36">
            <w:pPr>
              <w:pStyle w:val="Tabletext"/>
              <w:jc w:val="center"/>
            </w:pPr>
            <w:r w:rsidRPr="0010428B">
              <w:t>SG16</w:t>
            </w:r>
          </w:p>
        </w:tc>
        <w:tc>
          <w:tcPr>
            <w:tcW w:w="1936" w:type="pct"/>
            <w:shd w:val="clear" w:color="auto" w:fill="auto"/>
          </w:tcPr>
          <w:p w14:paraId="72EADFA5" w14:textId="77777777" w:rsidR="00BB5842" w:rsidRPr="0010428B" w:rsidRDefault="00BB5842" w:rsidP="0010428B">
            <w:pPr>
              <w:pStyle w:val="Tabletext"/>
            </w:pPr>
            <w:r w:rsidRPr="0010428B">
              <w:t>Rennes, 15 - 26 April 2024</w:t>
            </w:r>
          </w:p>
        </w:tc>
        <w:tc>
          <w:tcPr>
            <w:tcW w:w="2322" w:type="pct"/>
            <w:shd w:val="clear" w:color="auto" w:fill="auto"/>
          </w:tcPr>
          <w:p w14:paraId="3792BD72" w14:textId="77777777" w:rsidR="00BB5842" w:rsidRPr="0010428B" w:rsidRDefault="00BB5842" w:rsidP="0010428B">
            <w:pPr>
              <w:pStyle w:val="Tabletext"/>
            </w:pPr>
            <w:r w:rsidRPr="0010428B">
              <w:t>Ashok KUMAR, India</w:t>
            </w:r>
          </w:p>
        </w:tc>
      </w:tr>
      <w:tr w:rsidR="00BB5842" w:rsidRPr="0010428B" w14:paraId="2F7C1F41" w14:textId="77777777" w:rsidTr="00AA5E36">
        <w:trPr>
          <w:jc w:val="center"/>
        </w:trPr>
        <w:tc>
          <w:tcPr>
            <w:tcW w:w="742" w:type="pct"/>
            <w:shd w:val="clear" w:color="auto" w:fill="auto"/>
            <w:hideMark/>
          </w:tcPr>
          <w:p w14:paraId="5E66E75B" w14:textId="77777777" w:rsidR="00BB5842" w:rsidRPr="0010428B" w:rsidRDefault="00BB5842" w:rsidP="00AA5E36">
            <w:pPr>
              <w:pStyle w:val="Tabletext"/>
              <w:jc w:val="center"/>
            </w:pPr>
            <w:r w:rsidRPr="0010428B">
              <w:t>SG16</w:t>
            </w:r>
          </w:p>
        </w:tc>
        <w:tc>
          <w:tcPr>
            <w:tcW w:w="1936" w:type="pct"/>
            <w:shd w:val="clear" w:color="auto" w:fill="auto"/>
            <w:hideMark/>
          </w:tcPr>
          <w:p w14:paraId="2CC68007" w14:textId="77777777" w:rsidR="00BB5842" w:rsidRPr="0010428B" w:rsidRDefault="00BB5842" w:rsidP="0010428B">
            <w:pPr>
              <w:pStyle w:val="Tabletext"/>
            </w:pPr>
            <w:r w:rsidRPr="0010428B">
              <w:t>Geneva, 10-21 July 2023</w:t>
            </w:r>
          </w:p>
        </w:tc>
        <w:tc>
          <w:tcPr>
            <w:tcW w:w="2322" w:type="pct"/>
            <w:shd w:val="clear" w:color="auto" w:fill="auto"/>
            <w:hideMark/>
          </w:tcPr>
          <w:p w14:paraId="562A4A95" w14:textId="77777777" w:rsidR="00BB5842" w:rsidRPr="0010428B" w:rsidRDefault="00BB5842" w:rsidP="0010428B">
            <w:pPr>
              <w:pStyle w:val="Tabletext"/>
            </w:pPr>
            <w:r w:rsidRPr="0010428B">
              <w:t>Charles Zoé BANGA, Central African Rep.</w:t>
            </w:r>
          </w:p>
        </w:tc>
      </w:tr>
      <w:tr w:rsidR="00BB5842" w:rsidRPr="0010428B" w14:paraId="5235BF71" w14:textId="77777777" w:rsidTr="00AA5E36">
        <w:trPr>
          <w:jc w:val="center"/>
        </w:trPr>
        <w:tc>
          <w:tcPr>
            <w:tcW w:w="742" w:type="pct"/>
            <w:shd w:val="clear" w:color="auto" w:fill="auto"/>
          </w:tcPr>
          <w:p w14:paraId="47C7D462" w14:textId="77777777" w:rsidR="00BB5842" w:rsidRPr="0010428B" w:rsidRDefault="00BB5842" w:rsidP="00AA5E36">
            <w:pPr>
              <w:pStyle w:val="Tabletext"/>
              <w:jc w:val="center"/>
            </w:pPr>
            <w:r w:rsidRPr="0010428B">
              <w:t>SG16</w:t>
            </w:r>
          </w:p>
        </w:tc>
        <w:tc>
          <w:tcPr>
            <w:tcW w:w="1936" w:type="pct"/>
            <w:shd w:val="clear" w:color="auto" w:fill="auto"/>
          </w:tcPr>
          <w:p w14:paraId="582B9049" w14:textId="77777777" w:rsidR="00BB5842" w:rsidRPr="0010428B" w:rsidRDefault="00BB5842" w:rsidP="0010428B">
            <w:pPr>
              <w:pStyle w:val="Tabletext"/>
            </w:pPr>
            <w:r w:rsidRPr="0010428B">
              <w:t>Geneva, 17-28 October 2022</w:t>
            </w:r>
          </w:p>
        </w:tc>
        <w:tc>
          <w:tcPr>
            <w:tcW w:w="2322" w:type="pct"/>
            <w:shd w:val="clear" w:color="auto" w:fill="auto"/>
          </w:tcPr>
          <w:p w14:paraId="1A4B34D0" w14:textId="77777777" w:rsidR="00BB5842" w:rsidRPr="0010428B" w:rsidRDefault="00BB5842" w:rsidP="0010428B">
            <w:pPr>
              <w:pStyle w:val="Tabletext"/>
            </w:pPr>
            <w:r w:rsidRPr="0010428B">
              <w:t>Charles Zoé BANGA, Central African Rep.</w:t>
            </w:r>
          </w:p>
        </w:tc>
      </w:tr>
      <w:tr w:rsidR="00BB5842" w:rsidRPr="0010428B" w14:paraId="77CC0E05" w14:textId="77777777" w:rsidTr="00AA5E36">
        <w:trPr>
          <w:jc w:val="center"/>
        </w:trPr>
        <w:tc>
          <w:tcPr>
            <w:tcW w:w="742" w:type="pct"/>
            <w:shd w:val="clear" w:color="auto" w:fill="auto"/>
          </w:tcPr>
          <w:p w14:paraId="72FE2E82" w14:textId="77777777" w:rsidR="00BB5842" w:rsidRPr="0010428B" w:rsidRDefault="00BB5842" w:rsidP="00AA5E36">
            <w:pPr>
              <w:pStyle w:val="Tabletext"/>
              <w:jc w:val="center"/>
            </w:pPr>
            <w:r w:rsidRPr="0010428B">
              <w:t>SG16</w:t>
            </w:r>
          </w:p>
        </w:tc>
        <w:tc>
          <w:tcPr>
            <w:tcW w:w="1936" w:type="pct"/>
            <w:shd w:val="clear" w:color="auto" w:fill="auto"/>
          </w:tcPr>
          <w:p w14:paraId="1C4B36FA" w14:textId="77777777" w:rsidR="00BB5842" w:rsidRPr="0010428B" w:rsidRDefault="00BB5842" w:rsidP="0010428B">
            <w:pPr>
              <w:pStyle w:val="Tabletext"/>
            </w:pPr>
            <w:r w:rsidRPr="0010428B">
              <w:t>Rennes, 15 - 26 April 2024</w:t>
            </w:r>
          </w:p>
        </w:tc>
        <w:tc>
          <w:tcPr>
            <w:tcW w:w="2322" w:type="pct"/>
            <w:shd w:val="clear" w:color="auto" w:fill="auto"/>
          </w:tcPr>
          <w:p w14:paraId="0C88D124" w14:textId="77777777" w:rsidR="00BB5842" w:rsidRPr="0010428B" w:rsidRDefault="00BB5842" w:rsidP="0010428B">
            <w:pPr>
              <w:pStyle w:val="Tabletext"/>
            </w:pPr>
            <w:r w:rsidRPr="0010428B">
              <w:t>Charles Zoé BANGA, Central African Rep.</w:t>
            </w:r>
          </w:p>
        </w:tc>
      </w:tr>
      <w:tr w:rsidR="00BB5842" w:rsidRPr="003D5A46" w14:paraId="28267437" w14:textId="77777777" w:rsidTr="00AA5E36">
        <w:trPr>
          <w:jc w:val="center"/>
        </w:trPr>
        <w:tc>
          <w:tcPr>
            <w:tcW w:w="742" w:type="pct"/>
            <w:shd w:val="clear" w:color="auto" w:fill="auto"/>
          </w:tcPr>
          <w:p w14:paraId="6A42BBA4" w14:textId="77777777" w:rsidR="00BB5842" w:rsidRPr="0010428B" w:rsidRDefault="00BB5842" w:rsidP="00AA5E36">
            <w:pPr>
              <w:pStyle w:val="Tabletext"/>
              <w:jc w:val="center"/>
            </w:pPr>
            <w:r w:rsidRPr="0010428B">
              <w:t>SG17</w:t>
            </w:r>
          </w:p>
        </w:tc>
        <w:tc>
          <w:tcPr>
            <w:tcW w:w="1936" w:type="pct"/>
            <w:shd w:val="clear" w:color="auto" w:fill="auto"/>
          </w:tcPr>
          <w:p w14:paraId="1D257D17" w14:textId="77777777" w:rsidR="00BB5842" w:rsidRPr="0010428B" w:rsidRDefault="00BB5842" w:rsidP="0010428B">
            <w:pPr>
              <w:pStyle w:val="Tabletext"/>
            </w:pPr>
            <w:r w:rsidRPr="0010428B">
              <w:t>Geneva, 23 August - 2 September 2022</w:t>
            </w:r>
          </w:p>
        </w:tc>
        <w:tc>
          <w:tcPr>
            <w:tcW w:w="2322" w:type="pct"/>
            <w:shd w:val="clear" w:color="auto" w:fill="auto"/>
          </w:tcPr>
          <w:p w14:paraId="423C8E28" w14:textId="77777777" w:rsidR="00BB5842" w:rsidRPr="00360BC6" w:rsidRDefault="00BB5842" w:rsidP="0010428B">
            <w:pPr>
              <w:pStyle w:val="Tabletext"/>
              <w:rPr>
                <w:lang w:val="fr-FR"/>
              </w:rPr>
            </w:pPr>
            <w:r w:rsidRPr="00360BC6">
              <w:rPr>
                <w:lang w:val="fr-FR"/>
              </w:rPr>
              <w:t>Abderrazak BACHIR BOUIADJRA, Algérie Télécom SPA</w:t>
            </w:r>
          </w:p>
        </w:tc>
      </w:tr>
      <w:tr w:rsidR="00BB5842" w:rsidRPr="0010428B" w14:paraId="467E420A" w14:textId="77777777" w:rsidTr="00AA5E36">
        <w:trPr>
          <w:jc w:val="center"/>
        </w:trPr>
        <w:tc>
          <w:tcPr>
            <w:tcW w:w="742" w:type="pct"/>
            <w:shd w:val="clear" w:color="auto" w:fill="auto"/>
          </w:tcPr>
          <w:p w14:paraId="66453A18" w14:textId="77777777" w:rsidR="00BB5842" w:rsidRPr="0010428B" w:rsidRDefault="00BB5842" w:rsidP="00AA5E36">
            <w:pPr>
              <w:pStyle w:val="Tabletext"/>
              <w:jc w:val="center"/>
            </w:pPr>
            <w:r w:rsidRPr="0010428B">
              <w:t>SG17</w:t>
            </w:r>
          </w:p>
        </w:tc>
        <w:tc>
          <w:tcPr>
            <w:tcW w:w="1936" w:type="pct"/>
            <w:shd w:val="clear" w:color="auto" w:fill="auto"/>
          </w:tcPr>
          <w:p w14:paraId="08D29BF0" w14:textId="77777777" w:rsidR="00BB5842" w:rsidRPr="0010428B" w:rsidRDefault="00BB5842" w:rsidP="0010428B">
            <w:pPr>
              <w:pStyle w:val="Tabletext"/>
            </w:pPr>
            <w:r w:rsidRPr="0010428B">
              <w:t>Virtual, 10-20 May 2022</w:t>
            </w:r>
          </w:p>
        </w:tc>
        <w:tc>
          <w:tcPr>
            <w:tcW w:w="2322" w:type="pct"/>
            <w:shd w:val="clear" w:color="auto" w:fill="auto"/>
          </w:tcPr>
          <w:p w14:paraId="12B50B46" w14:textId="77777777" w:rsidR="00BB5842" w:rsidRPr="0010428B" w:rsidRDefault="00BB5842" w:rsidP="0010428B">
            <w:pPr>
              <w:pStyle w:val="Tabletext"/>
            </w:pPr>
            <w:r w:rsidRPr="0010428B">
              <w:t>Afnan ALROMI, Saudi Arabia</w:t>
            </w:r>
          </w:p>
        </w:tc>
      </w:tr>
      <w:tr w:rsidR="00BB5842" w:rsidRPr="0010428B" w14:paraId="67AE3A45" w14:textId="77777777" w:rsidTr="00AA5E36">
        <w:trPr>
          <w:jc w:val="center"/>
        </w:trPr>
        <w:tc>
          <w:tcPr>
            <w:tcW w:w="742" w:type="pct"/>
            <w:shd w:val="clear" w:color="auto" w:fill="auto"/>
          </w:tcPr>
          <w:p w14:paraId="74B849A7" w14:textId="77777777" w:rsidR="00BB5842" w:rsidRPr="0010428B" w:rsidRDefault="00BB5842" w:rsidP="00AA5E36">
            <w:pPr>
              <w:pStyle w:val="Tabletext"/>
              <w:jc w:val="center"/>
            </w:pPr>
            <w:r w:rsidRPr="0010428B">
              <w:t>SG17</w:t>
            </w:r>
          </w:p>
        </w:tc>
        <w:tc>
          <w:tcPr>
            <w:tcW w:w="1936" w:type="pct"/>
            <w:shd w:val="clear" w:color="auto" w:fill="auto"/>
          </w:tcPr>
          <w:p w14:paraId="5CEE8B92" w14:textId="77777777" w:rsidR="00BB5842" w:rsidRPr="0010428B" w:rsidRDefault="00BB5842" w:rsidP="0010428B">
            <w:pPr>
              <w:pStyle w:val="Tabletext"/>
            </w:pPr>
            <w:r w:rsidRPr="0010428B">
              <w:t>Geneva, 20 February - 1 March 2024</w:t>
            </w:r>
          </w:p>
        </w:tc>
        <w:tc>
          <w:tcPr>
            <w:tcW w:w="2322" w:type="pct"/>
            <w:shd w:val="clear" w:color="auto" w:fill="auto"/>
          </w:tcPr>
          <w:p w14:paraId="466D3C47" w14:textId="77777777" w:rsidR="00BB5842" w:rsidRPr="0010428B" w:rsidRDefault="00BB5842" w:rsidP="0010428B">
            <w:pPr>
              <w:pStyle w:val="Tabletext"/>
            </w:pPr>
            <w:r w:rsidRPr="0010428B">
              <w:t>Francisco Javier DÍAZ, Argentina</w:t>
            </w:r>
          </w:p>
        </w:tc>
      </w:tr>
      <w:tr w:rsidR="00BB5842" w:rsidRPr="0010428B" w14:paraId="4BB22350" w14:textId="77777777" w:rsidTr="00AA5E36">
        <w:trPr>
          <w:jc w:val="center"/>
        </w:trPr>
        <w:tc>
          <w:tcPr>
            <w:tcW w:w="742" w:type="pct"/>
            <w:shd w:val="clear" w:color="auto" w:fill="auto"/>
          </w:tcPr>
          <w:p w14:paraId="21FE580A" w14:textId="77777777" w:rsidR="00BB5842" w:rsidRPr="0010428B" w:rsidRDefault="00BB5842" w:rsidP="00AA5E36">
            <w:pPr>
              <w:pStyle w:val="Tabletext"/>
              <w:jc w:val="center"/>
            </w:pPr>
            <w:r w:rsidRPr="0010428B">
              <w:t>SG17</w:t>
            </w:r>
          </w:p>
        </w:tc>
        <w:tc>
          <w:tcPr>
            <w:tcW w:w="1936" w:type="pct"/>
            <w:shd w:val="clear" w:color="auto" w:fill="auto"/>
          </w:tcPr>
          <w:p w14:paraId="35842B7C" w14:textId="77777777" w:rsidR="00BB5842" w:rsidRPr="0010428B" w:rsidRDefault="00BB5842" w:rsidP="0010428B">
            <w:pPr>
              <w:pStyle w:val="Tabletext"/>
            </w:pPr>
            <w:r w:rsidRPr="0010428B">
              <w:t>Geneva, 21 February - 3 March 2023</w:t>
            </w:r>
          </w:p>
        </w:tc>
        <w:tc>
          <w:tcPr>
            <w:tcW w:w="2322" w:type="pct"/>
            <w:shd w:val="clear" w:color="auto" w:fill="auto"/>
          </w:tcPr>
          <w:p w14:paraId="2A850233" w14:textId="77777777" w:rsidR="00BB5842" w:rsidRPr="0010428B" w:rsidRDefault="00BB5842" w:rsidP="0010428B">
            <w:pPr>
              <w:pStyle w:val="Tabletext"/>
            </w:pPr>
            <w:r w:rsidRPr="0010428B">
              <w:t>Francisco Javier DÍAZ, Argentina</w:t>
            </w:r>
          </w:p>
        </w:tc>
      </w:tr>
      <w:tr w:rsidR="00BB5842" w:rsidRPr="0010428B" w14:paraId="65B5BEC0" w14:textId="77777777" w:rsidTr="00AA5E36">
        <w:trPr>
          <w:jc w:val="center"/>
        </w:trPr>
        <w:tc>
          <w:tcPr>
            <w:tcW w:w="742" w:type="pct"/>
            <w:shd w:val="clear" w:color="auto" w:fill="auto"/>
          </w:tcPr>
          <w:p w14:paraId="0C01842A" w14:textId="77777777" w:rsidR="00BB5842" w:rsidRPr="0010428B" w:rsidRDefault="00BB5842" w:rsidP="00AA5E36">
            <w:pPr>
              <w:pStyle w:val="Tabletext"/>
              <w:jc w:val="center"/>
            </w:pPr>
            <w:r w:rsidRPr="0010428B">
              <w:t>SG17</w:t>
            </w:r>
          </w:p>
        </w:tc>
        <w:tc>
          <w:tcPr>
            <w:tcW w:w="1936" w:type="pct"/>
            <w:shd w:val="clear" w:color="auto" w:fill="auto"/>
          </w:tcPr>
          <w:p w14:paraId="3137F967" w14:textId="77777777" w:rsidR="00BB5842" w:rsidRPr="0010428B" w:rsidRDefault="00BB5842" w:rsidP="0010428B">
            <w:pPr>
              <w:pStyle w:val="Tabletext"/>
            </w:pPr>
            <w:r w:rsidRPr="0010428B">
              <w:t>Geneva, 2-6 September 2024</w:t>
            </w:r>
          </w:p>
        </w:tc>
        <w:tc>
          <w:tcPr>
            <w:tcW w:w="2322" w:type="pct"/>
            <w:shd w:val="clear" w:color="auto" w:fill="auto"/>
          </w:tcPr>
          <w:p w14:paraId="4B67BC75" w14:textId="77777777" w:rsidR="00BB5842" w:rsidRPr="0010428B" w:rsidRDefault="00BB5842" w:rsidP="0010428B">
            <w:pPr>
              <w:pStyle w:val="Tabletext"/>
            </w:pPr>
            <w:r w:rsidRPr="0010428B">
              <w:t>Francisco Javier DÍAZ, Argentina</w:t>
            </w:r>
          </w:p>
        </w:tc>
      </w:tr>
      <w:tr w:rsidR="00BB5842" w:rsidRPr="0010428B" w14:paraId="25654A6E" w14:textId="77777777" w:rsidTr="00AA5E36">
        <w:trPr>
          <w:jc w:val="center"/>
        </w:trPr>
        <w:tc>
          <w:tcPr>
            <w:tcW w:w="742" w:type="pct"/>
            <w:shd w:val="clear" w:color="auto" w:fill="auto"/>
            <w:hideMark/>
          </w:tcPr>
          <w:p w14:paraId="0863BB52" w14:textId="77777777" w:rsidR="00BB5842" w:rsidRPr="0010428B" w:rsidRDefault="00BB5842" w:rsidP="00AA5E36">
            <w:pPr>
              <w:pStyle w:val="Tabletext"/>
              <w:jc w:val="center"/>
            </w:pPr>
            <w:r w:rsidRPr="0010428B">
              <w:t>SG17</w:t>
            </w:r>
          </w:p>
        </w:tc>
        <w:tc>
          <w:tcPr>
            <w:tcW w:w="1936" w:type="pct"/>
            <w:shd w:val="clear" w:color="auto" w:fill="auto"/>
            <w:hideMark/>
          </w:tcPr>
          <w:p w14:paraId="7515FE05" w14:textId="77777777" w:rsidR="00BB5842" w:rsidRPr="0010428B" w:rsidRDefault="00BB5842" w:rsidP="0010428B">
            <w:pPr>
              <w:pStyle w:val="Tabletext"/>
            </w:pPr>
            <w:r w:rsidRPr="0010428B">
              <w:t>Goyang, Korea (Rep. of), 29 August - 8 September 2023</w:t>
            </w:r>
          </w:p>
        </w:tc>
        <w:tc>
          <w:tcPr>
            <w:tcW w:w="2322" w:type="pct"/>
            <w:shd w:val="clear" w:color="auto" w:fill="auto"/>
            <w:hideMark/>
          </w:tcPr>
          <w:p w14:paraId="67BEFFB9" w14:textId="77777777" w:rsidR="00BB5842" w:rsidRPr="0010428B" w:rsidRDefault="00BB5842" w:rsidP="0010428B">
            <w:pPr>
              <w:pStyle w:val="Tabletext"/>
            </w:pPr>
            <w:r w:rsidRPr="0010428B">
              <w:t>Francisco Javier DÍAZ, Argentina</w:t>
            </w:r>
          </w:p>
        </w:tc>
      </w:tr>
      <w:tr w:rsidR="00BB5842" w:rsidRPr="0010428B" w14:paraId="531916DC" w14:textId="77777777" w:rsidTr="00AA5E36">
        <w:trPr>
          <w:jc w:val="center"/>
        </w:trPr>
        <w:tc>
          <w:tcPr>
            <w:tcW w:w="742" w:type="pct"/>
            <w:shd w:val="clear" w:color="auto" w:fill="auto"/>
          </w:tcPr>
          <w:p w14:paraId="39E518DB" w14:textId="77777777" w:rsidR="00BB5842" w:rsidRPr="0010428B" w:rsidRDefault="00BB5842" w:rsidP="00AA5E36">
            <w:pPr>
              <w:pStyle w:val="Tabletext"/>
              <w:jc w:val="center"/>
            </w:pPr>
            <w:r w:rsidRPr="0010428B">
              <w:t>SG17</w:t>
            </w:r>
          </w:p>
        </w:tc>
        <w:tc>
          <w:tcPr>
            <w:tcW w:w="1936" w:type="pct"/>
            <w:shd w:val="clear" w:color="auto" w:fill="auto"/>
          </w:tcPr>
          <w:p w14:paraId="24F75A8F" w14:textId="77777777" w:rsidR="00BB5842" w:rsidRPr="0010428B" w:rsidRDefault="00BB5842" w:rsidP="0010428B">
            <w:pPr>
              <w:pStyle w:val="Tabletext"/>
            </w:pPr>
            <w:r w:rsidRPr="0010428B">
              <w:t>Virtual, 11 - 12 July 2024</w:t>
            </w:r>
          </w:p>
        </w:tc>
        <w:tc>
          <w:tcPr>
            <w:tcW w:w="2322" w:type="pct"/>
            <w:shd w:val="clear" w:color="auto" w:fill="auto"/>
          </w:tcPr>
          <w:p w14:paraId="4059E0FD" w14:textId="77777777" w:rsidR="00BB5842" w:rsidRPr="0010428B" w:rsidRDefault="00BB5842" w:rsidP="0010428B">
            <w:pPr>
              <w:pStyle w:val="Tabletext"/>
            </w:pPr>
            <w:r w:rsidRPr="0010428B">
              <w:t>Francisco Javier DÍAZ, Argentina</w:t>
            </w:r>
          </w:p>
        </w:tc>
      </w:tr>
      <w:tr w:rsidR="00BB5842" w:rsidRPr="0010428B" w14:paraId="792C0AFA" w14:textId="77777777" w:rsidTr="00AA5E36">
        <w:trPr>
          <w:jc w:val="center"/>
        </w:trPr>
        <w:tc>
          <w:tcPr>
            <w:tcW w:w="742" w:type="pct"/>
            <w:shd w:val="clear" w:color="auto" w:fill="auto"/>
          </w:tcPr>
          <w:p w14:paraId="048EE4AB" w14:textId="77777777" w:rsidR="00BB5842" w:rsidRPr="0010428B" w:rsidRDefault="00BB5842" w:rsidP="00AA5E36">
            <w:pPr>
              <w:pStyle w:val="Tabletext"/>
              <w:jc w:val="center"/>
            </w:pPr>
            <w:r w:rsidRPr="0010428B">
              <w:t>SG17</w:t>
            </w:r>
          </w:p>
        </w:tc>
        <w:tc>
          <w:tcPr>
            <w:tcW w:w="1936" w:type="pct"/>
            <w:shd w:val="clear" w:color="auto" w:fill="auto"/>
          </w:tcPr>
          <w:p w14:paraId="78E7396D" w14:textId="77777777" w:rsidR="00BB5842" w:rsidRPr="0010428B" w:rsidRDefault="00BB5842" w:rsidP="0010428B">
            <w:pPr>
              <w:pStyle w:val="Tabletext"/>
            </w:pPr>
            <w:r w:rsidRPr="0010428B">
              <w:t>Geneva, 20 February - 1 March 2024</w:t>
            </w:r>
          </w:p>
        </w:tc>
        <w:tc>
          <w:tcPr>
            <w:tcW w:w="2322" w:type="pct"/>
            <w:shd w:val="clear" w:color="auto" w:fill="auto"/>
          </w:tcPr>
          <w:p w14:paraId="59930B79" w14:textId="77777777" w:rsidR="00BB5842" w:rsidRPr="0010428B" w:rsidRDefault="00BB5842" w:rsidP="0010428B">
            <w:pPr>
              <w:pStyle w:val="Tabletext"/>
            </w:pPr>
            <w:r w:rsidRPr="0010428B">
              <w:t>Gökhan EVREN, Turkey</w:t>
            </w:r>
          </w:p>
        </w:tc>
      </w:tr>
      <w:tr w:rsidR="00BB5842" w:rsidRPr="0010428B" w14:paraId="12E6AEBB" w14:textId="77777777" w:rsidTr="00AA5E36">
        <w:trPr>
          <w:jc w:val="center"/>
        </w:trPr>
        <w:tc>
          <w:tcPr>
            <w:tcW w:w="742" w:type="pct"/>
            <w:shd w:val="clear" w:color="auto" w:fill="auto"/>
          </w:tcPr>
          <w:p w14:paraId="29AE19D9" w14:textId="77777777" w:rsidR="00BB5842" w:rsidRPr="0010428B" w:rsidRDefault="00BB5842" w:rsidP="00AA5E36">
            <w:pPr>
              <w:pStyle w:val="Tabletext"/>
              <w:jc w:val="center"/>
            </w:pPr>
            <w:r w:rsidRPr="0010428B">
              <w:t>SG17</w:t>
            </w:r>
          </w:p>
        </w:tc>
        <w:tc>
          <w:tcPr>
            <w:tcW w:w="1936" w:type="pct"/>
            <w:shd w:val="clear" w:color="auto" w:fill="auto"/>
          </w:tcPr>
          <w:p w14:paraId="17226B95" w14:textId="77777777" w:rsidR="00BB5842" w:rsidRPr="0010428B" w:rsidRDefault="00BB5842" w:rsidP="0010428B">
            <w:pPr>
              <w:pStyle w:val="Tabletext"/>
            </w:pPr>
            <w:r w:rsidRPr="0010428B">
              <w:t>Geneva, 21 February - 3 March 2023</w:t>
            </w:r>
          </w:p>
        </w:tc>
        <w:tc>
          <w:tcPr>
            <w:tcW w:w="2322" w:type="pct"/>
            <w:shd w:val="clear" w:color="auto" w:fill="auto"/>
          </w:tcPr>
          <w:p w14:paraId="1E85ED20" w14:textId="77777777" w:rsidR="00BB5842" w:rsidRPr="0010428B" w:rsidRDefault="00BB5842" w:rsidP="0010428B">
            <w:pPr>
              <w:pStyle w:val="Tabletext"/>
            </w:pPr>
            <w:r w:rsidRPr="0010428B">
              <w:t>Gökhan EVREN, Turkey</w:t>
            </w:r>
          </w:p>
        </w:tc>
      </w:tr>
      <w:tr w:rsidR="00BB5842" w:rsidRPr="0010428B" w14:paraId="27C70383" w14:textId="77777777" w:rsidTr="00AA5E36">
        <w:trPr>
          <w:jc w:val="center"/>
        </w:trPr>
        <w:tc>
          <w:tcPr>
            <w:tcW w:w="742" w:type="pct"/>
            <w:shd w:val="clear" w:color="auto" w:fill="auto"/>
          </w:tcPr>
          <w:p w14:paraId="36CA0810" w14:textId="77777777" w:rsidR="00BB5842" w:rsidRPr="0010428B" w:rsidRDefault="00BB5842" w:rsidP="00AA5E36">
            <w:pPr>
              <w:pStyle w:val="Tabletext"/>
              <w:jc w:val="center"/>
            </w:pPr>
            <w:r w:rsidRPr="0010428B">
              <w:t>SG17</w:t>
            </w:r>
          </w:p>
        </w:tc>
        <w:tc>
          <w:tcPr>
            <w:tcW w:w="1936" w:type="pct"/>
            <w:shd w:val="clear" w:color="auto" w:fill="auto"/>
          </w:tcPr>
          <w:p w14:paraId="7FA41644" w14:textId="77777777" w:rsidR="00BB5842" w:rsidRPr="0010428B" w:rsidRDefault="00BB5842" w:rsidP="0010428B">
            <w:pPr>
              <w:pStyle w:val="Tabletext"/>
            </w:pPr>
            <w:r w:rsidRPr="0010428B">
              <w:t>Geneva, 23 August - 2 September 2022</w:t>
            </w:r>
          </w:p>
        </w:tc>
        <w:tc>
          <w:tcPr>
            <w:tcW w:w="2322" w:type="pct"/>
            <w:shd w:val="clear" w:color="auto" w:fill="auto"/>
          </w:tcPr>
          <w:p w14:paraId="54F72158" w14:textId="77777777" w:rsidR="00BB5842" w:rsidRPr="0010428B" w:rsidRDefault="00BB5842" w:rsidP="0010428B">
            <w:pPr>
              <w:pStyle w:val="Tabletext"/>
            </w:pPr>
            <w:r w:rsidRPr="0010428B">
              <w:t>Gökhan EVREN, Turkey</w:t>
            </w:r>
          </w:p>
        </w:tc>
      </w:tr>
      <w:tr w:rsidR="00BB5842" w:rsidRPr="0010428B" w14:paraId="33492276" w14:textId="77777777" w:rsidTr="00AA5E36">
        <w:trPr>
          <w:jc w:val="center"/>
        </w:trPr>
        <w:tc>
          <w:tcPr>
            <w:tcW w:w="742" w:type="pct"/>
            <w:shd w:val="clear" w:color="auto" w:fill="auto"/>
          </w:tcPr>
          <w:p w14:paraId="18DE8A90" w14:textId="77777777" w:rsidR="00BB5842" w:rsidRPr="0010428B" w:rsidRDefault="00BB5842" w:rsidP="00AA5E36">
            <w:pPr>
              <w:pStyle w:val="Tabletext"/>
              <w:jc w:val="center"/>
            </w:pPr>
            <w:r w:rsidRPr="0010428B">
              <w:t>SG17</w:t>
            </w:r>
          </w:p>
        </w:tc>
        <w:tc>
          <w:tcPr>
            <w:tcW w:w="1936" w:type="pct"/>
            <w:shd w:val="clear" w:color="auto" w:fill="auto"/>
          </w:tcPr>
          <w:p w14:paraId="2C768537" w14:textId="77777777" w:rsidR="00BB5842" w:rsidRPr="0010428B" w:rsidRDefault="00BB5842" w:rsidP="0010428B">
            <w:pPr>
              <w:pStyle w:val="Tabletext"/>
            </w:pPr>
            <w:r w:rsidRPr="0010428B">
              <w:t>Geneva, 2-6 September 2024</w:t>
            </w:r>
          </w:p>
        </w:tc>
        <w:tc>
          <w:tcPr>
            <w:tcW w:w="2322" w:type="pct"/>
            <w:shd w:val="clear" w:color="auto" w:fill="auto"/>
          </w:tcPr>
          <w:p w14:paraId="59E14CB8" w14:textId="77777777" w:rsidR="00BB5842" w:rsidRPr="0010428B" w:rsidRDefault="00BB5842" w:rsidP="0010428B">
            <w:pPr>
              <w:pStyle w:val="Tabletext"/>
            </w:pPr>
            <w:r w:rsidRPr="0010428B">
              <w:t>Gökhan EVREN, Turkey</w:t>
            </w:r>
          </w:p>
        </w:tc>
      </w:tr>
      <w:tr w:rsidR="00BB5842" w:rsidRPr="0010428B" w14:paraId="1EF43581" w14:textId="77777777" w:rsidTr="00AA5E36">
        <w:trPr>
          <w:jc w:val="center"/>
        </w:trPr>
        <w:tc>
          <w:tcPr>
            <w:tcW w:w="742" w:type="pct"/>
            <w:shd w:val="clear" w:color="auto" w:fill="auto"/>
            <w:hideMark/>
          </w:tcPr>
          <w:p w14:paraId="17BBC6C3" w14:textId="77777777" w:rsidR="00BB5842" w:rsidRPr="0010428B" w:rsidRDefault="00BB5842" w:rsidP="00AA5E36">
            <w:pPr>
              <w:pStyle w:val="Tabletext"/>
              <w:jc w:val="center"/>
            </w:pPr>
            <w:r w:rsidRPr="0010428B">
              <w:t>SG17</w:t>
            </w:r>
          </w:p>
        </w:tc>
        <w:tc>
          <w:tcPr>
            <w:tcW w:w="1936" w:type="pct"/>
            <w:shd w:val="clear" w:color="auto" w:fill="auto"/>
            <w:hideMark/>
          </w:tcPr>
          <w:p w14:paraId="19C4DBAB" w14:textId="77777777" w:rsidR="00BB5842" w:rsidRPr="0010428B" w:rsidRDefault="00BB5842" w:rsidP="0010428B">
            <w:pPr>
              <w:pStyle w:val="Tabletext"/>
            </w:pPr>
            <w:r w:rsidRPr="0010428B">
              <w:t>Goyang, Korea (Rep. of), 29 August - 8 September 2023</w:t>
            </w:r>
          </w:p>
        </w:tc>
        <w:tc>
          <w:tcPr>
            <w:tcW w:w="2322" w:type="pct"/>
            <w:shd w:val="clear" w:color="auto" w:fill="auto"/>
            <w:hideMark/>
          </w:tcPr>
          <w:p w14:paraId="302BE4C5" w14:textId="77777777" w:rsidR="00BB5842" w:rsidRPr="0010428B" w:rsidRDefault="00BB5842" w:rsidP="0010428B">
            <w:pPr>
              <w:pStyle w:val="Tabletext"/>
            </w:pPr>
            <w:r w:rsidRPr="0010428B">
              <w:t>Gökhan EVREN, Turkey</w:t>
            </w:r>
          </w:p>
        </w:tc>
      </w:tr>
      <w:tr w:rsidR="00BB5842" w:rsidRPr="0010428B" w14:paraId="40F8ACF0" w14:textId="77777777" w:rsidTr="00AA5E36">
        <w:trPr>
          <w:jc w:val="center"/>
        </w:trPr>
        <w:tc>
          <w:tcPr>
            <w:tcW w:w="742" w:type="pct"/>
            <w:shd w:val="clear" w:color="auto" w:fill="auto"/>
          </w:tcPr>
          <w:p w14:paraId="19B56AD6" w14:textId="77777777" w:rsidR="00BB5842" w:rsidRPr="0010428B" w:rsidRDefault="00BB5842" w:rsidP="00AA5E36">
            <w:pPr>
              <w:pStyle w:val="Tabletext"/>
              <w:jc w:val="center"/>
            </w:pPr>
            <w:r w:rsidRPr="0010428B">
              <w:t>SG17</w:t>
            </w:r>
          </w:p>
        </w:tc>
        <w:tc>
          <w:tcPr>
            <w:tcW w:w="1936" w:type="pct"/>
            <w:shd w:val="clear" w:color="auto" w:fill="auto"/>
          </w:tcPr>
          <w:p w14:paraId="5FD04678" w14:textId="77777777" w:rsidR="00BB5842" w:rsidRPr="0010428B" w:rsidRDefault="00BB5842" w:rsidP="0010428B">
            <w:pPr>
              <w:pStyle w:val="Tabletext"/>
            </w:pPr>
            <w:r w:rsidRPr="0010428B">
              <w:t>Virtual, 10-20 May 2022</w:t>
            </w:r>
          </w:p>
        </w:tc>
        <w:tc>
          <w:tcPr>
            <w:tcW w:w="2322" w:type="pct"/>
            <w:shd w:val="clear" w:color="auto" w:fill="auto"/>
          </w:tcPr>
          <w:p w14:paraId="542C424F" w14:textId="77777777" w:rsidR="00BB5842" w:rsidRPr="0010428B" w:rsidRDefault="00BB5842" w:rsidP="0010428B">
            <w:pPr>
              <w:pStyle w:val="Tabletext"/>
            </w:pPr>
            <w:r w:rsidRPr="0010428B">
              <w:t>Gökhan EVREN, Turkey</w:t>
            </w:r>
          </w:p>
        </w:tc>
      </w:tr>
      <w:tr w:rsidR="00BB5842" w:rsidRPr="0010428B" w14:paraId="124FFB2C" w14:textId="77777777" w:rsidTr="00AA5E36">
        <w:trPr>
          <w:jc w:val="center"/>
        </w:trPr>
        <w:tc>
          <w:tcPr>
            <w:tcW w:w="742" w:type="pct"/>
            <w:shd w:val="clear" w:color="auto" w:fill="auto"/>
          </w:tcPr>
          <w:p w14:paraId="1F0F3DAB" w14:textId="77777777" w:rsidR="00BB5842" w:rsidRPr="0010428B" w:rsidRDefault="00BB5842" w:rsidP="00AA5E36">
            <w:pPr>
              <w:pStyle w:val="Tabletext"/>
              <w:jc w:val="center"/>
            </w:pPr>
            <w:r w:rsidRPr="0010428B">
              <w:t>SG17</w:t>
            </w:r>
          </w:p>
        </w:tc>
        <w:tc>
          <w:tcPr>
            <w:tcW w:w="1936" w:type="pct"/>
            <w:shd w:val="clear" w:color="auto" w:fill="auto"/>
          </w:tcPr>
          <w:p w14:paraId="26BD91BA" w14:textId="77777777" w:rsidR="00BB5842" w:rsidRPr="0010428B" w:rsidRDefault="00BB5842" w:rsidP="0010428B">
            <w:pPr>
              <w:pStyle w:val="Tabletext"/>
            </w:pPr>
            <w:r w:rsidRPr="0010428B">
              <w:t>Virtual, 11 - 12 July 2024</w:t>
            </w:r>
          </w:p>
        </w:tc>
        <w:tc>
          <w:tcPr>
            <w:tcW w:w="2322" w:type="pct"/>
            <w:shd w:val="clear" w:color="auto" w:fill="auto"/>
          </w:tcPr>
          <w:p w14:paraId="518C66C9" w14:textId="77777777" w:rsidR="00BB5842" w:rsidRPr="0010428B" w:rsidRDefault="00BB5842" w:rsidP="0010428B">
            <w:pPr>
              <w:pStyle w:val="Tabletext"/>
            </w:pPr>
            <w:r w:rsidRPr="0010428B">
              <w:t>Gökhan EVREN, Turkey</w:t>
            </w:r>
          </w:p>
        </w:tc>
      </w:tr>
      <w:tr w:rsidR="00BB5842" w:rsidRPr="0010428B" w14:paraId="25E92EC0" w14:textId="77777777" w:rsidTr="00AA5E36">
        <w:trPr>
          <w:jc w:val="center"/>
        </w:trPr>
        <w:tc>
          <w:tcPr>
            <w:tcW w:w="742" w:type="pct"/>
            <w:shd w:val="clear" w:color="auto" w:fill="auto"/>
            <w:hideMark/>
          </w:tcPr>
          <w:p w14:paraId="21638BC5" w14:textId="77777777" w:rsidR="00BB5842" w:rsidRPr="0010428B" w:rsidRDefault="00BB5842" w:rsidP="00AA5E36">
            <w:pPr>
              <w:pStyle w:val="Tabletext"/>
              <w:jc w:val="center"/>
            </w:pPr>
            <w:r w:rsidRPr="0010428B">
              <w:t>SG17</w:t>
            </w:r>
          </w:p>
        </w:tc>
        <w:tc>
          <w:tcPr>
            <w:tcW w:w="1936" w:type="pct"/>
            <w:shd w:val="clear" w:color="auto" w:fill="auto"/>
            <w:hideMark/>
          </w:tcPr>
          <w:p w14:paraId="02F5D4AB" w14:textId="77777777" w:rsidR="00BB5842" w:rsidRPr="0010428B" w:rsidRDefault="00BB5842" w:rsidP="0010428B">
            <w:pPr>
              <w:pStyle w:val="Tabletext"/>
            </w:pPr>
            <w:r w:rsidRPr="0010428B">
              <w:t>Goyang, Korea (Rep. of), 29 August - 8 September 2023</w:t>
            </w:r>
          </w:p>
        </w:tc>
        <w:tc>
          <w:tcPr>
            <w:tcW w:w="2322" w:type="pct"/>
            <w:shd w:val="clear" w:color="auto" w:fill="auto"/>
            <w:hideMark/>
          </w:tcPr>
          <w:p w14:paraId="2BEC5E44" w14:textId="77777777" w:rsidR="00BB5842" w:rsidRPr="0010428B" w:rsidRDefault="00BB5842" w:rsidP="0010428B">
            <w:pPr>
              <w:pStyle w:val="Tabletext"/>
            </w:pPr>
            <w:proofErr w:type="spellStart"/>
            <w:r w:rsidRPr="0010428B">
              <w:t>Laial</w:t>
            </w:r>
            <w:proofErr w:type="spellEnd"/>
            <w:r w:rsidRPr="0010428B">
              <w:t xml:space="preserve"> ALMANSOURY, Kuwait</w:t>
            </w:r>
          </w:p>
        </w:tc>
      </w:tr>
      <w:tr w:rsidR="00BB5842" w:rsidRPr="0010428B" w14:paraId="1A8CDA93" w14:textId="77777777" w:rsidTr="00AA5E36">
        <w:trPr>
          <w:jc w:val="center"/>
        </w:trPr>
        <w:tc>
          <w:tcPr>
            <w:tcW w:w="742" w:type="pct"/>
            <w:shd w:val="clear" w:color="auto" w:fill="auto"/>
          </w:tcPr>
          <w:p w14:paraId="7DB33045" w14:textId="77777777" w:rsidR="00BB5842" w:rsidRPr="0010428B" w:rsidRDefault="00BB5842" w:rsidP="00AA5E36">
            <w:pPr>
              <w:pStyle w:val="Tabletext"/>
              <w:jc w:val="center"/>
            </w:pPr>
            <w:r w:rsidRPr="0010428B">
              <w:t>SG17</w:t>
            </w:r>
          </w:p>
        </w:tc>
        <w:tc>
          <w:tcPr>
            <w:tcW w:w="1936" w:type="pct"/>
            <w:shd w:val="clear" w:color="auto" w:fill="auto"/>
          </w:tcPr>
          <w:p w14:paraId="5E4FD3EE" w14:textId="77777777" w:rsidR="00BB5842" w:rsidRPr="0010428B" w:rsidRDefault="00BB5842" w:rsidP="0010428B">
            <w:pPr>
              <w:pStyle w:val="Tabletext"/>
            </w:pPr>
            <w:r w:rsidRPr="0010428B">
              <w:t>Virtual, 11 - 12 July 2024</w:t>
            </w:r>
          </w:p>
        </w:tc>
        <w:tc>
          <w:tcPr>
            <w:tcW w:w="2322" w:type="pct"/>
            <w:shd w:val="clear" w:color="auto" w:fill="auto"/>
          </w:tcPr>
          <w:p w14:paraId="37823DE2" w14:textId="77777777" w:rsidR="00BB5842" w:rsidRPr="0010428B" w:rsidRDefault="00BB5842" w:rsidP="0010428B">
            <w:pPr>
              <w:pStyle w:val="Tabletext"/>
            </w:pPr>
            <w:proofErr w:type="spellStart"/>
            <w:r w:rsidRPr="0010428B">
              <w:t>Laial</w:t>
            </w:r>
            <w:proofErr w:type="spellEnd"/>
            <w:r w:rsidRPr="0010428B">
              <w:t xml:space="preserve"> ALMANSOURY, Kuwait</w:t>
            </w:r>
          </w:p>
        </w:tc>
      </w:tr>
      <w:tr w:rsidR="00BB5842" w:rsidRPr="0010428B" w14:paraId="77116816" w14:textId="77777777" w:rsidTr="00AA5E36">
        <w:trPr>
          <w:jc w:val="center"/>
        </w:trPr>
        <w:tc>
          <w:tcPr>
            <w:tcW w:w="742" w:type="pct"/>
            <w:shd w:val="clear" w:color="auto" w:fill="auto"/>
          </w:tcPr>
          <w:p w14:paraId="28A9FA38" w14:textId="77777777" w:rsidR="00BB5842" w:rsidRPr="0010428B" w:rsidRDefault="00BB5842" w:rsidP="00AA5E36">
            <w:pPr>
              <w:pStyle w:val="Tabletext"/>
              <w:jc w:val="center"/>
            </w:pPr>
            <w:r w:rsidRPr="0010428B">
              <w:t>SG17</w:t>
            </w:r>
          </w:p>
        </w:tc>
        <w:tc>
          <w:tcPr>
            <w:tcW w:w="1936" w:type="pct"/>
            <w:shd w:val="clear" w:color="auto" w:fill="auto"/>
          </w:tcPr>
          <w:p w14:paraId="1BF0EE65" w14:textId="77777777" w:rsidR="00BB5842" w:rsidRPr="0010428B" w:rsidRDefault="00BB5842" w:rsidP="0010428B">
            <w:pPr>
              <w:pStyle w:val="Tabletext"/>
            </w:pPr>
            <w:r w:rsidRPr="0010428B">
              <w:t>Geneva, 23 August - 2 September 2022</w:t>
            </w:r>
          </w:p>
        </w:tc>
        <w:tc>
          <w:tcPr>
            <w:tcW w:w="2322" w:type="pct"/>
            <w:shd w:val="clear" w:color="auto" w:fill="auto"/>
          </w:tcPr>
          <w:p w14:paraId="04F64713" w14:textId="77777777" w:rsidR="00BB5842" w:rsidRPr="0010428B" w:rsidRDefault="00BB5842" w:rsidP="0010428B">
            <w:pPr>
              <w:pStyle w:val="Tabletext"/>
            </w:pPr>
            <w:r w:rsidRPr="0010428B">
              <w:t>Lia MOLINARI, Argentina</w:t>
            </w:r>
          </w:p>
        </w:tc>
      </w:tr>
      <w:tr w:rsidR="00BB5842" w:rsidRPr="0010428B" w14:paraId="38A990F0" w14:textId="77777777" w:rsidTr="00AA5E36">
        <w:trPr>
          <w:jc w:val="center"/>
        </w:trPr>
        <w:tc>
          <w:tcPr>
            <w:tcW w:w="742" w:type="pct"/>
            <w:shd w:val="clear" w:color="auto" w:fill="auto"/>
          </w:tcPr>
          <w:p w14:paraId="71D2F911" w14:textId="77777777" w:rsidR="00BB5842" w:rsidRPr="0010428B" w:rsidRDefault="00BB5842" w:rsidP="00AA5E36">
            <w:pPr>
              <w:pStyle w:val="Tabletext"/>
              <w:jc w:val="center"/>
            </w:pPr>
            <w:r w:rsidRPr="0010428B">
              <w:t>SG17</w:t>
            </w:r>
          </w:p>
        </w:tc>
        <w:tc>
          <w:tcPr>
            <w:tcW w:w="1936" w:type="pct"/>
            <w:shd w:val="clear" w:color="auto" w:fill="auto"/>
          </w:tcPr>
          <w:p w14:paraId="45AA02BA" w14:textId="77777777" w:rsidR="00BB5842" w:rsidRPr="0010428B" w:rsidRDefault="00BB5842" w:rsidP="0010428B">
            <w:pPr>
              <w:pStyle w:val="Tabletext"/>
            </w:pPr>
            <w:r w:rsidRPr="0010428B">
              <w:t>Virtual, 11 - 12 July 2024</w:t>
            </w:r>
          </w:p>
        </w:tc>
        <w:tc>
          <w:tcPr>
            <w:tcW w:w="2322" w:type="pct"/>
            <w:shd w:val="clear" w:color="auto" w:fill="auto"/>
          </w:tcPr>
          <w:p w14:paraId="263775A9" w14:textId="77777777" w:rsidR="00BB5842" w:rsidRPr="0010428B" w:rsidRDefault="00BB5842" w:rsidP="0010428B">
            <w:pPr>
              <w:pStyle w:val="Tabletext"/>
            </w:pPr>
            <w:r w:rsidRPr="0010428B">
              <w:t>Pushpendra Kumar SINGH, India</w:t>
            </w:r>
          </w:p>
        </w:tc>
      </w:tr>
      <w:tr w:rsidR="00BB5842" w:rsidRPr="0010428B" w14:paraId="0DCCC069" w14:textId="77777777" w:rsidTr="00AA5E36">
        <w:trPr>
          <w:jc w:val="center"/>
        </w:trPr>
        <w:tc>
          <w:tcPr>
            <w:tcW w:w="742" w:type="pct"/>
            <w:shd w:val="clear" w:color="auto" w:fill="auto"/>
          </w:tcPr>
          <w:p w14:paraId="5C2A1809" w14:textId="77777777" w:rsidR="00BB5842" w:rsidRPr="0010428B" w:rsidRDefault="00BB5842" w:rsidP="00AA5E36">
            <w:pPr>
              <w:pStyle w:val="Tabletext"/>
              <w:jc w:val="center"/>
            </w:pPr>
            <w:r w:rsidRPr="0010428B">
              <w:t>SG17</w:t>
            </w:r>
          </w:p>
        </w:tc>
        <w:tc>
          <w:tcPr>
            <w:tcW w:w="1936" w:type="pct"/>
            <w:shd w:val="clear" w:color="auto" w:fill="auto"/>
          </w:tcPr>
          <w:p w14:paraId="55E8EABC" w14:textId="77777777" w:rsidR="00BB5842" w:rsidRPr="0010428B" w:rsidRDefault="00BB5842" w:rsidP="0010428B">
            <w:pPr>
              <w:pStyle w:val="Tabletext"/>
            </w:pPr>
            <w:r w:rsidRPr="0010428B">
              <w:t>Geneva, 23 August - 2 September 2022</w:t>
            </w:r>
          </w:p>
        </w:tc>
        <w:tc>
          <w:tcPr>
            <w:tcW w:w="2322" w:type="pct"/>
            <w:shd w:val="clear" w:color="auto" w:fill="auto"/>
          </w:tcPr>
          <w:p w14:paraId="6382037D" w14:textId="77777777" w:rsidR="00BB5842" w:rsidRPr="0010428B" w:rsidRDefault="00BB5842" w:rsidP="0010428B">
            <w:pPr>
              <w:pStyle w:val="Tabletext"/>
            </w:pPr>
            <w:r w:rsidRPr="0010428B">
              <w:t>Samir ABDELGAWAD, Egypt</w:t>
            </w:r>
          </w:p>
        </w:tc>
      </w:tr>
      <w:tr w:rsidR="00BB5842" w:rsidRPr="0010428B" w14:paraId="5CBD1436" w14:textId="77777777" w:rsidTr="00AA5E36">
        <w:trPr>
          <w:jc w:val="center"/>
        </w:trPr>
        <w:tc>
          <w:tcPr>
            <w:tcW w:w="742" w:type="pct"/>
            <w:shd w:val="clear" w:color="auto" w:fill="auto"/>
          </w:tcPr>
          <w:p w14:paraId="02FE2223" w14:textId="77777777" w:rsidR="00BB5842" w:rsidRPr="0010428B" w:rsidRDefault="00BB5842" w:rsidP="00AA5E36">
            <w:pPr>
              <w:pStyle w:val="Tabletext"/>
              <w:jc w:val="center"/>
            </w:pPr>
            <w:r w:rsidRPr="0010428B">
              <w:t>SG17</w:t>
            </w:r>
          </w:p>
        </w:tc>
        <w:tc>
          <w:tcPr>
            <w:tcW w:w="1936" w:type="pct"/>
            <w:shd w:val="clear" w:color="auto" w:fill="auto"/>
          </w:tcPr>
          <w:p w14:paraId="6A704FB6" w14:textId="77777777" w:rsidR="00BB5842" w:rsidRPr="0010428B" w:rsidRDefault="00BB5842" w:rsidP="0010428B">
            <w:pPr>
              <w:pStyle w:val="Tabletext"/>
            </w:pPr>
            <w:r w:rsidRPr="0010428B">
              <w:t>Geneva, 23 August - 2 September 2022</w:t>
            </w:r>
          </w:p>
        </w:tc>
        <w:tc>
          <w:tcPr>
            <w:tcW w:w="2322" w:type="pct"/>
            <w:shd w:val="clear" w:color="auto" w:fill="auto"/>
          </w:tcPr>
          <w:p w14:paraId="71AEDF65" w14:textId="77777777" w:rsidR="00BB5842" w:rsidRPr="0010428B" w:rsidRDefault="00BB5842" w:rsidP="0010428B">
            <w:pPr>
              <w:pStyle w:val="Tabletext"/>
            </w:pPr>
            <w:r w:rsidRPr="0010428B">
              <w:t>Wala TURKI LATROUS, Tunisia</w:t>
            </w:r>
          </w:p>
        </w:tc>
      </w:tr>
      <w:tr w:rsidR="00BB5842" w:rsidRPr="0010428B" w14:paraId="7F2526C5" w14:textId="77777777" w:rsidTr="00AA5E36">
        <w:trPr>
          <w:jc w:val="center"/>
        </w:trPr>
        <w:tc>
          <w:tcPr>
            <w:tcW w:w="742" w:type="pct"/>
            <w:shd w:val="clear" w:color="auto" w:fill="auto"/>
          </w:tcPr>
          <w:p w14:paraId="5CBD3275" w14:textId="77777777" w:rsidR="00BB5842" w:rsidRPr="0010428B" w:rsidRDefault="00BB5842" w:rsidP="00AA5E36">
            <w:pPr>
              <w:pStyle w:val="Tabletext"/>
              <w:jc w:val="center"/>
            </w:pPr>
            <w:r w:rsidRPr="0010428B">
              <w:t>SG17</w:t>
            </w:r>
          </w:p>
        </w:tc>
        <w:tc>
          <w:tcPr>
            <w:tcW w:w="1936" w:type="pct"/>
            <w:shd w:val="clear" w:color="auto" w:fill="auto"/>
          </w:tcPr>
          <w:p w14:paraId="6145A059" w14:textId="77777777" w:rsidR="00BB5842" w:rsidRPr="0010428B" w:rsidRDefault="00BB5842" w:rsidP="0010428B">
            <w:pPr>
              <w:pStyle w:val="Tabletext"/>
            </w:pPr>
            <w:r w:rsidRPr="0010428B">
              <w:t>Geneva, 2-6 September 2024</w:t>
            </w:r>
          </w:p>
        </w:tc>
        <w:tc>
          <w:tcPr>
            <w:tcW w:w="2322" w:type="pct"/>
            <w:shd w:val="clear" w:color="auto" w:fill="auto"/>
          </w:tcPr>
          <w:p w14:paraId="47255B1C" w14:textId="77777777" w:rsidR="00BB5842" w:rsidRPr="0010428B" w:rsidRDefault="00BB5842" w:rsidP="0010428B">
            <w:pPr>
              <w:pStyle w:val="Tabletext"/>
            </w:pPr>
            <w:r w:rsidRPr="0010428B">
              <w:t>Wala TURKI LATROUS, Tunisia</w:t>
            </w:r>
          </w:p>
        </w:tc>
      </w:tr>
      <w:tr w:rsidR="00BB5842" w:rsidRPr="0010428B" w14:paraId="04480FF9" w14:textId="77777777" w:rsidTr="00AA5E36">
        <w:trPr>
          <w:jc w:val="center"/>
        </w:trPr>
        <w:tc>
          <w:tcPr>
            <w:tcW w:w="742" w:type="pct"/>
            <w:shd w:val="clear" w:color="auto" w:fill="auto"/>
          </w:tcPr>
          <w:p w14:paraId="4F4D5F75" w14:textId="77777777" w:rsidR="00BB5842" w:rsidRPr="0010428B" w:rsidRDefault="00BB5842" w:rsidP="00AA5E36">
            <w:pPr>
              <w:pStyle w:val="Tabletext"/>
              <w:jc w:val="center"/>
            </w:pPr>
            <w:r w:rsidRPr="0010428B">
              <w:lastRenderedPageBreak/>
              <w:t>SG17</w:t>
            </w:r>
          </w:p>
        </w:tc>
        <w:tc>
          <w:tcPr>
            <w:tcW w:w="1936" w:type="pct"/>
            <w:shd w:val="clear" w:color="auto" w:fill="auto"/>
          </w:tcPr>
          <w:p w14:paraId="6653EA23" w14:textId="77777777" w:rsidR="00BB5842" w:rsidRPr="0010428B" w:rsidRDefault="00BB5842" w:rsidP="0010428B">
            <w:pPr>
              <w:pStyle w:val="Tabletext"/>
            </w:pPr>
            <w:r w:rsidRPr="0010428B">
              <w:t>Virtual, 10-20 May 2022</w:t>
            </w:r>
          </w:p>
        </w:tc>
        <w:tc>
          <w:tcPr>
            <w:tcW w:w="2322" w:type="pct"/>
            <w:shd w:val="clear" w:color="auto" w:fill="auto"/>
          </w:tcPr>
          <w:p w14:paraId="3C4A2A5D" w14:textId="77777777" w:rsidR="00BB5842" w:rsidRPr="0010428B" w:rsidRDefault="00BB5842" w:rsidP="0010428B">
            <w:pPr>
              <w:pStyle w:val="Tabletext"/>
            </w:pPr>
            <w:r w:rsidRPr="0010428B">
              <w:t>Wala TURKI LATROUS, Tunisia</w:t>
            </w:r>
          </w:p>
        </w:tc>
      </w:tr>
      <w:tr w:rsidR="00BB5842" w:rsidRPr="0010428B" w14:paraId="6043F7B9" w14:textId="77777777" w:rsidTr="00AA5E36">
        <w:trPr>
          <w:jc w:val="center"/>
        </w:trPr>
        <w:tc>
          <w:tcPr>
            <w:tcW w:w="742" w:type="pct"/>
            <w:shd w:val="clear" w:color="auto" w:fill="auto"/>
          </w:tcPr>
          <w:p w14:paraId="5B99834B" w14:textId="77777777" w:rsidR="00BB5842" w:rsidRPr="0010428B" w:rsidRDefault="00BB5842" w:rsidP="00AA5E36">
            <w:pPr>
              <w:pStyle w:val="Tabletext"/>
              <w:jc w:val="center"/>
            </w:pPr>
            <w:r w:rsidRPr="0010428B">
              <w:t>SG17</w:t>
            </w:r>
          </w:p>
        </w:tc>
        <w:tc>
          <w:tcPr>
            <w:tcW w:w="1936" w:type="pct"/>
            <w:shd w:val="clear" w:color="auto" w:fill="auto"/>
          </w:tcPr>
          <w:p w14:paraId="2B4ECB29" w14:textId="77777777" w:rsidR="00BB5842" w:rsidRPr="0010428B" w:rsidRDefault="00BB5842" w:rsidP="0010428B">
            <w:pPr>
              <w:pStyle w:val="Tabletext"/>
            </w:pPr>
            <w:r w:rsidRPr="0010428B">
              <w:t>Virtual, 11 - 12 July 2024</w:t>
            </w:r>
          </w:p>
        </w:tc>
        <w:tc>
          <w:tcPr>
            <w:tcW w:w="2322" w:type="pct"/>
            <w:shd w:val="clear" w:color="auto" w:fill="auto"/>
          </w:tcPr>
          <w:p w14:paraId="08D4A17D" w14:textId="77777777" w:rsidR="00BB5842" w:rsidRPr="0010428B" w:rsidRDefault="00BB5842" w:rsidP="0010428B">
            <w:pPr>
              <w:pStyle w:val="Tabletext"/>
            </w:pPr>
            <w:r w:rsidRPr="0010428B">
              <w:t>Wala TURKI LATROUS, Tunisia</w:t>
            </w:r>
          </w:p>
        </w:tc>
      </w:tr>
      <w:tr w:rsidR="00BB5842" w:rsidRPr="0010428B" w14:paraId="58D52452" w14:textId="77777777" w:rsidTr="00AA5E36">
        <w:trPr>
          <w:jc w:val="center"/>
        </w:trPr>
        <w:tc>
          <w:tcPr>
            <w:tcW w:w="742" w:type="pct"/>
            <w:shd w:val="clear" w:color="auto" w:fill="auto"/>
          </w:tcPr>
          <w:p w14:paraId="2A8360B4" w14:textId="77777777" w:rsidR="00BB5842" w:rsidRPr="0010428B" w:rsidRDefault="00BB5842" w:rsidP="00AA5E36">
            <w:pPr>
              <w:pStyle w:val="Tabletext"/>
              <w:jc w:val="center"/>
            </w:pPr>
            <w:r w:rsidRPr="0010428B">
              <w:t>SG20</w:t>
            </w:r>
          </w:p>
        </w:tc>
        <w:tc>
          <w:tcPr>
            <w:tcW w:w="1936" w:type="pct"/>
            <w:shd w:val="clear" w:color="auto" w:fill="auto"/>
          </w:tcPr>
          <w:p w14:paraId="0D21B3D5" w14:textId="77777777" w:rsidR="00BB5842" w:rsidRPr="0010428B" w:rsidRDefault="00BB5842" w:rsidP="0010428B">
            <w:pPr>
              <w:pStyle w:val="Tabletext"/>
            </w:pPr>
            <w:r w:rsidRPr="0010428B">
              <w:t>Geneva, 18-28 July 2022</w:t>
            </w:r>
          </w:p>
        </w:tc>
        <w:tc>
          <w:tcPr>
            <w:tcW w:w="2322" w:type="pct"/>
            <w:shd w:val="clear" w:color="auto" w:fill="auto"/>
          </w:tcPr>
          <w:p w14:paraId="60FCAF12" w14:textId="77777777" w:rsidR="00BB5842" w:rsidRPr="0010428B" w:rsidRDefault="00BB5842" w:rsidP="0010428B">
            <w:pPr>
              <w:pStyle w:val="Tabletext"/>
            </w:pPr>
            <w:proofErr w:type="spellStart"/>
            <w:r w:rsidRPr="0010428B">
              <w:t>Achime</w:t>
            </w:r>
            <w:proofErr w:type="spellEnd"/>
            <w:r w:rsidRPr="0010428B">
              <w:t xml:space="preserve"> Malick NDIAYE, Senegal</w:t>
            </w:r>
          </w:p>
        </w:tc>
      </w:tr>
      <w:tr w:rsidR="00BB5842" w:rsidRPr="0010428B" w14:paraId="500A7A3E" w14:textId="77777777" w:rsidTr="00AA5E36">
        <w:trPr>
          <w:jc w:val="center"/>
        </w:trPr>
        <w:tc>
          <w:tcPr>
            <w:tcW w:w="742" w:type="pct"/>
            <w:shd w:val="clear" w:color="auto" w:fill="auto"/>
          </w:tcPr>
          <w:p w14:paraId="03DF5561" w14:textId="77777777" w:rsidR="00BB5842" w:rsidRPr="0010428B" w:rsidRDefault="00BB5842" w:rsidP="00AA5E36">
            <w:pPr>
              <w:pStyle w:val="Tabletext"/>
              <w:jc w:val="center"/>
            </w:pPr>
            <w:r w:rsidRPr="0010428B">
              <w:t>SG20</w:t>
            </w:r>
          </w:p>
        </w:tc>
        <w:tc>
          <w:tcPr>
            <w:tcW w:w="1936" w:type="pct"/>
            <w:shd w:val="clear" w:color="auto" w:fill="auto"/>
          </w:tcPr>
          <w:p w14:paraId="29DB19D2" w14:textId="77777777" w:rsidR="00BB5842" w:rsidRPr="0010428B" w:rsidRDefault="00BB5842" w:rsidP="0010428B">
            <w:pPr>
              <w:pStyle w:val="Tabletext"/>
            </w:pPr>
            <w:r w:rsidRPr="0010428B">
              <w:t>Geneva, 1 - 12 July 2024</w:t>
            </w:r>
          </w:p>
        </w:tc>
        <w:tc>
          <w:tcPr>
            <w:tcW w:w="2322" w:type="pct"/>
            <w:shd w:val="clear" w:color="auto" w:fill="auto"/>
          </w:tcPr>
          <w:p w14:paraId="557A4DE0" w14:textId="77777777" w:rsidR="00BB5842" w:rsidRPr="0010428B" w:rsidRDefault="00BB5842" w:rsidP="0010428B">
            <w:pPr>
              <w:pStyle w:val="Tabletext"/>
            </w:pPr>
            <w:r w:rsidRPr="0010428B">
              <w:t>Héctor Mario CARRIL, Argentina</w:t>
            </w:r>
          </w:p>
        </w:tc>
      </w:tr>
      <w:tr w:rsidR="00BB5842" w:rsidRPr="0010428B" w14:paraId="0E399717" w14:textId="77777777" w:rsidTr="00AA5E36">
        <w:trPr>
          <w:jc w:val="center"/>
        </w:trPr>
        <w:tc>
          <w:tcPr>
            <w:tcW w:w="742" w:type="pct"/>
            <w:shd w:val="clear" w:color="auto" w:fill="auto"/>
          </w:tcPr>
          <w:p w14:paraId="3D007DA2" w14:textId="77777777" w:rsidR="00BB5842" w:rsidRPr="0010428B" w:rsidRDefault="00BB5842" w:rsidP="00AA5E36">
            <w:pPr>
              <w:pStyle w:val="Tabletext"/>
              <w:jc w:val="center"/>
            </w:pPr>
            <w:r w:rsidRPr="0010428B">
              <w:t>TSAG</w:t>
            </w:r>
          </w:p>
        </w:tc>
        <w:tc>
          <w:tcPr>
            <w:tcW w:w="1936" w:type="pct"/>
            <w:shd w:val="clear" w:color="auto" w:fill="auto"/>
          </w:tcPr>
          <w:p w14:paraId="56E072E9" w14:textId="77777777" w:rsidR="00BB5842" w:rsidRPr="0010428B" w:rsidRDefault="00BB5842" w:rsidP="0010428B">
            <w:pPr>
              <w:pStyle w:val="Tabletext"/>
            </w:pPr>
            <w:r w:rsidRPr="0010428B">
              <w:t>Geneva, 22-26 January 2024</w:t>
            </w:r>
          </w:p>
        </w:tc>
        <w:tc>
          <w:tcPr>
            <w:tcW w:w="2322" w:type="pct"/>
            <w:shd w:val="clear" w:color="auto" w:fill="auto"/>
          </w:tcPr>
          <w:p w14:paraId="7BA54449" w14:textId="77777777" w:rsidR="00BB5842" w:rsidRPr="0010428B" w:rsidRDefault="00BB5842" w:rsidP="0010428B">
            <w:pPr>
              <w:pStyle w:val="Tabletext"/>
            </w:pPr>
            <w:r w:rsidRPr="0010428B">
              <w:t>Khalid Al-</w:t>
            </w:r>
            <w:proofErr w:type="spellStart"/>
            <w:r w:rsidRPr="0010428B">
              <w:t>Hmoud</w:t>
            </w:r>
            <w:proofErr w:type="spellEnd"/>
            <w:r w:rsidRPr="0010428B">
              <w:t>, Jordan</w:t>
            </w:r>
          </w:p>
        </w:tc>
      </w:tr>
      <w:tr w:rsidR="00BB5842" w:rsidRPr="0010428B" w14:paraId="073D6BC8" w14:textId="77777777" w:rsidTr="00AA5E36">
        <w:trPr>
          <w:jc w:val="center"/>
        </w:trPr>
        <w:tc>
          <w:tcPr>
            <w:tcW w:w="742" w:type="pct"/>
            <w:shd w:val="clear" w:color="auto" w:fill="auto"/>
          </w:tcPr>
          <w:p w14:paraId="5265F67E" w14:textId="77777777" w:rsidR="00BB5842" w:rsidRPr="0010428B" w:rsidRDefault="00BB5842" w:rsidP="00AA5E36">
            <w:pPr>
              <w:pStyle w:val="Tabletext"/>
              <w:jc w:val="center"/>
            </w:pPr>
            <w:r w:rsidRPr="0010428B">
              <w:t>TSAG</w:t>
            </w:r>
          </w:p>
        </w:tc>
        <w:tc>
          <w:tcPr>
            <w:tcW w:w="1936" w:type="pct"/>
            <w:shd w:val="clear" w:color="auto" w:fill="auto"/>
          </w:tcPr>
          <w:p w14:paraId="2CAE0EE6" w14:textId="77777777" w:rsidR="00BB5842" w:rsidRPr="0010428B" w:rsidRDefault="00BB5842" w:rsidP="0010428B">
            <w:pPr>
              <w:pStyle w:val="Tabletext"/>
            </w:pPr>
            <w:r w:rsidRPr="0010428B">
              <w:t>Geneva, 29 July – 2 August 2024</w:t>
            </w:r>
          </w:p>
        </w:tc>
        <w:tc>
          <w:tcPr>
            <w:tcW w:w="2322" w:type="pct"/>
            <w:shd w:val="clear" w:color="auto" w:fill="auto"/>
          </w:tcPr>
          <w:p w14:paraId="2C7E6034" w14:textId="77777777" w:rsidR="00BB5842" w:rsidRPr="0010428B" w:rsidRDefault="00BB5842" w:rsidP="0010428B">
            <w:pPr>
              <w:pStyle w:val="Tabletext"/>
            </w:pPr>
            <w:r w:rsidRPr="0010428B">
              <w:t>Khalid Al-</w:t>
            </w:r>
            <w:proofErr w:type="spellStart"/>
            <w:r w:rsidRPr="0010428B">
              <w:t>Hmoud</w:t>
            </w:r>
            <w:proofErr w:type="spellEnd"/>
            <w:r w:rsidRPr="0010428B">
              <w:t>, Jordan</w:t>
            </w:r>
          </w:p>
        </w:tc>
      </w:tr>
      <w:tr w:rsidR="00BB5842" w:rsidRPr="0010428B" w14:paraId="279CC27E" w14:textId="77777777" w:rsidTr="00AA5E36">
        <w:trPr>
          <w:jc w:val="center"/>
        </w:trPr>
        <w:tc>
          <w:tcPr>
            <w:tcW w:w="742" w:type="pct"/>
            <w:shd w:val="clear" w:color="auto" w:fill="auto"/>
          </w:tcPr>
          <w:p w14:paraId="5A5C96AB" w14:textId="77777777" w:rsidR="00BB5842" w:rsidRPr="0010428B" w:rsidRDefault="00BB5842" w:rsidP="00AA5E36">
            <w:pPr>
              <w:pStyle w:val="Tabletext"/>
              <w:jc w:val="center"/>
            </w:pPr>
            <w:r w:rsidRPr="0010428B">
              <w:t>TSAG</w:t>
            </w:r>
          </w:p>
        </w:tc>
        <w:tc>
          <w:tcPr>
            <w:tcW w:w="1936" w:type="pct"/>
            <w:shd w:val="clear" w:color="auto" w:fill="auto"/>
          </w:tcPr>
          <w:p w14:paraId="2D0D151C" w14:textId="77777777" w:rsidR="00BB5842" w:rsidRPr="0010428B" w:rsidRDefault="00BB5842" w:rsidP="0010428B">
            <w:pPr>
              <w:pStyle w:val="Tabletext"/>
            </w:pPr>
            <w:r w:rsidRPr="0010428B">
              <w:t>Geneva, 30 May – 2 June 2023</w:t>
            </w:r>
          </w:p>
        </w:tc>
        <w:tc>
          <w:tcPr>
            <w:tcW w:w="2322" w:type="pct"/>
            <w:shd w:val="clear" w:color="auto" w:fill="auto"/>
          </w:tcPr>
          <w:p w14:paraId="69EF97BB" w14:textId="77777777" w:rsidR="00BB5842" w:rsidRPr="0010428B" w:rsidRDefault="00BB5842" w:rsidP="0010428B">
            <w:pPr>
              <w:pStyle w:val="Tabletext"/>
            </w:pPr>
            <w:r w:rsidRPr="0010428B">
              <w:t>Khalid Al-</w:t>
            </w:r>
            <w:proofErr w:type="spellStart"/>
            <w:r w:rsidRPr="0010428B">
              <w:t>Hmoud</w:t>
            </w:r>
            <w:proofErr w:type="spellEnd"/>
            <w:r w:rsidRPr="0010428B">
              <w:t>, Jordan</w:t>
            </w:r>
          </w:p>
        </w:tc>
      </w:tr>
      <w:tr w:rsidR="00BB5842" w:rsidRPr="0010428B" w14:paraId="7CE51B59" w14:textId="77777777" w:rsidTr="00AA5E36">
        <w:trPr>
          <w:jc w:val="center"/>
        </w:trPr>
        <w:tc>
          <w:tcPr>
            <w:tcW w:w="742" w:type="pct"/>
            <w:shd w:val="clear" w:color="auto" w:fill="auto"/>
          </w:tcPr>
          <w:p w14:paraId="43DE2248" w14:textId="77777777" w:rsidR="00BB5842" w:rsidRPr="0010428B" w:rsidRDefault="00BB5842" w:rsidP="00AA5E36">
            <w:pPr>
              <w:pStyle w:val="Tabletext"/>
              <w:jc w:val="center"/>
            </w:pPr>
            <w:r w:rsidRPr="0010428B">
              <w:t>TSAG</w:t>
            </w:r>
          </w:p>
        </w:tc>
        <w:tc>
          <w:tcPr>
            <w:tcW w:w="1936" w:type="pct"/>
            <w:shd w:val="clear" w:color="auto" w:fill="auto"/>
          </w:tcPr>
          <w:p w14:paraId="3BD5FB13" w14:textId="77777777" w:rsidR="00BB5842" w:rsidRPr="0010428B" w:rsidRDefault="00BB5842" w:rsidP="0010428B">
            <w:pPr>
              <w:pStyle w:val="Tabletext"/>
            </w:pPr>
            <w:r w:rsidRPr="0010428B">
              <w:t>Geneva, 22-26 January 2024</w:t>
            </w:r>
          </w:p>
        </w:tc>
        <w:tc>
          <w:tcPr>
            <w:tcW w:w="2322" w:type="pct"/>
            <w:shd w:val="clear" w:color="auto" w:fill="auto"/>
          </w:tcPr>
          <w:p w14:paraId="1B0DD65B" w14:textId="77777777" w:rsidR="00BB5842" w:rsidRPr="0010428B" w:rsidRDefault="00BB5842" w:rsidP="0010428B">
            <w:pPr>
              <w:pStyle w:val="Tabletext"/>
            </w:pPr>
            <w:r w:rsidRPr="0010428B">
              <w:t>Ulugbek Azimov, Uzbekistan</w:t>
            </w:r>
          </w:p>
        </w:tc>
      </w:tr>
      <w:tr w:rsidR="00BB5842" w:rsidRPr="0010428B" w14:paraId="39B309E3" w14:textId="77777777" w:rsidTr="00AA5E36">
        <w:trPr>
          <w:jc w:val="center"/>
        </w:trPr>
        <w:tc>
          <w:tcPr>
            <w:tcW w:w="742" w:type="pct"/>
            <w:shd w:val="clear" w:color="auto" w:fill="auto"/>
          </w:tcPr>
          <w:p w14:paraId="7C5731AB" w14:textId="77777777" w:rsidR="00BB5842" w:rsidRPr="0010428B" w:rsidRDefault="00BB5842" w:rsidP="00AA5E36">
            <w:pPr>
              <w:pStyle w:val="Tabletext"/>
              <w:jc w:val="center"/>
            </w:pPr>
            <w:r w:rsidRPr="0010428B">
              <w:t>TSAG</w:t>
            </w:r>
          </w:p>
        </w:tc>
        <w:tc>
          <w:tcPr>
            <w:tcW w:w="1936" w:type="pct"/>
            <w:shd w:val="clear" w:color="auto" w:fill="auto"/>
          </w:tcPr>
          <w:p w14:paraId="38197591" w14:textId="77777777" w:rsidR="00BB5842" w:rsidRPr="0010428B" w:rsidRDefault="00BB5842" w:rsidP="0010428B">
            <w:pPr>
              <w:pStyle w:val="Tabletext"/>
            </w:pPr>
            <w:r w:rsidRPr="0010428B">
              <w:t>Geneva, 29 July – 2 August 2024</w:t>
            </w:r>
          </w:p>
        </w:tc>
        <w:tc>
          <w:tcPr>
            <w:tcW w:w="2322" w:type="pct"/>
            <w:shd w:val="clear" w:color="auto" w:fill="auto"/>
          </w:tcPr>
          <w:p w14:paraId="43C00CAC" w14:textId="77777777" w:rsidR="00BB5842" w:rsidRPr="0010428B" w:rsidRDefault="00BB5842" w:rsidP="0010428B">
            <w:pPr>
              <w:pStyle w:val="Tabletext"/>
            </w:pPr>
            <w:r w:rsidRPr="0010428B">
              <w:t>Ulugbek Azimov, Uzbekistan</w:t>
            </w:r>
          </w:p>
        </w:tc>
      </w:tr>
    </w:tbl>
    <w:p w14:paraId="735DB49E" w14:textId="110AA9ED" w:rsidR="00373D43" w:rsidRPr="00C57224" w:rsidRDefault="009311EA" w:rsidP="009311EA">
      <w:pPr>
        <w:jc w:val="center"/>
        <w:rPr>
          <w:lang w:eastAsia="en-US"/>
        </w:rPr>
      </w:pPr>
      <w:r>
        <w:rPr>
          <w:lang w:eastAsia="en-US"/>
        </w:rPr>
        <w:t>____________________</w:t>
      </w:r>
    </w:p>
    <w:sectPr w:rsidR="00373D43" w:rsidRPr="00C57224" w:rsidSect="00327645">
      <w:headerReference w:type="default" r:id="rId36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50CE" w14:textId="77777777" w:rsidR="000376D8" w:rsidRDefault="000376D8">
      <w:r>
        <w:separator/>
      </w:r>
    </w:p>
  </w:endnote>
  <w:endnote w:type="continuationSeparator" w:id="0">
    <w:p w14:paraId="128139DD" w14:textId="77777777" w:rsidR="000376D8" w:rsidRDefault="000376D8">
      <w:r>
        <w:continuationSeparator/>
      </w:r>
    </w:p>
  </w:endnote>
  <w:endnote w:type="continuationNotice" w:id="1">
    <w:p w14:paraId="4105EE7B" w14:textId="77777777" w:rsidR="000376D8" w:rsidRDefault="000376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ACC7" w14:textId="77777777" w:rsidR="000376D8" w:rsidRDefault="000376D8">
      <w:r>
        <w:separator/>
      </w:r>
    </w:p>
  </w:footnote>
  <w:footnote w:type="continuationSeparator" w:id="0">
    <w:p w14:paraId="74F9A19D" w14:textId="77777777" w:rsidR="000376D8" w:rsidRDefault="000376D8">
      <w:r>
        <w:continuationSeparator/>
      </w:r>
    </w:p>
  </w:footnote>
  <w:footnote w:type="continuationNotice" w:id="1">
    <w:p w14:paraId="237E49B9" w14:textId="77777777" w:rsidR="000376D8" w:rsidRDefault="000376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C554" w14:textId="77777777" w:rsidR="003D7F4C" w:rsidRDefault="003D7F4C"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709ADFA2" w14:textId="426A38A3" w:rsidR="003D7F4C" w:rsidRPr="007336C4" w:rsidRDefault="00461B8B" w:rsidP="005E2231">
    <w:pPr>
      <w:pStyle w:val="Header"/>
    </w:pPr>
    <w:r>
      <w:rPr>
        <w:noProof/>
      </w:rPr>
      <w:t>WTSA-24/</w:t>
    </w:r>
    <w:r w:rsidR="003D7F4C">
      <w:rPr>
        <w:noProof/>
      </w:rPr>
      <w:fldChar w:fldCharType="begin"/>
    </w:r>
    <w:r w:rsidR="003D7F4C">
      <w:rPr>
        <w:noProof/>
      </w:rPr>
      <w:instrText xml:space="preserve"> STYLEREF  Docnumber  \* MERGEFORMAT </w:instrText>
    </w:r>
    <w:r w:rsidR="003D7F4C">
      <w:rPr>
        <w:noProof/>
      </w:rPr>
      <w:fldChar w:fldCharType="separate"/>
    </w:r>
    <w:r w:rsidR="00327645">
      <w:rPr>
        <w:noProof/>
      </w:rPr>
      <w:t>29-E</w:t>
    </w:r>
    <w:r w:rsidR="003D7F4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15C53"/>
    <w:multiLevelType w:val="hybridMultilevel"/>
    <w:tmpl w:val="5E3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2D086C"/>
    <w:multiLevelType w:val="hybridMultilevel"/>
    <w:tmpl w:val="99002850"/>
    <w:lvl w:ilvl="0" w:tplc="A084702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7E2526"/>
    <w:multiLevelType w:val="hybridMultilevel"/>
    <w:tmpl w:val="809C5A52"/>
    <w:lvl w:ilvl="0" w:tplc="71DEB54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D3C0D"/>
    <w:multiLevelType w:val="hybridMultilevel"/>
    <w:tmpl w:val="DEE2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0615C4"/>
    <w:multiLevelType w:val="hybridMultilevel"/>
    <w:tmpl w:val="913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396760C4"/>
    <w:multiLevelType w:val="hybridMultilevel"/>
    <w:tmpl w:val="16C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BB10206"/>
    <w:multiLevelType w:val="hybridMultilevel"/>
    <w:tmpl w:val="A686FE94"/>
    <w:lvl w:ilvl="0" w:tplc="A084702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33"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42"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44"/>
  </w:num>
  <w:num w:numId="6" w16cid:durableId="1342971559">
    <w:abstractNumId w:val="26"/>
  </w:num>
  <w:num w:numId="7" w16cid:durableId="1080449936">
    <w:abstractNumId w:val="36"/>
  </w:num>
  <w:num w:numId="8" w16cid:durableId="1937131685">
    <w:abstractNumId w:val="23"/>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9"/>
  </w:num>
  <w:num w:numId="14" w16cid:durableId="1989699310">
    <w:abstractNumId w:val="30"/>
  </w:num>
  <w:num w:numId="15" w16cid:durableId="747848282">
    <w:abstractNumId w:val="31"/>
  </w:num>
  <w:num w:numId="16" w16cid:durableId="2094009191">
    <w:abstractNumId w:val="40"/>
  </w:num>
  <w:num w:numId="17" w16cid:durableId="482698090">
    <w:abstractNumId w:val="43"/>
  </w:num>
  <w:num w:numId="18" w16cid:durableId="1255092107">
    <w:abstractNumId w:val="25"/>
  </w:num>
  <w:num w:numId="19" w16cid:durableId="1527207171">
    <w:abstractNumId w:val="17"/>
  </w:num>
  <w:num w:numId="20" w16cid:durableId="1541934029">
    <w:abstractNumId w:val="17"/>
  </w:num>
  <w:num w:numId="21" w16cid:durableId="2001538963">
    <w:abstractNumId w:val="35"/>
  </w:num>
  <w:num w:numId="22" w16cid:durableId="771978500">
    <w:abstractNumId w:val="12"/>
  </w:num>
  <w:num w:numId="23" w16cid:durableId="272716385">
    <w:abstractNumId w:val="22"/>
  </w:num>
  <w:num w:numId="24" w16cid:durableId="1212378839">
    <w:abstractNumId w:val="32"/>
  </w:num>
  <w:num w:numId="25" w16cid:durableId="330452002">
    <w:abstractNumId w:val="20"/>
  </w:num>
  <w:num w:numId="26" w16cid:durableId="1587692170">
    <w:abstractNumId w:val="34"/>
  </w:num>
  <w:num w:numId="27" w16cid:durableId="1284072246">
    <w:abstractNumId w:val="15"/>
  </w:num>
  <w:num w:numId="28" w16cid:durableId="2080668314">
    <w:abstractNumId w:val="9"/>
  </w:num>
  <w:num w:numId="29" w16cid:durableId="308755749">
    <w:abstractNumId w:val="37"/>
  </w:num>
  <w:num w:numId="30" w16cid:durableId="1723750918">
    <w:abstractNumId w:val="38"/>
  </w:num>
  <w:num w:numId="31" w16cid:durableId="1898123529">
    <w:abstractNumId w:val="10"/>
  </w:num>
  <w:num w:numId="32" w16cid:durableId="1674722823">
    <w:abstractNumId w:val="27"/>
  </w:num>
  <w:num w:numId="33" w16cid:durableId="334967219">
    <w:abstractNumId w:val="7"/>
  </w:num>
  <w:num w:numId="34" w16cid:durableId="982319418">
    <w:abstractNumId w:val="39"/>
  </w:num>
  <w:num w:numId="35" w16cid:durableId="592006748">
    <w:abstractNumId w:val="33"/>
  </w:num>
  <w:num w:numId="36" w16cid:durableId="1459449974">
    <w:abstractNumId w:val="42"/>
  </w:num>
  <w:num w:numId="37" w16cid:durableId="855920358">
    <w:abstractNumId w:val="41"/>
  </w:num>
  <w:num w:numId="38" w16cid:durableId="1584752536">
    <w:abstractNumId w:val="28"/>
  </w:num>
  <w:num w:numId="39" w16cid:durableId="2131167366">
    <w:abstractNumId w:val="18"/>
  </w:num>
  <w:num w:numId="40" w16cid:durableId="886070072">
    <w:abstractNumId w:val="24"/>
  </w:num>
  <w:num w:numId="41" w16cid:durableId="1450469492">
    <w:abstractNumId w:val="11"/>
  </w:num>
  <w:num w:numId="42" w16cid:durableId="631328343">
    <w:abstractNumId w:val="21"/>
  </w:num>
  <w:num w:numId="43" w16cid:durableId="1011108298">
    <w:abstractNumId w:val="16"/>
  </w:num>
  <w:num w:numId="44" w16cid:durableId="23530976">
    <w:abstractNumId w:val="14"/>
  </w:num>
  <w:num w:numId="45" w16cid:durableId="798643425">
    <w:abstractNumId w:val="13"/>
  </w:num>
  <w:num w:numId="46" w16cid:durableId="211598096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020"/>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41A"/>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08FE"/>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3E0"/>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6D8"/>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E2D"/>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3C3"/>
    <w:rsid w:val="000664C2"/>
    <w:rsid w:val="00066584"/>
    <w:rsid w:val="000666B7"/>
    <w:rsid w:val="000667DD"/>
    <w:rsid w:val="00066D57"/>
    <w:rsid w:val="000670FD"/>
    <w:rsid w:val="0006795D"/>
    <w:rsid w:val="000679A3"/>
    <w:rsid w:val="00067B13"/>
    <w:rsid w:val="00067E2F"/>
    <w:rsid w:val="00070182"/>
    <w:rsid w:val="0007021C"/>
    <w:rsid w:val="000702B2"/>
    <w:rsid w:val="0007033F"/>
    <w:rsid w:val="000703F7"/>
    <w:rsid w:val="00070774"/>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21"/>
    <w:rsid w:val="00094B8E"/>
    <w:rsid w:val="00095083"/>
    <w:rsid w:val="000950E0"/>
    <w:rsid w:val="0009510C"/>
    <w:rsid w:val="000952E6"/>
    <w:rsid w:val="000954CE"/>
    <w:rsid w:val="00095961"/>
    <w:rsid w:val="00096128"/>
    <w:rsid w:val="0009629E"/>
    <w:rsid w:val="0009634A"/>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33"/>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514"/>
    <w:rsid w:val="000B17FB"/>
    <w:rsid w:val="000B1B2D"/>
    <w:rsid w:val="000B1B66"/>
    <w:rsid w:val="000B1E4C"/>
    <w:rsid w:val="000B2350"/>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5C9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4C"/>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6CD"/>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61B"/>
    <w:rsid w:val="00100904"/>
    <w:rsid w:val="00100C9A"/>
    <w:rsid w:val="00100CD7"/>
    <w:rsid w:val="00100D94"/>
    <w:rsid w:val="00101071"/>
    <w:rsid w:val="00101419"/>
    <w:rsid w:val="001015DF"/>
    <w:rsid w:val="001016AE"/>
    <w:rsid w:val="00101CBE"/>
    <w:rsid w:val="00102090"/>
    <w:rsid w:val="00102453"/>
    <w:rsid w:val="00102A3B"/>
    <w:rsid w:val="00102A4B"/>
    <w:rsid w:val="00102ABA"/>
    <w:rsid w:val="00102BA9"/>
    <w:rsid w:val="00103050"/>
    <w:rsid w:val="00103072"/>
    <w:rsid w:val="001039F7"/>
    <w:rsid w:val="00103F29"/>
    <w:rsid w:val="0010428B"/>
    <w:rsid w:val="0010429B"/>
    <w:rsid w:val="001043CE"/>
    <w:rsid w:val="001044D0"/>
    <w:rsid w:val="001046DF"/>
    <w:rsid w:val="00105CFB"/>
    <w:rsid w:val="00105E04"/>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1F4"/>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7FA"/>
    <w:rsid w:val="00134E28"/>
    <w:rsid w:val="0013527F"/>
    <w:rsid w:val="001353F1"/>
    <w:rsid w:val="00135459"/>
    <w:rsid w:val="00135FC4"/>
    <w:rsid w:val="00136092"/>
    <w:rsid w:val="00136186"/>
    <w:rsid w:val="00136907"/>
    <w:rsid w:val="00136A56"/>
    <w:rsid w:val="00136BC0"/>
    <w:rsid w:val="00136E7B"/>
    <w:rsid w:val="00136EF1"/>
    <w:rsid w:val="00137168"/>
    <w:rsid w:val="001376E9"/>
    <w:rsid w:val="001379BD"/>
    <w:rsid w:val="001405AE"/>
    <w:rsid w:val="00140743"/>
    <w:rsid w:val="0014090C"/>
    <w:rsid w:val="00140EDE"/>
    <w:rsid w:val="00140FEE"/>
    <w:rsid w:val="00141089"/>
    <w:rsid w:val="00141233"/>
    <w:rsid w:val="001415B1"/>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96D"/>
    <w:rsid w:val="00146F23"/>
    <w:rsid w:val="00146F46"/>
    <w:rsid w:val="001473BF"/>
    <w:rsid w:val="00147721"/>
    <w:rsid w:val="001477EC"/>
    <w:rsid w:val="00150998"/>
    <w:rsid w:val="00150AE3"/>
    <w:rsid w:val="00150BB7"/>
    <w:rsid w:val="00150C92"/>
    <w:rsid w:val="00150F5F"/>
    <w:rsid w:val="00151363"/>
    <w:rsid w:val="00151E55"/>
    <w:rsid w:val="00152375"/>
    <w:rsid w:val="0015259C"/>
    <w:rsid w:val="001528A0"/>
    <w:rsid w:val="001529FF"/>
    <w:rsid w:val="00152C67"/>
    <w:rsid w:val="001536FC"/>
    <w:rsid w:val="001537C6"/>
    <w:rsid w:val="001542A5"/>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416"/>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0DA"/>
    <w:rsid w:val="00176988"/>
    <w:rsid w:val="001770F4"/>
    <w:rsid w:val="00177241"/>
    <w:rsid w:val="00177539"/>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7E"/>
    <w:rsid w:val="001846FB"/>
    <w:rsid w:val="00184AE6"/>
    <w:rsid w:val="00184B61"/>
    <w:rsid w:val="00185017"/>
    <w:rsid w:val="00185138"/>
    <w:rsid w:val="00185274"/>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37E"/>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3BB"/>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604"/>
    <w:rsid w:val="001C37A8"/>
    <w:rsid w:val="001C3EAA"/>
    <w:rsid w:val="001C46B6"/>
    <w:rsid w:val="001C494F"/>
    <w:rsid w:val="001C4B4F"/>
    <w:rsid w:val="001C500E"/>
    <w:rsid w:val="001C5654"/>
    <w:rsid w:val="001C5889"/>
    <w:rsid w:val="001C5A13"/>
    <w:rsid w:val="001C6826"/>
    <w:rsid w:val="001C68A0"/>
    <w:rsid w:val="001C6A23"/>
    <w:rsid w:val="001C6CE5"/>
    <w:rsid w:val="001C7173"/>
    <w:rsid w:val="001C7E0A"/>
    <w:rsid w:val="001D0080"/>
    <w:rsid w:val="001D01CC"/>
    <w:rsid w:val="001D0300"/>
    <w:rsid w:val="001D0D37"/>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5F99"/>
    <w:rsid w:val="001D63FF"/>
    <w:rsid w:val="001D663E"/>
    <w:rsid w:val="001D67C0"/>
    <w:rsid w:val="001D6919"/>
    <w:rsid w:val="001D6D2D"/>
    <w:rsid w:val="001D704C"/>
    <w:rsid w:val="001D7155"/>
    <w:rsid w:val="001D79C6"/>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46"/>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093"/>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4E7E"/>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624"/>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621"/>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DAA"/>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C97"/>
    <w:rsid w:val="00257F0D"/>
    <w:rsid w:val="0026023A"/>
    <w:rsid w:val="002606A3"/>
    <w:rsid w:val="00260B00"/>
    <w:rsid w:val="00261881"/>
    <w:rsid w:val="0026190E"/>
    <w:rsid w:val="00261AB3"/>
    <w:rsid w:val="00261F00"/>
    <w:rsid w:val="002621E9"/>
    <w:rsid w:val="00262800"/>
    <w:rsid w:val="0026285A"/>
    <w:rsid w:val="00262B83"/>
    <w:rsid w:val="0026304D"/>
    <w:rsid w:val="00263A34"/>
    <w:rsid w:val="00263F15"/>
    <w:rsid w:val="00263F8E"/>
    <w:rsid w:val="00264B14"/>
    <w:rsid w:val="00264D16"/>
    <w:rsid w:val="00265177"/>
    <w:rsid w:val="002652C8"/>
    <w:rsid w:val="00265464"/>
    <w:rsid w:val="00265527"/>
    <w:rsid w:val="002663B9"/>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6B3"/>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3B0"/>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6B2"/>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3E3"/>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A779A"/>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134"/>
    <w:rsid w:val="002B6203"/>
    <w:rsid w:val="002B652E"/>
    <w:rsid w:val="002B67D0"/>
    <w:rsid w:val="002B6B1B"/>
    <w:rsid w:val="002B7130"/>
    <w:rsid w:val="002B7385"/>
    <w:rsid w:val="002B73CF"/>
    <w:rsid w:val="002B765D"/>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1"/>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547"/>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D7E52"/>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472"/>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E20"/>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5C"/>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313"/>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52C"/>
    <w:rsid w:val="003207E7"/>
    <w:rsid w:val="003209E4"/>
    <w:rsid w:val="00320B3F"/>
    <w:rsid w:val="00320D97"/>
    <w:rsid w:val="003215FA"/>
    <w:rsid w:val="0032163A"/>
    <w:rsid w:val="00321BAB"/>
    <w:rsid w:val="00321DC4"/>
    <w:rsid w:val="00321E20"/>
    <w:rsid w:val="0032208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645"/>
    <w:rsid w:val="0032770E"/>
    <w:rsid w:val="003279D9"/>
    <w:rsid w:val="00327C00"/>
    <w:rsid w:val="00327EFA"/>
    <w:rsid w:val="00330325"/>
    <w:rsid w:val="0033037C"/>
    <w:rsid w:val="00330508"/>
    <w:rsid w:val="00330F15"/>
    <w:rsid w:val="00331074"/>
    <w:rsid w:val="003313D4"/>
    <w:rsid w:val="003313FE"/>
    <w:rsid w:val="00331634"/>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BC6"/>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54"/>
    <w:rsid w:val="00381493"/>
    <w:rsid w:val="00381588"/>
    <w:rsid w:val="00381697"/>
    <w:rsid w:val="00381789"/>
    <w:rsid w:val="00381977"/>
    <w:rsid w:val="00381E2F"/>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B7F"/>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4E6"/>
    <w:rsid w:val="003A6833"/>
    <w:rsid w:val="003A6E54"/>
    <w:rsid w:val="003A6F1E"/>
    <w:rsid w:val="003A7DFD"/>
    <w:rsid w:val="003A7E77"/>
    <w:rsid w:val="003AE0F9"/>
    <w:rsid w:val="003B0049"/>
    <w:rsid w:val="003B0060"/>
    <w:rsid w:val="003B00CE"/>
    <w:rsid w:val="003B0B5D"/>
    <w:rsid w:val="003B0FEA"/>
    <w:rsid w:val="003B1178"/>
    <w:rsid w:val="003B1493"/>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B7D20"/>
    <w:rsid w:val="003C0BD5"/>
    <w:rsid w:val="003C0C11"/>
    <w:rsid w:val="003C1080"/>
    <w:rsid w:val="003C1B55"/>
    <w:rsid w:val="003C1D67"/>
    <w:rsid w:val="003C1FE2"/>
    <w:rsid w:val="003C200C"/>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7E1"/>
    <w:rsid w:val="003C48A0"/>
    <w:rsid w:val="003C4902"/>
    <w:rsid w:val="003C4A56"/>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C7FC9"/>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7F6"/>
    <w:rsid w:val="003D5A46"/>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D7F4C"/>
    <w:rsid w:val="003E00DF"/>
    <w:rsid w:val="003E00E7"/>
    <w:rsid w:val="003E016A"/>
    <w:rsid w:val="003E0384"/>
    <w:rsid w:val="003E082C"/>
    <w:rsid w:val="003E0955"/>
    <w:rsid w:val="003E0D98"/>
    <w:rsid w:val="003E1500"/>
    <w:rsid w:val="003E1574"/>
    <w:rsid w:val="003E1653"/>
    <w:rsid w:val="003E1764"/>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9D5"/>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26"/>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B77"/>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59E"/>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6E16"/>
    <w:rsid w:val="0044700F"/>
    <w:rsid w:val="00447DCC"/>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BBA"/>
    <w:rsid w:val="00453CE2"/>
    <w:rsid w:val="004541BB"/>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A5E"/>
    <w:rsid w:val="00457E37"/>
    <w:rsid w:val="00457E8C"/>
    <w:rsid w:val="00460909"/>
    <w:rsid w:val="00461144"/>
    <w:rsid w:val="0046130A"/>
    <w:rsid w:val="004615A7"/>
    <w:rsid w:val="004615BE"/>
    <w:rsid w:val="00461720"/>
    <w:rsid w:val="00461B8B"/>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3ABE"/>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4D7"/>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B08"/>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4E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0F5"/>
    <w:rsid w:val="004C173C"/>
    <w:rsid w:val="004C18CA"/>
    <w:rsid w:val="004C1B1B"/>
    <w:rsid w:val="004C1C64"/>
    <w:rsid w:val="004C1D67"/>
    <w:rsid w:val="004C1EEC"/>
    <w:rsid w:val="004C1EF1"/>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6A9"/>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81C"/>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029"/>
    <w:rsid w:val="004F510E"/>
    <w:rsid w:val="004F5130"/>
    <w:rsid w:val="004F5520"/>
    <w:rsid w:val="004F5C65"/>
    <w:rsid w:val="004F5C84"/>
    <w:rsid w:val="004F5D24"/>
    <w:rsid w:val="004F5EFE"/>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0AE1"/>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9D1"/>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9C"/>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332"/>
    <w:rsid w:val="00554784"/>
    <w:rsid w:val="00554931"/>
    <w:rsid w:val="00554A1A"/>
    <w:rsid w:val="00554AAF"/>
    <w:rsid w:val="00554EAE"/>
    <w:rsid w:val="00555041"/>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05E"/>
    <w:rsid w:val="005621F3"/>
    <w:rsid w:val="00562801"/>
    <w:rsid w:val="00562B40"/>
    <w:rsid w:val="00562E6B"/>
    <w:rsid w:val="00563760"/>
    <w:rsid w:val="00563C3B"/>
    <w:rsid w:val="0056418C"/>
    <w:rsid w:val="005641EC"/>
    <w:rsid w:val="005642B7"/>
    <w:rsid w:val="00564AF9"/>
    <w:rsid w:val="00564E32"/>
    <w:rsid w:val="00564EC0"/>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0AD"/>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327"/>
    <w:rsid w:val="005858C6"/>
    <w:rsid w:val="00585C20"/>
    <w:rsid w:val="00585CBC"/>
    <w:rsid w:val="005860C9"/>
    <w:rsid w:val="0058617C"/>
    <w:rsid w:val="00586378"/>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0E"/>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C5A"/>
    <w:rsid w:val="005A2DF1"/>
    <w:rsid w:val="005A30C0"/>
    <w:rsid w:val="005A30DA"/>
    <w:rsid w:val="005A371A"/>
    <w:rsid w:val="005A3EF4"/>
    <w:rsid w:val="005A3FD3"/>
    <w:rsid w:val="005A41C5"/>
    <w:rsid w:val="005A435E"/>
    <w:rsid w:val="005A4A48"/>
    <w:rsid w:val="005A4A95"/>
    <w:rsid w:val="005A4A98"/>
    <w:rsid w:val="005A4E24"/>
    <w:rsid w:val="005A541D"/>
    <w:rsid w:val="005A5426"/>
    <w:rsid w:val="005A5686"/>
    <w:rsid w:val="005A5689"/>
    <w:rsid w:val="005A56C9"/>
    <w:rsid w:val="005A5979"/>
    <w:rsid w:val="005A5E3D"/>
    <w:rsid w:val="005A5F28"/>
    <w:rsid w:val="005A645F"/>
    <w:rsid w:val="005A64BA"/>
    <w:rsid w:val="005A65A8"/>
    <w:rsid w:val="005A6621"/>
    <w:rsid w:val="005A6B33"/>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760"/>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97D"/>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D9D"/>
    <w:rsid w:val="005F4F0D"/>
    <w:rsid w:val="005F55A3"/>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41"/>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3809"/>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0EC7"/>
    <w:rsid w:val="0064168D"/>
    <w:rsid w:val="00642020"/>
    <w:rsid w:val="006421CD"/>
    <w:rsid w:val="00642324"/>
    <w:rsid w:val="00642554"/>
    <w:rsid w:val="006425C8"/>
    <w:rsid w:val="0064271C"/>
    <w:rsid w:val="00642DCD"/>
    <w:rsid w:val="00642F63"/>
    <w:rsid w:val="006432B5"/>
    <w:rsid w:val="006433A7"/>
    <w:rsid w:val="006433DC"/>
    <w:rsid w:val="00643A50"/>
    <w:rsid w:val="00643F00"/>
    <w:rsid w:val="00643F30"/>
    <w:rsid w:val="0064404C"/>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5F"/>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644"/>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896"/>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0D"/>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730"/>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3F60"/>
    <w:rsid w:val="006A4036"/>
    <w:rsid w:val="006A405B"/>
    <w:rsid w:val="006A442D"/>
    <w:rsid w:val="006A44B1"/>
    <w:rsid w:val="006A44CE"/>
    <w:rsid w:val="006A46AE"/>
    <w:rsid w:val="006A4731"/>
    <w:rsid w:val="006A4827"/>
    <w:rsid w:val="006A4A9D"/>
    <w:rsid w:val="006A4DC2"/>
    <w:rsid w:val="006A5552"/>
    <w:rsid w:val="006A55B8"/>
    <w:rsid w:val="006A5629"/>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934"/>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5F"/>
    <w:rsid w:val="006B6376"/>
    <w:rsid w:val="006B6C5C"/>
    <w:rsid w:val="006B6D63"/>
    <w:rsid w:val="006B6FC2"/>
    <w:rsid w:val="006B715F"/>
    <w:rsid w:val="006B72CC"/>
    <w:rsid w:val="006B73A4"/>
    <w:rsid w:val="006B74E2"/>
    <w:rsid w:val="006B76E9"/>
    <w:rsid w:val="006B7780"/>
    <w:rsid w:val="006B787B"/>
    <w:rsid w:val="006B7D43"/>
    <w:rsid w:val="006B7DA9"/>
    <w:rsid w:val="006C0172"/>
    <w:rsid w:val="006C01FB"/>
    <w:rsid w:val="006C0568"/>
    <w:rsid w:val="006C076E"/>
    <w:rsid w:val="006C0807"/>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96"/>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181"/>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173D"/>
    <w:rsid w:val="007021E8"/>
    <w:rsid w:val="007022C7"/>
    <w:rsid w:val="00702621"/>
    <w:rsid w:val="0070287C"/>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67"/>
    <w:rsid w:val="00715F7F"/>
    <w:rsid w:val="00715FE6"/>
    <w:rsid w:val="00716078"/>
    <w:rsid w:val="007161E2"/>
    <w:rsid w:val="0071650C"/>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75A"/>
    <w:rsid w:val="00725A57"/>
    <w:rsid w:val="00725EA9"/>
    <w:rsid w:val="007262E9"/>
    <w:rsid w:val="00726526"/>
    <w:rsid w:val="007265D1"/>
    <w:rsid w:val="0072672B"/>
    <w:rsid w:val="007269BC"/>
    <w:rsid w:val="00726B0E"/>
    <w:rsid w:val="00726E46"/>
    <w:rsid w:val="0072758D"/>
    <w:rsid w:val="007275D5"/>
    <w:rsid w:val="0072799C"/>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78A"/>
    <w:rsid w:val="0073487E"/>
    <w:rsid w:val="00734B03"/>
    <w:rsid w:val="00734B6A"/>
    <w:rsid w:val="00734BCE"/>
    <w:rsid w:val="00735475"/>
    <w:rsid w:val="007359CC"/>
    <w:rsid w:val="00735CDA"/>
    <w:rsid w:val="00735D37"/>
    <w:rsid w:val="00735DA4"/>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6A"/>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967"/>
    <w:rsid w:val="00746A79"/>
    <w:rsid w:val="00746DCF"/>
    <w:rsid w:val="00746E92"/>
    <w:rsid w:val="007471D2"/>
    <w:rsid w:val="00747337"/>
    <w:rsid w:val="0074745E"/>
    <w:rsid w:val="00747696"/>
    <w:rsid w:val="00747853"/>
    <w:rsid w:val="007478A4"/>
    <w:rsid w:val="00750068"/>
    <w:rsid w:val="0075025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C2"/>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221"/>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366"/>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2D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94"/>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2FC3"/>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40A"/>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854"/>
    <w:rsid w:val="00812988"/>
    <w:rsid w:val="00812B1F"/>
    <w:rsid w:val="00812F23"/>
    <w:rsid w:val="00813460"/>
    <w:rsid w:val="008137C7"/>
    <w:rsid w:val="008137F4"/>
    <w:rsid w:val="008137F9"/>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0EC"/>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4B"/>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7C9"/>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778"/>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1B3D"/>
    <w:rsid w:val="008821A1"/>
    <w:rsid w:val="0088224D"/>
    <w:rsid w:val="00882451"/>
    <w:rsid w:val="008824C9"/>
    <w:rsid w:val="008827C4"/>
    <w:rsid w:val="008828FB"/>
    <w:rsid w:val="00882CE0"/>
    <w:rsid w:val="00882DAA"/>
    <w:rsid w:val="00882FB9"/>
    <w:rsid w:val="008833C3"/>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4DE"/>
    <w:rsid w:val="008A1533"/>
    <w:rsid w:val="008A1A1A"/>
    <w:rsid w:val="008A1CF2"/>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52A"/>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7E9"/>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210"/>
    <w:rsid w:val="00904C1A"/>
    <w:rsid w:val="00905059"/>
    <w:rsid w:val="009051AA"/>
    <w:rsid w:val="009055B6"/>
    <w:rsid w:val="00905705"/>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1EA"/>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8A2"/>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4AF"/>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527"/>
    <w:rsid w:val="00971855"/>
    <w:rsid w:val="00971A5D"/>
    <w:rsid w:val="00972149"/>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5E7"/>
    <w:rsid w:val="00981737"/>
    <w:rsid w:val="00981C6B"/>
    <w:rsid w:val="00981FB1"/>
    <w:rsid w:val="009820FB"/>
    <w:rsid w:val="0098228E"/>
    <w:rsid w:val="00982357"/>
    <w:rsid w:val="0098256F"/>
    <w:rsid w:val="009826B5"/>
    <w:rsid w:val="00982A5C"/>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0C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18A"/>
    <w:rsid w:val="00996552"/>
    <w:rsid w:val="009967BF"/>
    <w:rsid w:val="00996FFC"/>
    <w:rsid w:val="00997D3C"/>
    <w:rsid w:val="009A05DB"/>
    <w:rsid w:val="009A0673"/>
    <w:rsid w:val="009A0820"/>
    <w:rsid w:val="009A0EC0"/>
    <w:rsid w:val="009A0F4F"/>
    <w:rsid w:val="009A1576"/>
    <w:rsid w:val="009A18D6"/>
    <w:rsid w:val="009A1B1B"/>
    <w:rsid w:val="009A1B90"/>
    <w:rsid w:val="009A1ECC"/>
    <w:rsid w:val="009A1EF1"/>
    <w:rsid w:val="009A284B"/>
    <w:rsid w:val="009A2B9E"/>
    <w:rsid w:val="009A2D34"/>
    <w:rsid w:val="009A301C"/>
    <w:rsid w:val="009A3338"/>
    <w:rsid w:val="009A35A4"/>
    <w:rsid w:val="009A3616"/>
    <w:rsid w:val="009A383F"/>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3C2"/>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C6B"/>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C81"/>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ADA"/>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1C0"/>
    <w:rsid w:val="00A0132F"/>
    <w:rsid w:val="00A0152F"/>
    <w:rsid w:val="00A01B59"/>
    <w:rsid w:val="00A01C8C"/>
    <w:rsid w:val="00A025A4"/>
    <w:rsid w:val="00A03529"/>
    <w:rsid w:val="00A03811"/>
    <w:rsid w:val="00A0385C"/>
    <w:rsid w:val="00A03894"/>
    <w:rsid w:val="00A043B9"/>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172"/>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387"/>
    <w:rsid w:val="00A266E1"/>
    <w:rsid w:val="00A26840"/>
    <w:rsid w:val="00A26B87"/>
    <w:rsid w:val="00A2730D"/>
    <w:rsid w:val="00A2733C"/>
    <w:rsid w:val="00A2760E"/>
    <w:rsid w:val="00A27694"/>
    <w:rsid w:val="00A27B69"/>
    <w:rsid w:val="00A300A3"/>
    <w:rsid w:val="00A301BF"/>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DD"/>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0D71"/>
    <w:rsid w:val="00A412C0"/>
    <w:rsid w:val="00A41766"/>
    <w:rsid w:val="00A418E6"/>
    <w:rsid w:val="00A41C91"/>
    <w:rsid w:val="00A41E21"/>
    <w:rsid w:val="00A4200D"/>
    <w:rsid w:val="00A4215B"/>
    <w:rsid w:val="00A422E7"/>
    <w:rsid w:val="00A42763"/>
    <w:rsid w:val="00A4278A"/>
    <w:rsid w:val="00A428B5"/>
    <w:rsid w:val="00A4291F"/>
    <w:rsid w:val="00A42B2B"/>
    <w:rsid w:val="00A42E02"/>
    <w:rsid w:val="00A42E95"/>
    <w:rsid w:val="00A43012"/>
    <w:rsid w:val="00A435C2"/>
    <w:rsid w:val="00A43AC1"/>
    <w:rsid w:val="00A43B61"/>
    <w:rsid w:val="00A43E95"/>
    <w:rsid w:val="00A44198"/>
    <w:rsid w:val="00A442E2"/>
    <w:rsid w:val="00A44312"/>
    <w:rsid w:val="00A445DB"/>
    <w:rsid w:val="00A446EF"/>
    <w:rsid w:val="00A4470F"/>
    <w:rsid w:val="00A44736"/>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987"/>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23E"/>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2A0"/>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5E36"/>
    <w:rsid w:val="00AA62E8"/>
    <w:rsid w:val="00AA6649"/>
    <w:rsid w:val="00AA6C75"/>
    <w:rsid w:val="00AA6FB6"/>
    <w:rsid w:val="00AA6FF3"/>
    <w:rsid w:val="00AA70AC"/>
    <w:rsid w:val="00AA7717"/>
    <w:rsid w:val="00AA7D52"/>
    <w:rsid w:val="00AA7E00"/>
    <w:rsid w:val="00AA7E94"/>
    <w:rsid w:val="00AB003C"/>
    <w:rsid w:val="00AB045C"/>
    <w:rsid w:val="00AB06B0"/>
    <w:rsid w:val="00AB07E8"/>
    <w:rsid w:val="00AB108B"/>
    <w:rsid w:val="00AB1714"/>
    <w:rsid w:val="00AB1D22"/>
    <w:rsid w:val="00AB1DBC"/>
    <w:rsid w:val="00AB23B7"/>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63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84A"/>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0C1E"/>
    <w:rsid w:val="00AF15F6"/>
    <w:rsid w:val="00AF1747"/>
    <w:rsid w:val="00AF18F5"/>
    <w:rsid w:val="00AF1BA3"/>
    <w:rsid w:val="00AF2190"/>
    <w:rsid w:val="00AF29B6"/>
    <w:rsid w:val="00AF29CF"/>
    <w:rsid w:val="00AF2D5B"/>
    <w:rsid w:val="00AF35D9"/>
    <w:rsid w:val="00AF372C"/>
    <w:rsid w:val="00AF3CB9"/>
    <w:rsid w:val="00AF3F5C"/>
    <w:rsid w:val="00AF401D"/>
    <w:rsid w:val="00AF42E1"/>
    <w:rsid w:val="00AF431C"/>
    <w:rsid w:val="00AF43DC"/>
    <w:rsid w:val="00AF4404"/>
    <w:rsid w:val="00AF468D"/>
    <w:rsid w:val="00AF46FA"/>
    <w:rsid w:val="00AF4D18"/>
    <w:rsid w:val="00AF535B"/>
    <w:rsid w:val="00AF5A79"/>
    <w:rsid w:val="00AF5B2A"/>
    <w:rsid w:val="00AF5C60"/>
    <w:rsid w:val="00AF5E85"/>
    <w:rsid w:val="00AF5FE1"/>
    <w:rsid w:val="00AF603D"/>
    <w:rsid w:val="00AF60D4"/>
    <w:rsid w:val="00AF6274"/>
    <w:rsid w:val="00AF6383"/>
    <w:rsid w:val="00AF6A36"/>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B5E"/>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A91"/>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32"/>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20A"/>
    <w:rsid w:val="00B60A2E"/>
    <w:rsid w:val="00B60E85"/>
    <w:rsid w:val="00B610BD"/>
    <w:rsid w:val="00B6121C"/>
    <w:rsid w:val="00B61266"/>
    <w:rsid w:val="00B6191D"/>
    <w:rsid w:val="00B61A21"/>
    <w:rsid w:val="00B61BA2"/>
    <w:rsid w:val="00B61C70"/>
    <w:rsid w:val="00B61E8A"/>
    <w:rsid w:val="00B62005"/>
    <w:rsid w:val="00B621AB"/>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6947"/>
    <w:rsid w:val="00B670F2"/>
    <w:rsid w:val="00B67733"/>
    <w:rsid w:val="00B6FA07"/>
    <w:rsid w:val="00B7007D"/>
    <w:rsid w:val="00B70497"/>
    <w:rsid w:val="00B70C68"/>
    <w:rsid w:val="00B70F3F"/>
    <w:rsid w:val="00B71257"/>
    <w:rsid w:val="00B71658"/>
    <w:rsid w:val="00B71CDE"/>
    <w:rsid w:val="00B71F89"/>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B76"/>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0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1BC"/>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BB8"/>
    <w:rsid w:val="00BA1C42"/>
    <w:rsid w:val="00BA2313"/>
    <w:rsid w:val="00BA2A86"/>
    <w:rsid w:val="00BA31D3"/>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0DC3"/>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842"/>
    <w:rsid w:val="00BB5937"/>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5FA9"/>
    <w:rsid w:val="00BC6399"/>
    <w:rsid w:val="00BC63A8"/>
    <w:rsid w:val="00BC647A"/>
    <w:rsid w:val="00BC684B"/>
    <w:rsid w:val="00BC6A7A"/>
    <w:rsid w:val="00BC6C2F"/>
    <w:rsid w:val="00BC7270"/>
    <w:rsid w:val="00BC7514"/>
    <w:rsid w:val="00BC79A8"/>
    <w:rsid w:val="00BC7F49"/>
    <w:rsid w:val="00BC7FDB"/>
    <w:rsid w:val="00BD019A"/>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DD9"/>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6EE"/>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40A"/>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07D6A"/>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1126"/>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2D9B"/>
    <w:rsid w:val="00C430B6"/>
    <w:rsid w:val="00C43272"/>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0F67"/>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6C7"/>
    <w:rsid w:val="00C55706"/>
    <w:rsid w:val="00C558B9"/>
    <w:rsid w:val="00C558BC"/>
    <w:rsid w:val="00C55A9C"/>
    <w:rsid w:val="00C55B77"/>
    <w:rsid w:val="00C55DF1"/>
    <w:rsid w:val="00C56020"/>
    <w:rsid w:val="00C563E3"/>
    <w:rsid w:val="00C56C6B"/>
    <w:rsid w:val="00C56CE3"/>
    <w:rsid w:val="00C5714D"/>
    <w:rsid w:val="00C57224"/>
    <w:rsid w:val="00C57397"/>
    <w:rsid w:val="00C575B4"/>
    <w:rsid w:val="00C5766E"/>
    <w:rsid w:val="00C5776F"/>
    <w:rsid w:val="00C57970"/>
    <w:rsid w:val="00C57A53"/>
    <w:rsid w:val="00C57D78"/>
    <w:rsid w:val="00C603AF"/>
    <w:rsid w:val="00C60C0E"/>
    <w:rsid w:val="00C60CFC"/>
    <w:rsid w:val="00C610FE"/>
    <w:rsid w:val="00C61417"/>
    <w:rsid w:val="00C61ED3"/>
    <w:rsid w:val="00C62190"/>
    <w:rsid w:val="00C622FB"/>
    <w:rsid w:val="00C62776"/>
    <w:rsid w:val="00C6289F"/>
    <w:rsid w:val="00C62EEB"/>
    <w:rsid w:val="00C634F2"/>
    <w:rsid w:val="00C635E7"/>
    <w:rsid w:val="00C63DA9"/>
    <w:rsid w:val="00C63EF5"/>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2F61"/>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586"/>
    <w:rsid w:val="00C97A1E"/>
    <w:rsid w:val="00C97CF2"/>
    <w:rsid w:val="00C97E93"/>
    <w:rsid w:val="00CA014A"/>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3F"/>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2FE"/>
    <w:rsid w:val="00CC63CE"/>
    <w:rsid w:val="00CC66D9"/>
    <w:rsid w:val="00CC67F5"/>
    <w:rsid w:val="00CC6941"/>
    <w:rsid w:val="00CC6AB6"/>
    <w:rsid w:val="00CC7421"/>
    <w:rsid w:val="00CC7A3A"/>
    <w:rsid w:val="00CC7A3F"/>
    <w:rsid w:val="00CC7A64"/>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54"/>
    <w:rsid w:val="00CE62C4"/>
    <w:rsid w:val="00CE6518"/>
    <w:rsid w:val="00CE658A"/>
    <w:rsid w:val="00CE68EB"/>
    <w:rsid w:val="00CE6FC7"/>
    <w:rsid w:val="00CE7173"/>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0F1E"/>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02A"/>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37C66"/>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92"/>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1FDB"/>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76F"/>
    <w:rsid w:val="00D96C6B"/>
    <w:rsid w:val="00D96D8F"/>
    <w:rsid w:val="00D977A7"/>
    <w:rsid w:val="00D977B5"/>
    <w:rsid w:val="00D9794B"/>
    <w:rsid w:val="00D979D8"/>
    <w:rsid w:val="00D97A42"/>
    <w:rsid w:val="00D97B3E"/>
    <w:rsid w:val="00D97C91"/>
    <w:rsid w:val="00DA072C"/>
    <w:rsid w:val="00DA0887"/>
    <w:rsid w:val="00DA0C65"/>
    <w:rsid w:val="00DA10D6"/>
    <w:rsid w:val="00DA13B9"/>
    <w:rsid w:val="00DA1512"/>
    <w:rsid w:val="00DA16BE"/>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7C2"/>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A7EC0"/>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86"/>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32"/>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68F"/>
    <w:rsid w:val="00DE292C"/>
    <w:rsid w:val="00DE2FD4"/>
    <w:rsid w:val="00DE33FE"/>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10E"/>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68D"/>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27"/>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073"/>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8AA"/>
    <w:rsid w:val="00E30C94"/>
    <w:rsid w:val="00E31940"/>
    <w:rsid w:val="00E319B3"/>
    <w:rsid w:val="00E31C8F"/>
    <w:rsid w:val="00E32262"/>
    <w:rsid w:val="00E32435"/>
    <w:rsid w:val="00E32660"/>
    <w:rsid w:val="00E32786"/>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507"/>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5F17"/>
    <w:rsid w:val="00E85FBC"/>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2"/>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266"/>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D6"/>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9D3"/>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367"/>
    <w:rsid w:val="00ED445F"/>
    <w:rsid w:val="00ED457B"/>
    <w:rsid w:val="00ED465D"/>
    <w:rsid w:val="00ED4751"/>
    <w:rsid w:val="00ED519D"/>
    <w:rsid w:val="00ED5723"/>
    <w:rsid w:val="00ED5CBD"/>
    <w:rsid w:val="00ED5FD2"/>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E34"/>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5EC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1F"/>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506"/>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A18"/>
    <w:rsid w:val="00F87CF8"/>
    <w:rsid w:val="00F87EB8"/>
    <w:rsid w:val="00F87F33"/>
    <w:rsid w:val="00F915EA"/>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3A82"/>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3DF2"/>
    <w:rsid w:val="00FB429B"/>
    <w:rsid w:val="00FB42D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391D"/>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583"/>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F4C"/>
    <w:pPr>
      <w:spacing w:before="120"/>
    </w:pPr>
    <w:rPr>
      <w:rFonts w:eastAsiaTheme="minorHAnsi"/>
      <w:sz w:val="24"/>
      <w:szCs w:val="24"/>
      <w:lang w:val="en-GB" w:eastAsia="ja-JP"/>
    </w:rPr>
  </w:style>
  <w:style w:type="paragraph" w:styleId="Heading1">
    <w:name w:val="heading 1"/>
    <w:basedOn w:val="Normal"/>
    <w:next w:val="Normal"/>
    <w:link w:val="Heading1Char"/>
    <w:rsid w:val="00B621AB"/>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qFormat/>
    <w:rsid w:val="00C1421E"/>
    <w:pPr>
      <w:spacing w:before="240"/>
      <w:outlineLvl w:val="1"/>
    </w:pPr>
  </w:style>
  <w:style w:type="paragraph" w:styleId="Heading3">
    <w:name w:val="heading 3"/>
    <w:basedOn w:val="Heading1"/>
    <w:next w:val="Normal"/>
    <w:link w:val="Heading3Char"/>
    <w:qFormat/>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qFormat/>
    <w:rsid w:val="00C1421E"/>
    <w:pPr>
      <w:tabs>
        <w:tab w:val="clear" w:pos="1021"/>
      </w:tabs>
      <w:ind w:left="1588" w:hanging="1588"/>
      <w:outlineLvl w:val="5"/>
    </w:pPr>
  </w:style>
  <w:style w:type="paragraph" w:styleId="Heading7">
    <w:name w:val="heading 7"/>
    <w:basedOn w:val="Heading6"/>
    <w:next w:val="Normal"/>
    <w:link w:val="Heading7Char"/>
    <w:qFormat/>
    <w:rsid w:val="00C1421E"/>
    <w:pPr>
      <w:outlineLvl w:val="6"/>
    </w:pPr>
  </w:style>
  <w:style w:type="paragraph" w:styleId="Heading8">
    <w:name w:val="heading 8"/>
    <w:basedOn w:val="Heading6"/>
    <w:next w:val="Normal"/>
    <w:link w:val="Heading8Char"/>
    <w:qFormat/>
    <w:rsid w:val="00C1421E"/>
    <w:pPr>
      <w:outlineLvl w:val="7"/>
    </w:pPr>
  </w:style>
  <w:style w:type="paragraph" w:styleId="Heading9">
    <w:name w:val="heading 9"/>
    <w:basedOn w:val="Heading6"/>
    <w:next w:val="Normal"/>
    <w:link w:val="Heading9Char"/>
    <w:qFormat/>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3D7F4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pPr>
      <w:keepLines/>
      <w:tabs>
        <w:tab w:val="left" w:pos="255"/>
      </w:tabs>
      <w:ind w:left="255" w:hanging="255"/>
    </w:pPr>
    <w:rPr>
      <w:rFonts w:eastAsia="Batang"/>
      <w:sz w:val="20"/>
      <w:szCs w:val="20"/>
    </w:rPr>
  </w:style>
  <w:style w:type="character" w:customStyle="1" w:styleId="FootnoteTextChar">
    <w:name w:val="Footnote Text Char"/>
    <w:basedOn w:val="DefaultParagraphFont"/>
    <w:link w:val="FootnoteText"/>
    <w:locked/>
    <w:rPr>
      <w:lang w:val="en-GB" w:eastAsia="ja-JP"/>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D7F4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uiPriority w:val="9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
    <w:basedOn w:val="DefaultParagraphFont"/>
    <w:uiPriority w:val="99"/>
    <w:qFormat/>
    <w:rsid w:val="003D7F4C"/>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qFormat/>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uiPriority w:val="99"/>
    <w:pPr>
      <w:tabs>
        <w:tab w:val="left" w:pos="1134"/>
        <w:tab w:val="left" w:pos="1871"/>
        <w:tab w:val="left" w:pos="2268"/>
      </w:tabs>
    </w:pPr>
    <w:rPr>
      <w:lang w:eastAsia="en-US"/>
    </w:rPr>
  </w:style>
  <w:style w:type="paragraph" w:customStyle="1" w:styleId="Agendaitem">
    <w:name w:val="Agenda_item"/>
    <w:basedOn w:val="Normal"/>
    <w:next w:val="Normal"/>
    <w:qFormat/>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uiPriority w:val="99"/>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 w:type="paragraph" w:customStyle="1" w:styleId="Section">
    <w:name w:val="Section"/>
    <w:basedOn w:val="ListParagraph"/>
    <w:qFormat/>
    <w:rsid w:val="00E12827"/>
    <w:pPr>
      <w:keepNext/>
      <w:numPr>
        <w:numId w:val="38"/>
      </w:numPr>
      <w:spacing w:before="120"/>
    </w:pPr>
    <w:rPr>
      <w:rFonts w:ascii="Times New Roman" w:eastAsia="Times New Roman" w:hAnsi="Times New Roman"/>
      <w:b/>
      <w:bCs/>
      <w:sz w:val="24"/>
      <w:szCs w:val="20"/>
      <w:lang w:eastAsia="en-US"/>
    </w:rPr>
  </w:style>
  <w:style w:type="paragraph" w:customStyle="1" w:styleId="Title4">
    <w:name w:val="Title 4"/>
    <w:basedOn w:val="Heading1"/>
    <w:rsid w:val="00B621A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48878054">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03210011">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8839968">
      <w:bodyDiv w:val="1"/>
      <w:marLeft w:val="0"/>
      <w:marRight w:val="0"/>
      <w:marTop w:val="0"/>
      <w:marBottom w:val="0"/>
      <w:divBdr>
        <w:top w:val="none" w:sz="0" w:space="0" w:color="auto"/>
        <w:left w:val="none" w:sz="0" w:space="0" w:color="auto"/>
        <w:bottom w:val="none" w:sz="0" w:space="0" w:color="auto"/>
        <w:right w:val="none" w:sz="0" w:space="0" w:color="auto"/>
      </w:divBdr>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3009368">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59680175">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nn/Pages/default.aspx" TargetMode="External"/><Relationship Id="rId299" Type="http://schemas.openxmlformats.org/officeDocument/2006/relationships/hyperlink" Target="https://www.itu.int/en/ITU-D/Regional-Presence/Europe/Pages/Events/2024/05.07_Effective%20engagement%20of%20European%20industry/BSG.aspx" TargetMode="External"/><Relationship Id="rId21" Type="http://schemas.openxmlformats.org/officeDocument/2006/relationships/hyperlink" Target="https://www.itu.int/myworkspace" TargetMode="External"/><Relationship Id="rId63" Type="http://schemas.openxmlformats.org/officeDocument/2006/relationships/hyperlink" Target="https://www.who.int/publications/i/item/9789240094161" TargetMode="External"/><Relationship Id="rId159" Type="http://schemas.openxmlformats.org/officeDocument/2006/relationships/hyperlink" Target="https://www.itu.int/en/ITU-T/focusgroups/ai4h/Pages/default.aspx" TargetMode="External"/><Relationship Id="rId324" Type="http://schemas.openxmlformats.org/officeDocument/2006/relationships/hyperlink" Target="https://www.itu.int/myworkspace/" TargetMode="External"/><Relationship Id="rId366" Type="http://schemas.openxmlformats.org/officeDocument/2006/relationships/theme" Target="theme/theme1.xml"/><Relationship Id="rId170" Type="http://schemas.openxmlformats.org/officeDocument/2006/relationships/hyperlink" Target="https://aiforgood.itu.int/robotics-for-good-youth-challenge/" TargetMode="External"/><Relationship Id="rId226" Type="http://schemas.openxmlformats.org/officeDocument/2006/relationships/hyperlink" Target="https://www.itu.int/ITU-T/recommendations/rec.aspx?rec=16051" TargetMode="External"/><Relationship Id="rId268" Type="http://schemas.openxmlformats.org/officeDocument/2006/relationships/hyperlink" Target="https://ilac.org/about-ilac/partnerships/international-partners/itu/" TargetMode="External"/><Relationship Id="rId32" Type="http://schemas.openxmlformats.org/officeDocument/2006/relationships/hyperlink" Target="https://www.itu.int/en/ITU-T/focusgroups/ai4h/Pages/default.aspx" TargetMode="External"/><Relationship Id="rId74" Type="http://schemas.openxmlformats.org/officeDocument/2006/relationships/hyperlink" Target="https://www.itu.int/en/ITU-T/gap/Pages/default.aspx" TargetMode="External"/><Relationship Id="rId128" Type="http://schemas.openxmlformats.org/officeDocument/2006/relationships/hyperlink" Target="https://aiforgood.itu.int/" TargetMode="External"/><Relationship Id="rId335" Type="http://schemas.openxmlformats.org/officeDocument/2006/relationships/hyperlink" Target="https://www.itu.int/myworkspace/" TargetMode="External"/><Relationship Id="rId5" Type="http://schemas.openxmlformats.org/officeDocument/2006/relationships/numbering" Target="numbering.xml"/><Relationship Id="rId181" Type="http://schemas.openxmlformats.org/officeDocument/2006/relationships/hyperlink" Target="https://www.itu.int/cities/digitaltransformationdialogues/" TargetMode="External"/><Relationship Id="rId237" Type="http://schemas.openxmlformats.org/officeDocument/2006/relationships/hyperlink" Target="https://www.who.int/publications/i/item/9789240094161" TargetMode="External"/><Relationship Id="rId279" Type="http://schemas.openxmlformats.org/officeDocument/2006/relationships/hyperlink" Target="https://www.itu.int/net/itu-t/cdb/ConformityDB.aspx" TargetMode="External"/><Relationship Id="rId43" Type="http://schemas.openxmlformats.org/officeDocument/2006/relationships/hyperlink" Target="https://www.itu.int/en/ITU-T/ssc/united/Pages/publication-U4SSC-KPIs.aspx" TargetMode="External"/><Relationship Id="rId139" Type="http://schemas.openxmlformats.org/officeDocument/2006/relationships/hyperlink" Target="https://www.worldstandardscooperation.org/wp-content/uploads/2023/11/WSC_Statement_Standards-Digital_8_Nov_2023.pdf" TargetMode="External"/><Relationship Id="rId290" Type="http://schemas.openxmlformats.org/officeDocument/2006/relationships/hyperlink" Target="https://www.itu.int/net4/iwm?p0=0&amp;p11=ITU&amp;p12=ITU-SEP-ITU-T-SEP-Other%20Groups-SEP-Network%20of%20Women%20in%20ITU-T&amp;p21=ITU&amp;p22=ITU" TargetMode="External"/><Relationship Id="rId304" Type="http://schemas.openxmlformats.org/officeDocument/2006/relationships/hyperlink" Target="https://www.itu.int/md/T22-TSAG-240122-TD-GEN-0423/en" TargetMode="External"/><Relationship Id="rId346" Type="http://schemas.openxmlformats.org/officeDocument/2006/relationships/hyperlink" Target="https://www.itu.int/itu-t/recommendations" TargetMode="External"/><Relationship Id="rId85" Type="http://schemas.openxmlformats.org/officeDocument/2006/relationships/hyperlink" Target="https://www.itu.int/md/meetingdoc.asp?lang=en&amp;parent=T22-WTSA.24-C-0002" TargetMode="External"/><Relationship Id="rId150" Type="http://schemas.openxmlformats.org/officeDocument/2006/relationships/hyperlink" Target="https://aiforgood.itu.int/summit24/programme/" TargetMode="External"/><Relationship Id="rId192" Type="http://schemas.openxmlformats.org/officeDocument/2006/relationships/hyperlink" Target="https://itu.int/en/ITU-T/dfs/seclab/Pages/default.aspx" TargetMode="External"/><Relationship Id="rId206" Type="http://schemas.openxmlformats.org/officeDocument/2006/relationships/hyperlink" Target="https://www.itu.int/en/ITU-T/Workshops-and-Seminars/2023/0124/Pages/default.aspx" TargetMode="External"/><Relationship Id="rId248" Type="http://schemas.openxmlformats.org/officeDocument/2006/relationships/hyperlink" Target="https://www.itu.int/en/journal/j-fet/webinars/Pages/default.aspx" TargetMode="External"/><Relationship Id="rId12" Type="http://schemas.openxmlformats.org/officeDocument/2006/relationships/image" Target="media/image2.jpeg"/><Relationship Id="rId108" Type="http://schemas.openxmlformats.org/officeDocument/2006/relationships/hyperlink" Target="https://www.itu.int/md/meetingdoc.asp?lang=en&amp;parent=T22-WTSA.24-C-0017" TargetMode="External"/><Relationship Id="rId315" Type="http://schemas.openxmlformats.org/officeDocument/2006/relationships/hyperlink" Target="https://itu.int/go/itu-t/rgm" TargetMode="External"/><Relationship Id="rId357" Type="http://schemas.openxmlformats.org/officeDocument/2006/relationships/hyperlink" Target="https://www.itu.int/en/ITU-R/study-groups/rccv/Pages/default.aspx" TargetMode="External"/><Relationship Id="rId54" Type="http://schemas.openxmlformats.org/officeDocument/2006/relationships/hyperlink" Target="https://www.itu.int/en/ITU-T/extcoop/cits/Pages/default.aspx" TargetMode="External"/><Relationship Id="rId96" Type="http://schemas.openxmlformats.org/officeDocument/2006/relationships/hyperlink" Target="https://www.itu.int/md/meetingdoc.asp?lang=en&amp;parent=T22-WTSA.24-C-0009" TargetMode="External"/><Relationship Id="rId161" Type="http://schemas.openxmlformats.org/officeDocument/2006/relationships/hyperlink" Target="https://www.itu.int/en/ITU-T/focusgroups/ai4ndm/Pages/default.aspx" TargetMode="External"/><Relationship Id="rId217" Type="http://schemas.openxmlformats.org/officeDocument/2006/relationships/hyperlink" Target="https://www.itu.int/initiatives/green-digital-action/programme/" TargetMode="External"/><Relationship Id="rId259" Type="http://schemas.openxmlformats.org/officeDocument/2006/relationships/hyperlink" Target="https://www.itu.int/pub/T-SP-OB.1283-2024" TargetMode="External"/><Relationship Id="rId23" Type="http://schemas.openxmlformats.org/officeDocument/2006/relationships/hyperlink" Target="https://aiforgood.itu.int/neural-network/" TargetMode="External"/><Relationship Id="rId119" Type="http://schemas.openxmlformats.org/officeDocument/2006/relationships/hyperlink" Target="https://www.itu.int/en/ITU-T/focusgroups/ai4a/Pages/default.aspx" TargetMode="External"/><Relationship Id="rId270" Type="http://schemas.openxmlformats.org/officeDocument/2006/relationships/hyperlink" Target="https://www.itu.int/pub/T-SP" TargetMode="External"/><Relationship Id="rId326" Type="http://schemas.openxmlformats.org/officeDocument/2006/relationships/hyperlink" Target="https://www.itu.int/ITU-T/recommendations/" TargetMode="External"/><Relationship Id="rId65" Type="http://schemas.openxmlformats.org/officeDocument/2006/relationships/hyperlink" Target="https://www.itu.int/en/ITU-T/tsbdir/CxO/Pages/CxO-20231205.aspx" TargetMode="External"/><Relationship Id="rId130" Type="http://schemas.openxmlformats.org/officeDocument/2006/relationships/hyperlink" Target="https://www.itu.int/cities/digitaltransformationdialogues/" TargetMode="External"/><Relationship Id="rId172" Type="http://schemas.openxmlformats.org/officeDocument/2006/relationships/hyperlink" Target="https://aiforgood.itu.int/innovate-for-impact/" TargetMode="External"/><Relationship Id="rId228" Type="http://schemas.openxmlformats.org/officeDocument/2006/relationships/hyperlink" Target="https://www.itu.int/ITU-T/workprog/wp_item.aspx?isn=17090" TargetMode="External"/><Relationship Id="rId281" Type="http://schemas.openxmlformats.org/officeDocument/2006/relationships/image" Target="media/image3.png"/><Relationship Id="rId337" Type="http://schemas.openxmlformats.org/officeDocument/2006/relationships/hyperlink" Target="https://www.itu.int/myworkspace/" TargetMode="External"/><Relationship Id="rId34" Type="http://schemas.openxmlformats.org/officeDocument/2006/relationships/hyperlink" Target="https://aiforgood.itu.int/impact-initiative/" TargetMode="External"/><Relationship Id="rId76" Type="http://schemas.openxmlformats.org/officeDocument/2006/relationships/hyperlink" Target="https://itu.int/go/tldb" TargetMode="External"/><Relationship Id="rId141" Type="http://schemas.openxmlformats.org/officeDocument/2006/relationships/hyperlink" Target="https://www.worldstandardscooperation.org/g20/" TargetMode="External"/><Relationship Id="rId7" Type="http://schemas.openxmlformats.org/officeDocument/2006/relationships/settings" Target="settings.xml"/><Relationship Id="rId183" Type="http://schemas.openxmlformats.org/officeDocument/2006/relationships/hyperlink" Target="https://www.itu.int/en/ITU-T/ssc/united/Pages/publication-U4SSC-KPIs.aspx" TargetMode="External"/><Relationship Id="rId239" Type="http://schemas.openxmlformats.org/officeDocument/2006/relationships/hyperlink" Target="https://www.itu.int/en/ITU-T/tsbdir/CxO/Pages/CxO-20231205.aspx" TargetMode="External"/><Relationship Id="rId250" Type="http://schemas.openxmlformats.org/officeDocument/2006/relationships/hyperlink" Target="https://www.itu.int/en/ITU-T/academia/kaleidoscope/2022/Pages/default.aspx" TargetMode="External"/><Relationship Id="rId292" Type="http://schemas.openxmlformats.org/officeDocument/2006/relationships/hyperlink" Target="https://www.itu.int/md/S24-CL-C-0035" TargetMode="External"/><Relationship Id="rId306" Type="http://schemas.openxmlformats.org/officeDocument/2006/relationships/hyperlink" Target="https://unece.org/gender-responsive-standards-initiative" TargetMode="External"/><Relationship Id="rId45" Type="http://schemas.openxmlformats.org/officeDocument/2006/relationships/hyperlink" Target="https://www.itu.int/cities/digitaltransformationdialogues/" TargetMode="External"/><Relationship Id="rId87" Type="http://schemas.openxmlformats.org/officeDocument/2006/relationships/hyperlink" Target="https://www.itu.int/md/meetingdoc.asp?lang=en&amp;parent=T22-WTSA.24-C-0003" TargetMode="External"/><Relationship Id="rId110" Type="http://schemas.openxmlformats.org/officeDocument/2006/relationships/hyperlink" Target="https://www.itu.int/go/tsg17" TargetMode="External"/><Relationship Id="rId348" Type="http://schemas.openxmlformats.org/officeDocument/2006/relationships/hyperlink" Target="https://www.itu.int/itu-t/landscape/?topic=tx356" TargetMode="External"/><Relationship Id="rId152" Type="http://schemas.openxmlformats.org/officeDocument/2006/relationships/hyperlink" Target="https://www.itu.int/en/itu-wsis/Pages/default.aspx" TargetMode="External"/><Relationship Id="rId194" Type="http://schemas.openxmlformats.org/officeDocument/2006/relationships/hyperlink" Target="https://figi.itu.int/" TargetMode="External"/><Relationship Id="rId208" Type="http://schemas.openxmlformats.org/officeDocument/2006/relationships/hyperlink" Target="https://fnc.itu.int/" TargetMode="External"/><Relationship Id="rId261" Type="http://schemas.openxmlformats.org/officeDocument/2006/relationships/hyperlink" Target="https://www.itu.int/pub/T-SP-OB.1293-2024" TargetMode="External"/><Relationship Id="rId14" Type="http://schemas.openxmlformats.org/officeDocument/2006/relationships/hyperlink" Target="https://www.itu.int/ITU-T/workprog/wp_search.aspx?isn_sp=8265&amp;isn_status=-1,2&amp;details=0&amp;field=acdefghijo" TargetMode="External"/><Relationship Id="rId56" Type="http://schemas.openxmlformats.org/officeDocument/2006/relationships/hyperlink" Target="https://www.itu.int/initiatives/green-digital-action-atcop28/" TargetMode="External"/><Relationship Id="rId317" Type="http://schemas.openxmlformats.org/officeDocument/2006/relationships/hyperlink" Target="https://itu.int/go/itu-t/rgm-guide" TargetMode="External"/><Relationship Id="rId359" Type="http://schemas.openxmlformats.org/officeDocument/2006/relationships/hyperlink" Target="https://www.itu.int/en/ITU-T/inr/Pages/default.aspx" TargetMode="External"/><Relationship Id="rId98" Type="http://schemas.openxmlformats.org/officeDocument/2006/relationships/hyperlink" Target="https://www.itu.int/go/tsg12" TargetMode="External"/><Relationship Id="rId121" Type="http://schemas.openxmlformats.org/officeDocument/2006/relationships/hyperlink" Target="https://www.itu.int/en/ITU-T/focusgroups/tbfxg/Pages/default.aspx" TargetMode="External"/><Relationship Id="rId163" Type="http://schemas.openxmlformats.org/officeDocument/2006/relationships/hyperlink" Target="https://aiforgood.itu.int/ai-skills-coalition/" TargetMode="External"/><Relationship Id="rId219" Type="http://schemas.openxmlformats.org/officeDocument/2006/relationships/hyperlink" Target="https://www.worldstandardscooperation.org/" TargetMode="External"/><Relationship Id="rId230" Type="http://schemas.openxmlformats.org/officeDocument/2006/relationships/hyperlink" Target="https://www.itu.int/en/ITU-T/Workshops-and-Seminars/2024/1017-SL/Pages/default.aspx" TargetMode="External"/><Relationship Id="rId25" Type="http://schemas.openxmlformats.org/officeDocument/2006/relationships/hyperlink" Target="https://aiforgood.itu.int/summit24/programme/" TargetMode="External"/><Relationship Id="rId67" Type="http://schemas.openxmlformats.org/officeDocument/2006/relationships/hyperlink" Target="https://www.itu.int/en/ITU-T/tsbdir/CxO/Pages/CxO-20221206.aspx" TargetMode="External"/><Relationship Id="rId272" Type="http://schemas.openxmlformats.org/officeDocument/2006/relationships/hyperlink" Target="https://www.itu.int/net/itu-t/cdb/secured/Register16.aspx" TargetMode="External"/><Relationship Id="rId328" Type="http://schemas.openxmlformats.org/officeDocument/2006/relationships/hyperlink" Target="https://bigbluebutton.org" TargetMode="External"/><Relationship Id="rId132" Type="http://schemas.openxmlformats.org/officeDocument/2006/relationships/hyperlink" Target="https://www.itu.int/en/ITU-T/extcoop/Pages/mou.aspx" TargetMode="External"/><Relationship Id="rId174" Type="http://schemas.openxmlformats.org/officeDocument/2006/relationships/hyperlink" Target="https://www.itu.int/metaverse/virtual-worlds/" TargetMode="External"/><Relationship Id="rId220" Type="http://schemas.openxmlformats.org/officeDocument/2006/relationships/hyperlink" Target="https://www.itu.int/initiatives/green-digital-action-atcop28/wp-content/uploads/sites/4/2023/12/Call-to-Action-Pillar4-Green-standards.pdf" TargetMode="External"/><Relationship Id="rId241" Type="http://schemas.openxmlformats.org/officeDocument/2006/relationships/hyperlink" Target="https://www.itu.int/en/ITU-T/tsbdir/CxO/Pages/CxO-20221206.aspx" TargetMode="External"/><Relationship Id="rId15" Type="http://schemas.openxmlformats.org/officeDocument/2006/relationships/hyperlink" Target="https://www.itu.int/en/ITU-T/publications/Pages/recs.aspx" TargetMode="External"/><Relationship Id="rId36" Type="http://schemas.openxmlformats.org/officeDocument/2006/relationships/hyperlink" Target="https://www.itu.int/metaverse/virtual-worlds/" TargetMode="External"/><Relationship Id="rId57" Type="http://schemas.openxmlformats.org/officeDocument/2006/relationships/hyperlink" Target="https://www.itu.int/en/ITU-T/climatechange/task-force-sc/Pages/default.aspx" TargetMode="External"/><Relationship Id="rId262" Type="http://schemas.openxmlformats.org/officeDocument/2006/relationships/hyperlink" Target="https://www.itu.int/en/ITU-T/studygroups/com11/casc/Documents/TL-RP_pub_2022-07-15.pdf" TargetMode="External"/><Relationship Id="rId283" Type="http://schemas.openxmlformats.org/officeDocument/2006/relationships/hyperlink" Target="https://www.itu.int/en/ITU-T/gap/Documents/nss-rep-may.pdf" TargetMode="External"/><Relationship Id="rId318" Type="http://schemas.openxmlformats.org/officeDocument/2006/relationships/hyperlink" Target="https://extranet.itu.int/sites/ITU-T/" TargetMode="External"/><Relationship Id="rId339" Type="http://schemas.openxmlformats.org/officeDocument/2006/relationships/hyperlink" Target="https://www.itu.int/en/ITU-T/publications/Pages/dbase.aspx" TargetMode="External"/><Relationship Id="rId78" Type="http://schemas.openxmlformats.org/officeDocument/2006/relationships/hyperlink" Target="https://www.itu.int/en/ITU-T/C-I/Pages/default.aspx" TargetMode="External"/><Relationship Id="rId99" Type="http://schemas.openxmlformats.org/officeDocument/2006/relationships/hyperlink" Target="https://www.itu.int/md/meetingdoc.asp?lang=en&amp;parent=T22-WTSA.24-C-0011" TargetMode="External"/><Relationship Id="rId101" Type="http://schemas.openxmlformats.org/officeDocument/2006/relationships/hyperlink" Target="https://www.itu.int/go/tsg13" TargetMode="External"/><Relationship Id="rId122" Type="http://schemas.openxmlformats.org/officeDocument/2006/relationships/hyperlink" Target="https://www.itu.int/en/ITU-T/focusgroups/ai4ndm/Pages/default.aspx" TargetMode="External"/><Relationship Id="rId143" Type="http://schemas.openxmlformats.org/officeDocument/2006/relationships/hyperlink" Target="https://www.worldstandardsday.org/home.html" TargetMode="External"/><Relationship Id="rId164" Type="http://schemas.openxmlformats.org/officeDocument/2006/relationships/hyperlink" Target="https://aiforgood.itu.int/event/ai-for-good-impact-india/" TargetMode="External"/><Relationship Id="rId185" Type="http://schemas.openxmlformats.org/officeDocument/2006/relationships/hyperlink" Target="https://u4ssc.itu.int/u4ssc-hub/" TargetMode="External"/><Relationship Id="rId350" Type="http://schemas.openxmlformats.org/officeDocument/2006/relationships/hyperlink" Target="https://www.itu.int/itu-t/landscape/?topic=tx153" TargetMode="External"/><Relationship Id="rId9" Type="http://schemas.openxmlformats.org/officeDocument/2006/relationships/footnotes" Target="footnotes.xml"/><Relationship Id="rId210" Type="http://schemas.openxmlformats.org/officeDocument/2006/relationships/hyperlink" Target="https://www.itu.int/en/ITU-T/extcoop/cits/Pages/egcomad.aspx" TargetMode="External"/><Relationship Id="rId26" Type="http://schemas.openxmlformats.org/officeDocument/2006/relationships/hyperlink" Target="https://aiforgood.itu.int/newsroom/publications-and-reports/" TargetMode="External"/><Relationship Id="rId231" Type="http://schemas.openxmlformats.org/officeDocument/2006/relationships/hyperlink" Target="https://www.itu.int/ITU-T/workprog/wp_item.aspx?isn=19011" TargetMode="External"/><Relationship Id="rId252" Type="http://schemas.openxmlformats.org/officeDocument/2006/relationships/hyperlink" Target="https://www.itu.int/en/ITU-T/C-I/Pages/default.aspx" TargetMode="External"/><Relationship Id="rId273" Type="http://schemas.openxmlformats.org/officeDocument/2006/relationships/hyperlink" Target="https://www.itu.int/en/ITU-T/C-I/conformity/Pages/cdb.aspx" TargetMode="External"/><Relationship Id="rId294" Type="http://schemas.openxmlformats.org/officeDocument/2006/relationships/hyperlink" Target="https://www.itu.int/en/ITU-T/NoW/events/20241017/Pages/default.aspx" TargetMode="External"/><Relationship Id="rId308" Type="http://schemas.openxmlformats.org/officeDocument/2006/relationships/hyperlink" Target="mailto:NoW-T@itu.int" TargetMode="External"/><Relationship Id="rId329" Type="http://schemas.openxmlformats.org/officeDocument/2006/relationships/hyperlink" Target="https://www.itu.int/myworkspace/" TargetMode="External"/><Relationship Id="rId47" Type="http://schemas.openxmlformats.org/officeDocument/2006/relationships/hyperlink" Target="https://figi.itu.int/itu-dfs-security-clinics/" TargetMode="External"/><Relationship Id="rId68" Type="http://schemas.openxmlformats.org/officeDocument/2006/relationships/hyperlink" Target="https://www.itu.int/en/ITU-T/tsbdir/cto/Documents/Communique_ITU_CxO_2022_06.12_Final.pdf" TargetMode="External"/><Relationship Id="rId89" Type="http://schemas.openxmlformats.org/officeDocument/2006/relationships/hyperlink" Target="https://www.itu.int/go/tsg5" TargetMode="External"/><Relationship Id="rId112" Type="http://schemas.openxmlformats.org/officeDocument/2006/relationships/hyperlink" Target="https://www.itu.int/md/meetingdoc.asp?lang=en&amp;parent=T22-WTSA.24-C-0020" TargetMode="External"/><Relationship Id="rId133" Type="http://schemas.openxmlformats.org/officeDocument/2006/relationships/hyperlink" Target="https://www.worldstandardscooperation.org/" TargetMode="External"/><Relationship Id="rId154" Type="http://schemas.openxmlformats.org/officeDocument/2006/relationships/hyperlink" Target="https://aiforgood.itu.int/summit23/" TargetMode="External"/><Relationship Id="rId175" Type="http://schemas.openxmlformats.org/officeDocument/2006/relationships/hyperlink" Target="https://www.itu.int/metaverse/un-virtual-worlds-day/" TargetMode="External"/><Relationship Id="rId340" Type="http://schemas.openxmlformats.org/officeDocument/2006/relationships/hyperlink" Target="https://www.itu.int/en/ITU-T/ewm/Pages/sync-app.aspx" TargetMode="External"/><Relationship Id="rId361" Type="http://schemas.openxmlformats.org/officeDocument/2006/relationships/hyperlink" Target="https://www.itu.int/net/itu-t/inrdb/secured/e118iin.aspx" TargetMode="External"/><Relationship Id="rId196" Type="http://schemas.openxmlformats.org/officeDocument/2006/relationships/hyperlink" Target="https://www.itu.int/en/ITU-T/webinars/dfs/sc/Pages/default.aspx" TargetMode="External"/><Relationship Id="rId200" Type="http://schemas.openxmlformats.org/officeDocument/2006/relationships/hyperlink" Target="https://www.itu.int/en/ITU-T/dfs/Documents/ITU%20Cyber%20Security%20Resilience%20Assessment%20toolkit%20for%20DFS%20Critical%20Infrastructure.pdf" TargetMode="External"/><Relationship Id="rId16" Type="http://schemas.openxmlformats.org/officeDocument/2006/relationships/hyperlink" Target="https://www.itu.int/en/ITU-T/studygroups/Pages/default.aspx" TargetMode="External"/><Relationship Id="rId221" Type="http://schemas.openxmlformats.org/officeDocument/2006/relationships/hyperlink" Target="https://aiforgood.itu.int/about-ai-for-good/aiml-solutions-for-climate-change/" TargetMode="External"/><Relationship Id="rId242" Type="http://schemas.openxmlformats.org/officeDocument/2006/relationships/hyperlink" Target="https://www.itu.int/en/ITU-T/tsbdir/cto/Documents/Communique_ITU_CxO_2022_06.12_Final.pdf" TargetMode="External"/><Relationship Id="rId263" Type="http://schemas.openxmlformats.org/officeDocument/2006/relationships/hyperlink" Target="https://www.itu.int/en/ITU-T/studygroups/com11/casc/Documents/Guideline_CASC_EXP_RP-10-2019.pdf" TargetMode="External"/><Relationship Id="rId284" Type="http://schemas.openxmlformats.org/officeDocument/2006/relationships/hyperlink" Target="https://www.itu.int/en/ITU-T/regional-groups/Pages/default.aspx" TargetMode="External"/><Relationship Id="rId319" Type="http://schemas.openxmlformats.org/officeDocument/2006/relationships/hyperlink" Target="https://extranet.itu.int/ITU-T/support/" TargetMode="External"/><Relationship Id="rId37" Type="http://schemas.openxmlformats.org/officeDocument/2006/relationships/hyperlink" Target="https://www.itu.int/metaverse/un-virtual-worlds-day/" TargetMode="External"/><Relationship Id="rId58" Type="http://schemas.openxmlformats.org/officeDocument/2006/relationships/hyperlink" Target="https://www.itu.int/ITU-T/recommendations/rec.aspx?rec=16051" TargetMode="External"/><Relationship Id="rId79" Type="http://schemas.openxmlformats.org/officeDocument/2006/relationships/hyperlink" Target="https://www.itu.int/br_tsb_terms/" TargetMode="External"/><Relationship Id="rId102" Type="http://schemas.openxmlformats.org/officeDocument/2006/relationships/hyperlink" Target="https://www.itu.int/md/meetingdoc.asp?lang=en&amp;parent=T22-WTSA.24-C-0013" TargetMode="External"/><Relationship Id="rId123" Type="http://schemas.openxmlformats.org/officeDocument/2006/relationships/hyperlink" Target="https://www.itu.int/en/ITU-T/focusgroups/an/Pages/default.aspx" TargetMode="External"/><Relationship Id="rId144" Type="http://schemas.openxmlformats.org/officeDocument/2006/relationships/hyperlink" Target="https://www.worldstandardscooperation.org/what-we-do/world-standards-day/" TargetMode="External"/><Relationship Id="rId330" Type="http://schemas.openxmlformats.org/officeDocument/2006/relationships/hyperlink" Target="https://www.itu.int/myworkspace/" TargetMode="External"/><Relationship Id="rId90" Type="http://schemas.openxmlformats.org/officeDocument/2006/relationships/hyperlink" Target="https://www.itu.int/md/meetingdoc.asp?lang=en&amp;parent=T22-WTSA.24-C-0005" TargetMode="External"/><Relationship Id="rId165" Type="http://schemas.openxmlformats.org/officeDocument/2006/relationships/hyperlink" Target="https://aiforgood.itu.int/about-ai-for-good/innovation-factory/" TargetMode="External"/><Relationship Id="rId186" Type="http://schemas.openxmlformats.org/officeDocument/2006/relationships/hyperlink" Target="https://toolkit-dt4c.itu.int/" TargetMode="External"/><Relationship Id="rId351" Type="http://schemas.openxmlformats.org/officeDocument/2006/relationships/hyperlink" Target="https://www.itu.int/itu-t/landscape/?topic=tx279" TargetMode="External"/><Relationship Id="rId211" Type="http://schemas.openxmlformats.org/officeDocument/2006/relationships/hyperlink" Target="https://www.itu.int/en/ITU-T/extcoop/cits/egcomad/wg01/Pages/default.aspx" TargetMode="External"/><Relationship Id="rId232" Type="http://schemas.openxmlformats.org/officeDocument/2006/relationships/hyperlink" Target="https://www.itu.int/ITU-T/recommendations/rec.aspx?rec=14953&amp;lang=en" TargetMode="External"/><Relationship Id="rId253" Type="http://schemas.openxmlformats.org/officeDocument/2006/relationships/hyperlink" Target="https://www.itu.int/md/meetingdoc.asp?lang=en&amp;parent=T17-TSB-CIR-0368" TargetMode="External"/><Relationship Id="rId274" Type="http://schemas.openxmlformats.org/officeDocument/2006/relationships/hyperlink" Target="https://www.itu.int/md/T22-SG11-230510-TD-GEN-0507/en" TargetMode="External"/><Relationship Id="rId295" Type="http://schemas.openxmlformats.org/officeDocument/2006/relationships/hyperlink" Target="https://www.itu.int/en/ITU-T/NoW/Documents/Draft%20programme%20for%20NoW%20in%20ITU-T%20CITEL._.pdf" TargetMode="External"/><Relationship Id="rId309" Type="http://schemas.openxmlformats.org/officeDocument/2006/relationships/image" Target="media/image6.png"/><Relationship Id="rId27" Type="http://schemas.openxmlformats.org/officeDocument/2006/relationships/hyperlink" Target="https://www.itu.int/en/itu-wsis/Pages/default.aspx" TargetMode="External"/><Relationship Id="rId48" Type="http://schemas.openxmlformats.org/officeDocument/2006/relationships/hyperlink" Target="https://figi.itu.int/" TargetMode="External"/><Relationship Id="rId69" Type="http://schemas.openxmlformats.org/officeDocument/2006/relationships/hyperlink" Target="https://www.itu.int/hub/membership/" TargetMode="External"/><Relationship Id="rId113" Type="http://schemas.openxmlformats.org/officeDocument/2006/relationships/hyperlink" Target="https://www.itu.int/go/tsg20" TargetMode="External"/><Relationship Id="rId134" Type="http://schemas.openxmlformats.org/officeDocument/2006/relationships/hyperlink" Target="https://aiforgood.itu.int/summit24/" TargetMode="External"/><Relationship Id="rId320" Type="http://schemas.openxmlformats.org/officeDocument/2006/relationships/hyperlink" Target="https://www.itu.int/myworkspace/" TargetMode="External"/><Relationship Id="rId80" Type="http://schemas.openxmlformats.org/officeDocument/2006/relationships/hyperlink" Target="https://www.itu.int/ITU-T/workprog/wp_search.aspx?isn_sp=8265&amp;isn_status=-1,2&amp;details=0&amp;field=acdefghijo" TargetMode="External"/><Relationship Id="rId155" Type="http://schemas.openxmlformats.org/officeDocument/2006/relationships/hyperlink" Target="https://s41721.pcdn.co/wp-content/uploads/2021/06/SNAPSHOT-REPORT-2023-FINAL.pdf" TargetMode="External"/><Relationship Id="rId176" Type="http://schemas.openxmlformats.org/officeDocument/2006/relationships/hyperlink" Target="https://www.itu.int/en/ITU-T/focusgroups/mv/Pages/default.aspx" TargetMode="External"/><Relationship Id="rId197" Type="http://schemas.openxmlformats.org/officeDocument/2006/relationships/hyperlink" Target="https://www.itu.int/en/ITU-T/webinars/dfs/sc/Pages/default.aspx" TargetMode="External"/><Relationship Id="rId341" Type="http://schemas.openxmlformats.org/officeDocument/2006/relationships/hyperlink" Target="https://www.itu.int/search" TargetMode="External"/><Relationship Id="rId362" Type="http://schemas.openxmlformats.org/officeDocument/2006/relationships/hyperlink" Target="https://www.itu.int/search" TargetMode="External"/><Relationship Id="rId201" Type="http://schemas.openxmlformats.org/officeDocument/2006/relationships/hyperlink" Target="https://www.itu.int/en/ITU-T/dfs/seclab/Pages/challenge.aspx" TargetMode="External"/><Relationship Id="rId222" Type="http://schemas.openxmlformats.org/officeDocument/2006/relationships/hyperlink" Target="https://aiforgood.itu.int/about-ai-for-good/innovation-factory/" TargetMode="External"/><Relationship Id="rId243" Type="http://schemas.openxmlformats.org/officeDocument/2006/relationships/hyperlink" Target="https://www.itu.int/hub/membership/" TargetMode="External"/><Relationship Id="rId264" Type="http://schemas.openxmlformats.org/officeDocument/2006/relationships/hyperlink" Target="https://www.itu.int/en/ITU-T/studygroups/com11/casc/Documents/List-ITU-technical%20experts-CASC-Oct23.pdf" TargetMode="External"/><Relationship Id="rId285" Type="http://schemas.openxmlformats.org/officeDocument/2006/relationships/image" Target="media/image4.png"/><Relationship Id="rId17" Type="http://schemas.openxmlformats.org/officeDocument/2006/relationships/hyperlink" Target="https://www.itu.int/md/T22-WTSA.24-C" TargetMode="External"/><Relationship Id="rId38" Type="http://schemas.openxmlformats.org/officeDocument/2006/relationships/hyperlink" Target="https://www.itu.int/en/ITU-T/focusgroups/mv/Pages/default.aspx" TargetMode="External"/><Relationship Id="rId59" Type="http://schemas.openxmlformats.org/officeDocument/2006/relationships/hyperlink" Target="https://www.itu.int/ITU-T/recommendations/rec.aspx?rec=16050" TargetMode="External"/><Relationship Id="rId103" Type="http://schemas.openxmlformats.org/officeDocument/2006/relationships/hyperlink" Target="https://www.itu.int/md/meetingdoc.asp?lang=en&amp;parent=T22-WTSA.24-C-0014" TargetMode="External"/><Relationship Id="rId124" Type="http://schemas.openxmlformats.org/officeDocument/2006/relationships/hyperlink" Target="https://www.itu.int/en/ITU-T/focusgroups/ai4h/Pages/default.aspx" TargetMode="External"/><Relationship Id="rId310" Type="http://schemas.openxmlformats.org/officeDocument/2006/relationships/image" Target="media/image7.png"/><Relationship Id="rId70" Type="http://schemas.openxmlformats.org/officeDocument/2006/relationships/hyperlink" Target="https://www.itu.int/en/journal/j-fet/Pages/default.aspx" TargetMode="External"/><Relationship Id="rId91" Type="http://schemas.openxmlformats.org/officeDocument/2006/relationships/hyperlink" Target="https://www.itu.int/md/meetingdoc.asp?lang=en&amp;parent=T22-WTSA.24-C-0006" TargetMode="External"/><Relationship Id="rId145" Type="http://schemas.openxmlformats.org/officeDocument/2006/relationships/hyperlink" Target="https://aiforgood.itu.int/" TargetMode="External"/><Relationship Id="rId166" Type="http://schemas.openxmlformats.org/officeDocument/2006/relationships/hyperlink" Target="https://aiforgood.itu.int/about-ai-for-good/innovation-factory/startup-acceleration-programme/" TargetMode="External"/><Relationship Id="rId187" Type="http://schemas.openxmlformats.org/officeDocument/2006/relationships/hyperlink" Target="https://www.itu.int/cities/dt-resource-hub/" TargetMode="External"/><Relationship Id="rId331" Type="http://schemas.openxmlformats.org/officeDocument/2006/relationships/hyperlink" Target="https://www.itu.int/myworkspace/" TargetMode="External"/><Relationship Id="rId352" Type="http://schemas.openxmlformats.org/officeDocument/2006/relationships/hyperlink" Target="https://www.itu.int/itu-t/landscape/?topic=tx379" TargetMode="External"/><Relationship Id="rId1" Type="http://schemas.openxmlformats.org/officeDocument/2006/relationships/customXml" Target="../customXml/item1.xml"/><Relationship Id="rId212" Type="http://schemas.openxmlformats.org/officeDocument/2006/relationships/hyperlink" Target="https://www.itu.int/en/ITU-T/extcoop/cits/egcomad/wg02/Pages/default.aspx" TargetMode="External"/><Relationship Id="rId233" Type="http://schemas.openxmlformats.org/officeDocument/2006/relationships/hyperlink" Target="https://www.itu.int/hub/publication/d-phcb-safe_lis-01-2019/" TargetMode="External"/><Relationship Id="rId254" Type="http://schemas.openxmlformats.org/officeDocument/2006/relationships/hyperlink" Target="https://itu.int/go/tldb" TargetMode="External"/><Relationship Id="rId28" Type="http://schemas.openxmlformats.org/officeDocument/2006/relationships/hyperlink" Target="https://www.worldstandardscooperation.org/standards-collaboration-on-ai-watermarking-multimedia-authenticity-and-deepfake-detection/" TargetMode="External"/><Relationship Id="rId49" Type="http://schemas.openxmlformats.org/officeDocument/2006/relationships/hyperlink" Target="https://figi.itu.int/figi-resources/dfs-security-lab/" TargetMode="External"/><Relationship Id="rId114" Type="http://schemas.openxmlformats.org/officeDocument/2006/relationships/hyperlink" Target="https://www.itu.int/md/meetingdoc.asp?lang=en&amp;parent=T22-WTSA.24-C-0021" TargetMode="External"/><Relationship Id="rId275" Type="http://schemas.openxmlformats.org/officeDocument/2006/relationships/hyperlink" Target="https://itu.int/go/tcdb" TargetMode="External"/><Relationship Id="rId296" Type="http://schemas.openxmlformats.org/officeDocument/2006/relationships/hyperlink" Target="https://www.itu.int/en/ITU-T/NoW/Documents/Draft%20Programme%20for%20NoW%20in%20ITU-T%20at%20APT%20WTSA-24-5.pdf" TargetMode="External"/><Relationship Id="rId300" Type="http://schemas.openxmlformats.org/officeDocument/2006/relationships/hyperlink" Target="https://youtu.be/z1EngabIA4E" TargetMode="External"/><Relationship Id="rId60" Type="http://schemas.openxmlformats.org/officeDocument/2006/relationships/hyperlink" Target="https://www.itu.int/ITU-T/workprog/wp_item.aspx?isn=17090" TargetMode="External"/><Relationship Id="rId81" Type="http://schemas.openxmlformats.org/officeDocument/2006/relationships/hyperlink" Target="https://www.itu.int/en/ITU-T/publications/Pages/recs.aspx" TargetMode="External"/><Relationship Id="rId135" Type="http://schemas.openxmlformats.org/officeDocument/2006/relationships/hyperlink" Target="https://www.worldstandardscooperation.org/standards-collaboration-on-ai-watermarking-multimedia-authenticity-and-deepfake-detection/" TargetMode="External"/><Relationship Id="rId156" Type="http://schemas.openxmlformats.org/officeDocument/2006/relationships/hyperlink" Target="https://www.worldstandardscooperation.org/standards-collaboration-on-ai-watermarking-multimedia-authenticity-and-deepfake-detection/" TargetMode="External"/><Relationship Id="rId177" Type="http://schemas.openxmlformats.org/officeDocument/2006/relationships/hyperlink" Target="https://www.itu.int/en/ITU-T/about/groups/2022-2024/Pages/sg20.aspx" TargetMode="External"/><Relationship Id="rId198" Type="http://schemas.openxmlformats.org/officeDocument/2006/relationships/hyperlink" Target="https://itu.int/en/publications/Documents/tsb/2021-FIGI-Digital-Financial-Services-security-assurance-framework/index.html" TargetMode="External"/><Relationship Id="rId321" Type="http://schemas.openxmlformats.org/officeDocument/2006/relationships/hyperlink" Target="https://www.itu.int/myworkspace/" TargetMode="External"/><Relationship Id="rId342" Type="http://schemas.openxmlformats.org/officeDocument/2006/relationships/hyperlink" Target="https://www.itu.int/net/ITU-T/info/faqs.aspx" TargetMode="External"/><Relationship Id="rId363" Type="http://schemas.openxmlformats.org/officeDocument/2006/relationships/hyperlink" Target="https://www.itu.int/net4/itu-t/search/" TargetMode="External"/><Relationship Id="rId202" Type="http://schemas.openxmlformats.org/officeDocument/2006/relationships/hyperlink" Target="https://zindi.africa/competitions/itu-digital-financial-services-blockchain-secure-authentication-application-challenge/discussions/20438" TargetMode="External"/><Relationship Id="rId223" Type="http://schemas.openxmlformats.org/officeDocument/2006/relationships/hyperlink" Target="https://unfccc.int/cop27" TargetMode="External"/><Relationship Id="rId244" Type="http://schemas.openxmlformats.org/officeDocument/2006/relationships/hyperlink" Target="https://www.itu.int/en/journal/j-fet/Pages/default.aspx" TargetMode="External"/><Relationship Id="rId18" Type="http://schemas.openxmlformats.org/officeDocument/2006/relationships/hyperlink" Target="https://www.itu.int/en/ITU-T/focusgroups/Pages/default.aspx" TargetMode="External"/><Relationship Id="rId39" Type="http://schemas.openxmlformats.org/officeDocument/2006/relationships/hyperlink" Target="https://www.itu.int/en/ITU-T/about/groups/2022-2024/Pages/sg20.aspx" TargetMode="External"/><Relationship Id="rId265" Type="http://schemas.openxmlformats.org/officeDocument/2006/relationships/hyperlink" Target="https://www.itu.int/en/ITU-T/extcoop/Documents/mou/MoU-ITU-T-IAF-ILAC-20220824.pdf" TargetMode="External"/><Relationship Id="rId286" Type="http://schemas.openxmlformats.org/officeDocument/2006/relationships/image" Target="media/image5.png"/><Relationship Id="rId50" Type="http://schemas.openxmlformats.org/officeDocument/2006/relationships/hyperlink" Target="https://www.itu.int/en/ITU-T/dfs/seclab/Pages/challenge.aspx" TargetMode="External"/><Relationship Id="rId104" Type="http://schemas.openxmlformats.org/officeDocument/2006/relationships/hyperlink" Target="https://www.itu.int/go/tsg15" TargetMode="External"/><Relationship Id="rId125" Type="http://schemas.openxmlformats.org/officeDocument/2006/relationships/hyperlink" Target="https://www.itu.int/en/ITU-T/focusgroups/ai4ee/Pages/default.aspx" TargetMode="External"/><Relationship Id="rId146" Type="http://schemas.openxmlformats.org/officeDocument/2006/relationships/hyperlink" Target="https://aiforgood.itu.int/programme/" TargetMode="External"/><Relationship Id="rId167" Type="http://schemas.openxmlformats.org/officeDocument/2006/relationships/hyperlink" Target="https://www.itu.int/dms_pub/itu-t/opb/ai4g/T-AI4G-AI4GOOD-2024-6-PDF-E.pdf" TargetMode="External"/><Relationship Id="rId188" Type="http://schemas.openxmlformats.org/officeDocument/2006/relationships/hyperlink" Target="https://www.itu.int/cities/dt-digest/" TargetMode="External"/><Relationship Id="rId311" Type="http://schemas.openxmlformats.org/officeDocument/2006/relationships/image" Target="media/image8.png"/><Relationship Id="rId332" Type="http://schemas.openxmlformats.org/officeDocument/2006/relationships/hyperlink" Target="https://www.itu.int/myworkspace/" TargetMode="External"/><Relationship Id="rId353" Type="http://schemas.openxmlformats.org/officeDocument/2006/relationships/hyperlink" Target="https://www.itu.int/itu-t/landscape/?topic=tx21" TargetMode="External"/><Relationship Id="rId71" Type="http://schemas.openxmlformats.org/officeDocument/2006/relationships/hyperlink" Target="https://www.itu.int/en/ITU-T/academia/kaleidoscope/Pages/default.aspx" TargetMode="External"/><Relationship Id="rId92" Type="http://schemas.openxmlformats.org/officeDocument/2006/relationships/hyperlink" Target="https://www.itu.int/go/tsg9" TargetMode="External"/><Relationship Id="rId213" Type="http://schemas.openxmlformats.org/officeDocument/2006/relationships/hyperlink" Target="https://www.itu.int/net4/ITU-T/landscape" TargetMode="External"/><Relationship Id="rId234" Type="http://schemas.openxmlformats.org/officeDocument/2006/relationships/hyperlink" Target="https://www.who.int/activities/making-listening-safe" TargetMode="External"/><Relationship Id="rId2" Type="http://schemas.openxmlformats.org/officeDocument/2006/relationships/customXml" Target="../customXml/item2.xml"/><Relationship Id="rId29" Type="http://schemas.openxmlformats.org/officeDocument/2006/relationships/hyperlink" Target="https://aiforgood.itu.int/ai-standards/" TargetMode="External"/><Relationship Id="rId255" Type="http://schemas.openxmlformats.org/officeDocument/2006/relationships/hyperlink" Target="https://www.itu.int/pub/T-SP-OB.1253-2022" TargetMode="External"/><Relationship Id="rId276" Type="http://schemas.openxmlformats.org/officeDocument/2006/relationships/hyperlink" Target="https://itu.int/go/TT-TLRP" TargetMode="External"/><Relationship Id="rId297" Type="http://schemas.openxmlformats.org/officeDocument/2006/relationships/hyperlink" Target="https://ituint.sharepoint.com/:p:/r/sites/TSB-GenderDreamTeam/_layouts/15/Doc.aspx?sourcedoc=%7bCCF5A17C-A395-4C75-A788-D9A85615D9FA%7d&amp;file=Part%202.1-1-WTSA%20-%20Getting%20the%20most%20of%20it%20%25u00fb%20During%20and%20after_Adelaide%20Australia%20-%20June%202024-v2a.pptx&amp;action=edit&amp;mobileredirect=true" TargetMode="External"/><Relationship Id="rId40" Type="http://schemas.openxmlformats.org/officeDocument/2006/relationships/hyperlink" Target="https://u4ssc.itu.int/" TargetMode="External"/><Relationship Id="rId115" Type="http://schemas.openxmlformats.org/officeDocument/2006/relationships/hyperlink" Target="https://www.itu.int/md/meetingdoc.asp?lang=en&amp;parent=T22-WTSA.24-C-0022" TargetMode="External"/><Relationship Id="rId136" Type="http://schemas.openxmlformats.org/officeDocument/2006/relationships/hyperlink" Target="https://www.itu.int/hub/publication/t-ai4g-ai4good-2024-7/" TargetMode="External"/><Relationship Id="rId157" Type="http://schemas.openxmlformats.org/officeDocument/2006/relationships/hyperlink" Target="https://www.itu.int/hub/publication/t-ai4g-ai4good-2024-7/" TargetMode="External"/><Relationship Id="rId178" Type="http://schemas.openxmlformats.org/officeDocument/2006/relationships/hyperlink" Target="https://u4ssc.itu.int/" TargetMode="External"/><Relationship Id="rId301" Type="http://schemas.openxmlformats.org/officeDocument/2006/relationships/hyperlink" Target="https://www.itu.int/en/ITU-T/NoW/events/20240123/Pages/default.aspx" TargetMode="External"/><Relationship Id="rId322" Type="http://schemas.openxmlformats.org/officeDocument/2006/relationships/hyperlink" Target="https://www.itu.int/myworkspace/" TargetMode="External"/><Relationship Id="rId343" Type="http://schemas.openxmlformats.org/officeDocument/2006/relationships/hyperlink" Target="https://www.itu.int/t/aap/aap-recs" TargetMode="External"/><Relationship Id="rId364" Type="http://schemas.openxmlformats.org/officeDocument/2006/relationships/header" Target="header1.xml"/><Relationship Id="rId61" Type="http://schemas.openxmlformats.org/officeDocument/2006/relationships/hyperlink" Target="https://www.who.int/activities/making-listening-safe" TargetMode="External"/><Relationship Id="rId82" Type="http://schemas.openxmlformats.org/officeDocument/2006/relationships/hyperlink" Target="https://www.itu.int/en/ITU-T/studygroups/Pages/default.aspx" TargetMode="External"/><Relationship Id="rId199" Type="http://schemas.openxmlformats.org/officeDocument/2006/relationships/hyperlink" Target="https://itu.int/en/ITU-T/dfs/Documents/Security%20recommendations%20for%20regulators%20and%20DFS%20providers%20developed%20under%20FIGI-updated%20March%202023.pdf" TargetMode="External"/><Relationship Id="rId203" Type="http://schemas.openxmlformats.org/officeDocument/2006/relationships/hyperlink" Target="https://www.itu.int/en/ITU-T/dfs/seclab/sar/Pages/bsa.aspx" TargetMode="External"/><Relationship Id="rId19" Type="http://schemas.openxmlformats.org/officeDocument/2006/relationships/hyperlink" Target="https://www.itu.int/en/ITU-T/Workshops-and-Seminars/Pages/default.aspx" TargetMode="External"/><Relationship Id="rId224" Type="http://schemas.openxmlformats.org/officeDocument/2006/relationships/hyperlink" Target="https://www.itu.int/en/ITU-T/climatechange/Pages/default.aspx" TargetMode="External"/><Relationship Id="rId245" Type="http://schemas.openxmlformats.org/officeDocument/2006/relationships/hyperlink" Target="https://www.itu.int/en/ITU-T/academia/kaleidoscope/Pages/default.aspx" TargetMode="External"/><Relationship Id="rId266" Type="http://schemas.openxmlformats.org/officeDocument/2006/relationships/hyperlink" Target="https://ilac.org/ilac-mra-and-signatories/" TargetMode="External"/><Relationship Id="rId287" Type="http://schemas.openxmlformats.org/officeDocument/2006/relationships/hyperlink" Target="https://www.itu.int/md/T22-TSAG-240729-TD-GEN-0556/en" TargetMode="External"/><Relationship Id="rId30" Type="http://schemas.openxmlformats.org/officeDocument/2006/relationships/hyperlink" Target="https://www.itu.int/hub/2023/07/new-un-initiative-aims-to-step-up-ais-contribution-to-health/" TargetMode="External"/><Relationship Id="rId105" Type="http://schemas.openxmlformats.org/officeDocument/2006/relationships/hyperlink" Target="https://www.itu.int/md/meetingdoc.asp?lang=en&amp;parent=T22-WTSA.24-C-0015" TargetMode="External"/><Relationship Id="rId126" Type="http://schemas.openxmlformats.org/officeDocument/2006/relationships/hyperlink" Target="https://www.itu.int/en/ITU-T/focusgroups/ai4ad/Pages/default.aspx" TargetMode="External"/><Relationship Id="rId147" Type="http://schemas.openxmlformats.org/officeDocument/2006/relationships/hyperlink" Target="https://aiforgood.itu.int/neural-network/" TargetMode="External"/><Relationship Id="rId168" Type="http://schemas.openxmlformats.org/officeDocument/2006/relationships/hyperlink" Target="https://github.com/ITU-AI-ML-in-5G-Challenge" TargetMode="External"/><Relationship Id="rId312" Type="http://schemas.openxmlformats.org/officeDocument/2006/relationships/image" Target="media/image9.png"/><Relationship Id="rId333" Type="http://schemas.openxmlformats.org/officeDocument/2006/relationships/hyperlink" Target="https://www.itu.int/myworkspace/" TargetMode="External"/><Relationship Id="rId354" Type="http://schemas.openxmlformats.org/officeDocument/2006/relationships/hyperlink" Target="https://www.itu.int/itu-t/landscape/?topic=tx380" TargetMode="External"/><Relationship Id="rId51" Type="http://schemas.openxmlformats.org/officeDocument/2006/relationships/hyperlink" Target="https://www.itu.int/hub/2024/05/itu-and-linux-foundation-join-forces-to-create-openwallet-forum/" TargetMode="External"/><Relationship Id="rId72" Type="http://schemas.openxmlformats.org/officeDocument/2006/relationships/hyperlink" Target="https://www.itu.int/en/journal/j-fet/webinars/Pages/default.aspx" TargetMode="External"/><Relationship Id="rId93" Type="http://schemas.openxmlformats.org/officeDocument/2006/relationships/hyperlink" Target="https://www.itu.int/md/meetingdoc.asp?lang=en&amp;parent=T22-WTSA.24-C-0007" TargetMode="External"/><Relationship Id="rId189" Type="http://schemas.openxmlformats.org/officeDocument/2006/relationships/hyperlink" Target="https://www.itu.int/cities/meetings/" TargetMode="External"/><Relationship Id="rId3" Type="http://schemas.openxmlformats.org/officeDocument/2006/relationships/customXml" Target="../customXml/item3.xml"/><Relationship Id="rId214" Type="http://schemas.openxmlformats.org/officeDocument/2006/relationships/hyperlink" Target="https://www.itu.int/en/ITU-T/ITS/Pages/default.aspx" TargetMode="External"/><Relationship Id="rId235" Type="http://schemas.openxmlformats.org/officeDocument/2006/relationships/hyperlink" Target="https://www.itu.int/en/ITU-T/Workshops-and-Seminars/safelistening/Pages/default.aspx" TargetMode="External"/><Relationship Id="rId256" Type="http://schemas.openxmlformats.org/officeDocument/2006/relationships/hyperlink" Target="https://www.itu.int/pub/T-SP-OB.1256-2022" TargetMode="External"/><Relationship Id="rId277" Type="http://schemas.openxmlformats.org/officeDocument/2006/relationships/hyperlink" Target="https://www.itu.int/webcast/archive/t2022-24sg11" TargetMode="External"/><Relationship Id="rId298" Type="http://schemas.openxmlformats.org/officeDocument/2006/relationships/hyperlink" Target="https://ituint.sharepoint.com/:p:/r/sites/TSB-GenderDreamTeam/_layouts/15/Doc.aspx?sourcedoc=%7bD0D6C5E0-5630-4203-8AB0-1140F0B301E4%7d&amp;file=Part%202.1-2_Breaking%20Barriers-%20Women%25u00c6s%20participation%20and%20leadership%20in%20ITU-T%20and%20WTSA24-Qi%20Shuguang.pptx&amp;action=edit&amp;mobileredirect=true" TargetMode="External"/><Relationship Id="rId116" Type="http://schemas.openxmlformats.org/officeDocument/2006/relationships/hyperlink" Target="https://www.itu.int/en/ITU-T/focusgroups/cd/Pages/default.aspx" TargetMode="External"/><Relationship Id="rId137" Type="http://schemas.openxmlformats.org/officeDocument/2006/relationships/hyperlink" Target="https://aiforgood.itu.int/ai-standards/" TargetMode="External"/><Relationship Id="rId158" Type="http://schemas.openxmlformats.org/officeDocument/2006/relationships/hyperlink" Target="https://www.itu.int/hub/2023/07/new-un-initiative-aims-to-step-up-ais-contribution-to-health/" TargetMode="External"/><Relationship Id="rId302"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323" Type="http://schemas.openxmlformats.org/officeDocument/2006/relationships/hyperlink" Target="https://www.itu.int/itu-t/workprog/wp_search.aspx" TargetMode="External"/><Relationship Id="rId344" Type="http://schemas.openxmlformats.org/officeDocument/2006/relationships/hyperlink" Target="https://www.itu.int/itu-t/workprog/" TargetMode="External"/><Relationship Id="rId20" Type="http://schemas.openxmlformats.org/officeDocument/2006/relationships/hyperlink" Target="https://aiforgood.itu.int/" TargetMode="External"/><Relationship Id="rId41" Type="http://schemas.openxmlformats.org/officeDocument/2006/relationships/hyperlink" Target="https://www.itu.int/net/epub/TSB/2024-UN-Executive-Briefing-on-unlocking-potential/index.html" TargetMode="External"/><Relationship Id="rId62" Type="http://schemas.openxmlformats.org/officeDocument/2006/relationships/hyperlink" Target="https://www.itu.int/en/ITU-T/Workshops-and-Seminars/safelistening/Pages/default.aspx" TargetMode="External"/><Relationship Id="rId83" Type="http://schemas.openxmlformats.org/officeDocument/2006/relationships/hyperlink" Target="https://www.itu.int/go/tsg2/" TargetMode="External"/><Relationship Id="rId179" Type="http://schemas.openxmlformats.org/officeDocument/2006/relationships/hyperlink" Target="https://www.itu.int/net/epub/TSB/2024-UN-Executive-Briefing-on-unlocking-potential/index.html" TargetMode="External"/><Relationship Id="rId365" Type="http://schemas.openxmlformats.org/officeDocument/2006/relationships/fontTable" Target="fontTable.xml"/><Relationship Id="rId190" Type="http://schemas.openxmlformats.org/officeDocument/2006/relationships/hyperlink" Target="https://www.itu.int/en/ITU-T/dfs/Pages/default.aspx" TargetMode="External"/><Relationship Id="rId204" Type="http://schemas.openxmlformats.org/officeDocument/2006/relationships/hyperlink" Target="https://www.itu.int/hub/2024/05/itu-and-linux-foundation-join-forces-to-create-openwallet-forum/" TargetMode="External"/><Relationship Id="rId225" Type="http://schemas.openxmlformats.org/officeDocument/2006/relationships/hyperlink" Target="https://www.itu.int/en/ITU-T/climatechange/task-force-sc/Pages/default.aspx" TargetMode="External"/><Relationship Id="rId246" Type="http://schemas.openxmlformats.org/officeDocument/2006/relationships/hyperlink" Target="https://www.itu.int/en/journal/j-fet/Pages/default.aspx" TargetMode="External"/><Relationship Id="rId267" Type="http://schemas.openxmlformats.org/officeDocument/2006/relationships/hyperlink" Target="https://ilac.org/?ddownload=125179" TargetMode="External"/><Relationship Id="rId288" Type="http://schemas.openxmlformats.org/officeDocument/2006/relationships/hyperlink" Target="https://www.itu.int/en/ITU-T/NoW/Pages/default.aspx" TargetMode="External"/><Relationship Id="rId106" Type="http://schemas.openxmlformats.org/officeDocument/2006/relationships/hyperlink" Target="https://www.itu.int/md/meetingdoc.asp?lang=en&amp;parent=T22-WTSA.24-C-0016" TargetMode="External"/><Relationship Id="rId127" Type="http://schemas.openxmlformats.org/officeDocument/2006/relationships/hyperlink" Target="https://www.itu.int/en/ITU-T/focusgroups/vm/Pages/default.aspx" TargetMode="External"/><Relationship Id="rId313" Type="http://schemas.openxmlformats.org/officeDocument/2006/relationships/hyperlink" Target="https://www.itu.int/br_tsb_terms/" TargetMode="External"/><Relationship Id="rId10" Type="http://schemas.openxmlformats.org/officeDocument/2006/relationships/endnotes" Target="endnotes.xml"/><Relationship Id="rId31" Type="http://schemas.openxmlformats.org/officeDocument/2006/relationships/hyperlink" Target="https://www.itu.int/en/ITU-T/extcoop/ai4resilience/Pages/default.aspx" TargetMode="External"/><Relationship Id="rId52" Type="http://schemas.openxmlformats.org/officeDocument/2006/relationships/hyperlink" Target="https://fnc.itu.int/" TargetMode="External"/><Relationship Id="rId73" Type="http://schemas.openxmlformats.org/officeDocument/2006/relationships/hyperlink" Target="https://www.itu.int/en/ITU-T/academia/kaleidoscope/2024/Pages/default.aspx" TargetMode="External"/><Relationship Id="rId94" Type="http://schemas.openxmlformats.org/officeDocument/2006/relationships/hyperlink" Target="https://www.itu.int/md/meetingdoc.asp?lang=en&amp;parent=T22-WTSA.24-C-0008" TargetMode="External"/><Relationship Id="rId148" Type="http://schemas.openxmlformats.org/officeDocument/2006/relationships/hyperlink" Target="https://aiforgood.itu.int/newsroom/publications-and-reports/" TargetMode="External"/><Relationship Id="rId169" Type="http://schemas.openxmlformats.org/officeDocument/2006/relationships/hyperlink" Target="https://www.itu.int/en/journal/j-fet/Pages/default.aspx" TargetMode="External"/><Relationship Id="rId334" Type="http://schemas.openxmlformats.org/officeDocument/2006/relationships/hyperlink" Target="https://www.itu.int/myworkspace/" TargetMode="External"/><Relationship Id="rId355" Type="http://schemas.openxmlformats.org/officeDocument/2006/relationships/hyperlink" Target="https://www.itu.int/net4/ipr/search.aspx" TargetMode="External"/><Relationship Id="rId4" Type="http://schemas.openxmlformats.org/officeDocument/2006/relationships/customXml" Target="../customXml/item4.xml"/><Relationship Id="rId180" Type="http://schemas.openxmlformats.org/officeDocument/2006/relationships/hyperlink" Target="https://s43678.pcdn.co/wp-content/uploads/2024/07/UN-Virtual-World-Day-Event-highlights.pdf" TargetMode="External"/><Relationship Id="rId215" Type="http://schemas.openxmlformats.org/officeDocument/2006/relationships/hyperlink" Target="https://www.itu.int/initiatives/green-digital-action/" TargetMode="External"/><Relationship Id="rId236" Type="http://schemas.openxmlformats.org/officeDocument/2006/relationships/hyperlink" Target="https://www.itu.int/itu-t/recommendations/rec.aspx?rec=15547&amp;lang=en" TargetMode="External"/><Relationship Id="rId257" Type="http://schemas.openxmlformats.org/officeDocument/2006/relationships/hyperlink" Target="https://www.itu.int/pub/T-SP/publications.aspx?parent=T-SP-OB.1263-2023" TargetMode="External"/><Relationship Id="rId278" Type="http://schemas.openxmlformats.org/officeDocument/2006/relationships/hyperlink" Target="https://itu.int/go/tldb" TargetMode="External"/><Relationship Id="rId303" Type="http://schemas.openxmlformats.org/officeDocument/2006/relationships/hyperlink" Target="https://youtu.be/M_1eXhEXC2M" TargetMode="External"/><Relationship Id="rId42" Type="http://schemas.openxmlformats.org/officeDocument/2006/relationships/hyperlink" Target="https://www.itu.int/en/ITU-T/ssc/united/Pages/default.aspx" TargetMode="External"/><Relationship Id="rId84" Type="http://schemas.openxmlformats.org/officeDocument/2006/relationships/hyperlink" Target="https://www.itu.int/md/meetingdoc.asp?lang=en&amp;parent=T22-WTSA.24-C-0001" TargetMode="External"/><Relationship Id="rId138" Type="http://schemas.openxmlformats.org/officeDocument/2006/relationships/hyperlink" Target="https://www.worldstandardscooperation.org/wp-content/uploads/2024/03/Statement-GDC-WSC_March-202496.pdf" TargetMode="External"/><Relationship Id="rId345" Type="http://schemas.openxmlformats.org/officeDocument/2006/relationships/hyperlink" Target="https://www.itu.int/net4/ITU-T/ls" TargetMode="External"/><Relationship Id="rId191" Type="http://schemas.openxmlformats.org/officeDocument/2006/relationships/hyperlink" Target="https://www.itu.int/md/T22-WTSA.24-INF-0005/en" TargetMode="External"/><Relationship Id="rId205" Type="http://schemas.openxmlformats.org/officeDocument/2006/relationships/hyperlink" Target="https://www.itu.int/en/ITU-T/extcoop/dcgi/Pages/default.aspx" TargetMode="External"/><Relationship Id="rId247" Type="http://schemas.openxmlformats.org/officeDocument/2006/relationships/hyperlink" Target="https://www.itu.int/en/journal/j-fet/Pages/editorial-board.aspx" TargetMode="External"/><Relationship Id="rId107" Type="http://schemas.openxmlformats.org/officeDocument/2006/relationships/hyperlink" Target="https://www.itu.int/go/tsg16" TargetMode="External"/><Relationship Id="rId289" Type="http://schemas.openxmlformats.org/officeDocument/2006/relationships/hyperlink" Target="mailto:nowinitut@lists.itu.int" TargetMode="External"/><Relationship Id="rId11" Type="http://schemas.openxmlformats.org/officeDocument/2006/relationships/image" Target="media/image1.png"/><Relationship Id="rId53" Type="http://schemas.openxmlformats.org/officeDocument/2006/relationships/hyperlink" Target="https://www.itu.int/en/ITU-T/extcoop/cits/Pages/egcomad.aspx" TargetMode="External"/><Relationship Id="rId149" Type="http://schemas.openxmlformats.org/officeDocument/2006/relationships/hyperlink" Target="https://aiforgood.itu.int/summit24/" TargetMode="External"/><Relationship Id="rId314" Type="http://schemas.openxmlformats.org/officeDocument/2006/relationships/hyperlink" Target="https://www.itu.int/wtsa/2024" TargetMode="External"/><Relationship Id="rId356" Type="http://schemas.openxmlformats.org/officeDocument/2006/relationships/hyperlink" Target="https://www.itu.int/br_tsb_terms/" TargetMode="External"/><Relationship Id="rId95" Type="http://schemas.openxmlformats.org/officeDocument/2006/relationships/hyperlink" Target="https://www.itu.int/go/tsg11" TargetMode="External"/><Relationship Id="rId160" Type="http://schemas.openxmlformats.org/officeDocument/2006/relationships/hyperlink" Target="https://www.itu.int/hub/2024/08/new-un-initiative-to-reduce-disaster-risk-with-ai/" TargetMode="External"/><Relationship Id="rId216" Type="http://schemas.openxmlformats.org/officeDocument/2006/relationships/hyperlink" Target="https://www.itu.int/initiatives/green-digital-action-atcop28/" TargetMode="External"/><Relationship Id="rId258" Type="http://schemas.openxmlformats.org/officeDocument/2006/relationships/hyperlink" Target="https://www.itu.int/pub/T-SP-OB.1266-2023" TargetMode="External"/><Relationship Id="rId22" Type="http://schemas.openxmlformats.org/officeDocument/2006/relationships/hyperlink" Target="https://aiforgood.itu.int/" TargetMode="External"/><Relationship Id="rId64" Type="http://schemas.openxmlformats.org/officeDocument/2006/relationships/hyperlink" Target="https://www.itu.int/en/ITU-T/tsbdir/cto/Pages/default.aspx" TargetMode="External"/><Relationship Id="rId118" Type="http://schemas.openxmlformats.org/officeDocument/2006/relationships/hyperlink" Target="https://www.itu.int/en/ITU-T/focusgroups/Pages/default.aspx" TargetMode="External"/><Relationship Id="rId325" Type="http://schemas.openxmlformats.org/officeDocument/2006/relationships/hyperlink" Target="http://rec-external" TargetMode="External"/><Relationship Id="rId171" Type="http://schemas.openxmlformats.org/officeDocument/2006/relationships/hyperlink" Target="https://aiforgood.itu.int/summit25" TargetMode="External"/><Relationship Id="rId227" Type="http://schemas.openxmlformats.org/officeDocument/2006/relationships/hyperlink" Target="https://www.itu.int/ITU-T/recommendations/rec.aspx?rec=16050" TargetMode="External"/><Relationship Id="rId269" Type="http://schemas.openxmlformats.org/officeDocument/2006/relationships/hyperlink" Target="https://www.itu.int/net/itu-t/cdb/secured/reg-tldb.aspx" TargetMode="External"/><Relationship Id="rId33" Type="http://schemas.openxmlformats.org/officeDocument/2006/relationships/hyperlink" Target="https://www.itu.int/en/ITU-T/focusgroups/ai4ndm/Pages/default.aspx" TargetMode="External"/><Relationship Id="rId129" Type="http://schemas.openxmlformats.org/officeDocument/2006/relationships/hyperlink" Target="https://www.itu.int/en/ITU-T/Workshops-and-Seminars/Pages/default.aspx" TargetMode="External"/><Relationship Id="rId280" Type="http://schemas.openxmlformats.org/officeDocument/2006/relationships/hyperlink" Target="https://itu.int/go/citest" TargetMode="External"/><Relationship Id="rId336" Type="http://schemas.openxmlformats.org/officeDocument/2006/relationships/hyperlink" Target="https://www.itu.int/myworkspace/" TargetMode="External"/><Relationship Id="rId75" Type="http://schemas.openxmlformats.org/officeDocument/2006/relationships/hyperlink" Target="https://www.itu.int/en/ITU-T/NoW/Pages/default.aspx" TargetMode="External"/><Relationship Id="rId140" Type="http://schemas.openxmlformats.org/officeDocument/2006/relationships/hyperlink" Target="https://www.itu.int/initiatives/green-digital-action/" TargetMode="External"/><Relationship Id="rId182" Type="http://schemas.openxmlformats.org/officeDocument/2006/relationships/hyperlink" Target="https://www.itu.int/en/ITU-T/ssc/united/Pages/default.aspx" TargetMode="External"/><Relationship Id="rId6" Type="http://schemas.openxmlformats.org/officeDocument/2006/relationships/styles" Target="styles.xml"/><Relationship Id="rId238" Type="http://schemas.openxmlformats.org/officeDocument/2006/relationships/hyperlink" Target="https://www.itu.int/en/ITU-T/tsbdir/cto/Pages/default.aspx" TargetMode="External"/><Relationship Id="rId291" Type="http://schemas.openxmlformats.org/officeDocument/2006/relationships/hyperlink" Target="https://www.itu.int/md/S24-CL-C-0006/en" TargetMode="External"/><Relationship Id="rId305" Type="http://schemas.openxmlformats.org/officeDocument/2006/relationships/hyperlink" Target="https://www.itu.int/md/T22-TSAG-230530-TD-GEN-0196/en" TargetMode="External"/><Relationship Id="rId347" Type="http://schemas.openxmlformats.org/officeDocument/2006/relationships/hyperlink" Target="https://www.itu.int/itu-t/landscape" TargetMode="External"/><Relationship Id="rId44" Type="http://schemas.openxmlformats.org/officeDocument/2006/relationships/hyperlink" Target="https://www.itu.int/en/ITU-T/ssc/united/Pages/publication-U4SSC-KPIs.aspx" TargetMode="External"/><Relationship Id="rId86" Type="http://schemas.openxmlformats.org/officeDocument/2006/relationships/hyperlink" Target="https://www.itu.int/go/tsg3" TargetMode="External"/><Relationship Id="rId151" Type="http://schemas.openxmlformats.org/officeDocument/2006/relationships/hyperlink" Target="https://s41721.pcdn.co/wp-content/uploads/2021/06/AI-for-Good-Global-Summit-Snapshot-Report-2024_vF.pdf" TargetMode="External"/><Relationship Id="rId193" Type="http://schemas.openxmlformats.org/officeDocument/2006/relationships/hyperlink" Target="https://itu.int/en/ITU-T/dfs/Documents/Security%20recommendations%20for%20regulators%20and%20DFS%20providers%20developed%20under%20FIGI-updated%20March%202023.pdf" TargetMode="External"/><Relationship Id="rId207" Type="http://schemas.openxmlformats.org/officeDocument/2006/relationships/hyperlink" Target="https://www.itu.int/en/ITU-T/Workshops-and-Seminars/2022/0125/Pages/default.aspx" TargetMode="External"/><Relationship Id="rId249" Type="http://schemas.openxmlformats.org/officeDocument/2006/relationships/hyperlink" Target="https://www.itu.int/en/ITU-T/academia/kaleidoscope/Pages/default.aspx" TargetMode="External"/><Relationship Id="rId13" Type="http://schemas.openxmlformats.org/officeDocument/2006/relationships/hyperlink" Target="mailto:tsbdir@itu.int" TargetMode="External"/><Relationship Id="rId109" Type="http://schemas.openxmlformats.org/officeDocument/2006/relationships/hyperlink" Target="https://www.itu.int/md/meetingdoc.asp?lang=en&amp;parent=T22-WTSA.24-C-0018" TargetMode="External"/><Relationship Id="rId260" Type="http://schemas.openxmlformats.org/officeDocument/2006/relationships/hyperlink" Target="https://www.itu.int/pub/T-SP-OB.1286-2024" TargetMode="External"/><Relationship Id="rId316" Type="http://schemas.openxmlformats.org/officeDocument/2006/relationships/hyperlink" Target="https://itu.int/go/itu-t/rgm-support" TargetMode="External"/><Relationship Id="rId55" Type="http://schemas.openxmlformats.org/officeDocument/2006/relationships/hyperlink" Target="https://www.itu.int/initiatives/green-digital-action/" TargetMode="External"/><Relationship Id="rId97" Type="http://schemas.openxmlformats.org/officeDocument/2006/relationships/hyperlink" Target="https://www.itu.int/md/meetingdoc.asp?lang=en&amp;parent=T22-WTSA.24-C-0010" TargetMode="External"/><Relationship Id="rId120" Type="http://schemas.openxmlformats.org/officeDocument/2006/relationships/hyperlink" Target="https://www.itu.int/en/ITU-T/focusgroups/mv/Pages/default.aspx" TargetMode="External"/><Relationship Id="rId358" Type="http://schemas.openxmlformats.org/officeDocument/2006/relationships/hyperlink" Target="https://www.itu.int/itu-t/nnp/" TargetMode="External"/><Relationship Id="rId162" Type="http://schemas.openxmlformats.org/officeDocument/2006/relationships/hyperlink" Target="https://aiforgood.itu.int/impact-initiative/" TargetMode="External"/><Relationship Id="rId218" Type="http://schemas.openxmlformats.org/officeDocument/2006/relationships/hyperlink" Target="https://www.itu.int/initiatives/green-digital-action-atcop28/about/outcomes/" TargetMode="External"/><Relationship Id="rId271" Type="http://schemas.openxmlformats.org/officeDocument/2006/relationships/hyperlink" Target="https://www.itu.int/en/ITU-T/studygroups/com11/casc/Pages/default.aspx" TargetMode="External"/><Relationship Id="rId24" Type="http://schemas.openxmlformats.org/officeDocument/2006/relationships/hyperlink" Target="https://aiforgood.itu.int/summit24/" TargetMode="External"/><Relationship Id="rId66" Type="http://schemas.openxmlformats.org/officeDocument/2006/relationships/hyperlink" Target="https://www.itu.int/en/ITU-T/tsbdir/cto/Documents/Communique_ITU_CxO_2023.pdf" TargetMode="External"/><Relationship Id="rId131" Type="http://schemas.openxmlformats.org/officeDocument/2006/relationships/chart" Target="charts/chart1.xml"/><Relationship Id="rId327" Type="http://schemas.openxmlformats.org/officeDocument/2006/relationships/hyperlink" Target="https://www.itu.int/myworkspace/" TargetMode="External"/><Relationship Id="rId173" Type="http://schemas.openxmlformats.org/officeDocument/2006/relationships/hyperlink" Target="https://s41721.pcdn.co/wp-content/uploads/2021/06/2400805_Use-cases-collection.pdf" TargetMode="External"/><Relationship Id="rId229" Type="http://schemas.openxmlformats.org/officeDocument/2006/relationships/hyperlink" Target="https://www.itu.int/ITU-T/workprog/wp_item.aspx?isn=18961" TargetMode="External"/><Relationship Id="rId240" Type="http://schemas.openxmlformats.org/officeDocument/2006/relationships/hyperlink" Target="https://www.itu.int/en/ITU-T/tsbdir/cto/Documents/Communique_ITU_CxO_2023.pdf" TargetMode="External"/><Relationship Id="rId35" Type="http://schemas.openxmlformats.org/officeDocument/2006/relationships/hyperlink" Target="https://aiforgood.itu.int/ai-skills-coalition/" TargetMode="External"/><Relationship Id="rId77" Type="http://schemas.openxmlformats.org/officeDocument/2006/relationships/hyperlink" Target="https://www.itu.int/en/ITU-T/studygroups/com11/casc/Pages/default.aspx" TargetMode="External"/><Relationship Id="rId100" Type="http://schemas.openxmlformats.org/officeDocument/2006/relationships/hyperlink" Target="https://www.itu.int/md/meetingdoc.asp?lang=en&amp;parent=T22-WTSA.24-C-0012" TargetMode="External"/><Relationship Id="rId282" Type="http://schemas.openxmlformats.org/officeDocument/2006/relationships/hyperlink" Target="https://www.itu.int/en/ITU-T/gap/Pages/default.aspx" TargetMode="External"/><Relationship Id="rId338" Type="http://schemas.openxmlformats.org/officeDocument/2006/relationships/hyperlink" Target="https://tsbcloud.itu.int" TargetMode="External"/><Relationship Id="rId8" Type="http://schemas.openxmlformats.org/officeDocument/2006/relationships/webSettings" Target="webSettings.xml"/><Relationship Id="rId142" Type="http://schemas.openxmlformats.org/officeDocument/2006/relationships/hyperlink" Target="https://g7g20-documents.org/database/document/2024-g20-brazil-sherpa-track-digital-economy-ministers-ministers-language-g20-dewg-maceio-ministerial-declaration" TargetMode="External"/><Relationship Id="rId184" Type="http://schemas.openxmlformats.org/officeDocument/2006/relationships/hyperlink" Target="https://www.itu.int/en/ITU-T/ssc/united/Pages/publication-U4SSC-KPIs.aspx" TargetMode="External"/><Relationship Id="rId251" Type="http://schemas.openxmlformats.org/officeDocument/2006/relationships/hyperlink" Target="https://www.itu.int/en/ITU-T/academia/kaleidoscope/2024/Pages/default.aspx" TargetMode="External"/><Relationship Id="rId46" Type="http://schemas.openxmlformats.org/officeDocument/2006/relationships/hyperlink" Target="https://www.itu.int/cities/publications/" TargetMode="External"/><Relationship Id="rId293" Type="http://schemas.openxmlformats.org/officeDocument/2006/relationships/hyperlink" Target="https://www.itu.int/wtsa/2024/now/" TargetMode="External"/><Relationship Id="rId307" Type="http://schemas.openxmlformats.org/officeDocument/2006/relationships/hyperlink" Target="https://learnqi.unece.org/courses/gender-responsive-standards/" TargetMode="External"/><Relationship Id="rId349" Type="http://schemas.openxmlformats.org/officeDocument/2006/relationships/hyperlink" Target="https://www.itu.int/itu-t/landscape/?topic=tx378" TargetMode="External"/><Relationship Id="rId88" Type="http://schemas.openxmlformats.org/officeDocument/2006/relationships/hyperlink" Target="https://www.itu.int/md/meetingdoc.asp?lang=en&amp;parent=T22-WTSA.24-C-0004" TargetMode="External"/><Relationship Id="rId111" Type="http://schemas.openxmlformats.org/officeDocument/2006/relationships/hyperlink" Target="https://www.itu.int/md/meetingdoc.asp?lang=en&amp;parent=T22-WTSA.24-C-0019" TargetMode="External"/><Relationship Id="rId153" Type="http://schemas.openxmlformats.org/officeDocument/2006/relationships/hyperlink" Target="https://www.itu.int/pub/S-GEN-UNACT-2023" TargetMode="External"/><Relationship Id="rId195" Type="http://schemas.openxmlformats.org/officeDocument/2006/relationships/hyperlink" Target="https://itu.int/en/ITU-T/dfs/seclab/Pages/default.aspx" TargetMode="External"/><Relationship Id="rId209" Type="http://schemas.openxmlformats.org/officeDocument/2006/relationships/hyperlink" Target="https://www.itu.int/en/ITU-T/extcoop/cits/Pages/default.aspx" TargetMode="External"/><Relationship Id="rId360" Type="http://schemas.openxmlformats.org/officeDocument/2006/relationships/hyperlink" Target="https://www.itu.int/en/ITU-T/inr/unum/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ITU-T_Fellowship_01.01.2022-30.06.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(*mid-Sept)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Number of e-meetings</c:v>
                </c:pt>
              </c:strCache>
            </c:strRef>
          </c:tx>
          <c:spPr>
            <a:solidFill>
              <a:schemeClr val="accent1"/>
            </a:solidFill>
            <a:ln>
              <a:noFill/>
            </a:ln>
            <a:effectLst/>
          </c:spPr>
          <c:invertIfNegative val="0"/>
          <c:cat>
            <c:numRef>
              <c:f>Sheet3!$A$2:$A$6</c:f>
              <c:numCache>
                <c:formatCode>General</c:formatCode>
                <c:ptCount val="5"/>
                <c:pt idx="0">
                  <c:v>2020</c:v>
                </c:pt>
                <c:pt idx="1">
                  <c:v>2021</c:v>
                </c:pt>
                <c:pt idx="2">
                  <c:v>2022</c:v>
                </c:pt>
                <c:pt idx="3">
                  <c:v>2023</c:v>
                </c:pt>
                <c:pt idx="4">
                  <c:v>2024</c:v>
                </c:pt>
              </c:numCache>
            </c:numRef>
          </c:cat>
          <c:val>
            <c:numRef>
              <c:f>Sheet3!$B$2:$B$6</c:f>
              <c:numCache>
                <c:formatCode>#,##0</c:formatCode>
                <c:ptCount val="5"/>
                <c:pt idx="0">
                  <c:v>4220</c:v>
                </c:pt>
                <c:pt idx="1">
                  <c:v>4671</c:v>
                </c:pt>
                <c:pt idx="2">
                  <c:v>5430</c:v>
                </c:pt>
                <c:pt idx="3">
                  <c:v>4143</c:v>
                </c:pt>
                <c:pt idx="4">
                  <c:v>4172</c:v>
                </c:pt>
              </c:numCache>
            </c:numRef>
          </c:val>
          <c:extLst>
            <c:ext xmlns:c16="http://schemas.microsoft.com/office/drawing/2014/chart" uri="{C3380CC4-5D6E-409C-BE32-E72D297353CC}">
              <c16:uniqueId val="{00000000-3C56-4697-A49A-4D0D7BDE64CC}"/>
            </c:ext>
          </c:extLst>
        </c:ser>
        <c:ser>
          <c:idx val="1"/>
          <c:order val="1"/>
          <c:tx>
            <c:strRef>
              <c:f>Sheet3!$C$1</c:f>
              <c:strCache>
                <c:ptCount val="1"/>
                <c:pt idx="0">
                  <c:v>Number of connections</c:v>
                </c:pt>
              </c:strCache>
            </c:strRef>
          </c:tx>
          <c:spPr>
            <a:solidFill>
              <a:schemeClr val="accent2"/>
            </a:solidFill>
            <a:ln>
              <a:noFill/>
            </a:ln>
            <a:effectLst/>
          </c:spPr>
          <c:invertIfNegative val="0"/>
          <c:cat>
            <c:numRef>
              <c:f>Sheet3!$A$2:$A$6</c:f>
              <c:numCache>
                <c:formatCode>General</c:formatCode>
                <c:ptCount val="5"/>
                <c:pt idx="0">
                  <c:v>2020</c:v>
                </c:pt>
                <c:pt idx="1">
                  <c:v>2021</c:v>
                </c:pt>
                <c:pt idx="2">
                  <c:v>2022</c:v>
                </c:pt>
                <c:pt idx="3">
                  <c:v>2023</c:v>
                </c:pt>
                <c:pt idx="4">
                  <c:v>2024</c:v>
                </c:pt>
              </c:numCache>
            </c:numRef>
          </c:cat>
          <c:val>
            <c:numRef>
              <c:f>Sheet3!$C$2:$C$6</c:f>
              <c:numCache>
                <c:formatCode>#,##0</c:formatCode>
                <c:ptCount val="5"/>
                <c:pt idx="0">
                  <c:v>77693</c:v>
                </c:pt>
                <c:pt idx="1">
                  <c:v>87302</c:v>
                </c:pt>
                <c:pt idx="2">
                  <c:v>78270</c:v>
                </c:pt>
                <c:pt idx="3">
                  <c:v>68734</c:v>
                </c:pt>
                <c:pt idx="4">
                  <c:v>39384</c:v>
                </c:pt>
              </c:numCache>
            </c:numRef>
          </c:val>
          <c:extLst>
            <c:ext xmlns:c16="http://schemas.microsoft.com/office/drawing/2014/chart" uri="{C3380CC4-5D6E-409C-BE32-E72D297353CC}">
              <c16:uniqueId val="{00000001-3C56-4697-A49A-4D0D7BDE64CC}"/>
            </c:ext>
          </c:extLst>
        </c:ser>
        <c:dLbls>
          <c:showLegendKey val="0"/>
          <c:showVal val="0"/>
          <c:showCatName val="0"/>
          <c:showSerName val="0"/>
          <c:showPercent val="0"/>
          <c:showBubbleSize val="0"/>
        </c:dLbls>
        <c:gapWidth val="219"/>
        <c:overlap val="-27"/>
        <c:axId val="1276139040"/>
        <c:axId val="1276141920"/>
      </c:barChart>
      <c:catAx>
        <c:axId val="127613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6141920"/>
        <c:crosses val="autoZero"/>
        <c:auto val="1"/>
        <c:lblAlgn val="ctr"/>
        <c:lblOffset val="100"/>
        <c:noMultiLvlLbl val="0"/>
      </c:catAx>
      <c:valAx>
        <c:axId val="1276141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613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4" ma:contentTypeDescription="Create a new document." ma:contentTypeScope="" ma:versionID="809cfbf6d96c7eed81e2edea4789a3d5">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5127167eccaf5c32893ff7ecba881507"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B9909025-D610-49A4-B5F6-1E1E7325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C12FF9D3-AD49-4CE1-A7D6-D6613B533EB4}">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2e1102ab-a52d-496e-9b5b-8442a937392e"/>
    <ds:schemaRef ds:uri="http://purl.org/dc/elements/1.1/"/>
    <ds:schemaRef ds:uri="http://purl.org/dc/dcmitype/"/>
    <ds:schemaRef ds:uri="http://schemas.microsoft.com/office/infopath/2007/PartnerControls"/>
    <ds:schemaRef ds:uri="990eeaed-7a61-4f76-b7b0-4bef4f5f64c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18138</Words>
  <Characters>107383</Characters>
  <Application>Microsoft Office Word</Application>
  <DocSecurity>0</DocSecurity>
  <Lines>2334</Lines>
  <Paragraphs>1512</Paragraphs>
  <ScaleCrop>false</ScaleCrop>
  <HeadingPairs>
    <vt:vector size="2" baseType="variant">
      <vt:variant>
        <vt:lpstr>Title</vt:lpstr>
      </vt:variant>
      <vt:variant>
        <vt:i4>1</vt:i4>
      </vt:variant>
    </vt:vector>
  </HeadingPairs>
  <TitlesOfParts>
    <vt:vector size="1" baseType="lpstr">
      <vt:lpstr>REPORT ON ACTIVITIES IN ITU-T OVER THE 2022-2024 STUDY PERIOD_x000d__x0007_</vt:lpstr>
    </vt:vector>
  </TitlesOfParts>
  <Manager>WTSA-24 DocsControl - TSB - JB</Manager>
  <Company>International Telecommunication Union (ITU)</Company>
  <LinksUpToDate>false</LinksUpToDate>
  <CharactersWithSpaces>124009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ACTIVITIES IN ITU-T OVER THE 2022-2024 STUDY PERIOD_x000d__x0007_</dc:title>
  <dc:subject>WTSA-24</dc:subject>
  <dc:creator>Director of TSB_x000d__x0007_</dc:creator>
  <cp:keywords/>
  <dc:description>C029.docx  For: _x000d_Document date: _x000d_Saved by ITU51017913 at 12:01:20 PM on 10/9/2024
This report summarizes TSB facilitation of ITU-T activities in the 2022-2024 study period._x000d__x0007_</dc:description>
  <cp:lastModifiedBy>TSB - JB</cp:lastModifiedBy>
  <cp:revision>4</cp:revision>
  <cp:lastPrinted>2018-10-12T03:17:00Z</cp:lastPrinted>
  <dcterms:created xsi:type="dcterms:W3CDTF">2024-10-08T08:03:00Z</dcterms:created>
  <dcterms:modified xsi:type="dcterms:W3CDTF">2024-10-09T10:01:00Z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C029.docx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0x010100714706B5C8C0E7438BEF2951889CCA4F</vt:lpwstr>
  </property>
  <property fmtid="{D5CDD505-2E9C-101B-9397-08002B2CF9AE}" pid="9" name="MediaServiceImageTags">
    <vt:lpwstr/>
  </property>
</Properties>
</file>