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855"/>
        <w:gridCol w:w="606"/>
        <w:gridCol w:w="1516"/>
      </w:tblGrid>
      <w:tr w:rsidR="00FE0767" w14:paraId="3DF41D41" w14:textId="77777777" w:rsidTr="00FE0767">
        <w:trPr>
          <w:cantSplit/>
          <w:trHeight w:val="20"/>
        </w:trPr>
        <w:tc>
          <w:tcPr>
            <w:tcW w:w="1351" w:type="dxa"/>
          </w:tcPr>
          <w:p w14:paraId="264B7B53" w14:textId="77777777" w:rsidR="00FE0767" w:rsidRPr="00AD538E" w:rsidRDefault="00FE0767" w:rsidP="00EF4380">
            <w:pPr>
              <w:pStyle w:val="LOGO"/>
              <w:framePr w:hSpace="0" w:wrap="auto" w:xAlign="left" w:yAlign="inline"/>
              <w:spacing w:before="120" w:after="0" w:line="240" w:lineRule="auto"/>
              <w:rPr>
                <w:rFonts w:eastAsia="SimSun"/>
                <w:b w:val="0"/>
                <w:bCs w:val="0"/>
                <w:position w:val="2"/>
                <w:lang w:val="en-GB" w:eastAsia="zh-CN"/>
              </w:rPr>
            </w:pPr>
            <w:r w:rsidRPr="00A03BC4">
              <w:rPr>
                <w:noProof/>
              </w:rPr>
              <w:drawing>
                <wp:inline distT="0" distB="0" distL="0" distR="0" wp14:anchorId="6E365D16" wp14:editId="369E1066">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3"/>
          </w:tcPr>
          <w:p w14:paraId="38C6EA4F" w14:textId="77777777" w:rsidR="002E3887" w:rsidRPr="00396F22" w:rsidRDefault="00FE0767" w:rsidP="00620A07">
            <w:pPr>
              <w:pStyle w:val="TopHeader"/>
              <w:framePr w:hSpace="0" w:wrap="auto" w:vAnchor="margin" w:xAlign="left" w:yAlign="inline"/>
              <w:spacing w:before="240"/>
              <w:rPr>
                <w:sz w:val="26"/>
                <w:szCs w:val="26"/>
                <w:rtl/>
              </w:rPr>
            </w:pPr>
            <w:bookmarkStart w:id="0" w:name="ditulogo"/>
            <w:bookmarkEnd w:id="0"/>
            <w:r w:rsidRPr="00396F22">
              <w:rPr>
                <w:rFonts w:hint="cs"/>
                <w:sz w:val="26"/>
                <w:szCs w:val="26"/>
                <w:rtl/>
              </w:rPr>
              <w:t xml:space="preserve">الجمعية العالمية لتقييس الاتصالات </w:t>
            </w:r>
            <w:r w:rsidRPr="00396F22">
              <w:rPr>
                <w:sz w:val="26"/>
                <w:szCs w:val="26"/>
              </w:rPr>
              <w:t>(WTSA-24)</w:t>
            </w:r>
          </w:p>
          <w:p w14:paraId="4217AA4C" w14:textId="77777777" w:rsidR="00FE0767" w:rsidRPr="00FE0767" w:rsidRDefault="00FE0767" w:rsidP="00396F22">
            <w:pPr>
              <w:pStyle w:val="TopHeader"/>
              <w:framePr w:hSpace="0" w:wrap="auto" w:vAnchor="margin" w:xAlign="left" w:yAlign="inline"/>
              <w:spacing w:before="0"/>
              <w:rPr>
                <w:rtl/>
                <w:lang w:bidi="ar-SY"/>
              </w:rPr>
            </w:pPr>
            <w:r w:rsidRPr="002E3887">
              <w:rPr>
                <w:rFonts w:hint="cs"/>
                <w:sz w:val="20"/>
                <w:szCs w:val="20"/>
                <w:rtl/>
              </w:rPr>
              <w:t>نيودلهي</w:t>
            </w:r>
            <w:r w:rsidRPr="002E3887">
              <w:rPr>
                <w:sz w:val="20"/>
                <w:szCs w:val="20"/>
                <w:rtl/>
              </w:rPr>
              <w:t xml:space="preserve">، </w:t>
            </w:r>
            <w:r w:rsidRPr="002E3887">
              <w:rPr>
                <w:sz w:val="20"/>
                <w:szCs w:val="20"/>
              </w:rPr>
              <w:t>24-15</w:t>
            </w:r>
            <w:r w:rsidRPr="002E3887">
              <w:rPr>
                <w:rFonts w:hint="cs"/>
                <w:sz w:val="20"/>
                <w:szCs w:val="20"/>
                <w:rtl/>
                <w:lang w:bidi="ar-SY"/>
              </w:rPr>
              <w:t xml:space="preserve"> أكتوبر </w:t>
            </w:r>
            <w:r w:rsidRPr="002E3887">
              <w:rPr>
                <w:sz w:val="20"/>
                <w:szCs w:val="20"/>
                <w:lang w:bidi="ar-SY"/>
              </w:rPr>
              <w:t>2024</w:t>
            </w:r>
          </w:p>
        </w:tc>
        <w:tc>
          <w:tcPr>
            <w:tcW w:w="1516" w:type="dxa"/>
          </w:tcPr>
          <w:p w14:paraId="20ECF808" w14:textId="77777777" w:rsidR="00FE0767" w:rsidRDefault="00FE0767" w:rsidP="00EA152E">
            <w:pPr>
              <w:pStyle w:val="LOGO"/>
              <w:framePr w:hSpace="0" w:wrap="auto" w:xAlign="left" w:yAlign="inline"/>
              <w:jc w:val="right"/>
              <w:rPr>
                <w:rtl/>
              </w:rPr>
            </w:pPr>
            <w:r>
              <w:rPr>
                <w:noProof/>
                <w:lang w:eastAsia="zh-CN"/>
              </w:rPr>
              <w:drawing>
                <wp:inline distT="0" distB="0" distL="0" distR="0" wp14:anchorId="68E7F92F" wp14:editId="264F82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14:paraId="4BA60CC6" w14:textId="77777777" w:rsidTr="00FE0767">
        <w:trPr>
          <w:cantSplit/>
          <w:trHeight w:val="20"/>
        </w:trPr>
        <w:tc>
          <w:tcPr>
            <w:tcW w:w="9683" w:type="dxa"/>
            <w:gridSpan w:val="5"/>
            <w:tcBorders>
              <w:bottom w:val="single" w:sz="12" w:space="0" w:color="auto"/>
            </w:tcBorders>
          </w:tcPr>
          <w:p w14:paraId="591311FD" w14:textId="77777777" w:rsidR="00FE0767" w:rsidRPr="00A9645C" w:rsidRDefault="00FE0767" w:rsidP="00FE0767">
            <w:pPr>
              <w:spacing w:before="0" w:line="120" w:lineRule="auto"/>
              <w:rPr>
                <w:lang w:bidi="ar-EG"/>
              </w:rPr>
            </w:pPr>
          </w:p>
        </w:tc>
      </w:tr>
      <w:tr w:rsidR="00280E04" w14:paraId="343E1B30" w14:textId="77777777" w:rsidTr="00FE0767">
        <w:trPr>
          <w:cantSplit/>
          <w:trHeight w:val="20"/>
        </w:trPr>
        <w:tc>
          <w:tcPr>
            <w:tcW w:w="6706" w:type="dxa"/>
            <w:gridSpan w:val="2"/>
            <w:tcBorders>
              <w:top w:val="single" w:sz="12" w:space="0" w:color="auto"/>
            </w:tcBorders>
          </w:tcPr>
          <w:p w14:paraId="3C44D70E" w14:textId="77777777" w:rsidR="00280E04" w:rsidRPr="00BD6EF3" w:rsidRDefault="00280E04" w:rsidP="00FE0767">
            <w:pPr>
              <w:pStyle w:val="Adress"/>
              <w:framePr w:hSpace="0" w:wrap="auto" w:xAlign="left" w:yAlign="inline"/>
              <w:spacing w:before="0" w:after="0"/>
              <w:rPr>
                <w:rtl/>
              </w:rPr>
            </w:pPr>
          </w:p>
        </w:tc>
        <w:tc>
          <w:tcPr>
            <w:tcW w:w="2977" w:type="dxa"/>
            <w:gridSpan w:val="3"/>
            <w:tcBorders>
              <w:top w:val="single" w:sz="12" w:space="0" w:color="auto"/>
            </w:tcBorders>
          </w:tcPr>
          <w:p w14:paraId="37FB06BC" w14:textId="77777777" w:rsidR="00280E04" w:rsidRPr="00BD6EF3" w:rsidRDefault="00280E04" w:rsidP="00FE0767">
            <w:pPr>
              <w:pStyle w:val="Adress"/>
              <w:framePr w:hSpace="0" w:wrap="auto" w:xAlign="left" w:yAlign="inline"/>
              <w:spacing w:before="0" w:after="0"/>
            </w:pPr>
          </w:p>
        </w:tc>
      </w:tr>
      <w:tr w:rsidR="002E3887" w14:paraId="0CBECE66" w14:textId="77777777" w:rsidTr="00A76789">
        <w:trPr>
          <w:cantSplit/>
        </w:trPr>
        <w:tc>
          <w:tcPr>
            <w:tcW w:w="6706" w:type="dxa"/>
            <w:gridSpan w:val="2"/>
          </w:tcPr>
          <w:p w14:paraId="4DA5BF74" w14:textId="77777777" w:rsidR="002E3887" w:rsidRPr="0012545F" w:rsidRDefault="002E3887" w:rsidP="002E3887">
            <w:pPr>
              <w:pStyle w:val="Committee"/>
              <w:framePr w:hSpace="0" w:wrap="auto" w:hAnchor="text" w:yAlign="inline"/>
              <w:bidi/>
              <w:rPr>
                <w:rtl/>
              </w:rPr>
            </w:pPr>
            <w:r w:rsidRPr="005C3880">
              <w:rPr>
                <w:rtl/>
              </w:rPr>
              <w:t>الجلسة العامة</w:t>
            </w:r>
          </w:p>
        </w:tc>
        <w:tc>
          <w:tcPr>
            <w:tcW w:w="855" w:type="dxa"/>
            <w:vAlign w:val="bottom"/>
          </w:tcPr>
          <w:p w14:paraId="6AAE95C3" w14:textId="77777777" w:rsidR="002E3887" w:rsidRPr="0012545F" w:rsidRDefault="002E3887" w:rsidP="00A75D8C">
            <w:pPr>
              <w:pStyle w:val="TopHeader"/>
              <w:framePr w:hSpace="0" w:wrap="auto" w:vAnchor="margin" w:xAlign="left" w:yAlign="inline"/>
              <w:rPr>
                <w:rtl/>
              </w:rPr>
            </w:pPr>
            <w:r w:rsidRPr="00827B38">
              <w:rPr>
                <w:rtl/>
              </w:rPr>
              <w:t>الوثيقة</w:t>
            </w:r>
          </w:p>
        </w:tc>
        <w:tc>
          <w:tcPr>
            <w:tcW w:w="2122" w:type="dxa"/>
            <w:gridSpan w:val="2"/>
            <w:vAlign w:val="bottom"/>
          </w:tcPr>
          <w:p w14:paraId="46B444C3" w14:textId="7CDD3963" w:rsidR="002E3887" w:rsidRPr="0012545F" w:rsidRDefault="00A76789" w:rsidP="00A75D8C">
            <w:pPr>
              <w:pStyle w:val="TopHeader"/>
              <w:framePr w:hSpace="0" w:wrap="auto" w:vAnchor="margin" w:xAlign="left" w:yAlign="inline"/>
              <w:rPr>
                <w:rtl/>
              </w:rPr>
            </w:pPr>
            <w:r>
              <w:t>29</w:t>
            </w:r>
            <w:r w:rsidR="002E3887" w:rsidRPr="00827B38">
              <w:t>-A</w:t>
            </w:r>
          </w:p>
        </w:tc>
      </w:tr>
      <w:tr w:rsidR="00AD538E" w14:paraId="5E3D51E2" w14:textId="77777777" w:rsidTr="00A75D8C">
        <w:trPr>
          <w:cantSplit/>
        </w:trPr>
        <w:tc>
          <w:tcPr>
            <w:tcW w:w="6706" w:type="dxa"/>
            <w:gridSpan w:val="2"/>
          </w:tcPr>
          <w:p w14:paraId="0F00E591" w14:textId="77777777" w:rsidR="00AD538E" w:rsidRPr="0012545F" w:rsidRDefault="00AD538E" w:rsidP="00FE0767">
            <w:pPr>
              <w:pStyle w:val="Adress"/>
              <w:framePr w:hSpace="0" w:wrap="auto" w:xAlign="left" w:yAlign="inline"/>
              <w:spacing w:before="40" w:after="40"/>
              <w:rPr>
                <w:rtl/>
              </w:rPr>
            </w:pPr>
          </w:p>
        </w:tc>
        <w:tc>
          <w:tcPr>
            <w:tcW w:w="2977" w:type="dxa"/>
            <w:gridSpan w:val="3"/>
            <w:vAlign w:val="bottom"/>
          </w:tcPr>
          <w:p w14:paraId="30739C3B" w14:textId="35CD3D85" w:rsidR="00AD538E" w:rsidRPr="0012545F" w:rsidRDefault="00A76789" w:rsidP="00A75D8C">
            <w:pPr>
              <w:pStyle w:val="TopHeader"/>
              <w:framePr w:hSpace="0" w:wrap="auto" w:vAnchor="margin" w:xAlign="left" w:yAlign="inline"/>
              <w:rPr>
                <w:rtl/>
              </w:rPr>
            </w:pPr>
            <w:r>
              <w:rPr>
                <w:rFonts w:hint="cs"/>
                <w:rtl/>
              </w:rPr>
              <w:t xml:space="preserve">سبتمبر </w:t>
            </w:r>
            <w:r w:rsidR="003D6523">
              <w:t>2024</w:t>
            </w:r>
          </w:p>
        </w:tc>
      </w:tr>
      <w:tr w:rsidR="00AD538E" w14:paraId="51A11F39" w14:textId="77777777" w:rsidTr="00A75D8C">
        <w:trPr>
          <w:cantSplit/>
        </w:trPr>
        <w:tc>
          <w:tcPr>
            <w:tcW w:w="6706" w:type="dxa"/>
            <w:gridSpan w:val="2"/>
          </w:tcPr>
          <w:p w14:paraId="717B2BC2" w14:textId="77777777" w:rsidR="00AD538E" w:rsidRPr="004E2A5D" w:rsidRDefault="00AD538E" w:rsidP="00FE0767">
            <w:pPr>
              <w:pStyle w:val="Adress"/>
              <w:framePr w:hSpace="0" w:wrap="auto" w:xAlign="left" w:yAlign="inline"/>
              <w:spacing w:before="40" w:after="40"/>
            </w:pPr>
          </w:p>
        </w:tc>
        <w:tc>
          <w:tcPr>
            <w:tcW w:w="2977" w:type="dxa"/>
            <w:gridSpan w:val="3"/>
            <w:vAlign w:val="bottom"/>
          </w:tcPr>
          <w:p w14:paraId="1D4A9775" w14:textId="77777777" w:rsidR="00AD538E" w:rsidRPr="0012545F" w:rsidRDefault="00AD538E" w:rsidP="00A75D8C">
            <w:pPr>
              <w:pStyle w:val="TopHeader"/>
              <w:framePr w:hSpace="0" w:wrap="auto" w:vAnchor="margin" w:xAlign="left" w:yAlign="inline"/>
              <w:rPr>
                <w:rFonts w:eastAsia="SimSun"/>
              </w:rPr>
            </w:pPr>
            <w:r w:rsidRPr="00827B38">
              <w:rPr>
                <w:rtl/>
              </w:rPr>
              <w:t>الأصل:</w:t>
            </w:r>
            <w:r>
              <w:rPr>
                <w:rFonts w:hint="cs"/>
                <w:rtl/>
              </w:rPr>
              <w:t xml:space="preserve"> </w:t>
            </w:r>
            <w:r w:rsidRPr="00827B38">
              <w:rPr>
                <w:rtl/>
              </w:rPr>
              <w:t>بالإنكليزية</w:t>
            </w:r>
          </w:p>
        </w:tc>
      </w:tr>
      <w:tr w:rsidR="005C3880" w14:paraId="49CD66EC" w14:textId="77777777" w:rsidTr="00FE0767">
        <w:trPr>
          <w:cantSplit/>
        </w:trPr>
        <w:tc>
          <w:tcPr>
            <w:tcW w:w="9683" w:type="dxa"/>
            <w:gridSpan w:val="5"/>
          </w:tcPr>
          <w:p w14:paraId="2D379EA2" w14:textId="77777777" w:rsidR="005C3880" w:rsidRDefault="005C3880" w:rsidP="00EA152E">
            <w:pPr>
              <w:pStyle w:val="TopHeader"/>
              <w:framePr w:hSpace="0" w:wrap="auto" w:vAnchor="margin" w:xAlign="left" w:yAlign="inline"/>
              <w:rPr>
                <w:rFonts w:eastAsia="SimSun"/>
              </w:rPr>
            </w:pPr>
          </w:p>
        </w:tc>
      </w:tr>
      <w:tr w:rsidR="005C3880" w14:paraId="53139934" w14:textId="77777777" w:rsidTr="00FE0767">
        <w:trPr>
          <w:cantSplit/>
        </w:trPr>
        <w:tc>
          <w:tcPr>
            <w:tcW w:w="9683" w:type="dxa"/>
            <w:gridSpan w:val="5"/>
          </w:tcPr>
          <w:p w14:paraId="67F23CCE" w14:textId="71CFEE72" w:rsidR="005C3880" w:rsidRPr="003D6523" w:rsidRDefault="00A76789" w:rsidP="00A76789">
            <w:pPr>
              <w:pStyle w:val="Source"/>
              <w:rPr>
                <w:rtl/>
                <w:lang w:bidi="ar-SY"/>
              </w:rPr>
            </w:pPr>
            <w:r w:rsidRPr="00A76789">
              <w:rPr>
                <w:rtl/>
                <w:lang w:bidi="ar-SA"/>
              </w:rPr>
              <w:t>مدير مكتب تقييس الاتصالات</w:t>
            </w:r>
          </w:p>
        </w:tc>
      </w:tr>
      <w:tr w:rsidR="005C3880" w14:paraId="5E8BC7BF" w14:textId="77777777" w:rsidTr="00FE0767">
        <w:trPr>
          <w:cantSplit/>
        </w:trPr>
        <w:tc>
          <w:tcPr>
            <w:tcW w:w="9683" w:type="dxa"/>
            <w:gridSpan w:val="5"/>
          </w:tcPr>
          <w:p w14:paraId="31E94F16" w14:textId="293C599A" w:rsidR="005C3880" w:rsidRPr="00BD6EF3" w:rsidRDefault="00A76789" w:rsidP="00A76789">
            <w:pPr>
              <w:pStyle w:val="Title10"/>
              <w:framePr w:hSpace="0" w:wrap="auto" w:vAnchor="margin" w:xAlign="left" w:yAlign="inline"/>
              <w:rPr>
                <w:rtl/>
              </w:rPr>
            </w:pPr>
            <w:r w:rsidRPr="00A76789">
              <w:rPr>
                <w:rtl/>
                <w:lang w:bidi="ar-SA"/>
              </w:rPr>
              <w:t>تقرير عن أنشطة قطاع تقييس الاتصالات خلال فترة الدراسة 2022-2024</w:t>
            </w:r>
          </w:p>
        </w:tc>
      </w:tr>
      <w:tr w:rsidR="005C3880" w14:paraId="09EBBE0B" w14:textId="77777777" w:rsidTr="00FE0767">
        <w:trPr>
          <w:cantSplit/>
        </w:trPr>
        <w:tc>
          <w:tcPr>
            <w:tcW w:w="9683" w:type="dxa"/>
            <w:gridSpan w:val="5"/>
          </w:tcPr>
          <w:p w14:paraId="337AD28A" w14:textId="77777777" w:rsidR="005C3880" w:rsidRDefault="005C3880" w:rsidP="00396F22">
            <w:pPr>
              <w:pStyle w:val="Title20"/>
              <w:framePr w:hSpace="0" w:wrap="auto" w:vAnchor="margin" w:xAlign="left" w:yAlign="inline"/>
              <w:spacing w:before="0"/>
              <w:rPr>
                <w:rtl/>
              </w:rPr>
            </w:pPr>
          </w:p>
        </w:tc>
      </w:tr>
      <w:tr w:rsidR="00EA152E" w14:paraId="2A9E3777" w14:textId="77777777" w:rsidTr="00FE0767">
        <w:trPr>
          <w:cantSplit/>
        </w:trPr>
        <w:tc>
          <w:tcPr>
            <w:tcW w:w="9683" w:type="dxa"/>
            <w:gridSpan w:val="5"/>
          </w:tcPr>
          <w:p w14:paraId="33E67188" w14:textId="77777777" w:rsidR="00EA152E" w:rsidRDefault="00EA152E" w:rsidP="00396F22">
            <w:pPr>
              <w:pStyle w:val="Agendaitem"/>
              <w:spacing w:before="0" w:after="0"/>
              <w:rPr>
                <w:rtl/>
              </w:rPr>
            </w:pPr>
          </w:p>
        </w:tc>
      </w:tr>
    </w:tbl>
    <w:p w14:paraId="12C28788" w14:textId="77777777" w:rsidR="00620A07" w:rsidRDefault="00620A07"/>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126"/>
        <w:gridCol w:w="4126"/>
      </w:tblGrid>
      <w:tr w:rsidR="00EF4380" w:rsidRPr="00AD538E" w14:paraId="5D42307A" w14:textId="77777777" w:rsidTr="00EF4380">
        <w:trPr>
          <w:trHeight w:val="718"/>
        </w:trPr>
        <w:tc>
          <w:tcPr>
            <w:tcW w:w="1387" w:type="dxa"/>
            <w:shd w:val="clear" w:color="auto" w:fill="FFFFFF"/>
          </w:tcPr>
          <w:p w14:paraId="4BD621D4" w14:textId="77777777" w:rsidR="00EF4380" w:rsidRPr="00AD538E" w:rsidRDefault="00EF4380" w:rsidP="00EF4380">
            <w:pPr>
              <w:spacing w:after="40" w:line="260" w:lineRule="exact"/>
              <w:rPr>
                <w:rFonts w:eastAsia="SimSun"/>
                <w:b/>
                <w:bCs/>
                <w:position w:val="2"/>
                <w:rtl/>
                <w:lang w:val="fr-FR" w:eastAsia="zh-CN" w:bidi="ar-EG"/>
              </w:rPr>
            </w:pPr>
            <w:r w:rsidRPr="00AD538E">
              <w:rPr>
                <w:rFonts w:hint="cs"/>
                <w:b/>
                <w:bCs/>
                <w:rtl/>
              </w:rPr>
              <w:t>ملخص:</w:t>
            </w:r>
          </w:p>
        </w:tc>
        <w:tc>
          <w:tcPr>
            <w:tcW w:w="8252" w:type="dxa"/>
            <w:gridSpan w:val="2"/>
            <w:shd w:val="clear" w:color="auto" w:fill="FFFFFF"/>
          </w:tcPr>
          <w:p w14:paraId="70DCAF69" w14:textId="31A65073" w:rsidR="00EF4380" w:rsidRPr="00A76789" w:rsidRDefault="00A76789" w:rsidP="00A76789">
            <w:pPr>
              <w:pStyle w:val="Abstract"/>
              <w:rPr>
                <w:rFonts w:eastAsia="SimSun"/>
                <w:spacing w:val="4"/>
                <w:position w:val="2"/>
                <w:rtl/>
                <w:lang w:val="fr-FR" w:eastAsia="zh-CN" w:bidi="ar-EG"/>
              </w:rPr>
            </w:pPr>
            <w:r w:rsidRPr="00A76789">
              <w:rPr>
                <w:spacing w:val="4"/>
                <w:rtl/>
              </w:rPr>
              <w:t>يلخص هذا التقرير تيسير مكتب تقييس الاتصالات لأنشطة قطاع تقييس الاتصالات في فترة الدراسة 2022-2024</w:t>
            </w:r>
            <w:r w:rsidR="00EC7921">
              <w:rPr>
                <w:rFonts w:hint="cs"/>
                <w:spacing w:val="4"/>
                <w:rtl/>
              </w:rPr>
              <w:t>.</w:t>
            </w:r>
          </w:p>
        </w:tc>
      </w:tr>
      <w:tr w:rsidR="00FE0767" w:rsidRPr="00AD538E" w14:paraId="3975999C" w14:textId="77777777" w:rsidTr="00EF4380">
        <w:trPr>
          <w:trHeight w:val="1100"/>
        </w:trPr>
        <w:tc>
          <w:tcPr>
            <w:tcW w:w="1387" w:type="dxa"/>
            <w:shd w:val="clear" w:color="auto" w:fill="FFFFFF"/>
            <w:hideMark/>
          </w:tcPr>
          <w:p w14:paraId="4F4A905C" w14:textId="77777777" w:rsidR="00FE0767" w:rsidRPr="00AD538E" w:rsidRDefault="00FE0767" w:rsidP="00FE0767">
            <w:pPr>
              <w:spacing w:after="40" w:line="260" w:lineRule="exact"/>
              <w:rPr>
                <w:rFonts w:eastAsia="SimSun"/>
                <w:position w:val="2"/>
                <w:lang w:val="en-GB" w:eastAsia="zh-CN"/>
              </w:rPr>
            </w:pPr>
            <w:r w:rsidRPr="00AD538E">
              <w:rPr>
                <w:rFonts w:eastAsia="SimSun"/>
                <w:b/>
                <w:bCs/>
                <w:position w:val="2"/>
                <w:rtl/>
                <w:lang w:val="fr-FR" w:eastAsia="zh-CN" w:bidi="ar-EG"/>
              </w:rPr>
              <w:t>للاتصال:</w:t>
            </w:r>
          </w:p>
        </w:tc>
        <w:tc>
          <w:tcPr>
            <w:tcW w:w="4126" w:type="dxa"/>
            <w:shd w:val="clear" w:color="auto" w:fill="FFFFFF"/>
            <w:hideMark/>
          </w:tcPr>
          <w:p w14:paraId="7A9103AB" w14:textId="018BD295" w:rsidR="00FE0767" w:rsidRPr="00FE0767" w:rsidRDefault="00A76789" w:rsidP="00A76789">
            <w:pPr>
              <w:spacing w:after="40" w:line="260" w:lineRule="exact"/>
              <w:jc w:val="left"/>
              <w:rPr>
                <w:rFonts w:eastAsia="SimSun"/>
                <w:position w:val="2"/>
                <w:lang w:val="fr-FR" w:eastAsia="zh-CN" w:bidi="ar-EG"/>
              </w:rPr>
            </w:pPr>
            <w:r w:rsidRPr="00A76789">
              <w:rPr>
                <w:rFonts w:eastAsia="SimSun"/>
                <w:position w:val="2"/>
                <w:rtl/>
                <w:lang w:val="fr-FR" w:eastAsia="zh-CN"/>
              </w:rPr>
              <w:t>مدير مكتب تقييس الاتصالات</w:t>
            </w:r>
          </w:p>
        </w:tc>
        <w:tc>
          <w:tcPr>
            <w:tcW w:w="4126" w:type="dxa"/>
            <w:shd w:val="clear" w:color="auto" w:fill="FFFFFF"/>
          </w:tcPr>
          <w:p w14:paraId="2846A6B1" w14:textId="5CDD1859" w:rsidR="00A76789" w:rsidRDefault="00A76789" w:rsidP="00A76789">
            <w:pPr>
              <w:tabs>
                <w:tab w:val="clear" w:pos="794"/>
                <w:tab w:val="clear" w:pos="1191"/>
              </w:tabs>
              <w:spacing w:after="40" w:line="260" w:lineRule="exact"/>
              <w:rPr>
                <w:rFonts w:eastAsia="SimSun"/>
                <w:position w:val="2"/>
                <w:rtl/>
                <w:lang w:val="fr-FR" w:eastAsia="zh-CN" w:bidi="ar-EG"/>
              </w:rPr>
            </w:pPr>
            <w:r w:rsidRPr="00A76789">
              <w:rPr>
                <w:rFonts w:eastAsia="SimSun"/>
                <w:position w:val="2"/>
                <w:rtl/>
                <w:lang w:val="fr-FR" w:eastAsia="zh-CN"/>
              </w:rPr>
              <w:t>البريد الإلكتروني:</w:t>
            </w:r>
            <w:r w:rsidRPr="00A76789">
              <w:rPr>
                <w:rFonts w:eastAsia="SimSun"/>
                <w:position w:val="2"/>
                <w:rtl/>
                <w:lang w:val="fr-FR" w:eastAsia="zh-CN"/>
              </w:rPr>
              <w:tab/>
            </w:r>
            <w:hyperlink r:id="rId14" w:history="1">
              <w:r w:rsidRPr="007F5B24">
                <w:rPr>
                  <w:rStyle w:val="Hyperlink"/>
                  <w:rFonts w:eastAsia="SimSun"/>
                  <w:position w:val="2"/>
                  <w:rtl/>
                  <w:lang w:val="fr-FR" w:eastAsia="zh-CN"/>
                </w:rPr>
                <w:t>tsbdir@itu.int</w:t>
              </w:r>
            </w:hyperlink>
          </w:p>
        </w:tc>
      </w:tr>
    </w:tbl>
    <w:p w14:paraId="6C7E49BA" w14:textId="45DE6E91" w:rsidR="0012545F" w:rsidRPr="00A76789" w:rsidRDefault="0012545F" w:rsidP="00B51DC7">
      <w:pPr>
        <w:spacing w:after="240"/>
        <w:jc w:val="center"/>
        <w:rPr>
          <w:b/>
          <w:bCs/>
          <w:sz w:val="26"/>
          <w:szCs w:val="26"/>
          <w:rtl/>
        </w:rPr>
      </w:pPr>
      <w:r>
        <w:rPr>
          <w:rtl/>
        </w:rPr>
        <w:br w:type="page"/>
      </w:r>
      <w:r w:rsidR="00A76789" w:rsidRPr="00A76789">
        <w:rPr>
          <w:rFonts w:hint="cs"/>
          <w:b/>
          <w:bCs/>
          <w:sz w:val="26"/>
          <w:szCs w:val="26"/>
          <w:rtl/>
        </w:rPr>
        <w:lastRenderedPageBreak/>
        <w:t>جدول المحتويات</w:t>
      </w:r>
    </w:p>
    <w:p w14:paraId="014483A0" w14:textId="7DCCD8E9" w:rsidR="00A76789" w:rsidRPr="00A76789" w:rsidRDefault="00A76789" w:rsidP="00A76789">
      <w:pPr>
        <w:jc w:val="right"/>
        <w:rPr>
          <w:b/>
          <w:bCs/>
          <w:rtl/>
        </w:rPr>
      </w:pPr>
      <w:r w:rsidRPr="00A76789">
        <w:rPr>
          <w:rFonts w:hint="cs"/>
          <w:b/>
          <w:bCs/>
          <w:rtl/>
        </w:rPr>
        <w:t>الصفحة</w:t>
      </w:r>
    </w:p>
    <w:p w14:paraId="565314CA" w14:textId="4C2176F9" w:rsidR="00B51DC7" w:rsidRDefault="00B51DC7">
      <w:pPr>
        <w:pStyle w:val="TOC1"/>
        <w:rPr>
          <w:rFonts w:asciiTheme="minorHAnsi" w:eastAsiaTheme="minorEastAsia" w:hAnsiTheme="minorHAnsi" w:cstheme="minorBidi"/>
          <w:noProof/>
          <w:rtl/>
          <w:lang w:val="en-GB" w:eastAsia="en-GB"/>
        </w:rPr>
      </w:pPr>
      <w:r>
        <w:rPr>
          <w:lang w:bidi="ar-EG"/>
        </w:rPr>
        <w:fldChar w:fldCharType="begin"/>
      </w:r>
      <w:r>
        <w:rPr>
          <w:lang w:bidi="ar-EG"/>
        </w:rPr>
        <w:instrText xml:space="preserve"> TOC \t "Heading 1,1,Heading 2,2,Annex_title,1,Appendix_title,1" </w:instrText>
      </w:r>
      <w:r>
        <w:rPr>
          <w:lang w:bidi="ar-EG"/>
        </w:rPr>
        <w:fldChar w:fldCharType="separate"/>
      </w:r>
      <w:r>
        <w:rPr>
          <w:noProof/>
          <w:rtl/>
          <w:lang w:bidi="ar-EG"/>
        </w:rPr>
        <w:t>ملخص تنفيذي</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Toc179733598 \h</w:instrText>
      </w:r>
      <w:r>
        <w:rPr>
          <w:noProof/>
          <w:rtl/>
        </w:rPr>
        <w:instrText xml:space="preserve"> </w:instrText>
      </w:r>
      <w:r>
        <w:rPr>
          <w:noProof/>
          <w:rtl/>
        </w:rPr>
      </w:r>
      <w:r>
        <w:rPr>
          <w:noProof/>
          <w:rtl/>
        </w:rPr>
        <w:fldChar w:fldCharType="separate"/>
      </w:r>
      <w:r>
        <w:rPr>
          <w:noProof/>
          <w:rtl/>
        </w:rPr>
        <w:t>4</w:t>
      </w:r>
      <w:r>
        <w:rPr>
          <w:noProof/>
          <w:rtl/>
        </w:rPr>
        <w:fldChar w:fldCharType="end"/>
      </w:r>
    </w:p>
    <w:p w14:paraId="4C516E03" w14:textId="7267237C" w:rsidR="00B51DC7" w:rsidRDefault="00B51DC7">
      <w:pPr>
        <w:pStyle w:val="TOC1"/>
        <w:rPr>
          <w:rFonts w:asciiTheme="minorHAnsi" w:eastAsiaTheme="minorEastAsia" w:hAnsiTheme="minorHAnsi" w:cstheme="minorBidi"/>
          <w:noProof/>
          <w:rtl/>
          <w:lang w:val="en-GB" w:eastAsia="en-GB"/>
        </w:rPr>
      </w:pPr>
      <w:r>
        <w:rPr>
          <w:noProof/>
          <w:rtl/>
        </w:rPr>
        <w:t>الملحق - التقرير الكامل لأنشطة قطاع تقييس الاتصالات في فترة الدراسة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Toc179733599 \h</w:instrText>
      </w:r>
      <w:r>
        <w:rPr>
          <w:noProof/>
          <w:rtl/>
        </w:rPr>
        <w:instrText xml:space="preserve"> </w:instrText>
      </w:r>
      <w:r>
        <w:rPr>
          <w:noProof/>
          <w:rtl/>
        </w:rPr>
      </w:r>
      <w:r>
        <w:rPr>
          <w:noProof/>
          <w:rtl/>
        </w:rPr>
        <w:fldChar w:fldCharType="separate"/>
      </w:r>
      <w:r>
        <w:rPr>
          <w:noProof/>
          <w:rtl/>
        </w:rPr>
        <w:t>8</w:t>
      </w:r>
      <w:r>
        <w:rPr>
          <w:noProof/>
          <w:rtl/>
        </w:rPr>
        <w:fldChar w:fldCharType="end"/>
      </w:r>
    </w:p>
    <w:p w14:paraId="6AF640C1" w14:textId="3B53BB6D" w:rsidR="00B51DC7" w:rsidRDefault="00B51DC7">
      <w:pPr>
        <w:pStyle w:val="TOC1"/>
        <w:rPr>
          <w:rFonts w:asciiTheme="minorHAnsi" w:eastAsiaTheme="minorEastAsia" w:hAnsiTheme="minorHAnsi" w:cstheme="minorBidi"/>
          <w:noProof/>
          <w:rtl/>
          <w:lang w:val="en-GB" w:eastAsia="en-GB"/>
        </w:rPr>
      </w:pPr>
      <w:r>
        <w:rPr>
          <w:noProof/>
          <w:rtl/>
          <w:lang w:bidi="ar-EG"/>
        </w:rPr>
        <w:t>1</w:t>
      </w:r>
      <w:r>
        <w:rPr>
          <w:rFonts w:asciiTheme="minorHAnsi" w:eastAsiaTheme="minorEastAsia" w:hAnsiTheme="minorHAnsi" w:cstheme="minorBidi"/>
          <w:noProof/>
          <w:rtl/>
          <w:lang w:val="en-GB" w:eastAsia="en-GB"/>
        </w:rPr>
        <w:tab/>
      </w:r>
      <w:r>
        <w:rPr>
          <w:noProof/>
          <w:rtl/>
          <w:lang w:bidi="ar-EG"/>
        </w:rPr>
        <w:t>لجان الدراسات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Toc179733600 \h</w:instrText>
      </w:r>
      <w:r>
        <w:rPr>
          <w:noProof/>
          <w:rtl/>
        </w:rPr>
        <w:instrText xml:space="preserve"> </w:instrText>
      </w:r>
      <w:r>
        <w:rPr>
          <w:noProof/>
          <w:rtl/>
        </w:rPr>
      </w:r>
      <w:r>
        <w:rPr>
          <w:noProof/>
          <w:rtl/>
        </w:rPr>
        <w:fldChar w:fldCharType="separate"/>
      </w:r>
      <w:r>
        <w:rPr>
          <w:noProof/>
          <w:rtl/>
        </w:rPr>
        <w:t>8</w:t>
      </w:r>
      <w:r>
        <w:rPr>
          <w:noProof/>
          <w:rtl/>
        </w:rPr>
        <w:fldChar w:fldCharType="end"/>
      </w:r>
    </w:p>
    <w:p w14:paraId="041F19E3" w14:textId="35C6319E" w:rsidR="00B51DC7" w:rsidRDefault="00B51DC7">
      <w:pPr>
        <w:pStyle w:val="TOC1"/>
        <w:rPr>
          <w:rFonts w:asciiTheme="minorHAnsi" w:eastAsiaTheme="minorEastAsia" w:hAnsiTheme="minorHAnsi" w:cstheme="minorBidi"/>
          <w:noProof/>
          <w:rtl/>
          <w:lang w:val="en-GB" w:eastAsia="en-GB"/>
        </w:rPr>
      </w:pPr>
      <w:r>
        <w:rPr>
          <w:noProof/>
          <w:rtl/>
          <w:lang w:bidi="ar-EG"/>
        </w:rPr>
        <w:t>2</w:t>
      </w:r>
      <w:r>
        <w:rPr>
          <w:rFonts w:asciiTheme="minorHAnsi" w:eastAsiaTheme="minorEastAsia" w:hAnsiTheme="minorHAnsi" w:cstheme="minorBidi"/>
          <w:noProof/>
          <w:rtl/>
          <w:lang w:val="en-GB" w:eastAsia="en-GB"/>
        </w:rPr>
        <w:tab/>
      </w:r>
      <w:r>
        <w:rPr>
          <w:noProof/>
          <w:rtl/>
          <w:lang w:bidi="ar-EG"/>
        </w:rPr>
        <w:t>الأفرقة المتخصصة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Toc179733601 \h</w:instrText>
      </w:r>
      <w:r>
        <w:rPr>
          <w:noProof/>
          <w:rtl/>
        </w:rPr>
        <w:instrText xml:space="preserve"> </w:instrText>
      </w:r>
      <w:r>
        <w:rPr>
          <w:noProof/>
          <w:rtl/>
        </w:rPr>
      </w:r>
      <w:r>
        <w:rPr>
          <w:noProof/>
          <w:rtl/>
        </w:rPr>
        <w:fldChar w:fldCharType="separate"/>
      </w:r>
      <w:r>
        <w:rPr>
          <w:noProof/>
          <w:rtl/>
        </w:rPr>
        <w:t>8</w:t>
      </w:r>
      <w:r>
        <w:rPr>
          <w:noProof/>
          <w:rtl/>
        </w:rPr>
        <w:fldChar w:fldCharType="end"/>
      </w:r>
    </w:p>
    <w:p w14:paraId="3830D0FD" w14:textId="7BB30AE6" w:rsidR="00B51DC7" w:rsidRDefault="00B51DC7">
      <w:pPr>
        <w:pStyle w:val="TOC1"/>
        <w:rPr>
          <w:rFonts w:asciiTheme="minorHAnsi" w:eastAsiaTheme="minorEastAsia" w:hAnsiTheme="minorHAnsi" w:cstheme="minorBidi"/>
          <w:noProof/>
          <w:rtl/>
          <w:lang w:val="en-GB" w:eastAsia="en-GB"/>
        </w:rPr>
      </w:pPr>
      <w:r>
        <w:rPr>
          <w:noProof/>
          <w:rtl/>
          <w:lang w:bidi="ar-EG"/>
        </w:rPr>
        <w:t>3</w:t>
      </w:r>
      <w:r>
        <w:rPr>
          <w:rFonts w:asciiTheme="minorHAnsi" w:eastAsiaTheme="minorEastAsia" w:hAnsiTheme="minorHAnsi" w:cstheme="minorBidi"/>
          <w:noProof/>
          <w:rtl/>
          <w:lang w:val="en-GB" w:eastAsia="en-GB"/>
        </w:rPr>
        <w:tab/>
      </w:r>
      <w:r>
        <w:rPr>
          <w:noProof/>
          <w:rtl/>
          <w:lang w:bidi="ar-EG"/>
        </w:rPr>
        <w:t>‏ورش العمل والندوات والحلقات الدراسية الإلكترونية</w:t>
      </w:r>
      <w:r>
        <w:rPr>
          <w:noProof/>
          <w:cs/>
          <w:lang w:bidi="ar-EG"/>
        </w:rPr>
        <w:t>‎</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Toc179733602 \h</w:instrText>
      </w:r>
      <w:r>
        <w:rPr>
          <w:noProof/>
          <w:rtl/>
        </w:rPr>
        <w:instrText xml:space="preserve"> </w:instrText>
      </w:r>
      <w:r>
        <w:rPr>
          <w:noProof/>
          <w:rtl/>
        </w:rPr>
      </w:r>
      <w:r>
        <w:rPr>
          <w:noProof/>
          <w:rtl/>
        </w:rPr>
        <w:fldChar w:fldCharType="separate"/>
      </w:r>
      <w:r>
        <w:rPr>
          <w:noProof/>
          <w:rtl/>
        </w:rPr>
        <w:t>9</w:t>
      </w:r>
      <w:r>
        <w:rPr>
          <w:noProof/>
          <w:rtl/>
        </w:rPr>
        <w:fldChar w:fldCharType="end"/>
      </w:r>
    </w:p>
    <w:p w14:paraId="43CE443D" w14:textId="4BFE2E1A" w:rsidR="00B51DC7" w:rsidRDefault="00B51DC7">
      <w:pPr>
        <w:pStyle w:val="TOC1"/>
        <w:rPr>
          <w:rFonts w:asciiTheme="minorHAnsi" w:eastAsiaTheme="minorEastAsia" w:hAnsiTheme="minorHAnsi" w:cstheme="minorBidi"/>
          <w:noProof/>
          <w:rtl/>
          <w:lang w:val="en-GB" w:eastAsia="en-GB"/>
        </w:rPr>
      </w:pPr>
      <w:r>
        <w:rPr>
          <w:noProof/>
          <w:rtl/>
          <w:lang w:bidi="ar-EG"/>
        </w:rPr>
        <w:t>4</w:t>
      </w:r>
      <w:r>
        <w:rPr>
          <w:rFonts w:asciiTheme="minorHAnsi" w:eastAsiaTheme="minorEastAsia" w:hAnsiTheme="minorHAnsi" w:cstheme="minorBidi"/>
          <w:noProof/>
          <w:rtl/>
          <w:lang w:val="en-GB" w:eastAsia="en-GB"/>
        </w:rPr>
        <w:tab/>
      </w:r>
      <w:r>
        <w:rPr>
          <w:noProof/>
          <w:rtl/>
          <w:lang w:bidi="ar-EG"/>
        </w:rPr>
        <w:t>المشاركة عن بُعد</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Toc179733603 \h</w:instrText>
      </w:r>
      <w:r>
        <w:rPr>
          <w:noProof/>
          <w:rtl/>
        </w:rPr>
        <w:instrText xml:space="preserve"> </w:instrText>
      </w:r>
      <w:r>
        <w:rPr>
          <w:noProof/>
          <w:rtl/>
        </w:rPr>
      </w:r>
      <w:r>
        <w:rPr>
          <w:noProof/>
          <w:rtl/>
        </w:rPr>
        <w:fldChar w:fldCharType="separate"/>
      </w:r>
      <w:r>
        <w:rPr>
          <w:noProof/>
          <w:rtl/>
        </w:rPr>
        <w:t>9</w:t>
      </w:r>
      <w:r>
        <w:rPr>
          <w:noProof/>
          <w:rtl/>
        </w:rPr>
        <w:fldChar w:fldCharType="end"/>
      </w:r>
    </w:p>
    <w:p w14:paraId="5B1CB931" w14:textId="10AAA7B9" w:rsidR="00B51DC7" w:rsidRDefault="00B51DC7">
      <w:pPr>
        <w:pStyle w:val="TOC1"/>
        <w:rPr>
          <w:rFonts w:asciiTheme="minorHAnsi" w:eastAsiaTheme="minorEastAsia" w:hAnsiTheme="minorHAnsi" w:cstheme="minorBidi"/>
          <w:noProof/>
          <w:rtl/>
          <w:lang w:val="en-GB" w:eastAsia="en-GB"/>
        </w:rPr>
      </w:pPr>
      <w:r>
        <w:rPr>
          <w:noProof/>
          <w:rtl/>
          <w:lang w:bidi="ar-EG"/>
        </w:rPr>
        <w:t>5</w:t>
      </w:r>
      <w:r>
        <w:rPr>
          <w:rFonts w:asciiTheme="minorHAnsi" w:eastAsiaTheme="minorEastAsia" w:hAnsiTheme="minorHAnsi" w:cstheme="minorBidi"/>
          <w:noProof/>
          <w:rtl/>
          <w:lang w:val="en-GB" w:eastAsia="en-GB"/>
        </w:rPr>
        <w:tab/>
      </w:r>
      <w:r>
        <w:rPr>
          <w:noProof/>
          <w:rtl/>
          <w:lang w:bidi="ar-EG"/>
        </w:rPr>
        <w:t>مبادرات التعاون</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Toc179733604 \h</w:instrText>
      </w:r>
      <w:r>
        <w:rPr>
          <w:noProof/>
          <w:rtl/>
        </w:rPr>
        <w:instrText xml:space="preserve"> </w:instrText>
      </w:r>
      <w:r>
        <w:rPr>
          <w:noProof/>
          <w:rtl/>
        </w:rPr>
      </w:r>
      <w:r>
        <w:rPr>
          <w:noProof/>
          <w:rtl/>
        </w:rPr>
        <w:fldChar w:fldCharType="separate"/>
      </w:r>
      <w:r>
        <w:rPr>
          <w:noProof/>
          <w:rtl/>
        </w:rPr>
        <w:t>10</w:t>
      </w:r>
      <w:r>
        <w:rPr>
          <w:noProof/>
          <w:rtl/>
        </w:rPr>
        <w:fldChar w:fldCharType="end"/>
      </w:r>
    </w:p>
    <w:p w14:paraId="77F96F41" w14:textId="23B676CD" w:rsidR="00B51DC7" w:rsidRDefault="00B51DC7">
      <w:pPr>
        <w:pStyle w:val="TOC2"/>
        <w:rPr>
          <w:rFonts w:asciiTheme="minorHAnsi" w:eastAsiaTheme="minorEastAsia" w:hAnsiTheme="minorHAnsi" w:cstheme="minorBidi"/>
          <w:noProof/>
          <w:rtl/>
          <w:lang w:val="en-GB" w:eastAsia="en-GB"/>
        </w:rPr>
      </w:pPr>
      <w:r>
        <w:rPr>
          <w:noProof/>
          <w:lang w:bidi="ar-EG"/>
        </w:rPr>
        <w:t>1.5</w:t>
      </w:r>
      <w:r>
        <w:rPr>
          <w:rFonts w:asciiTheme="minorHAnsi" w:eastAsiaTheme="minorEastAsia" w:hAnsiTheme="minorHAnsi" w:cstheme="minorBidi"/>
          <w:noProof/>
          <w:rtl/>
          <w:lang w:val="en-GB" w:eastAsia="en-GB"/>
        </w:rPr>
        <w:tab/>
      </w:r>
      <w:r>
        <w:rPr>
          <w:noProof/>
          <w:rtl/>
          <w:lang w:bidi="ar-EG"/>
        </w:rPr>
        <w:t>التعاون العالمي بشأن المعايير</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Toc179733605 \h</w:instrText>
      </w:r>
      <w:r>
        <w:rPr>
          <w:noProof/>
          <w:rtl/>
        </w:rPr>
        <w:instrText xml:space="preserve"> </w:instrText>
      </w:r>
      <w:r>
        <w:rPr>
          <w:noProof/>
          <w:rtl/>
        </w:rPr>
      </w:r>
      <w:r>
        <w:rPr>
          <w:noProof/>
          <w:rtl/>
        </w:rPr>
        <w:fldChar w:fldCharType="separate"/>
      </w:r>
      <w:r>
        <w:rPr>
          <w:noProof/>
          <w:rtl/>
        </w:rPr>
        <w:t>10</w:t>
      </w:r>
      <w:r>
        <w:rPr>
          <w:noProof/>
          <w:rtl/>
        </w:rPr>
        <w:fldChar w:fldCharType="end"/>
      </w:r>
    </w:p>
    <w:p w14:paraId="372E0461" w14:textId="397E0FCE" w:rsidR="00B51DC7" w:rsidRDefault="00B51DC7">
      <w:pPr>
        <w:pStyle w:val="TOC2"/>
        <w:rPr>
          <w:rFonts w:asciiTheme="minorHAnsi" w:eastAsiaTheme="minorEastAsia" w:hAnsiTheme="minorHAnsi" w:cstheme="minorBidi"/>
          <w:noProof/>
          <w:rtl/>
          <w:lang w:val="en-GB" w:eastAsia="en-GB"/>
        </w:rPr>
      </w:pPr>
      <w:r>
        <w:rPr>
          <w:noProof/>
          <w:lang w:bidi="ar-EG"/>
        </w:rPr>
        <w:t>2.5</w:t>
      </w:r>
      <w:r>
        <w:rPr>
          <w:rFonts w:asciiTheme="minorHAnsi" w:eastAsiaTheme="minorEastAsia" w:hAnsiTheme="minorHAnsi" w:cstheme="minorBidi"/>
          <w:noProof/>
          <w:rtl/>
          <w:lang w:val="en-GB" w:eastAsia="en-GB"/>
        </w:rPr>
        <w:tab/>
      </w:r>
      <w:r>
        <w:rPr>
          <w:noProof/>
          <w:rtl/>
          <w:lang w:bidi="ar-EG"/>
        </w:rPr>
        <w:t>الذكاء الاصطناعي وتعلُّم الآلة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Toc179733606 \h</w:instrText>
      </w:r>
      <w:r>
        <w:rPr>
          <w:noProof/>
          <w:rtl/>
        </w:rPr>
        <w:instrText xml:space="preserve"> </w:instrText>
      </w:r>
      <w:r>
        <w:rPr>
          <w:noProof/>
          <w:rtl/>
        </w:rPr>
      </w:r>
      <w:r>
        <w:rPr>
          <w:noProof/>
          <w:rtl/>
        </w:rPr>
        <w:fldChar w:fldCharType="separate"/>
      </w:r>
      <w:r>
        <w:rPr>
          <w:noProof/>
          <w:rtl/>
        </w:rPr>
        <w:t>11</w:t>
      </w:r>
      <w:r>
        <w:rPr>
          <w:noProof/>
          <w:rtl/>
        </w:rPr>
        <w:fldChar w:fldCharType="end"/>
      </w:r>
    </w:p>
    <w:p w14:paraId="7B6AC923" w14:textId="5E5C9265" w:rsidR="00B51DC7" w:rsidRDefault="00B51DC7">
      <w:pPr>
        <w:pStyle w:val="TOC2"/>
        <w:rPr>
          <w:rFonts w:asciiTheme="minorHAnsi" w:eastAsiaTheme="minorEastAsia" w:hAnsiTheme="minorHAnsi" w:cstheme="minorBidi"/>
          <w:noProof/>
          <w:rtl/>
          <w:lang w:val="en-GB" w:eastAsia="en-GB"/>
        </w:rPr>
      </w:pPr>
      <w:r>
        <w:rPr>
          <w:noProof/>
          <w:lang w:bidi="ar-EG"/>
        </w:rPr>
        <w:t>3.5</w:t>
      </w:r>
      <w:r>
        <w:rPr>
          <w:rFonts w:asciiTheme="minorHAnsi" w:eastAsiaTheme="minorEastAsia" w:hAnsiTheme="minorHAnsi" w:cstheme="minorBidi"/>
          <w:noProof/>
          <w:rtl/>
          <w:lang w:val="en-GB" w:eastAsia="en-GB"/>
        </w:rPr>
        <w:tab/>
      </w:r>
      <w:r>
        <w:rPr>
          <w:noProof/>
          <w:rtl/>
          <w:lang w:bidi="ar-EG"/>
        </w:rPr>
        <w:t>التحول الرقمي للمدن والمجتمعات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Toc179733607 \h</w:instrText>
      </w:r>
      <w:r>
        <w:rPr>
          <w:noProof/>
          <w:rtl/>
        </w:rPr>
        <w:instrText xml:space="preserve"> </w:instrText>
      </w:r>
      <w:r>
        <w:rPr>
          <w:noProof/>
          <w:rtl/>
        </w:rPr>
      </w:r>
      <w:r>
        <w:rPr>
          <w:noProof/>
          <w:rtl/>
        </w:rPr>
        <w:fldChar w:fldCharType="separate"/>
      </w:r>
      <w:r>
        <w:rPr>
          <w:noProof/>
          <w:rtl/>
        </w:rPr>
        <w:t>14</w:t>
      </w:r>
      <w:r>
        <w:rPr>
          <w:noProof/>
          <w:rtl/>
        </w:rPr>
        <w:fldChar w:fldCharType="end"/>
      </w:r>
    </w:p>
    <w:p w14:paraId="4AB343FE" w14:textId="7C7C2F6A" w:rsidR="00B51DC7" w:rsidRDefault="00B51DC7">
      <w:pPr>
        <w:pStyle w:val="TOC2"/>
        <w:rPr>
          <w:rFonts w:asciiTheme="minorHAnsi" w:eastAsiaTheme="minorEastAsia" w:hAnsiTheme="minorHAnsi" w:cstheme="minorBidi"/>
          <w:noProof/>
          <w:rtl/>
          <w:lang w:val="en-GB" w:eastAsia="en-GB"/>
        </w:rPr>
      </w:pPr>
      <w:r>
        <w:rPr>
          <w:noProof/>
          <w:rtl/>
          <w:lang w:bidi="ar-EG"/>
        </w:rPr>
        <w:t>4.5</w:t>
      </w:r>
      <w:r>
        <w:rPr>
          <w:rFonts w:asciiTheme="minorHAnsi" w:eastAsiaTheme="minorEastAsia" w:hAnsiTheme="minorHAnsi" w:cstheme="minorBidi"/>
          <w:noProof/>
          <w:rtl/>
          <w:lang w:val="en-GB" w:eastAsia="en-GB"/>
        </w:rPr>
        <w:tab/>
      </w:r>
      <w:r>
        <w:rPr>
          <w:noProof/>
          <w:rtl/>
          <w:lang w:bidi="ar-EG"/>
        </w:rPr>
        <w:t>الشمول المالي الرقمي والتكنولوجيات المالية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Toc179733608 \h</w:instrText>
      </w:r>
      <w:r>
        <w:rPr>
          <w:noProof/>
          <w:rtl/>
        </w:rPr>
        <w:instrText xml:space="preserve"> </w:instrText>
      </w:r>
      <w:r>
        <w:rPr>
          <w:noProof/>
          <w:rtl/>
        </w:rPr>
      </w:r>
      <w:r>
        <w:rPr>
          <w:noProof/>
          <w:rtl/>
        </w:rPr>
        <w:fldChar w:fldCharType="separate"/>
      </w:r>
      <w:r>
        <w:rPr>
          <w:noProof/>
          <w:rtl/>
        </w:rPr>
        <w:t>15</w:t>
      </w:r>
      <w:r>
        <w:rPr>
          <w:noProof/>
          <w:rtl/>
        </w:rPr>
        <w:fldChar w:fldCharType="end"/>
      </w:r>
    </w:p>
    <w:p w14:paraId="5A443FEA" w14:textId="39E4EA32" w:rsidR="00B51DC7" w:rsidRDefault="00B51DC7">
      <w:pPr>
        <w:pStyle w:val="TOC2"/>
        <w:rPr>
          <w:rFonts w:asciiTheme="minorHAnsi" w:eastAsiaTheme="minorEastAsia" w:hAnsiTheme="minorHAnsi" w:cstheme="minorBidi"/>
          <w:noProof/>
          <w:rtl/>
          <w:lang w:val="en-GB" w:eastAsia="en-GB"/>
        </w:rPr>
      </w:pPr>
      <w:r>
        <w:rPr>
          <w:noProof/>
          <w:rtl/>
          <w:lang w:bidi="ar-EG"/>
        </w:rPr>
        <w:t>5.5</w:t>
      </w:r>
      <w:r>
        <w:rPr>
          <w:rFonts w:asciiTheme="minorHAnsi" w:eastAsiaTheme="minorEastAsia" w:hAnsiTheme="minorHAnsi" w:cstheme="minorBidi"/>
          <w:noProof/>
          <w:rtl/>
          <w:lang w:val="en-GB" w:eastAsia="en-GB"/>
        </w:rPr>
        <w:tab/>
      </w:r>
      <w:r>
        <w:rPr>
          <w:noProof/>
          <w:rtl/>
          <w:lang w:bidi="ar-EG"/>
        </w:rPr>
        <w:t>أنظمة النقل الذكية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Toc179733609 \h</w:instrText>
      </w:r>
      <w:r>
        <w:rPr>
          <w:noProof/>
          <w:rtl/>
        </w:rPr>
        <w:instrText xml:space="preserve"> </w:instrText>
      </w:r>
      <w:r>
        <w:rPr>
          <w:noProof/>
          <w:rtl/>
        </w:rPr>
      </w:r>
      <w:r>
        <w:rPr>
          <w:noProof/>
          <w:rtl/>
        </w:rPr>
        <w:fldChar w:fldCharType="separate"/>
      </w:r>
      <w:r>
        <w:rPr>
          <w:noProof/>
          <w:rtl/>
        </w:rPr>
        <w:t>17</w:t>
      </w:r>
      <w:r>
        <w:rPr>
          <w:noProof/>
          <w:rtl/>
        </w:rPr>
        <w:fldChar w:fldCharType="end"/>
      </w:r>
    </w:p>
    <w:p w14:paraId="0754C948" w14:textId="7F7DA6DF" w:rsidR="00B51DC7" w:rsidRDefault="00B51DC7">
      <w:pPr>
        <w:pStyle w:val="TOC2"/>
        <w:rPr>
          <w:rFonts w:asciiTheme="minorHAnsi" w:eastAsiaTheme="minorEastAsia" w:hAnsiTheme="minorHAnsi" w:cstheme="minorBidi"/>
          <w:noProof/>
          <w:rtl/>
          <w:lang w:val="en-GB" w:eastAsia="en-GB"/>
        </w:rPr>
      </w:pPr>
      <w:r>
        <w:rPr>
          <w:noProof/>
          <w:lang w:bidi="ar-EG"/>
        </w:rPr>
        <w:t>6.5</w:t>
      </w:r>
      <w:r>
        <w:rPr>
          <w:rFonts w:asciiTheme="minorHAnsi" w:eastAsiaTheme="minorEastAsia" w:hAnsiTheme="minorHAnsi" w:cstheme="minorBidi"/>
          <w:noProof/>
          <w:rtl/>
          <w:lang w:val="en-GB" w:eastAsia="en-GB"/>
        </w:rPr>
        <w:tab/>
      </w:r>
      <w:r>
        <w:rPr>
          <w:noProof/>
          <w:rtl/>
          <w:lang w:bidi="ar-EG"/>
        </w:rPr>
        <w:t>العمل الرقمي الأخضر</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Toc179733610 \h</w:instrText>
      </w:r>
      <w:r>
        <w:rPr>
          <w:noProof/>
          <w:rtl/>
        </w:rPr>
        <w:instrText xml:space="preserve"> </w:instrText>
      </w:r>
      <w:r>
        <w:rPr>
          <w:noProof/>
          <w:rtl/>
        </w:rPr>
      </w:r>
      <w:r>
        <w:rPr>
          <w:noProof/>
          <w:rtl/>
        </w:rPr>
        <w:fldChar w:fldCharType="separate"/>
      </w:r>
      <w:r>
        <w:rPr>
          <w:noProof/>
          <w:rtl/>
        </w:rPr>
        <w:t>17</w:t>
      </w:r>
      <w:r>
        <w:rPr>
          <w:noProof/>
          <w:rtl/>
        </w:rPr>
        <w:fldChar w:fldCharType="end"/>
      </w:r>
    </w:p>
    <w:p w14:paraId="5ABA7764" w14:textId="15B5E88E" w:rsidR="00B51DC7" w:rsidRDefault="00B51DC7">
      <w:pPr>
        <w:pStyle w:val="TOC2"/>
        <w:rPr>
          <w:rFonts w:asciiTheme="minorHAnsi" w:eastAsiaTheme="minorEastAsia" w:hAnsiTheme="minorHAnsi" w:cstheme="minorBidi"/>
          <w:noProof/>
          <w:rtl/>
          <w:lang w:val="en-GB" w:eastAsia="en-GB"/>
        </w:rPr>
      </w:pPr>
      <w:r>
        <w:rPr>
          <w:noProof/>
          <w:lang w:bidi="ar-EG"/>
        </w:rPr>
        <w:t>7.5</w:t>
      </w:r>
      <w:r>
        <w:rPr>
          <w:rFonts w:asciiTheme="minorHAnsi" w:eastAsiaTheme="minorEastAsia" w:hAnsiTheme="minorHAnsi" w:cstheme="minorBidi"/>
          <w:noProof/>
          <w:rtl/>
          <w:lang w:val="en-GB" w:eastAsia="en-GB"/>
        </w:rPr>
        <w:tab/>
      </w:r>
      <w:r>
        <w:rPr>
          <w:noProof/>
          <w:rtl/>
          <w:lang w:bidi="ar-EG"/>
        </w:rPr>
        <w:t>الكبلات البحرية والعمل المناخي</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Toc179733611 \h</w:instrText>
      </w:r>
      <w:r>
        <w:rPr>
          <w:noProof/>
          <w:rtl/>
        </w:rPr>
        <w:instrText xml:space="preserve"> </w:instrText>
      </w:r>
      <w:r>
        <w:rPr>
          <w:noProof/>
          <w:rtl/>
        </w:rPr>
      </w:r>
      <w:r>
        <w:rPr>
          <w:noProof/>
          <w:rtl/>
        </w:rPr>
        <w:fldChar w:fldCharType="separate"/>
      </w:r>
      <w:r>
        <w:rPr>
          <w:noProof/>
          <w:rtl/>
        </w:rPr>
        <w:t>18</w:t>
      </w:r>
      <w:r>
        <w:rPr>
          <w:noProof/>
          <w:rtl/>
        </w:rPr>
        <w:fldChar w:fldCharType="end"/>
      </w:r>
    </w:p>
    <w:p w14:paraId="3E8325EC" w14:textId="74738F93" w:rsidR="00B51DC7" w:rsidRDefault="00B51DC7">
      <w:pPr>
        <w:pStyle w:val="TOC2"/>
        <w:rPr>
          <w:rFonts w:asciiTheme="minorHAnsi" w:eastAsiaTheme="minorEastAsia" w:hAnsiTheme="minorHAnsi" w:cstheme="minorBidi"/>
          <w:noProof/>
          <w:rtl/>
          <w:lang w:val="en-GB" w:eastAsia="en-GB"/>
        </w:rPr>
      </w:pPr>
      <w:r>
        <w:rPr>
          <w:noProof/>
          <w:rtl/>
          <w:lang w:bidi="ar-EG"/>
        </w:rPr>
        <w:t>8.5</w:t>
      </w:r>
      <w:r>
        <w:rPr>
          <w:rFonts w:asciiTheme="minorHAnsi" w:eastAsiaTheme="minorEastAsia" w:hAnsiTheme="minorHAnsi" w:cstheme="minorBidi"/>
          <w:noProof/>
          <w:rtl/>
          <w:lang w:val="en-GB" w:eastAsia="en-GB"/>
        </w:rPr>
        <w:tab/>
      </w:r>
      <w:r>
        <w:rPr>
          <w:noProof/>
          <w:rtl/>
          <w:lang w:bidi="ar-EG"/>
        </w:rPr>
        <w:t>الاستماع الآمن والرعاية الصحية عن بُعد المتاحة للجميع</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Toc179733612 \h</w:instrText>
      </w:r>
      <w:r>
        <w:rPr>
          <w:noProof/>
          <w:rtl/>
        </w:rPr>
        <w:instrText xml:space="preserve"> </w:instrText>
      </w:r>
      <w:r>
        <w:rPr>
          <w:noProof/>
          <w:rtl/>
        </w:rPr>
      </w:r>
      <w:r>
        <w:rPr>
          <w:noProof/>
          <w:rtl/>
        </w:rPr>
        <w:fldChar w:fldCharType="separate"/>
      </w:r>
      <w:r>
        <w:rPr>
          <w:noProof/>
          <w:rtl/>
        </w:rPr>
        <w:t>18</w:t>
      </w:r>
      <w:r>
        <w:rPr>
          <w:noProof/>
          <w:rtl/>
        </w:rPr>
        <w:fldChar w:fldCharType="end"/>
      </w:r>
    </w:p>
    <w:p w14:paraId="4852AC78" w14:textId="1647CB53" w:rsidR="00B51DC7" w:rsidRDefault="00B51DC7">
      <w:pPr>
        <w:pStyle w:val="TOC2"/>
        <w:rPr>
          <w:rFonts w:asciiTheme="minorHAnsi" w:eastAsiaTheme="minorEastAsia" w:hAnsiTheme="minorHAnsi" w:cstheme="minorBidi"/>
          <w:noProof/>
          <w:rtl/>
          <w:lang w:val="en-GB" w:eastAsia="en-GB"/>
        </w:rPr>
      </w:pPr>
      <w:r>
        <w:rPr>
          <w:noProof/>
          <w:lang w:bidi="ar-EG"/>
        </w:rPr>
        <w:t>9.5</w:t>
      </w:r>
      <w:r>
        <w:rPr>
          <w:rFonts w:asciiTheme="minorHAnsi" w:eastAsiaTheme="minorEastAsia" w:hAnsiTheme="minorHAnsi" w:cstheme="minorBidi"/>
          <w:noProof/>
          <w:rtl/>
          <w:lang w:val="en-GB" w:eastAsia="en-GB"/>
        </w:rPr>
        <w:tab/>
      </w:r>
      <w:r>
        <w:rPr>
          <w:noProof/>
          <w:rtl/>
          <w:lang w:bidi="ar-EG"/>
        </w:rPr>
        <w:t>اجتماعات كبار مسؤولي التكنولوجيا وكبار المسؤولين التنفيذيين</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Toc179733613 \h</w:instrText>
      </w:r>
      <w:r>
        <w:rPr>
          <w:noProof/>
          <w:rtl/>
        </w:rPr>
        <w:instrText xml:space="preserve"> </w:instrText>
      </w:r>
      <w:r>
        <w:rPr>
          <w:noProof/>
          <w:rtl/>
        </w:rPr>
      </w:r>
      <w:r>
        <w:rPr>
          <w:noProof/>
          <w:rtl/>
        </w:rPr>
        <w:fldChar w:fldCharType="separate"/>
      </w:r>
      <w:r>
        <w:rPr>
          <w:noProof/>
          <w:rtl/>
        </w:rPr>
        <w:t>19</w:t>
      </w:r>
      <w:r>
        <w:rPr>
          <w:noProof/>
          <w:rtl/>
        </w:rPr>
        <w:fldChar w:fldCharType="end"/>
      </w:r>
    </w:p>
    <w:p w14:paraId="26AF5A5A" w14:textId="215FFB8D" w:rsidR="00B51DC7" w:rsidRDefault="00B51DC7">
      <w:pPr>
        <w:pStyle w:val="TOC1"/>
        <w:rPr>
          <w:rFonts w:asciiTheme="minorHAnsi" w:eastAsiaTheme="minorEastAsia" w:hAnsiTheme="minorHAnsi" w:cstheme="minorBidi"/>
          <w:noProof/>
          <w:rtl/>
          <w:lang w:val="en-GB" w:eastAsia="en-GB"/>
        </w:rPr>
      </w:pPr>
      <w:r>
        <w:rPr>
          <w:noProof/>
          <w:rtl/>
          <w:lang w:bidi="ar-EG"/>
        </w:rPr>
        <w:t>6</w:t>
      </w:r>
      <w:r>
        <w:rPr>
          <w:rFonts w:asciiTheme="minorHAnsi" w:eastAsiaTheme="minorEastAsia" w:hAnsiTheme="minorHAnsi" w:cstheme="minorBidi"/>
          <w:noProof/>
          <w:rtl/>
          <w:lang w:val="en-GB" w:eastAsia="en-GB"/>
        </w:rPr>
        <w:tab/>
      </w:r>
      <w:r>
        <w:rPr>
          <w:noProof/>
          <w:rtl/>
          <w:lang w:bidi="ar-EG"/>
        </w:rPr>
        <w:t>الهيئات الأكاديمية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Toc179733614 \h</w:instrText>
      </w:r>
      <w:r>
        <w:rPr>
          <w:noProof/>
          <w:rtl/>
        </w:rPr>
        <w:instrText xml:space="preserve"> </w:instrText>
      </w:r>
      <w:r>
        <w:rPr>
          <w:noProof/>
          <w:rtl/>
        </w:rPr>
      </w:r>
      <w:r>
        <w:rPr>
          <w:noProof/>
          <w:rtl/>
        </w:rPr>
        <w:fldChar w:fldCharType="separate"/>
      </w:r>
      <w:r>
        <w:rPr>
          <w:noProof/>
          <w:rtl/>
        </w:rPr>
        <w:t>19</w:t>
      </w:r>
      <w:r>
        <w:rPr>
          <w:noProof/>
          <w:rtl/>
        </w:rPr>
        <w:fldChar w:fldCharType="end"/>
      </w:r>
    </w:p>
    <w:p w14:paraId="3029F19C" w14:textId="5604289D" w:rsidR="00B51DC7" w:rsidRDefault="00B51DC7">
      <w:pPr>
        <w:pStyle w:val="TOC2"/>
        <w:rPr>
          <w:rFonts w:asciiTheme="minorHAnsi" w:eastAsiaTheme="minorEastAsia" w:hAnsiTheme="minorHAnsi" w:cstheme="minorBidi"/>
          <w:noProof/>
          <w:rtl/>
          <w:lang w:val="en-GB" w:eastAsia="en-GB"/>
        </w:rPr>
      </w:pPr>
      <w:r>
        <w:rPr>
          <w:noProof/>
          <w:rtl/>
          <w:lang w:bidi="ar-EG"/>
        </w:rPr>
        <w:t>1.6</w:t>
      </w:r>
      <w:r>
        <w:rPr>
          <w:rFonts w:asciiTheme="minorHAnsi" w:eastAsiaTheme="minorEastAsia" w:hAnsiTheme="minorHAnsi" w:cstheme="minorBidi"/>
          <w:noProof/>
          <w:rtl/>
          <w:lang w:val="en-GB" w:eastAsia="en-GB"/>
        </w:rPr>
        <w:tab/>
      </w:r>
      <w:r>
        <w:rPr>
          <w:noProof/>
          <w:rtl/>
          <w:lang w:bidi="ar-EG"/>
        </w:rPr>
        <w:t>الجريدة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Toc179733615 \h</w:instrText>
      </w:r>
      <w:r>
        <w:rPr>
          <w:noProof/>
          <w:rtl/>
        </w:rPr>
        <w:instrText xml:space="preserve"> </w:instrText>
      </w:r>
      <w:r>
        <w:rPr>
          <w:noProof/>
          <w:rtl/>
        </w:rPr>
      </w:r>
      <w:r>
        <w:rPr>
          <w:noProof/>
          <w:rtl/>
        </w:rPr>
        <w:fldChar w:fldCharType="separate"/>
      </w:r>
      <w:r>
        <w:rPr>
          <w:noProof/>
          <w:rtl/>
        </w:rPr>
        <w:t>19</w:t>
      </w:r>
      <w:r>
        <w:rPr>
          <w:noProof/>
          <w:rtl/>
        </w:rPr>
        <w:fldChar w:fldCharType="end"/>
      </w:r>
    </w:p>
    <w:p w14:paraId="5426A904" w14:textId="53A6C60F" w:rsidR="00B51DC7" w:rsidRDefault="00B51DC7">
      <w:pPr>
        <w:pStyle w:val="TOC2"/>
        <w:rPr>
          <w:rFonts w:asciiTheme="minorHAnsi" w:eastAsiaTheme="minorEastAsia" w:hAnsiTheme="minorHAnsi" w:cstheme="minorBidi"/>
          <w:noProof/>
          <w:rtl/>
          <w:lang w:val="en-GB" w:eastAsia="en-GB"/>
        </w:rPr>
      </w:pPr>
      <w:r>
        <w:rPr>
          <w:noProof/>
          <w:lang w:bidi="ar-EG"/>
        </w:rPr>
        <w:t>2.6</w:t>
      </w:r>
      <w:r>
        <w:rPr>
          <w:rFonts w:asciiTheme="minorHAnsi" w:eastAsiaTheme="minorEastAsia" w:hAnsiTheme="minorHAnsi" w:cstheme="minorBidi"/>
          <w:noProof/>
          <w:rtl/>
          <w:lang w:val="en-GB" w:eastAsia="en-GB"/>
        </w:rPr>
        <w:tab/>
      </w:r>
      <w:r>
        <w:rPr>
          <w:noProof/>
          <w:rtl/>
          <w:lang w:bidi="ar-EG"/>
        </w:rPr>
        <w:t>مؤتمرات كاليدوسكوب الأكاديمية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Toc179733616 \h</w:instrText>
      </w:r>
      <w:r>
        <w:rPr>
          <w:noProof/>
          <w:rtl/>
        </w:rPr>
        <w:instrText xml:space="preserve"> </w:instrText>
      </w:r>
      <w:r>
        <w:rPr>
          <w:noProof/>
          <w:rtl/>
        </w:rPr>
      </w:r>
      <w:r>
        <w:rPr>
          <w:noProof/>
          <w:rtl/>
        </w:rPr>
        <w:fldChar w:fldCharType="separate"/>
      </w:r>
      <w:r>
        <w:rPr>
          <w:noProof/>
          <w:rtl/>
        </w:rPr>
        <w:t>20</w:t>
      </w:r>
      <w:r>
        <w:rPr>
          <w:noProof/>
          <w:rtl/>
        </w:rPr>
        <w:fldChar w:fldCharType="end"/>
      </w:r>
    </w:p>
    <w:p w14:paraId="6A2ED2E5" w14:textId="36F061F8" w:rsidR="00B51DC7" w:rsidRDefault="00B51DC7">
      <w:pPr>
        <w:pStyle w:val="TOC1"/>
        <w:rPr>
          <w:rFonts w:asciiTheme="minorHAnsi" w:eastAsiaTheme="minorEastAsia" w:hAnsiTheme="minorHAnsi" w:cstheme="minorBidi"/>
          <w:noProof/>
          <w:rtl/>
          <w:lang w:val="en-GB" w:eastAsia="en-GB"/>
        </w:rPr>
      </w:pPr>
      <w:r>
        <w:rPr>
          <w:noProof/>
          <w:rtl/>
          <w:lang w:bidi="ar-EG"/>
        </w:rPr>
        <w:t>‏7‏</w:t>
      </w:r>
      <w:r>
        <w:rPr>
          <w:rFonts w:asciiTheme="minorHAnsi" w:eastAsiaTheme="minorEastAsia" w:hAnsiTheme="minorHAnsi" w:cstheme="minorBidi"/>
          <w:noProof/>
          <w:rtl/>
          <w:lang w:val="en-GB" w:eastAsia="en-GB"/>
        </w:rPr>
        <w:tab/>
      </w:r>
      <w:r>
        <w:rPr>
          <w:noProof/>
          <w:rtl/>
          <w:lang w:bidi="ar-EG"/>
        </w:rPr>
        <w:t>برنامج المطابقة وقابلية التشغيل البيني</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Toc179733617 \h</w:instrText>
      </w:r>
      <w:r>
        <w:rPr>
          <w:noProof/>
          <w:rtl/>
        </w:rPr>
        <w:instrText xml:space="preserve"> </w:instrText>
      </w:r>
      <w:r>
        <w:rPr>
          <w:noProof/>
          <w:rtl/>
        </w:rPr>
      </w:r>
      <w:r>
        <w:rPr>
          <w:noProof/>
          <w:rtl/>
        </w:rPr>
        <w:fldChar w:fldCharType="separate"/>
      </w:r>
      <w:r>
        <w:rPr>
          <w:noProof/>
          <w:rtl/>
        </w:rPr>
        <w:t>21</w:t>
      </w:r>
      <w:r>
        <w:rPr>
          <w:noProof/>
          <w:rtl/>
        </w:rPr>
        <w:fldChar w:fldCharType="end"/>
      </w:r>
    </w:p>
    <w:p w14:paraId="215D903B" w14:textId="5E94CB9F" w:rsidR="00B51DC7" w:rsidRDefault="00B51DC7">
      <w:pPr>
        <w:pStyle w:val="TOC1"/>
        <w:rPr>
          <w:rFonts w:asciiTheme="minorHAnsi" w:eastAsiaTheme="minorEastAsia" w:hAnsiTheme="minorHAnsi" w:cstheme="minorBidi"/>
          <w:noProof/>
          <w:rtl/>
          <w:lang w:val="en-GB" w:eastAsia="en-GB"/>
        </w:rPr>
      </w:pPr>
      <w:r>
        <w:rPr>
          <w:noProof/>
          <w:rtl/>
          <w:lang w:bidi="ar-EG"/>
        </w:rPr>
        <w:t>8</w:t>
      </w:r>
      <w:r>
        <w:rPr>
          <w:rFonts w:asciiTheme="minorHAnsi" w:eastAsiaTheme="minorEastAsia" w:hAnsiTheme="minorHAnsi" w:cstheme="minorBidi"/>
          <w:noProof/>
          <w:rtl/>
          <w:lang w:val="en-GB" w:eastAsia="en-GB"/>
        </w:rPr>
        <w:tab/>
      </w:r>
      <w:r>
        <w:rPr>
          <w:noProof/>
          <w:rtl/>
        </w:rPr>
        <w:t>العضوية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Toc179733618 \h</w:instrText>
      </w:r>
      <w:r>
        <w:rPr>
          <w:noProof/>
          <w:rtl/>
        </w:rPr>
        <w:instrText xml:space="preserve"> </w:instrText>
      </w:r>
      <w:r>
        <w:rPr>
          <w:noProof/>
          <w:rtl/>
        </w:rPr>
      </w:r>
      <w:r>
        <w:rPr>
          <w:noProof/>
          <w:rtl/>
        </w:rPr>
        <w:fldChar w:fldCharType="separate"/>
      </w:r>
      <w:r>
        <w:rPr>
          <w:noProof/>
          <w:rtl/>
        </w:rPr>
        <w:t>22</w:t>
      </w:r>
      <w:r>
        <w:rPr>
          <w:noProof/>
          <w:rtl/>
        </w:rPr>
        <w:fldChar w:fldCharType="end"/>
      </w:r>
    </w:p>
    <w:p w14:paraId="1D72F6A3" w14:textId="7BB197C9" w:rsidR="00B51DC7" w:rsidRDefault="00B51DC7">
      <w:pPr>
        <w:pStyle w:val="TOC1"/>
        <w:rPr>
          <w:rFonts w:asciiTheme="minorHAnsi" w:eastAsiaTheme="minorEastAsia" w:hAnsiTheme="minorHAnsi" w:cstheme="minorBidi"/>
          <w:noProof/>
          <w:rtl/>
          <w:lang w:val="en-GB" w:eastAsia="en-GB"/>
        </w:rPr>
      </w:pPr>
      <w:r>
        <w:rPr>
          <w:noProof/>
          <w:rtl/>
          <w:lang w:bidi="ar-EG"/>
        </w:rPr>
        <w:t>9</w:t>
      </w:r>
      <w:r>
        <w:rPr>
          <w:rFonts w:asciiTheme="minorHAnsi" w:eastAsiaTheme="minorEastAsia" w:hAnsiTheme="minorHAnsi" w:cstheme="minorBidi"/>
          <w:noProof/>
          <w:rtl/>
          <w:lang w:val="en-GB" w:eastAsia="en-GB"/>
        </w:rPr>
        <w:tab/>
      </w:r>
      <w:r>
        <w:rPr>
          <w:noProof/>
          <w:rtl/>
          <w:lang w:bidi="ar-EG"/>
        </w:rPr>
        <w:t>سد الفجوة التقييسية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Toc179733619 \h</w:instrText>
      </w:r>
      <w:r>
        <w:rPr>
          <w:noProof/>
          <w:rtl/>
        </w:rPr>
        <w:instrText xml:space="preserve"> </w:instrText>
      </w:r>
      <w:r>
        <w:rPr>
          <w:noProof/>
          <w:rtl/>
        </w:rPr>
      </w:r>
      <w:r>
        <w:rPr>
          <w:noProof/>
          <w:rtl/>
        </w:rPr>
        <w:fldChar w:fldCharType="separate"/>
      </w:r>
      <w:r>
        <w:rPr>
          <w:noProof/>
          <w:rtl/>
        </w:rPr>
        <w:t>24</w:t>
      </w:r>
      <w:r>
        <w:rPr>
          <w:noProof/>
          <w:rtl/>
        </w:rPr>
        <w:fldChar w:fldCharType="end"/>
      </w:r>
    </w:p>
    <w:p w14:paraId="5E6C7E77" w14:textId="43417A18" w:rsidR="00B51DC7" w:rsidRDefault="00B51DC7">
      <w:pPr>
        <w:pStyle w:val="TOC1"/>
        <w:rPr>
          <w:rFonts w:asciiTheme="minorHAnsi" w:eastAsiaTheme="minorEastAsia" w:hAnsiTheme="minorHAnsi" w:cstheme="minorBidi"/>
          <w:noProof/>
          <w:rtl/>
          <w:lang w:val="en-GB" w:eastAsia="en-GB"/>
        </w:rPr>
      </w:pPr>
      <w:r>
        <w:rPr>
          <w:noProof/>
          <w:rtl/>
          <w:lang w:bidi="ar-EG"/>
        </w:rPr>
        <w:t>10</w:t>
      </w:r>
      <w:r>
        <w:rPr>
          <w:rFonts w:asciiTheme="minorHAnsi" w:eastAsiaTheme="minorEastAsia" w:hAnsiTheme="minorHAnsi" w:cstheme="minorBidi"/>
          <w:noProof/>
          <w:rtl/>
          <w:lang w:val="en-GB" w:eastAsia="en-GB"/>
        </w:rPr>
        <w:tab/>
      </w:r>
      <w:r>
        <w:rPr>
          <w:noProof/>
          <w:rtl/>
          <w:lang w:bidi="ar-EG"/>
        </w:rPr>
        <w:t>المساواة بين الجنسين</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Toc179733620 \h</w:instrText>
      </w:r>
      <w:r>
        <w:rPr>
          <w:noProof/>
          <w:rtl/>
        </w:rPr>
        <w:instrText xml:space="preserve"> </w:instrText>
      </w:r>
      <w:r>
        <w:rPr>
          <w:noProof/>
          <w:rtl/>
        </w:rPr>
      </w:r>
      <w:r>
        <w:rPr>
          <w:noProof/>
          <w:rtl/>
        </w:rPr>
        <w:fldChar w:fldCharType="separate"/>
      </w:r>
      <w:r>
        <w:rPr>
          <w:noProof/>
          <w:rtl/>
        </w:rPr>
        <w:t>26</w:t>
      </w:r>
      <w:r>
        <w:rPr>
          <w:noProof/>
          <w:rtl/>
        </w:rPr>
        <w:fldChar w:fldCharType="end"/>
      </w:r>
    </w:p>
    <w:p w14:paraId="033C7E5D" w14:textId="0B93DE5C" w:rsidR="00B51DC7" w:rsidRDefault="00B51DC7">
      <w:pPr>
        <w:pStyle w:val="TOC1"/>
        <w:rPr>
          <w:rFonts w:asciiTheme="minorHAnsi" w:eastAsiaTheme="minorEastAsia" w:hAnsiTheme="minorHAnsi" w:cstheme="minorBidi"/>
          <w:noProof/>
          <w:rtl/>
          <w:lang w:val="en-GB" w:eastAsia="en-GB"/>
        </w:rPr>
      </w:pPr>
      <w:r>
        <w:rPr>
          <w:noProof/>
          <w:rtl/>
          <w:lang w:bidi="ar-EG"/>
        </w:rPr>
        <w:t>11</w:t>
      </w:r>
      <w:r>
        <w:rPr>
          <w:rFonts w:asciiTheme="minorHAnsi" w:eastAsiaTheme="minorEastAsia" w:hAnsiTheme="minorHAnsi" w:cstheme="minorBidi"/>
          <w:noProof/>
          <w:rtl/>
          <w:lang w:val="en-GB" w:eastAsia="en-GB"/>
        </w:rPr>
        <w:tab/>
      </w:r>
      <w:r>
        <w:rPr>
          <w:noProof/>
          <w:rtl/>
          <w:lang w:bidi="ar-EG"/>
        </w:rPr>
        <w:t>المنشورات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Toc179733621 \h</w:instrText>
      </w:r>
      <w:r>
        <w:rPr>
          <w:noProof/>
          <w:rtl/>
        </w:rPr>
        <w:instrText xml:space="preserve"> </w:instrText>
      </w:r>
      <w:r>
        <w:rPr>
          <w:noProof/>
          <w:rtl/>
        </w:rPr>
      </w:r>
      <w:r>
        <w:rPr>
          <w:noProof/>
          <w:rtl/>
        </w:rPr>
        <w:fldChar w:fldCharType="separate"/>
      </w:r>
      <w:r>
        <w:rPr>
          <w:noProof/>
          <w:rtl/>
        </w:rPr>
        <w:t>28</w:t>
      </w:r>
      <w:r>
        <w:rPr>
          <w:noProof/>
          <w:rtl/>
        </w:rPr>
        <w:fldChar w:fldCharType="end"/>
      </w:r>
    </w:p>
    <w:p w14:paraId="42C8752D" w14:textId="45A8C990" w:rsidR="00B51DC7" w:rsidRDefault="00B51DC7">
      <w:pPr>
        <w:pStyle w:val="TOC1"/>
        <w:rPr>
          <w:rFonts w:asciiTheme="minorHAnsi" w:eastAsiaTheme="minorEastAsia" w:hAnsiTheme="minorHAnsi" w:cstheme="minorBidi"/>
          <w:noProof/>
          <w:rtl/>
          <w:lang w:val="en-GB" w:eastAsia="en-GB"/>
        </w:rPr>
      </w:pPr>
      <w:r>
        <w:rPr>
          <w:noProof/>
          <w:rtl/>
          <w:lang w:bidi="ar-EG"/>
        </w:rPr>
        <w:t>12</w:t>
      </w:r>
      <w:r>
        <w:rPr>
          <w:rFonts w:asciiTheme="minorHAnsi" w:eastAsiaTheme="minorEastAsia" w:hAnsiTheme="minorHAnsi" w:cstheme="minorBidi"/>
          <w:noProof/>
          <w:rtl/>
          <w:lang w:val="en-GB" w:eastAsia="en-GB"/>
        </w:rPr>
        <w:tab/>
      </w:r>
      <w:r>
        <w:rPr>
          <w:noProof/>
          <w:rtl/>
          <w:lang w:bidi="ar-EG"/>
        </w:rPr>
        <w:t>أساليب العمل الإلكترونية وتطبيقات قواعد البيانات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Toc179733622 \h</w:instrText>
      </w:r>
      <w:r>
        <w:rPr>
          <w:noProof/>
          <w:rtl/>
        </w:rPr>
        <w:instrText xml:space="preserve"> </w:instrText>
      </w:r>
      <w:r>
        <w:rPr>
          <w:noProof/>
          <w:rtl/>
        </w:rPr>
      </w:r>
      <w:r>
        <w:rPr>
          <w:noProof/>
          <w:rtl/>
        </w:rPr>
        <w:fldChar w:fldCharType="separate"/>
      </w:r>
      <w:r>
        <w:rPr>
          <w:noProof/>
          <w:rtl/>
        </w:rPr>
        <w:t>30</w:t>
      </w:r>
      <w:r>
        <w:rPr>
          <w:noProof/>
          <w:rtl/>
        </w:rPr>
        <w:fldChar w:fldCharType="end"/>
      </w:r>
    </w:p>
    <w:p w14:paraId="1F440C74" w14:textId="59464028" w:rsidR="00B51DC7" w:rsidRDefault="00B51DC7">
      <w:pPr>
        <w:pStyle w:val="TOC2"/>
        <w:rPr>
          <w:rFonts w:asciiTheme="minorHAnsi" w:eastAsiaTheme="minorEastAsia" w:hAnsiTheme="minorHAnsi" w:cstheme="minorBidi"/>
          <w:noProof/>
          <w:rtl/>
          <w:lang w:val="en-GB" w:eastAsia="en-GB"/>
        </w:rPr>
      </w:pPr>
      <w:r>
        <w:rPr>
          <w:noProof/>
          <w:lang w:bidi="ar-EG"/>
        </w:rPr>
        <w:t>1.12</w:t>
      </w:r>
      <w:r>
        <w:rPr>
          <w:rFonts w:asciiTheme="minorHAnsi" w:eastAsiaTheme="minorEastAsia" w:hAnsiTheme="minorHAnsi" w:cstheme="minorBidi"/>
          <w:noProof/>
          <w:rtl/>
          <w:lang w:val="en-GB" w:eastAsia="en-GB"/>
        </w:rPr>
        <w:tab/>
      </w:r>
      <w:r>
        <w:rPr>
          <w:noProof/>
          <w:rtl/>
          <w:lang w:bidi="ar-EG"/>
        </w:rPr>
        <w:t>الأدوات والتطبيقات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Toc179733623 \h</w:instrText>
      </w:r>
      <w:r>
        <w:rPr>
          <w:noProof/>
          <w:rtl/>
        </w:rPr>
        <w:instrText xml:space="preserve"> </w:instrText>
      </w:r>
      <w:r>
        <w:rPr>
          <w:noProof/>
          <w:rtl/>
        </w:rPr>
      </w:r>
      <w:r>
        <w:rPr>
          <w:noProof/>
          <w:rtl/>
        </w:rPr>
        <w:fldChar w:fldCharType="separate"/>
      </w:r>
      <w:r>
        <w:rPr>
          <w:noProof/>
          <w:rtl/>
        </w:rPr>
        <w:t>31</w:t>
      </w:r>
      <w:r>
        <w:rPr>
          <w:noProof/>
          <w:rtl/>
        </w:rPr>
        <w:fldChar w:fldCharType="end"/>
      </w:r>
    </w:p>
    <w:p w14:paraId="109E851A" w14:textId="732F3D63" w:rsidR="00B51DC7" w:rsidRDefault="00B51DC7">
      <w:pPr>
        <w:pStyle w:val="TOC2"/>
        <w:rPr>
          <w:rFonts w:asciiTheme="minorHAnsi" w:eastAsiaTheme="minorEastAsia" w:hAnsiTheme="minorHAnsi" w:cstheme="minorBidi"/>
          <w:noProof/>
          <w:rtl/>
          <w:lang w:val="en-GB" w:eastAsia="en-GB"/>
        </w:rPr>
      </w:pPr>
      <w:r>
        <w:rPr>
          <w:noProof/>
          <w:lang w:bidi="ar-EG"/>
        </w:rPr>
        <w:t>2.12</w:t>
      </w:r>
      <w:r>
        <w:rPr>
          <w:rFonts w:asciiTheme="minorHAnsi" w:eastAsiaTheme="minorEastAsia" w:hAnsiTheme="minorHAnsi" w:cstheme="minorBidi"/>
          <w:noProof/>
          <w:rtl/>
          <w:lang w:val="en-GB" w:eastAsia="en-GB"/>
        </w:rPr>
        <w:tab/>
      </w:r>
      <w:r>
        <w:rPr>
          <w:noProof/>
          <w:rtl/>
        </w:rPr>
        <w:t>تطبيقات الويب</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Toc179733624 \h</w:instrText>
      </w:r>
      <w:r>
        <w:rPr>
          <w:noProof/>
          <w:rtl/>
        </w:rPr>
        <w:instrText xml:space="preserve"> </w:instrText>
      </w:r>
      <w:r>
        <w:rPr>
          <w:noProof/>
          <w:rtl/>
        </w:rPr>
      </w:r>
      <w:r>
        <w:rPr>
          <w:noProof/>
          <w:rtl/>
        </w:rPr>
        <w:fldChar w:fldCharType="separate"/>
      </w:r>
      <w:r>
        <w:rPr>
          <w:noProof/>
          <w:rtl/>
        </w:rPr>
        <w:t>32</w:t>
      </w:r>
      <w:r>
        <w:rPr>
          <w:noProof/>
          <w:rtl/>
        </w:rPr>
        <w:fldChar w:fldCharType="end"/>
      </w:r>
    </w:p>
    <w:p w14:paraId="2C64EA72" w14:textId="6747FB0F" w:rsidR="00B51DC7" w:rsidRDefault="00B51DC7">
      <w:pPr>
        <w:pStyle w:val="TOC1"/>
        <w:rPr>
          <w:rFonts w:asciiTheme="minorHAnsi" w:eastAsiaTheme="minorEastAsia" w:hAnsiTheme="minorHAnsi" w:cstheme="minorBidi"/>
          <w:noProof/>
          <w:rtl/>
          <w:lang w:val="en-GB" w:eastAsia="en-GB"/>
        </w:rPr>
      </w:pPr>
      <w:r>
        <w:rPr>
          <w:noProof/>
          <w:rtl/>
        </w:rPr>
        <w:t xml:space="preserve">التذييل </w:t>
      </w:r>
      <w:r>
        <w:rPr>
          <w:noProof/>
          <w:lang w:bidi="ar-EG"/>
        </w:rPr>
        <w:t>I</w:t>
      </w:r>
      <w:r>
        <w:rPr>
          <w:noProof/>
          <w:rtl/>
        </w:rPr>
        <w:t>:</w:t>
      </w:r>
      <w:r>
        <w:rPr>
          <w:rFonts w:hint="cs"/>
          <w:noProof/>
          <w:rtl/>
        </w:rPr>
        <w:t xml:space="preserve"> </w:t>
      </w:r>
      <w:r>
        <w:rPr>
          <w:noProof/>
          <w:rtl/>
        </w:rPr>
        <w:t>عدم حضور نواب الرؤساء</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Toc179733625 \h</w:instrText>
      </w:r>
      <w:r>
        <w:rPr>
          <w:noProof/>
          <w:rtl/>
        </w:rPr>
        <w:instrText xml:space="preserve"> </w:instrText>
      </w:r>
      <w:r>
        <w:rPr>
          <w:noProof/>
          <w:rtl/>
        </w:rPr>
      </w:r>
      <w:r>
        <w:rPr>
          <w:noProof/>
          <w:rtl/>
        </w:rPr>
        <w:fldChar w:fldCharType="separate"/>
      </w:r>
      <w:r>
        <w:rPr>
          <w:noProof/>
          <w:rtl/>
        </w:rPr>
        <w:t>35</w:t>
      </w:r>
      <w:r>
        <w:rPr>
          <w:noProof/>
          <w:rtl/>
        </w:rPr>
        <w:fldChar w:fldCharType="end"/>
      </w:r>
    </w:p>
    <w:p w14:paraId="7211DCF5" w14:textId="20218A87" w:rsidR="00EC7921" w:rsidRDefault="00B51DC7" w:rsidP="00EC7921">
      <w:pPr>
        <w:rPr>
          <w:lang w:bidi="ar-EG"/>
        </w:rPr>
      </w:pPr>
      <w:r>
        <w:rPr>
          <w:lang w:bidi="ar-EG"/>
        </w:rPr>
        <w:fldChar w:fldCharType="end"/>
      </w:r>
    </w:p>
    <w:p w14:paraId="41CC10F8" w14:textId="77777777" w:rsidR="00EC7921" w:rsidRDefault="00EC7921" w:rsidP="00EC7921">
      <w:pPr>
        <w:rPr>
          <w:lang w:bidi="ar-EG"/>
        </w:rPr>
      </w:pPr>
      <w:r>
        <w:rPr>
          <w:lang w:bidi="ar-EG"/>
        </w:rPr>
        <w:br w:type="page"/>
      </w:r>
    </w:p>
    <w:p w14:paraId="4CD6D145" w14:textId="74FE610C" w:rsidR="00B51DC7" w:rsidRPr="00B51DC7" w:rsidRDefault="00B51DC7" w:rsidP="00EC7921">
      <w:pPr>
        <w:spacing w:before="480" w:after="120"/>
        <w:jc w:val="center"/>
        <w:rPr>
          <w:b/>
          <w:bCs/>
          <w:rtl/>
        </w:rPr>
      </w:pPr>
      <w:r w:rsidRPr="00B51DC7">
        <w:rPr>
          <w:rFonts w:hint="cs"/>
          <w:b/>
          <w:bCs/>
          <w:rtl/>
        </w:rPr>
        <w:lastRenderedPageBreak/>
        <w:t>قائمة بالجداول</w:t>
      </w:r>
    </w:p>
    <w:p w14:paraId="608FF32C" w14:textId="77777777" w:rsidR="00EC7921" w:rsidRPr="00A76789" w:rsidRDefault="00EC7921" w:rsidP="00EC7921">
      <w:pPr>
        <w:jc w:val="right"/>
        <w:rPr>
          <w:b/>
          <w:bCs/>
          <w:rtl/>
        </w:rPr>
      </w:pPr>
      <w:r w:rsidRPr="00A76789">
        <w:rPr>
          <w:rFonts w:hint="cs"/>
          <w:b/>
          <w:bCs/>
          <w:rtl/>
        </w:rPr>
        <w:t>الصفحة</w:t>
      </w:r>
    </w:p>
    <w:p w14:paraId="23EACB4E" w14:textId="302DF8C3" w:rsidR="00B51DC7" w:rsidRPr="00B51DC7" w:rsidRDefault="00B51DC7" w:rsidP="00B51DC7">
      <w:pPr>
        <w:pStyle w:val="TOC1"/>
        <w:ind w:left="0" w:firstLine="0"/>
        <w:rPr>
          <w:rFonts w:asciiTheme="minorHAnsi" w:eastAsiaTheme="minorEastAsia" w:hAnsiTheme="minorHAnsi" w:cstheme="minorBidi"/>
          <w:noProof/>
          <w:spacing w:val="-6"/>
          <w:rtl/>
          <w:lang w:val="en-GB" w:eastAsia="en-GB"/>
        </w:rPr>
      </w:pPr>
      <w:r>
        <w:rPr>
          <w:rtl/>
        </w:rPr>
        <w:fldChar w:fldCharType="begin"/>
      </w:r>
      <w:r>
        <w:rPr>
          <w:rtl/>
        </w:rPr>
        <w:instrText xml:space="preserve"> </w:instrText>
      </w:r>
      <w:r>
        <w:instrText>TOC</w:instrText>
      </w:r>
      <w:r>
        <w:rPr>
          <w:rtl/>
        </w:rPr>
        <w:instrText xml:space="preserve"> \</w:instrText>
      </w:r>
      <w:r>
        <w:instrText>t "Table_title,1</w:instrText>
      </w:r>
      <w:r>
        <w:rPr>
          <w:rtl/>
        </w:rPr>
        <w:instrText xml:space="preserve">" </w:instrText>
      </w:r>
      <w:r>
        <w:rPr>
          <w:rtl/>
        </w:rPr>
        <w:fldChar w:fldCharType="separate"/>
      </w:r>
      <w:r w:rsidRPr="00B51DC7">
        <w:rPr>
          <w:noProof/>
          <w:spacing w:val="-6"/>
          <w:rtl/>
        </w:rPr>
        <w:t xml:space="preserve">الجدول 1 - ‏قائمة الأفرقة المتخصصة التابعة لقطاع تقييس الاتصالات  والتي اختتمت أعمالها في فترة الدراسة </w:t>
      </w:r>
      <w:r w:rsidRPr="00B51DC7">
        <w:rPr>
          <w:noProof/>
          <w:spacing w:val="-6"/>
          <w:cs/>
        </w:rPr>
        <w:t>‎</w:t>
      </w:r>
      <w:r w:rsidRPr="00B51DC7">
        <w:rPr>
          <w:noProof/>
          <w:spacing w:val="-6"/>
        </w:rPr>
        <w:t>2024-2022</w:t>
      </w:r>
      <w:r w:rsidRPr="00B51DC7">
        <w:rPr>
          <w:noProof/>
          <w:spacing w:val="-6"/>
          <w:rtl/>
        </w:rPr>
        <w:tab/>
      </w:r>
      <w:r>
        <w:rPr>
          <w:noProof/>
          <w:spacing w:val="-6"/>
        </w:rPr>
        <w:tab/>
      </w:r>
      <w:r w:rsidRPr="00B51DC7">
        <w:rPr>
          <w:noProof/>
          <w:spacing w:val="-6"/>
          <w:rtl/>
        </w:rPr>
        <w:fldChar w:fldCharType="begin"/>
      </w:r>
      <w:r w:rsidRPr="00B51DC7">
        <w:rPr>
          <w:noProof/>
          <w:spacing w:val="-6"/>
          <w:rtl/>
        </w:rPr>
        <w:instrText xml:space="preserve"> </w:instrText>
      </w:r>
      <w:r w:rsidRPr="00B51DC7">
        <w:rPr>
          <w:noProof/>
          <w:spacing w:val="-6"/>
        </w:rPr>
        <w:instrText>PAGEREF</w:instrText>
      </w:r>
      <w:r w:rsidRPr="00B51DC7">
        <w:rPr>
          <w:noProof/>
          <w:spacing w:val="-6"/>
          <w:rtl/>
        </w:rPr>
        <w:instrText xml:space="preserve"> _</w:instrText>
      </w:r>
      <w:r w:rsidRPr="00B51DC7">
        <w:rPr>
          <w:noProof/>
          <w:spacing w:val="-6"/>
        </w:rPr>
        <w:instrText>Toc179733680 \h</w:instrText>
      </w:r>
      <w:r w:rsidRPr="00B51DC7">
        <w:rPr>
          <w:noProof/>
          <w:spacing w:val="-6"/>
          <w:rtl/>
        </w:rPr>
        <w:instrText xml:space="preserve"> </w:instrText>
      </w:r>
      <w:r w:rsidRPr="00B51DC7">
        <w:rPr>
          <w:noProof/>
          <w:spacing w:val="-6"/>
          <w:rtl/>
        </w:rPr>
      </w:r>
      <w:r w:rsidRPr="00B51DC7">
        <w:rPr>
          <w:noProof/>
          <w:spacing w:val="-6"/>
          <w:rtl/>
        </w:rPr>
        <w:fldChar w:fldCharType="separate"/>
      </w:r>
      <w:r>
        <w:rPr>
          <w:noProof/>
          <w:spacing w:val="-6"/>
          <w:rtl/>
        </w:rPr>
        <w:t>9</w:t>
      </w:r>
      <w:r w:rsidRPr="00B51DC7">
        <w:rPr>
          <w:noProof/>
          <w:spacing w:val="-6"/>
          <w:rtl/>
        </w:rPr>
        <w:fldChar w:fldCharType="end"/>
      </w:r>
    </w:p>
    <w:p w14:paraId="0186303A" w14:textId="7FD31A5A" w:rsidR="00B51DC7" w:rsidRDefault="00B51DC7" w:rsidP="00B51DC7">
      <w:pPr>
        <w:pStyle w:val="TOC1"/>
        <w:ind w:left="0" w:firstLine="0"/>
        <w:rPr>
          <w:rFonts w:asciiTheme="minorHAnsi" w:eastAsiaTheme="minorEastAsia" w:hAnsiTheme="minorHAnsi" w:cstheme="minorBidi"/>
          <w:noProof/>
          <w:rtl/>
          <w:lang w:val="en-GB" w:eastAsia="en-GB"/>
        </w:rPr>
      </w:pPr>
      <w:r>
        <w:rPr>
          <w:noProof/>
          <w:rtl/>
        </w:rPr>
        <w:t>الجدول 2 - تطور عضوية قطاع تقييس الاتصالات منذ عام 2012</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Toc179733681 \h</w:instrText>
      </w:r>
      <w:r>
        <w:rPr>
          <w:noProof/>
          <w:rtl/>
        </w:rPr>
        <w:instrText xml:space="preserve"> </w:instrText>
      </w:r>
      <w:r>
        <w:rPr>
          <w:noProof/>
          <w:rtl/>
        </w:rPr>
      </w:r>
      <w:r>
        <w:rPr>
          <w:noProof/>
          <w:rtl/>
        </w:rPr>
        <w:fldChar w:fldCharType="separate"/>
      </w:r>
      <w:r>
        <w:rPr>
          <w:noProof/>
          <w:rtl/>
        </w:rPr>
        <w:t>23</w:t>
      </w:r>
      <w:r>
        <w:rPr>
          <w:noProof/>
          <w:rtl/>
        </w:rPr>
        <w:fldChar w:fldCharType="end"/>
      </w:r>
    </w:p>
    <w:p w14:paraId="13F4E017" w14:textId="7DAC505E" w:rsidR="00B51DC7" w:rsidRDefault="00B51DC7" w:rsidP="00B51DC7">
      <w:pPr>
        <w:pStyle w:val="TOC1"/>
        <w:ind w:left="0" w:firstLine="0"/>
        <w:rPr>
          <w:rFonts w:asciiTheme="minorHAnsi" w:eastAsiaTheme="minorEastAsia" w:hAnsiTheme="minorHAnsi" w:cstheme="minorBidi"/>
          <w:noProof/>
          <w:rtl/>
          <w:lang w:val="en-GB" w:eastAsia="en-GB"/>
        </w:rPr>
      </w:pPr>
      <w:r>
        <w:rPr>
          <w:noProof/>
          <w:rtl/>
        </w:rPr>
        <w:t>الجدول 3 - قائمة القوائم البريدية والمشتركين في فترة الدراسة 2022-2024</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Toc179733682 \h</w:instrText>
      </w:r>
      <w:r>
        <w:rPr>
          <w:noProof/>
          <w:rtl/>
        </w:rPr>
        <w:instrText xml:space="preserve"> </w:instrText>
      </w:r>
      <w:r>
        <w:rPr>
          <w:noProof/>
          <w:rtl/>
        </w:rPr>
      </w:r>
      <w:r>
        <w:rPr>
          <w:noProof/>
          <w:rtl/>
        </w:rPr>
        <w:fldChar w:fldCharType="separate"/>
      </w:r>
      <w:r>
        <w:rPr>
          <w:noProof/>
          <w:rtl/>
        </w:rPr>
        <w:t>34</w:t>
      </w:r>
      <w:r>
        <w:rPr>
          <w:noProof/>
          <w:rtl/>
        </w:rPr>
        <w:fldChar w:fldCharType="end"/>
      </w:r>
    </w:p>
    <w:p w14:paraId="501A1A86" w14:textId="15E316C2" w:rsidR="00B51DC7" w:rsidRPr="00B51DC7" w:rsidRDefault="00B51DC7" w:rsidP="00EC7921">
      <w:pPr>
        <w:spacing w:before="480" w:after="120"/>
        <w:jc w:val="center"/>
        <w:rPr>
          <w:b/>
          <w:bCs/>
          <w:rtl/>
        </w:rPr>
      </w:pPr>
      <w:r>
        <w:rPr>
          <w:rtl/>
        </w:rPr>
        <w:fldChar w:fldCharType="end"/>
      </w:r>
      <w:r w:rsidRPr="00B51DC7">
        <w:rPr>
          <w:rFonts w:hint="cs"/>
          <w:b/>
          <w:bCs/>
          <w:rtl/>
        </w:rPr>
        <w:t>قائمة بالأشكال</w:t>
      </w:r>
    </w:p>
    <w:p w14:paraId="0D70CE8E" w14:textId="77777777" w:rsidR="00EC7921" w:rsidRPr="00A76789" w:rsidRDefault="00EC7921" w:rsidP="00EC7921">
      <w:pPr>
        <w:jc w:val="right"/>
        <w:rPr>
          <w:b/>
          <w:bCs/>
          <w:rtl/>
        </w:rPr>
      </w:pPr>
      <w:r w:rsidRPr="00A76789">
        <w:rPr>
          <w:rFonts w:hint="cs"/>
          <w:b/>
          <w:bCs/>
          <w:rtl/>
        </w:rPr>
        <w:t>الصفحة</w:t>
      </w:r>
    </w:p>
    <w:p w14:paraId="6099B6E3" w14:textId="65785A7E" w:rsidR="00B51DC7" w:rsidRDefault="00B51DC7" w:rsidP="00B51DC7">
      <w:pPr>
        <w:pStyle w:val="TOC1"/>
        <w:ind w:left="0" w:firstLine="0"/>
        <w:rPr>
          <w:rFonts w:asciiTheme="minorHAnsi" w:eastAsiaTheme="minorEastAsia" w:hAnsiTheme="minorHAnsi" w:cstheme="minorBidi"/>
          <w:noProof/>
          <w:rtl/>
          <w:lang w:val="en-GB" w:eastAsia="en-GB"/>
        </w:rPr>
      </w:pPr>
      <w:r>
        <w:rPr>
          <w:rtl/>
        </w:rPr>
        <w:fldChar w:fldCharType="begin"/>
      </w:r>
      <w:r>
        <w:rPr>
          <w:rtl/>
        </w:rPr>
        <w:instrText xml:space="preserve"> </w:instrText>
      </w:r>
      <w:r>
        <w:instrText>TOC</w:instrText>
      </w:r>
      <w:r>
        <w:rPr>
          <w:rtl/>
        </w:rPr>
        <w:instrText xml:space="preserve"> \</w:instrText>
      </w:r>
      <w:r>
        <w:instrText>t "Figure_title,1</w:instrText>
      </w:r>
      <w:r>
        <w:rPr>
          <w:rtl/>
        </w:rPr>
        <w:instrText xml:space="preserve">" </w:instrText>
      </w:r>
      <w:r>
        <w:rPr>
          <w:rtl/>
        </w:rPr>
        <w:fldChar w:fldCharType="separate"/>
      </w:r>
      <w:r>
        <w:rPr>
          <w:noProof/>
          <w:rtl/>
          <w:lang w:bidi="ar-EG"/>
        </w:rPr>
        <w:t>الشكل 1 - المشاركة عن بُعد والاجتماعات الإلكترونية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Toc179733701 \h</w:instrText>
      </w:r>
      <w:r>
        <w:rPr>
          <w:noProof/>
          <w:rtl/>
        </w:rPr>
        <w:instrText xml:space="preserve"> </w:instrText>
      </w:r>
      <w:r>
        <w:rPr>
          <w:noProof/>
          <w:rtl/>
        </w:rPr>
      </w:r>
      <w:r>
        <w:rPr>
          <w:noProof/>
          <w:rtl/>
        </w:rPr>
        <w:fldChar w:fldCharType="separate"/>
      </w:r>
      <w:r w:rsidR="00EC7921">
        <w:rPr>
          <w:noProof/>
          <w:rtl/>
        </w:rPr>
        <w:t>10</w:t>
      </w:r>
      <w:r>
        <w:rPr>
          <w:noProof/>
          <w:rtl/>
        </w:rPr>
        <w:fldChar w:fldCharType="end"/>
      </w:r>
    </w:p>
    <w:p w14:paraId="040A127D" w14:textId="59C51608"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2 - تطور عضوية قطاع تقييس الاتصالات منذ عام 2012</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Toc179733702 \h</w:instrText>
      </w:r>
      <w:r>
        <w:rPr>
          <w:noProof/>
          <w:rtl/>
        </w:rPr>
        <w:instrText xml:space="preserve"> </w:instrText>
      </w:r>
      <w:r>
        <w:rPr>
          <w:noProof/>
          <w:rtl/>
        </w:rPr>
      </w:r>
      <w:r>
        <w:rPr>
          <w:noProof/>
          <w:rtl/>
        </w:rPr>
        <w:fldChar w:fldCharType="separate"/>
      </w:r>
      <w:r w:rsidR="00EC7921">
        <w:rPr>
          <w:noProof/>
          <w:rtl/>
        </w:rPr>
        <w:t>24</w:t>
      </w:r>
      <w:r>
        <w:rPr>
          <w:noProof/>
          <w:rtl/>
        </w:rPr>
        <w:fldChar w:fldCharType="end"/>
      </w:r>
    </w:p>
    <w:p w14:paraId="1173E7BB" w14:textId="6C08130E"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3 - المِنح المقدمة حسب المنطقة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Toc179733703 \h</w:instrText>
      </w:r>
      <w:r>
        <w:rPr>
          <w:noProof/>
          <w:rtl/>
        </w:rPr>
        <w:instrText xml:space="preserve"> </w:instrText>
      </w:r>
      <w:r>
        <w:rPr>
          <w:noProof/>
          <w:rtl/>
        </w:rPr>
      </w:r>
      <w:r>
        <w:rPr>
          <w:noProof/>
          <w:rtl/>
        </w:rPr>
        <w:fldChar w:fldCharType="separate"/>
      </w:r>
      <w:r w:rsidR="00EC7921">
        <w:rPr>
          <w:noProof/>
          <w:rtl/>
        </w:rPr>
        <w:t>25</w:t>
      </w:r>
      <w:r>
        <w:rPr>
          <w:noProof/>
          <w:rtl/>
        </w:rPr>
        <w:fldChar w:fldCharType="end"/>
      </w:r>
    </w:p>
    <w:p w14:paraId="268DABC1" w14:textId="229C6926"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 xml:space="preserve">الشكل </w:t>
      </w:r>
      <w:r>
        <w:rPr>
          <w:noProof/>
          <w:lang w:bidi="ar-EG"/>
        </w:rPr>
        <w:t>4</w:t>
      </w:r>
      <w:r>
        <w:rPr>
          <w:noProof/>
          <w:rtl/>
          <w:lang w:bidi="ar-EG"/>
        </w:rPr>
        <w:t xml:space="preserve"> - المِنح المقدمة حسب نوع الجنس</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Toc179733704 \h</w:instrText>
      </w:r>
      <w:r>
        <w:rPr>
          <w:noProof/>
          <w:rtl/>
        </w:rPr>
        <w:instrText xml:space="preserve"> </w:instrText>
      </w:r>
      <w:r>
        <w:rPr>
          <w:noProof/>
          <w:rtl/>
        </w:rPr>
      </w:r>
      <w:r>
        <w:rPr>
          <w:noProof/>
          <w:rtl/>
        </w:rPr>
        <w:fldChar w:fldCharType="separate"/>
      </w:r>
      <w:r w:rsidR="00EC7921">
        <w:rPr>
          <w:noProof/>
          <w:rtl/>
        </w:rPr>
        <w:t>26</w:t>
      </w:r>
      <w:r>
        <w:rPr>
          <w:noProof/>
          <w:rtl/>
        </w:rPr>
        <w:fldChar w:fldCharType="end"/>
      </w:r>
    </w:p>
    <w:p w14:paraId="2402D525" w14:textId="2C8A3620"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5 - مشاركة النساء في الجمعيات العالمية الثلاث الماضية لتقييس الاتصالات</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Toc179733705 \h</w:instrText>
      </w:r>
      <w:r>
        <w:rPr>
          <w:noProof/>
          <w:rtl/>
        </w:rPr>
        <w:instrText xml:space="preserve"> </w:instrText>
      </w:r>
      <w:r>
        <w:rPr>
          <w:noProof/>
          <w:rtl/>
        </w:rPr>
      </w:r>
      <w:r>
        <w:rPr>
          <w:noProof/>
          <w:rtl/>
        </w:rPr>
        <w:fldChar w:fldCharType="separate"/>
      </w:r>
      <w:r w:rsidR="00EC7921">
        <w:rPr>
          <w:noProof/>
          <w:rtl/>
        </w:rPr>
        <w:t>27</w:t>
      </w:r>
      <w:r>
        <w:rPr>
          <w:noProof/>
          <w:rtl/>
        </w:rPr>
        <w:fldChar w:fldCharType="end"/>
      </w:r>
    </w:p>
    <w:p w14:paraId="1BB7B19A" w14:textId="5B765D41"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6 - حصة النساء من المناصب القيادية في قطاع تقييس الاتصالات والمشاركة  في لجان الدراسات والأفرقة الإقليمية التابعة للجان الدراسات</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Toc179733706 \h</w:instrText>
      </w:r>
      <w:r>
        <w:rPr>
          <w:noProof/>
          <w:rtl/>
        </w:rPr>
        <w:instrText xml:space="preserve"> </w:instrText>
      </w:r>
      <w:r>
        <w:rPr>
          <w:noProof/>
          <w:rtl/>
        </w:rPr>
      </w:r>
      <w:r>
        <w:rPr>
          <w:noProof/>
          <w:rtl/>
        </w:rPr>
        <w:fldChar w:fldCharType="separate"/>
      </w:r>
      <w:r w:rsidR="00EC7921">
        <w:rPr>
          <w:noProof/>
          <w:rtl/>
        </w:rPr>
        <w:t>28</w:t>
      </w:r>
      <w:r>
        <w:rPr>
          <w:noProof/>
          <w:rtl/>
        </w:rPr>
        <w:fldChar w:fldCharType="end"/>
      </w:r>
    </w:p>
    <w:p w14:paraId="71252D85" w14:textId="64ED15F0"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7 - مشاركة النساء في الاجتماعات النظامية لقطاع تقييس الاتصالات حسب فترة الدراسة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Toc179733707 \h</w:instrText>
      </w:r>
      <w:r>
        <w:rPr>
          <w:noProof/>
          <w:rtl/>
        </w:rPr>
        <w:instrText xml:space="preserve"> </w:instrText>
      </w:r>
      <w:r>
        <w:rPr>
          <w:noProof/>
          <w:rtl/>
        </w:rPr>
      </w:r>
      <w:r>
        <w:rPr>
          <w:noProof/>
          <w:rtl/>
        </w:rPr>
        <w:fldChar w:fldCharType="separate"/>
      </w:r>
      <w:r w:rsidR="00EC7921">
        <w:rPr>
          <w:noProof/>
          <w:rtl/>
        </w:rPr>
        <w:t>28</w:t>
      </w:r>
      <w:r>
        <w:rPr>
          <w:noProof/>
          <w:rtl/>
        </w:rPr>
        <w:fldChar w:fldCharType="end"/>
      </w:r>
    </w:p>
    <w:p w14:paraId="3A503995" w14:textId="2D761CB5" w:rsidR="00B51DC7" w:rsidRDefault="00B51DC7" w:rsidP="00B51DC7">
      <w:pPr>
        <w:pStyle w:val="TOC1"/>
        <w:ind w:left="0" w:firstLine="0"/>
        <w:rPr>
          <w:rFonts w:asciiTheme="minorHAnsi" w:eastAsiaTheme="minorEastAsia" w:hAnsiTheme="minorHAnsi" w:cstheme="minorBidi"/>
          <w:noProof/>
          <w:rtl/>
          <w:lang w:val="en-GB" w:eastAsia="en-GB"/>
        </w:rPr>
      </w:pPr>
      <w:r>
        <w:rPr>
          <w:noProof/>
          <w:rtl/>
          <w:lang w:bidi="ar-EG"/>
        </w:rPr>
        <w:t>الشكل 8 - عدد التوصيات والتعديلات والإضافات المنشورة سنوياً منذ عام 2022</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Toc179733708 \h</w:instrText>
      </w:r>
      <w:r>
        <w:rPr>
          <w:noProof/>
          <w:rtl/>
        </w:rPr>
        <w:instrText xml:space="preserve"> </w:instrText>
      </w:r>
      <w:r>
        <w:rPr>
          <w:noProof/>
          <w:rtl/>
        </w:rPr>
      </w:r>
      <w:r>
        <w:rPr>
          <w:noProof/>
          <w:rtl/>
        </w:rPr>
        <w:fldChar w:fldCharType="separate"/>
      </w:r>
      <w:r w:rsidR="00EC7921">
        <w:rPr>
          <w:noProof/>
          <w:rtl/>
        </w:rPr>
        <w:t>29</w:t>
      </w:r>
      <w:r>
        <w:rPr>
          <w:noProof/>
          <w:rtl/>
        </w:rPr>
        <w:fldChar w:fldCharType="end"/>
      </w:r>
    </w:p>
    <w:p w14:paraId="163A9103" w14:textId="32BDE31E" w:rsidR="00B51DC7" w:rsidRDefault="00B51DC7" w:rsidP="00B51DC7">
      <w:pPr>
        <w:rPr>
          <w:rtl/>
          <w:lang w:bidi="ar-EG"/>
        </w:rPr>
      </w:pPr>
      <w:r>
        <w:rPr>
          <w:rtl/>
        </w:rPr>
        <w:fldChar w:fldCharType="end"/>
      </w:r>
    </w:p>
    <w:p w14:paraId="7213AF80" w14:textId="6D255911" w:rsidR="00A76789" w:rsidRDefault="00A76789" w:rsidP="00B51DC7">
      <w:pPr>
        <w:rPr>
          <w:rtl/>
        </w:rPr>
      </w:pPr>
      <w:r>
        <w:rPr>
          <w:rtl/>
        </w:rPr>
        <w:br w:type="page"/>
      </w:r>
    </w:p>
    <w:p w14:paraId="50FA6EEB" w14:textId="77777777" w:rsidR="00A76789" w:rsidRPr="00A76789" w:rsidRDefault="00A76789" w:rsidP="00A76789">
      <w:pPr>
        <w:pStyle w:val="Heading1"/>
        <w:ind w:left="0" w:firstLine="0"/>
        <w:jc w:val="center"/>
        <w:rPr>
          <w:lang w:bidi="ar-SA"/>
        </w:rPr>
      </w:pPr>
      <w:bookmarkStart w:id="1" w:name="_Toc480527764"/>
      <w:bookmarkStart w:id="2" w:name="_Toc179219746"/>
      <w:bookmarkStart w:id="3" w:name="_Toc179221056"/>
      <w:bookmarkStart w:id="4" w:name="_Toc179733598"/>
      <w:r w:rsidRPr="00A76789">
        <w:rPr>
          <w:rtl/>
        </w:rPr>
        <w:lastRenderedPageBreak/>
        <w:t>ملخص تنفيذي</w:t>
      </w:r>
      <w:bookmarkEnd w:id="1"/>
      <w:bookmarkEnd w:id="2"/>
      <w:bookmarkEnd w:id="3"/>
      <w:bookmarkEnd w:id="4"/>
    </w:p>
    <w:p w14:paraId="327E18AB" w14:textId="6232C03B" w:rsidR="00A76789" w:rsidRPr="00A76789" w:rsidRDefault="00A76789" w:rsidP="00A76789">
      <w:r w:rsidRPr="00A76789">
        <w:rPr>
          <w:rtl/>
        </w:rPr>
        <w:t xml:space="preserve">وافق الاتحاد على أكثر من </w:t>
      </w:r>
      <w:hyperlink r:id="rId15" w:history="1">
        <w:r w:rsidRPr="00A76789">
          <w:rPr>
            <w:rStyle w:val="Hyperlink"/>
            <w:rtl/>
          </w:rPr>
          <w:t>900 توصية جديدة ومراجعة لقطاع تقييس الاتصالات وعلى نصوص ذات صلة</w:t>
        </w:r>
      </w:hyperlink>
      <w:r w:rsidRPr="00A76789">
        <w:rPr>
          <w:rtl/>
        </w:rPr>
        <w:t xml:space="preserve"> في فترة الدراسة. وللاطلاع على جميع توصيات قطاع تقييس الاتصالات السارية، انظر </w:t>
      </w:r>
      <w:hyperlink r:id="rId16" w:history="1">
        <w:r w:rsidRPr="00A76789">
          <w:rPr>
            <w:rStyle w:val="Hyperlink"/>
            <w:rtl/>
          </w:rPr>
          <w:t>فهرس توصيات قطاع تقييس الاتصالات</w:t>
        </w:r>
      </w:hyperlink>
      <w:r w:rsidRPr="00A76789">
        <w:rPr>
          <w:rtl/>
        </w:rPr>
        <w:t xml:space="preserve">. ويمكن الاطلاع على الملخصات التنفيذية لاجتماعات لجان دراسات قطاع تقييس الاتصالات في </w:t>
      </w:r>
      <w:hyperlink r:id="rId17" w:history="1">
        <w:r w:rsidRPr="00A76789">
          <w:rPr>
            <w:rStyle w:val="Hyperlink"/>
            <w:rtl/>
          </w:rPr>
          <w:t>الصفحات الرئيسية</w:t>
        </w:r>
      </w:hyperlink>
      <w:r w:rsidRPr="00A76789">
        <w:rPr>
          <w:rtl/>
        </w:rPr>
        <w:t xml:space="preserve"> لكل منها. وتقدم </w:t>
      </w:r>
      <w:hyperlink r:id="rId18" w:history="1">
        <w:r w:rsidRPr="00A76789">
          <w:rPr>
            <w:rStyle w:val="Hyperlink"/>
            <w:rtl/>
          </w:rPr>
          <w:t>مساهمات الجمعية WTSA-24</w:t>
        </w:r>
      </w:hyperlink>
      <w:r w:rsidRPr="00A76789">
        <w:rPr>
          <w:rtl/>
        </w:rPr>
        <w:t xml:space="preserve"> المرقمة من واحد إلى 22 تقارير عن أنشطة لجان الدراسات والمسائل المقترحة لفترة الدراسة المقبلة. انظر </w:t>
      </w:r>
      <w:hyperlink w:anchor="One" w:history="1">
        <w:r w:rsidRPr="00A76789">
          <w:rPr>
            <w:rStyle w:val="Hyperlink"/>
            <w:rtl/>
          </w:rPr>
          <w:t>الفقرة 1</w:t>
        </w:r>
      </w:hyperlink>
      <w:r w:rsidRPr="004B2400">
        <w:rPr>
          <w:rFonts w:hint="cs"/>
          <w:rtl/>
        </w:rPr>
        <w:t>.</w:t>
      </w:r>
    </w:p>
    <w:p w14:paraId="2A853628" w14:textId="0E2427FE" w:rsidR="00A76789" w:rsidRPr="00A76789" w:rsidRDefault="00A76789" w:rsidP="00A76789">
      <w:r w:rsidRPr="00A76789">
        <w:rPr>
          <w:rtl/>
        </w:rPr>
        <w:t xml:space="preserve">وأكملت تسعة أفرقة متخصصة تابعة لقطاع تقييس الاتصالات دراساتها في فترة الدراسة. وهناك فريقان متخصصان نشطان يتناولان نماذج التكلفة لخدمات البيانات ميسورة التكلفة وشبكات الذكاء الاصطناعي الأصيل. ويمكن الاطلاع على معلومات عن أنشطة ونواتج الأفرقة المتخصصة التابعة لقطاع تقييس الاتصالات في </w:t>
      </w:r>
      <w:hyperlink r:id="rId19" w:history="1">
        <w:r w:rsidRPr="00A76789">
          <w:rPr>
            <w:rStyle w:val="Hyperlink"/>
            <w:rtl/>
          </w:rPr>
          <w:t>الصفحات الرئيسية</w:t>
        </w:r>
      </w:hyperlink>
      <w:r w:rsidRPr="00A76789">
        <w:rPr>
          <w:rtl/>
        </w:rPr>
        <w:t xml:space="preserve"> الخاصة بكل منها. ويرد في </w:t>
      </w:r>
      <w:hyperlink w:anchor="Two" w:history="1">
        <w:r w:rsidRPr="00A76789">
          <w:rPr>
            <w:rStyle w:val="Hyperlink"/>
            <w:rtl/>
          </w:rPr>
          <w:t>الفقرة 2</w:t>
        </w:r>
      </w:hyperlink>
      <w:r w:rsidRPr="00A76789">
        <w:rPr>
          <w:rtl/>
        </w:rPr>
        <w:t xml:space="preserve"> فهرس لهذه الأفرقة ولجداولها الزمنية.</w:t>
      </w:r>
    </w:p>
    <w:p w14:paraId="537B74CC" w14:textId="3C4FC14D" w:rsidR="00A76789" w:rsidRPr="00A76789" w:rsidRDefault="00A76789" w:rsidP="00A76789">
      <w:r w:rsidRPr="00A76789">
        <w:rPr>
          <w:rtl/>
        </w:rPr>
        <w:t xml:space="preserve">وتم تنظيم أكثر من 200 </w:t>
      </w:r>
      <w:hyperlink r:id="rId20" w:history="1">
        <w:r w:rsidRPr="00A76789">
          <w:rPr>
            <w:rStyle w:val="Hyperlink"/>
            <w:rtl/>
          </w:rPr>
          <w:t>ورشة عمل وندوة وحلقة دراسية إلكترونية</w:t>
        </w:r>
      </w:hyperlink>
      <w:r w:rsidRPr="00A76789">
        <w:rPr>
          <w:rtl/>
        </w:rPr>
        <w:t xml:space="preserve"> لقطاع تقييس الاتصالات في الفترة المشمولة بالتقرير، بالإضافة إلى البرامج شبه اليومية للمنصة الرقمية بشأن </w:t>
      </w:r>
      <w:hyperlink r:id="rId21" w:history="1">
        <w:r w:rsidRPr="00A76789">
          <w:rPr>
            <w:rStyle w:val="Hyperlink"/>
            <w:rtl/>
          </w:rPr>
          <w:t>الذكاء الاصطناعي من أجل المصلحة العامة</w:t>
        </w:r>
      </w:hyperlink>
      <w:r w:rsidRPr="00A76789">
        <w:rPr>
          <w:rtl/>
        </w:rPr>
        <w:t xml:space="preserve"> المتاحة على مدار السنة. انظر </w:t>
      </w:r>
      <w:hyperlink w:anchor="Three" w:history="1">
        <w:r w:rsidRPr="00A76789">
          <w:rPr>
            <w:rStyle w:val="Hyperlink"/>
            <w:rtl/>
          </w:rPr>
          <w:t>الفقرة 3</w:t>
        </w:r>
      </w:hyperlink>
      <w:r>
        <w:rPr>
          <w:rFonts w:hint="cs"/>
          <w:rtl/>
        </w:rPr>
        <w:t>.</w:t>
      </w:r>
      <w:r w:rsidRPr="00A76789">
        <w:rPr>
          <w:rtl/>
        </w:rPr>
        <w:t xml:space="preserve"> ويسّر مكتب تقييس الاتصالات أكثر من </w:t>
      </w:r>
      <w:r>
        <w:t>13 700</w:t>
      </w:r>
      <w:r w:rsidRPr="00A76789">
        <w:rPr>
          <w:rtl/>
        </w:rPr>
        <w:t xml:space="preserve"> اجتماعاً إلكترونياً بما يشمل </w:t>
      </w:r>
      <w:r>
        <w:t>186 300</w:t>
      </w:r>
      <w:r w:rsidRPr="00A76789">
        <w:rPr>
          <w:rtl/>
        </w:rPr>
        <w:t xml:space="preserve"> توصيلة، في الفترة من يناير 2022 إلى سبتمبر 2024. انظر </w:t>
      </w:r>
      <w:hyperlink w:anchor="Four" w:history="1">
        <w:r w:rsidRPr="00A76789">
          <w:rPr>
            <w:rStyle w:val="Hyperlink"/>
            <w:rtl/>
          </w:rPr>
          <w:t>الفقرة 4</w:t>
        </w:r>
      </w:hyperlink>
      <w:r w:rsidRPr="00A76789">
        <w:rPr>
          <w:rFonts w:hint="cs"/>
          <w:rtl/>
        </w:rPr>
        <w:t>.</w:t>
      </w:r>
    </w:p>
    <w:p w14:paraId="423C8EE6" w14:textId="5A111458" w:rsidR="00A76789" w:rsidRPr="00A76789" w:rsidRDefault="00A76789" w:rsidP="00A76789">
      <w:r w:rsidRPr="00A76789">
        <w:rPr>
          <w:rtl/>
        </w:rPr>
        <w:t xml:space="preserve">ويضم قطاع تقييس الاتصالات 268 عضواً من أعضاء القطاع و234 منتسباً إلى القطاع. ويبلغ عدد الأعضاء من الهيئات الأكاديمية المنضمة إلى الاتحاد الآن 172 عضواً. ويشارك حالياً 76 منتسباً إلى قطاع تقييس الاتصالات في إطار هيكل الرسوم المخفضة للشركات الصغيرة والمتوسطة الذي دخل حيز النفاذ في 31 يناير 2020. انظر </w:t>
      </w:r>
      <w:hyperlink w:anchor="Eight" w:history="1">
        <w:r w:rsidRPr="00A76789">
          <w:rPr>
            <w:rStyle w:val="Hyperlink"/>
            <w:rtl/>
          </w:rPr>
          <w:t>الفقرة 8</w:t>
        </w:r>
      </w:hyperlink>
      <w:r w:rsidR="00257B4A">
        <w:rPr>
          <w:rFonts w:hint="cs"/>
          <w:rtl/>
        </w:rPr>
        <w:t>.</w:t>
      </w:r>
    </w:p>
    <w:p w14:paraId="2842F0C3" w14:textId="41D6D039" w:rsidR="00A76789" w:rsidRPr="00A76789" w:rsidRDefault="00A76789" w:rsidP="00A76789">
      <w:r w:rsidRPr="00A76789">
        <w:rPr>
          <w:rtl/>
        </w:rPr>
        <w:t xml:space="preserve">ويواصل مكتب تقييس الاتصالات تعزيز خدمات أساليب العمل الإلكترونية وتطبيقات قواعد البيانات، وتشمل التطورات الأخيرة في هذا الصدد إدخال النسخة الخامسة من </w:t>
      </w:r>
      <w:hyperlink r:id="rId22" w:history="1">
        <w:r w:rsidRPr="00A76789">
          <w:rPr>
            <w:rStyle w:val="Hyperlink"/>
          </w:rPr>
          <w:t>MyWorkspace</w:t>
        </w:r>
      </w:hyperlink>
      <w:r w:rsidRPr="00A76789">
        <w:rPr>
          <w:rtl/>
        </w:rPr>
        <w:t xml:space="preserve"> والمواقع الإلكترونية الجديدة لقطاع تقييس الاتصالات والإضافات إلى تطبيق مشهد معايير تكنولوجيا المعلومات والاتصالات. انظر </w:t>
      </w:r>
      <w:hyperlink w:anchor="Twelve" w:history="1">
        <w:r w:rsidRPr="00A76789">
          <w:rPr>
            <w:rStyle w:val="Hyperlink"/>
            <w:rtl/>
          </w:rPr>
          <w:t>الفقرة 12</w:t>
        </w:r>
      </w:hyperlink>
      <w:r w:rsidR="00257B4A">
        <w:rPr>
          <w:rFonts w:hint="cs"/>
          <w:rtl/>
        </w:rPr>
        <w:t>.</w:t>
      </w:r>
    </w:p>
    <w:p w14:paraId="2B1B2F33" w14:textId="1AC8C5E8" w:rsidR="00A76789" w:rsidRPr="00A76789" w:rsidRDefault="00A76789" w:rsidP="00A76789">
      <w:pPr>
        <w:rPr>
          <w:rtl/>
        </w:rPr>
      </w:pPr>
      <w:r w:rsidRPr="00A76789">
        <w:rPr>
          <w:rtl/>
        </w:rPr>
        <w:t>ومنصة ‏</w:t>
      </w:r>
      <w:hyperlink r:id="rId23" w:history="1">
        <w:r w:rsidRPr="00A76789">
          <w:rPr>
            <w:rStyle w:val="Hyperlink"/>
            <w:rtl/>
          </w:rPr>
          <w:t>الذكاء الاصطناعي من أجل المصلحة العامة</w:t>
        </w:r>
      </w:hyperlink>
      <w:r w:rsidRPr="00A76789">
        <w:rPr>
          <w:rtl/>
        </w:rPr>
        <w:t xml:space="preserve">، المتاحة كمنصة رقمية على مدار السنة، هي منصة الأمم المتحدة الأساسية للذكاء </w:t>
      </w:r>
      <w:r w:rsidRPr="00A76789">
        <w:rPr>
          <w:cs/>
        </w:rPr>
        <w:t>‎</w:t>
      </w:r>
      <w:r w:rsidRPr="00A76789">
        <w:rPr>
          <w:rtl/>
        </w:rPr>
        <w:t>الاصطناعي (</w:t>
      </w:r>
      <w:r w:rsidRPr="00A76789">
        <w:t>AI</w:t>
      </w:r>
      <w:r w:rsidRPr="00A76789">
        <w:rPr>
          <w:rtl/>
        </w:rPr>
        <w:t>). وتحظى منصة الذكاء الاصطناعي‏ من</w:t>
      </w:r>
      <w:r w:rsidRPr="00A76789">
        <w:rPr>
          <w:cs/>
        </w:rPr>
        <w:t>‎</w:t>
      </w:r>
      <w:r w:rsidRPr="00A76789">
        <w:rPr>
          <w:rtl/>
        </w:rPr>
        <w:t xml:space="preserve"> أجل المصلحة العامة، بالدعم من 47 شريكاً للأمم المتحدة ومجموعة من الجهات </w:t>
      </w:r>
      <w:r w:rsidRPr="00A76789">
        <w:rPr>
          <w:cs/>
        </w:rPr>
        <w:t>‎</w:t>
      </w:r>
      <w:r w:rsidRPr="00A76789">
        <w:rPr>
          <w:rtl/>
        </w:rPr>
        <w:t xml:space="preserve">الراعية من دوائر الصناعة. وتُعقد بالاشتراك مع حكومة سويسرا. وأنشأ أكثر من </w:t>
      </w:r>
      <w:r w:rsidR="00257B4A">
        <w:t>37 000</w:t>
      </w:r>
      <w:r w:rsidRPr="00A76789">
        <w:rPr>
          <w:rtl/>
        </w:rPr>
        <w:t xml:space="preserve"> شخص ملفات شخصية على </w:t>
      </w:r>
      <w:hyperlink r:id="rId24" w:history="1">
        <w:r w:rsidRPr="00A76789">
          <w:rPr>
            <w:rStyle w:val="Hyperlink"/>
            <w:rtl/>
          </w:rPr>
          <w:t xml:space="preserve">الشبكة العصبية للذكاء </w:t>
        </w:r>
        <w:r w:rsidRPr="00A76789">
          <w:rPr>
            <w:rStyle w:val="Hyperlink"/>
            <w:cs/>
          </w:rPr>
          <w:t>‎</w:t>
        </w:r>
        <w:r w:rsidRPr="00A76789">
          <w:rPr>
            <w:rStyle w:val="Hyperlink"/>
            <w:rtl/>
          </w:rPr>
          <w:t>الاصطناعي من أجل المصلحة</w:t>
        </w:r>
      </w:hyperlink>
      <w:r w:rsidRPr="00A76789">
        <w:rPr>
          <w:rtl/>
        </w:rPr>
        <w:t xml:space="preserve"> العامة منذ إطلاقها في فبراير 2022. انظر </w:t>
      </w:r>
      <w:hyperlink w:anchor="FiveTwo" w:history="1">
        <w:r w:rsidRPr="00A76789">
          <w:rPr>
            <w:rStyle w:val="Hyperlink"/>
            <w:rtl/>
          </w:rPr>
          <w:t xml:space="preserve">الفقرة </w:t>
        </w:r>
        <w:r w:rsidR="00257B4A" w:rsidRPr="004B2400">
          <w:rPr>
            <w:rStyle w:val="Hyperlink"/>
          </w:rPr>
          <w:t>2.5</w:t>
        </w:r>
      </w:hyperlink>
      <w:r w:rsidRPr="00A76789">
        <w:rPr>
          <w:rtl/>
        </w:rPr>
        <w:t>.</w:t>
      </w:r>
      <w:r w:rsidRPr="00A76789">
        <w:rPr>
          <w:cs/>
        </w:rPr>
        <w:t>‎</w:t>
      </w:r>
    </w:p>
    <w:p w14:paraId="4CEE8082" w14:textId="2C1CB7B3" w:rsidR="00A76789" w:rsidRPr="00A76789" w:rsidRDefault="00A76789" w:rsidP="00A76789">
      <w:r w:rsidRPr="00A76789">
        <w:rPr>
          <w:rtl/>
        </w:rPr>
        <w:t xml:space="preserve">عقدت </w:t>
      </w:r>
      <w:hyperlink r:id="rId25" w:history="1">
        <w:r w:rsidRPr="00A76789">
          <w:rPr>
            <w:rStyle w:val="Hyperlink"/>
            <w:rtl/>
          </w:rPr>
          <w:t>القمة العالمية للذكاء الاصطناعي من أجل المصلحة العامة</w:t>
        </w:r>
      </w:hyperlink>
      <w:r w:rsidRPr="00A76789">
        <w:rPr>
          <w:rtl/>
        </w:rPr>
        <w:t xml:space="preserve"> في مايو 2024 ويوليو 2023. وقدمت قمة عام 2024 </w:t>
      </w:r>
      <w:hyperlink r:id="rId26" w:anchor="day0" w:history="1">
        <w:r w:rsidRPr="00A76789">
          <w:rPr>
            <w:rStyle w:val="Hyperlink"/>
            <w:rtl/>
          </w:rPr>
          <w:t>يوما</w:t>
        </w:r>
        <w:r w:rsidR="00257B4A">
          <w:rPr>
            <w:rStyle w:val="Hyperlink"/>
            <w:rFonts w:hint="cs"/>
            <w:rtl/>
          </w:rPr>
          <w:t>ً</w:t>
        </w:r>
        <w:r w:rsidRPr="00A76789">
          <w:rPr>
            <w:rStyle w:val="Hyperlink"/>
            <w:rtl/>
          </w:rPr>
          <w:t xml:space="preserve"> جديداً لإدارة الذكاء الاصطناعي</w:t>
        </w:r>
      </w:hyperlink>
      <w:r w:rsidRPr="00A76789">
        <w:rPr>
          <w:rtl/>
        </w:rPr>
        <w:t xml:space="preserve"> وأكدت المناقشات أن تطوير المعايير وبناء القدرات سيساهمان بشكل أساسي في إدارة الذكاء الاصطناعي على الصعيد العالمي. انظر </w:t>
      </w:r>
      <w:hyperlink r:id="rId27" w:history="1">
        <w:r w:rsidRPr="00A76789">
          <w:rPr>
            <w:rStyle w:val="Hyperlink"/>
            <w:rtl/>
          </w:rPr>
          <w:t>التقارير الرئيسية</w:t>
        </w:r>
      </w:hyperlink>
      <w:r w:rsidRPr="00A76789">
        <w:rPr>
          <w:rtl/>
        </w:rPr>
        <w:t xml:space="preserve"> المنشورة في فترة الدراسة بشأن قمة عام 2024. وعُقدت القمة بالتزامن مع </w:t>
      </w:r>
      <w:hyperlink r:id="rId28" w:history="1">
        <w:r w:rsidRPr="00A76789">
          <w:rPr>
            <w:rStyle w:val="Hyperlink"/>
            <w:rtl/>
          </w:rPr>
          <w:t>اجتماع القمة العالمية لمجتمع المعلومات بعد عشرين عاماً من انعقادها (WSIS+20)</w:t>
        </w:r>
      </w:hyperlink>
      <w:r w:rsidRPr="00A76789">
        <w:rPr>
          <w:rtl/>
        </w:rPr>
        <w:t xml:space="preserve"> بهدف ضمان منظورات تكميلية بشأن التنمية الرقمية. انظر </w:t>
      </w:r>
      <w:hyperlink w:anchor="FiveTwo" w:history="1">
        <w:r w:rsidRPr="00A76789">
          <w:rPr>
            <w:rStyle w:val="Hyperlink"/>
            <w:rtl/>
          </w:rPr>
          <w:t xml:space="preserve">الفقرة </w:t>
        </w:r>
        <w:r w:rsidR="00257B4A" w:rsidRPr="004B2400">
          <w:rPr>
            <w:rStyle w:val="Hyperlink"/>
          </w:rPr>
          <w:t>2.5</w:t>
        </w:r>
      </w:hyperlink>
      <w:r w:rsidRPr="00A76789">
        <w:rPr>
          <w:rtl/>
        </w:rPr>
        <w:t>.</w:t>
      </w:r>
    </w:p>
    <w:p w14:paraId="74C4D1EA" w14:textId="049723A8" w:rsidR="00A76789" w:rsidRPr="00A76789" w:rsidRDefault="00A76789" w:rsidP="00A76789">
      <w:r w:rsidRPr="00A76789">
        <w:rPr>
          <w:rtl/>
        </w:rPr>
        <w:t xml:space="preserve">وفي قمة عام 2024، سلط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 الضوء على التزامهم بتوفير إطار موحد لوضع معايير الذكاء الاصطناعي وأعلنوا عن </w:t>
      </w:r>
      <w:hyperlink r:id="rId29" w:history="1">
        <w:r w:rsidRPr="00A76789">
          <w:rPr>
            <w:rStyle w:val="Hyperlink"/>
            <w:rtl/>
          </w:rPr>
          <w:t>تعاون جديد في مجال معايير أصالة الذكاء الاصطناعي والوسائط المتعددة</w:t>
        </w:r>
      </w:hyperlink>
      <w:r w:rsidRPr="00A76789">
        <w:rPr>
          <w:rtl/>
        </w:rPr>
        <w:t xml:space="preserve"> لدفع عملية وضع المعايير المنسقة للعلامة المائية للذكاء الاصطناعي وأصالة الوسائط المتعددة وكشف التزييف العميق. وتشارك المنظمات الثلاث أيضاً في تنظيم </w:t>
      </w:r>
      <w:hyperlink r:id="rId30" w:history="1">
        <w:r w:rsidRPr="00A76789">
          <w:rPr>
            <w:rStyle w:val="Hyperlink"/>
            <w:rtl/>
          </w:rPr>
          <w:t>قمة دولية جديدة لمعايير الذكاء الاصطناعي</w:t>
        </w:r>
      </w:hyperlink>
      <w:r w:rsidRPr="00A76789">
        <w:rPr>
          <w:rtl/>
        </w:rPr>
        <w:t xml:space="preserve">. انظر </w:t>
      </w:r>
      <w:hyperlink w:anchor="FiveOne" w:history="1">
        <w:r w:rsidRPr="00A76789">
          <w:rPr>
            <w:rStyle w:val="Hyperlink"/>
            <w:rtl/>
          </w:rPr>
          <w:t xml:space="preserve">الفقرة </w:t>
        </w:r>
        <w:r w:rsidR="00257B4A" w:rsidRPr="004B2400">
          <w:rPr>
            <w:rStyle w:val="Hyperlink"/>
          </w:rPr>
          <w:t>1.5</w:t>
        </w:r>
      </w:hyperlink>
      <w:r w:rsidRPr="00A76789">
        <w:rPr>
          <w:rtl/>
        </w:rPr>
        <w:t>.</w:t>
      </w:r>
    </w:p>
    <w:p w14:paraId="3DB60448" w14:textId="62CA36C0" w:rsidR="00A76789" w:rsidRPr="00A76789" w:rsidRDefault="00A76789" w:rsidP="00A76789">
      <w:r w:rsidRPr="00A76789">
        <w:rPr>
          <w:rtl/>
        </w:rPr>
        <w:t xml:space="preserve">‏كما تشمل أوجه التعاون الرئيسية في مجال المعايير الرئيسية بشأن الذكاء الاصطناعي </w:t>
      </w:r>
      <w:hyperlink r:id="rId31" w:history="1">
        <w:r w:rsidRPr="00A76789">
          <w:rPr>
            <w:rStyle w:val="Hyperlink"/>
            <w:rtl/>
          </w:rPr>
          <w:t>المبادرة العالمية بشأن الذكاء الاصطناعي من أجل الصحة</w:t>
        </w:r>
      </w:hyperlink>
      <w:r w:rsidRPr="00A76789">
        <w:rPr>
          <w:rtl/>
        </w:rPr>
        <w:t xml:space="preserve"> التي يقودها الاتحاد ومنظمة الصحة العالمية والمنظمة العالمية للملكية الفكرية، و</w:t>
      </w:r>
      <w:hyperlink r:id="rId32" w:history="1">
        <w:r w:rsidRPr="00A76789">
          <w:rPr>
            <w:rStyle w:val="Hyperlink"/>
            <w:rtl/>
          </w:rPr>
          <w:t>المبادرة العالمية بشأن القدرة على الصمود أمام الأخطار الطبيعية من خلال حلول الذكاء الاصطناعي</w:t>
        </w:r>
      </w:hyperlink>
      <w:r w:rsidRPr="00A76789">
        <w:rPr>
          <w:rtl/>
        </w:rPr>
        <w:t xml:space="preserve"> التي يقودها الاتحاد  وبرنامج الأمم المتحدة للبيئة واتفاقية الأمم المتحدة الإطارية بشأن تغير المناخ والاتحاد البريدي العالمي والمنظمة العالمية للأرصاد الجوية.‎ وتستند المبادرات إلى الزخم الذي أحدثه </w:t>
      </w:r>
      <w:hyperlink r:id="rId33" w:history="1">
        <w:r w:rsidRPr="00A76789">
          <w:rPr>
            <w:rStyle w:val="Hyperlink"/>
            <w:rtl/>
          </w:rPr>
          <w:t>الفريق المتخصص المشترك بين الاتحاد ومنظمة الصحة العالمية والمعني بالذكاء الاصطناعي من أجل الصحة</w:t>
        </w:r>
      </w:hyperlink>
      <w:r w:rsidRPr="00A76789">
        <w:rPr>
          <w:rtl/>
        </w:rPr>
        <w:t xml:space="preserve"> و</w:t>
      </w:r>
      <w:hyperlink r:id="rId34" w:history="1">
        <w:r w:rsidRPr="00A76789">
          <w:rPr>
            <w:rStyle w:val="Hyperlink"/>
            <w:rtl/>
          </w:rPr>
          <w:t>الفريق المتخصص المشترك بين الاتحاد والمنظمة العالمية للأرصاد الجوية وبرنامج الأمم المتحدة للبيئة والمعني بالذكاء الاصطناعي من أجل إدارة الكوارث الطبيعية</w:t>
        </w:r>
      </w:hyperlink>
      <w:r w:rsidRPr="00A76789">
        <w:rPr>
          <w:rtl/>
        </w:rPr>
        <w:t xml:space="preserve">. انظر </w:t>
      </w:r>
      <w:hyperlink w:anchor="FiveTwo" w:history="1">
        <w:r w:rsidRPr="00A76789">
          <w:rPr>
            <w:rStyle w:val="Hyperlink"/>
            <w:rtl/>
          </w:rPr>
          <w:t xml:space="preserve">الفقرة </w:t>
        </w:r>
        <w:r w:rsidR="0020650C" w:rsidRPr="004B2400">
          <w:rPr>
            <w:rStyle w:val="Hyperlink"/>
          </w:rPr>
          <w:t>2.5</w:t>
        </w:r>
      </w:hyperlink>
      <w:r w:rsidRPr="00A76789">
        <w:rPr>
          <w:rtl/>
        </w:rPr>
        <w:t>.</w:t>
      </w:r>
    </w:p>
    <w:p w14:paraId="0ACF04D1" w14:textId="79609388" w:rsidR="00A76789" w:rsidRPr="00A76789" w:rsidRDefault="00A76789" w:rsidP="00A76789">
      <w:r w:rsidRPr="00A76789">
        <w:rPr>
          <w:rtl/>
        </w:rPr>
        <w:t xml:space="preserve">وتهدف </w:t>
      </w:r>
      <w:hyperlink r:id="rId35" w:history="1">
        <w:r w:rsidRPr="00A76789">
          <w:rPr>
            <w:rStyle w:val="Hyperlink"/>
            <w:rtl/>
          </w:rPr>
          <w:t>مبادرة التأثير في إطار الذكاء الاصطناعي من أجل المصلحة العامة</w:t>
        </w:r>
      </w:hyperlink>
      <w:r w:rsidRPr="00A76789">
        <w:rPr>
          <w:rtl/>
        </w:rPr>
        <w:t xml:space="preserve">، التي أطلقت في القمة لعام 2024، إلى توسيع نطاق وتأثير تطبيقات الذكاء الاصطناعي من أجل التنمية المستدامة. وتشمل المبادرة </w:t>
      </w:r>
      <w:hyperlink r:id="rId36" w:history="1">
        <w:r w:rsidRPr="00A76789">
          <w:rPr>
            <w:rStyle w:val="Hyperlink"/>
            <w:rtl/>
          </w:rPr>
          <w:t>تحالفاً جديداً لمهارات الذكاء الاصطناعي</w:t>
        </w:r>
      </w:hyperlink>
      <w:r w:rsidRPr="00A76789">
        <w:rPr>
          <w:rtl/>
        </w:rPr>
        <w:t xml:space="preserve"> أُعلن عنه في سبتمبر 2024. وستكون هذه المبادرة بمثابة حلقة وصل بين المبتكرين في مجال الذكاء الاصطناعي وفرص توسيع نطاق </w:t>
      </w:r>
      <w:r w:rsidRPr="00A76789">
        <w:rPr>
          <w:rtl/>
        </w:rPr>
        <w:lastRenderedPageBreak/>
        <w:t xml:space="preserve">وتمويل حلول الذكاء الاصطناعي الواعدة لكل هدف من أهداف التنمية المستدامة للأمم المتحدة على قدم المساواة في كل المناطق. وستتضمن الأنشطة أحداثاً إقليمية لمبادرة التأثير في إطار الذكاء الاصطناعي من أجل المصلحة العامة؛ ومسابقات عالمية لحشد حلول الذكاء الاصطناعي من مصادر جماعية وتحفيز الخبرة في مجال الذكاء الاصطناعي؛ وإرشادات بحثية </w:t>
      </w:r>
      <w:proofErr w:type="spellStart"/>
      <w:r w:rsidRPr="00A76789">
        <w:rPr>
          <w:rtl/>
        </w:rPr>
        <w:t>وسياساتية</w:t>
      </w:r>
      <w:proofErr w:type="spellEnd"/>
      <w:r w:rsidRPr="00A76789">
        <w:rPr>
          <w:rtl/>
        </w:rPr>
        <w:t xml:space="preserve"> بشأن الذكاء الاصطناعي من أجل التنمية المستدامة؛ ومسرِّعات للشركات الناشئة والشركات الصغيرة والمتوسطة. انظر </w:t>
      </w:r>
      <w:hyperlink w:anchor="FiveTwo" w:history="1">
        <w:r w:rsidRPr="00A76789">
          <w:rPr>
            <w:rStyle w:val="Hyperlink"/>
            <w:rtl/>
          </w:rPr>
          <w:t xml:space="preserve">الفقرة </w:t>
        </w:r>
        <w:r w:rsidR="0020650C" w:rsidRPr="004B2400">
          <w:rPr>
            <w:rStyle w:val="Hyperlink"/>
          </w:rPr>
          <w:t>2.5</w:t>
        </w:r>
      </w:hyperlink>
      <w:r w:rsidRPr="00A76789">
        <w:rPr>
          <w:rtl/>
        </w:rPr>
        <w:t>.</w:t>
      </w:r>
    </w:p>
    <w:p w14:paraId="42F8846B" w14:textId="3FC277AE" w:rsidR="00A76789" w:rsidRPr="00A76789" w:rsidRDefault="00A76789" w:rsidP="00A76789">
      <w:r w:rsidRPr="00A76789">
        <w:rPr>
          <w:rtl/>
        </w:rPr>
        <w:t xml:space="preserve">وأُعلن عن </w:t>
      </w:r>
      <w:hyperlink r:id="rId37" w:history="1">
        <w:r w:rsidRPr="00A76789">
          <w:rPr>
            <w:rStyle w:val="Hyperlink"/>
            <w:rtl/>
          </w:rPr>
          <w:t xml:space="preserve">المبادرة العالمية الجديدة بشأن العوالم الافتراضية - اكتشاف المدينة الافتراضية </w:t>
        </w:r>
        <w:proofErr w:type="spellStart"/>
        <w:r w:rsidRPr="00A76789">
          <w:rPr>
            <w:rStyle w:val="Hyperlink"/>
          </w:rPr>
          <w:t>CitiVerse</w:t>
        </w:r>
        <w:proofErr w:type="spellEnd"/>
        <w:r w:rsidR="0020650C" w:rsidRPr="0020650C">
          <w:rPr>
            <w:rStyle w:val="Hyperlink"/>
          </w:rPr>
          <w:t>)</w:t>
        </w:r>
        <w:r w:rsidRPr="00A76789">
          <w:rPr>
            <w:rStyle w:val="Hyperlink"/>
            <w:rtl/>
          </w:rPr>
          <w:t>)</w:t>
        </w:r>
      </w:hyperlink>
      <w:r w:rsidR="0020650C" w:rsidRPr="0020650C">
        <w:rPr>
          <w:rFonts w:hint="cs"/>
          <w:rtl/>
        </w:rPr>
        <w:t xml:space="preserve"> </w:t>
      </w:r>
      <w:r w:rsidRPr="00A76789">
        <w:rPr>
          <w:rtl/>
        </w:rPr>
        <w:t xml:space="preserve">في </w:t>
      </w:r>
      <w:hyperlink r:id="rId38" w:history="1">
        <w:r w:rsidRPr="00A76789">
          <w:rPr>
            <w:rStyle w:val="Hyperlink"/>
            <w:rtl/>
          </w:rPr>
          <w:t>يوم الأمم المتحدة الأول للعوالم الافتراضية</w:t>
        </w:r>
      </w:hyperlink>
      <w:r w:rsidRPr="00A76789">
        <w:rPr>
          <w:rtl/>
        </w:rPr>
        <w:t xml:space="preserve"> في يونيو ‎2024 ‏الذي نظمه الاتحاد مع ‎17 ‏وكالة زميلة من وكالات الأمم المتحدة. وستحدد المبادرة القواعد والمبادئ لتوجيه إدارة حلول الميتافيرس في المدن في مجالات من قبيل التخطيط الحضري والتعليم والخدمات البلدية. وستمكّن المبادرة، بقيادة الاتحاد ومركز الأمم المتحدة الدولي للحوسبة ودبي الرقمية، من دفع عجلة تنمية القدرات، وتيسير تبادل أفضل الممارسات، وتهيئة بيئة اختبارية للمدن لمحاكاة سيناريوهات العوالم الافتراضي. وستستند إلى عمل </w:t>
      </w:r>
      <w:hyperlink r:id="rId39" w:history="1">
        <w:r w:rsidRPr="00A76789">
          <w:rPr>
            <w:rStyle w:val="Hyperlink"/>
            <w:rtl/>
          </w:rPr>
          <w:t>الفريق المتخصص التابع للاتحاد والمعني بالميتافيرس</w:t>
        </w:r>
      </w:hyperlink>
      <w:r w:rsidRPr="00A76789">
        <w:rPr>
          <w:rtl/>
        </w:rPr>
        <w:t xml:space="preserve"> وتكمل عمل </w:t>
      </w:r>
      <w:hyperlink r:id="rId40" w:history="1">
        <w:r w:rsidRPr="00A76789">
          <w:rPr>
            <w:rStyle w:val="Hyperlink"/>
            <w:rtl/>
          </w:rPr>
          <w:t>لجنة الدراسات 20 لقطاع تقييس الاتصالات</w:t>
        </w:r>
      </w:hyperlink>
      <w:r w:rsidRPr="00A76789">
        <w:rPr>
          <w:rtl/>
        </w:rPr>
        <w:t xml:space="preserve"> و</w:t>
      </w:r>
      <w:hyperlink r:id="rId41" w:history="1">
        <w:r w:rsidRPr="00A76789">
          <w:rPr>
            <w:rStyle w:val="Hyperlink"/>
            <w:rtl/>
          </w:rPr>
          <w:t>مبادرة "متحدون من أجل مدن ذكية مستدامة" (U4SSC)</w:t>
        </w:r>
      </w:hyperlink>
      <w:r w:rsidRPr="00A76789">
        <w:rPr>
          <w:rtl/>
        </w:rPr>
        <w:t xml:space="preserve">. وتسلط </w:t>
      </w:r>
      <w:hyperlink r:id="rId42" w:anchor="p=1" w:history="1">
        <w:r w:rsidRPr="00A76789">
          <w:rPr>
            <w:rStyle w:val="Hyperlink"/>
            <w:rtl/>
          </w:rPr>
          <w:t>نشرة إعلامية تنفيذية جديدة للأمم المتحدة</w:t>
        </w:r>
      </w:hyperlink>
      <w:r w:rsidRPr="00A76789">
        <w:rPr>
          <w:rtl/>
        </w:rPr>
        <w:t xml:space="preserve"> أطلقت في يوم الأمم المتحدة للعوالم الافتراضية الضوء على صلة العوالم الافتراضية والميتافيرس بأهداف التنمية المستدامة. انظر </w:t>
      </w:r>
      <w:hyperlink w:anchor="FiveThree" w:history="1">
        <w:r w:rsidRPr="00A76789">
          <w:rPr>
            <w:rStyle w:val="Hyperlink"/>
            <w:rtl/>
          </w:rPr>
          <w:t xml:space="preserve">الفقرة </w:t>
        </w:r>
        <w:r w:rsidR="0020650C" w:rsidRPr="004B2400">
          <w:rPr>
            <w:rStyle w:val="Hyperlink"/>
          </w:rPr>
          <w:t>3.5</w:t>
        </w:r>
      </w:hyperlink>
      <w:r w:rsidRPr="00A76789">
        <w:rPr>
          <w:rtl/>
        </w:rPr>
        <w:t>.</w:t>
      </w:r>
    </w:p>
    <w:p w14:paraId="52FCC314" w14:textId="2386DD09" w:rsidR="00A76789" w:rsidRPr="00A76789" w:rsidRDefault="00A76789" w:rsidP="00A76789">
      <w:r w:rsidRPr="00A76789">
        <w:rPr>
          <w:rtl/>
        </w:rPr>
        <w:t xml:space="preserve">وتحظى مبادرة </w:t>
      </w:r>
      <w:hyperlink r:id="rId43" w:history="1">
        <w:r w:rsidRPr="00A76789">
          <w:rPr>
            <w:rStyle w:val="Hyperlink"/>
            <w:rtl/>
          </w:rPr>
          <w:t>"متحدون من أجل مدن ذكية مستدامة" (U4SSC)</w:t>
        </w:r>
      </w:hyperlink>
      <w:r w:rsidRPr="00A76789">
        <w:rPr>
          <w:rtl/>
        </w:rPr>
        <w:t xml:space="preserve"> بالدعم من 19 كياناً من كيانات الأمم المتحدة من أجل تحقيق الهدف 11 من أهداف التنمية المستدامة ("جعل المدن والمستوطنات البشرية شاملة وآمنة ومرنة ومستدامة"). واعتمدت أكثر من 200 مدينة </w:t>
      </w:r>
      <w:hyperlink r:id="rId44" w:history="1">
        <w:r w:rsidRPr="00A76789">
          <w:rPr>
            <w:rStyle w:val="Hyperlink"/>
            <w:rtl/>
          </w:rPr>
          <w:t>مؤشرات الأداء الرئيسية لمبادرة U4SSC</w:t>
        </w:r>
      </w:hyperlink>
      <w:r w:rsidRPr="00A76789">
        <w:rPr>
          <w:rtl/>
        </w:rPr>
        <w:t xml:space="preserve"> استناداً إلى معايير الاتحاد. وتعرض </w:t>
      </w:r>
      <w:hyperlink r:id="rId45" w:history="1">
        <w:r w:rsidRPr="00A76789">
          <w:rPr>
            <w:rStyle w:val="Hyperlink"/>
            <w:rtl/>
          </w:rPr>
          <w:t>لقطات المدن وصحائف الوقائع وتقارير التحقق ودراسات الحالة</w:t>
        </w:r>
      </w:hyperlink>
      <w:r w:rsidRPr="00A76789">
        <w:rPr>
          <w:rtl/>
        </w:rPr>
        <w:t xml:space="preserve"> نتائج هذه التقييمات. انظر </w:t>
      </w:r>
      <w:hyperlink w:anchor="FiveThree" w:history="1">
        <w:r w:rsidRPr="00A76789">
          <w:rPr>
            <w:rStyle w:val="Hyperlink"/>
            <w:rtl/>
          </w:rPr>
          <w:t xml:space="preserve">الفقرة </w:t>
        </w:r>
        <w:r w:rsidR="008B12C7" w:rsidRPr="004B2400">
          <w:rPr>
            <w:rStyle w:val="Hyperlink"/>
          </w:rPr>
          <w:t>3.5</w:t>
        </w:r>
      </w:hyperlink>
      <w:r w:rsidRPr="00A76789">
        <w:rPr>
          <w:rtl/>
        </w:rPr>
        <w:t>.</w:t>
      </w:r>
    </w:p>
    <w:p w14:paraId="45D4B7AC" w14:textId="54C5DA0C" w:rsidR="00A76789" w:rsidRPr="00A76789" w:rsidRDefault="00A76789" w:rsidP="00A76789">
      <w:r w:rsidRPr="00A76789">
        <w:rPr>
          <w:rtl/>
        </w:rPr>
        <w:t>وشملت ‏</w:t>
      </w:r>
      <w:hyperlink r:id="rId46" w:history="1">
        <w:r w:rsidRPr="00A76789">
          <w:rPr>
            <w:rStyle w:val="Hyperlink"/>
            <w:rtl/>
          </w:rPr>
          <w:t>حوارات الاتحاد بشأن التحول الرقمي</w:t>
        </w:r>
      </w:hyperlink>
      <w:r w:rsidRPr="00A76789">
        <w:rPr>
          <w:rtl/>
        </w:rPr>
        <w:t xml:space="preserve"> دردشات جانبية وجلسات استفسار من الخبراء وحلقات دراسية بشأن الأبعاد واسعة </w:t>
      </w:r>
      <w:r w:rsidRPr="00A76789">
        <w:rPr>
          <w:cs/>
        </w:rPr>
        <w:t>‎</w:t>
      </w:r>
      <w:r w:rsidRPr="00A76789">
        <w:rPr>
          <w:rtl/>
        </w:rPr>
        <w:t xml:space="preserve">النطاق للتحول الرقمي ودعم معايير الاتحاد. انظر أيضاً </w:t>
      </w:r>
      <w:hyperlink r:id="rId47" w:history="1">
        <w:r w:rsidRPr="00A76789">
          <w:rPr>
            <w:rStyle w:val="Hyperlink"/>
            <w:rtl/>
          </w:rPr>
          <w:t>التقارير الرئيسية</w:t>
        </w:r>
      </w:hyperlink>
      <w:r w:rsidRPr="00A76789">
        <w:rPr>
          <w:rtl/>
        </w:rPr>
        <w:t xml:space="preserve"> عن التحول الرقمي للمدن والمجتمعات المنشورة في فترة الدراسة. </w:t>
      </w:r>
      <w:r w:rsidRPr="00A76789">
        <w:rPr>
          <w:cs/>
        </w:rPr>
        <w:t>‎</w:t>
      </w:r>
      <w:r w:rsidRPr="00A76789">
        <w:rPr>
          <w:rtl/>
        </w:rPr>
        <w:t xml:space="preserve">انظر </w:t>
      </w:r>
      <w:hyperlink w:anchor="FiveThree" w:history="1">
        <w:r w:rsidRPr="00A76789">
          <w:rPr>
            <w:rStyle w:val="Hyperlink"/>
            <w:rtl/>
          </w:rPr>
          <w:t xml:space="preserve">الفقرة </w:t>
        </w:r>
        <w:r w:rsidR="008B12C7" w:rsidRPr="004B2400">
          <w:rPr>
            <w:rStyle w:val="Hyperlink"/>
          </w:rPr>
          <w:t>3.5</w:t>
        </w:r>
      </w:hyperlink>
      <w:r w:rsidR="008B12C7">
        <w:rPr>
          <w:rFonts w:hint="cs"/>
          <w:rtl/>
          <w:lang w:bidi="ar-EG"/>
        </w:rPr>
        <w:t>.</w:t>
      </w:r>
      <w:r w:rsidRPr="00A76789">
        <w:rPr>
          <w:cs/>
        </w:rPr>
        <w:t>‎</w:t>
      </w:r>
    </w:p>
    <w:p w14:paraId="0C97206C" w14:textId="06769643" w:rsidR="00A76789" w:rsidRPr="00A76789" w:rsidRDefault="00A76789" w:rsidP="00A76789">
      <w:r w:rsidRPr="00A76789">
        <w:rPr>
          <w:rtl/>
        </w:rPr>
        <w:t>وتقدم</w:t>
      </w:r>
      <w:r w:rsidRPr="00A76789">
        <w:rPr>
          <w:cs/>
        </w:rPr>
        <w:t>‎</w:t>
      </w:r>
      <w:r w:rsidRPr="00A76789">
        <w:rPr>
          <w:rtl/>
        </w:rPr>
        <w:t xml:space="preserve"> </w:t>
      </w:r>
      <w:hyperlink r:id="rId48" w:history="1">
        <w:r w:rsidRPr="00A76789">
          <w:rPr>
            <w:rStyle w:val="Hyperlink"/>
            <w:rtl/>
          </w:rPr>
          <w:t>الدورات التدريبية الأمنية للاتحاد بشأن الخدمات المالية الرقمية (</w:t>
        </w:r>
        <w:r w:rsidRPr="00A76789">
          <w:rPr>
            <w:rStyle w:val="Hyperlink"/>
          </w:rPr>
          <w:t>DFS</w:t>
        </w:r>
        <w:r w:rsidRPr="00A76789">
          <w:rPr>
            <w:rStyle w:val="Hyperlink"/>
            <w:rtl/>
          </w:rPr>
          <w:t>)</w:t>
        </w:r>
      </w:hyperlink>
      <w:r w:rsidRPr="00A76789">
        <w:rPr>
          <w:rtl/>
        </w:rPr>
        <w:t xml:space="preserve"> إلى المنظمين وموردي الخدمات المالية الرقمية إرشادات </w:t>
      </w:r>
      <w:r w:rsidRPr="00A76789">
        <w:rPr>
          <w:cs/>
        </w:rPr>
        <w:t>‎</w:t>
      </w:r>
      <w:r w:rsidRPr="00A76789">
        <w:rPr>
          <w:rtl/>
        </w:rPr>
        <w:t xml:space="preserve">بشأن تبني أفضل الممارسات الأمنية التي تم تطويرها في إطار </w:t>
      </w:r>
      <w:hyperlink r:id="rId49" w:history="1">
        <w:r w:rsidRPr="00A76789">
          <w:rPr>
            <w:rStyle w:val="Hyperlink"/>
            <w:rtl/>
          </w:rPr>
          <w:t>المبادرة العالمية للشمول الرقمي (</w:t>
        </w:r>
        <w:r w:rsidRPr="00A76789">
          <w:rPr>
            <w:rStyle w:val="Hyperlink"/>
          </w:rPr>
          <w:t>FIGI</w:t>
        </w:r>
        <w:r w:rsidRPr="00A76789">
          <w:rPr>
            <w:rStyle w:val="Hyperlink"/>
            <w:rtl/>
          </w:rPr>
          <w:t>)</w:t>
        </w:r>
      </w:hyperlink>
      <w:r w:rsidRPr="00A76789">
        <w:rPr>
          <w:rtl/>
        </w:rPr>
        <w:t xml:space="preserve">. ويساعد </w:t>
      </w:r>
      <w:hyperlink r:id="rId50" w:history="1">
        <w:r w:rsidRPr="00A76789">
          <w:rPr>
            <w:rStyle w:val="Hyperlink"/>
            <w:rtl/>
          </w:rPr>
          <w:t xml:space="preserve">مختبر أمن الخدمات </w:t>
        </w:r>
        <w:r w:rsidRPr="00A76789">
          <w:rPr>
            <w:rStyle w:val="Hyperlink"/>
            <w:cs/>
          </w:rPr>
          <w:t>‎</w:t>
        </w:r>
        <w:r w:rsidRPr="00A76789">
          <w:rPr>
            <w:rStyle w:val="Hyperlink"/>
            <w:rtl/>
          </w:rPr>
          <w:t>المالية الرقمية التابع للاتحاد</w:t>
        </w:r>
      </w:hyperlink>
      <w:r w:rsidRPr="00A76789">
        <w:rPr>
          <w:rtl/>
        </w:rPr>
        <w:t xml:space="preserve"> أصحاب المصلحة للتحقق من اتباع أفضل الممارسات هذه. ويعمل عدد متزايد من البلدان فضلاً عن </w:t>
      </w:r>
      <w:r w:rsidRPr="00A76789">
        <w:rPr>
          <w:cs/>
        </w:rPr>
        <w:t>‎</w:t>
      </w:r>
      <w:r w:rsidRPr="00A76789">
        <w:rPr>
          <w:rtl/>
        </w:rPr>
        <w:t xml:space="preserve">منظمات إقليمية على تبني التوصيات المتعلقة بأمن الخدمات المالية الرقمية والتي تم إعدادها في إطار مبادرة </w:t>
      </w:r>
      <w:r w:rsidRPr="00A76789">
        <w:t>FIGI</w:t>
      </w:r>
      <w:r w:rsidRPr="00A76789">
        <w:rPr>
          <w:rtl/>
        </w:rPr>
        <w:t xml:space="preserve">، وإنشاء مختبرات </w:t>
      </w:r>
      <w:r w:rsidRPr="00A76789">
        <w:rPr>
          <w:cs/>
        </w:rPr>
        <w:t>‎</w:t>
      </w:r>
      <w:r w:rsidRPr="00A76789">
        <w:rPr>
          <w:rtl/>
        </w:rPr>
        <w:t xml:space="preserve">لأمن الخدمات المالية الرقمية خاصة بها بدعم من أنشطة نقل المعارف للاتحاد. وأطلق في أبريل 2024 </w:t>
      </w:r>
      <w:hyperlink r:id="rId51" w:history="1">
        <w:r w:rsidRPr="00A76789">
          <w:rPr>
            <w:rStyle w:val="Hyperlink"/>
            <w:rtl/>
          </w:rPr>
          <w:t xml:space="preserve">تحدي تطبيق الاستيقان الآمن </w:t>
        </w:r>
        <w:r w:rsidRPr="00A76789">
          <w:rPr>
            <w:rStyle w:val="Hyperlink"/>
            <w:cs/>
          </w:rPr>
          <w:t>‎</w:t>
        </w:r>
        <w:r w:rsidRPr="00A76789">
          <w:rPr>
            <w:rStyle w:val="Hyperlink"/>
            <w:rtl/>
          </w:rPr>
          <w:t>لسلسلة الكتل الذي نظمه الاتحاد</w:t>
        </w:r>
      </w:hyperlink>
      <w:r w:rsidRPr="00A76789">
        <w:rPr>
          <w:rtl/>
        </w:rPr>
        <w:t xml:space="preserve"> بالاشتراك مع مؤسسة </w:t>
      </w:r>
      <w:r w:rsidRPr="00A76789">
        <w:t>FNSV</w:t>
      </w:r>
      <w:r w:rsidRPr="00A76789">
        <w:rPr>
          <w:rtl/>
        </w:rPr>
        <w:t xml:space="preserve"> في كوريا. انظر </w:t>
      </w:r>
      <w:hyperlink w:anchor="FiveFour" w:history="1">
        <w:r w:rsidRPr="00A76789">
          <w:rPr>
            <w:rStyle w:val="Hyperlink"/>
            <w:rtl/>
          </w:rPr>
          <w:t xml:space="preserve">الفقرة </w:t>
        </w:r>
        <w:r w:rsidR="008B12C7" w:rsidRPr="004D1D9B">
          <w:rPr>
            <w:rStyle w:val="Hyperlink"/>
          </w:rPr>
          <w:t>4.5</w:t>
        </w:r>
      </w:hyperlink>
      <w:r w:rsidRPr="00A76789">
        <w:rPr>
          <w:rtl/>
        </w:rPr>
        <w:t>.</w:t>
      </w:r>
      <w:r w:rsidRPr="00A76789">
        <w:rPr>
          <w:cs/>
        </w:rPr>
        <w:t>‎</w:t>
      </w:r>
    </w:p>
    <w:p w14:paraId="1CC38808" w14:textId="46EB1358" w:rsidR="00A76789" w:rsidRPr="00A76789" w:rsidRDefault="00A76789" w:rsidP="00A76789">
      <w:pPr>
        <w:rPr>
          <w:rtl/>
        </w:rPr>
      </w:pPr>
      <w:r w:rsidRPr="00A76789">
        <w:rPr>
          <w:rtl/>
        </w:rPr>
        <w:t xml:space="preserve">ويعكف </w:t>
      </w:r>
      <w:hyperlink r:id="rId52" w:history="1">
        <w:r w:rsidRPr="00A76789">
          <w:rPr>
            <w:rStyle w:val="Hyperlink"/>
            <w:rtl/>
          </w:rPr>
          <w:t xml:space="preserve">الاتحاد ومؤسسة </w:t>
        </w:r>
        <w:r w:rsidRPr="00A76789">
          <w:rPr>
            <w:rStyle w:val="Hyperlink"/>
          </w:rPr>
          <w:t>Linux</w:t>
        </w:r>
        <w:r w:rsidRPr="00A76789">
          <w:rPr>
            <w:rStyle w:val="Hyperlink"/>
            <w:rtl/>
          </w:rPr>
          <w:t xml:space="preserve"> على إطلاق منتدى المحفظة المفتوحة لتحفيز النفاذ العالمي</w:t>
        </w:r>
      </w:hyperlink>
      <w:r w:rsidRPr="00A76789">
        <w:rPr>
          <w:rtl/>
        </w:rPr>
        <w:t xml:space="preserve"> إلى المحافظ الرقمية التي تشكل اللبنات </w:t>
      </w:r>
      <w:r w:rsidRPr="00A76789">
        <w:rPr>
          <w:cs/>
        </w:rPr>
        <w:t>‎</w:t>
      </w:r>
      <w:r w:rsidRPr="00A76789">
        <w:rPr>
          <w:rtl/>
        </w:rPr>
        <w:t xml:space="preserve">التكنولوجية الرئيسية للبنية التحتية العامة الرقمية. وسيركز على أمن المحافظ الرقمية وقابليتها للتشغيل البيني. وسيوفر منتدى المحفظة </w:t>
      </w:r>
      <w:r w:rsidRPr="00A76789">
        <w:rPr>
          <w:cs/>
        </w:rPr>
        <w:t>‎</w:t>
      </w:r>
      <w:r w:rsidRPr="00A76789">
        <w:rPr>
          <w:rtl/>
        </w:rPr>
        <w:t xml:space="preserve">المفتوحة منصة للتعاون بين أصحاب المصلحة المتعددين لدمج المتطلبات واسعة النطاق من الحكومات والشركات في السياسات </w:t>
      </w:r>
      <w:r w:rsidRPr="00A76789">
        <w:rPr>
          <w:cs/>
        </w:rPr>
        <w:t>‎</w:t>
      </w:r>
      <w:r w:rsidRPr="00A76789">
        <w:rPr>
          <w:rtl/>
        </w:rPr>
        <w:t xml:space="preserve">المنسقة والمعايير التقنية للمحافظ الرقمية. وسيحظى المنتدى أيضاً بدعم من مركز </w:t>
      </w:r>
      <w:r w:rsidRPr="00A76789">
        <w:t>UNICC</w:t>
      </w:r>
      <w:r w:rsidRPr="00A76789">
        <w:rPr>
          <w:rtl/>
        </w:rPr>
        <w:t xml:space="preserve"> وحكومة سويسرا. انظر </w:t>
      </w:r>
      <w:hyperlink w:anchor="FiveFour" w:history="1">
        <w:r w:rsidRPr="00A76789">
          <w:rPr>
            <w:rStyle w:val="Hyperlink"/>
            <w:rtl/>
          </w:rPr>
          <w:t xml:space="preserve">الفقرة </w:t>
        </w:r>
        <w:r w:rsidR="008B12C7" w:rsidRPr="004D1D9B">
          <w:rPr>
            <w:rStyle w:val="Hyperlink"/>
          </w:rPr>
          <w:t>4.5</w:t>
        </w:r>
      </w:hyperlink>
      <w:r w:rsidRPr="00A76789">
        <w:rPr>
          <w:rtl/>
        </w:rPr>
        <w:t>.</w:t>
      </w:r>
      <w:r w:rsidRPr="00A76789">
        <w:rPr>
          <w:cs/>
        </w:rPr>
        <w:t>‎</w:t>
      </w:r>
    </w:p>
    <w:p w14:paraId="1446689C" w14:textId="26172A5B" w:rsidR="00A76789" w:rsidRPr="00A76789" w:rsidRDefault="00A76789" w:rsidP="00A76789">
      <w:r w:rsidRPr="00A76789">
        <w:rPr>
          <w:rtl/>
        </w:rPr>
        <w:t xml:space="preserve">وعقدت ثلاث دورات من </w:t>
      </w:r>
      <w:hyperlink r:id="rId53" w:history="1">
        <w:r w:rsidRPr="00A76789">
          <w:rPr>
            <w:rStyle w:val="Hyperlink"/>
            <w:rtl/>
          </w:rPr>
          <w:t>ندوة سيارات المستقبل الموصولة شبكياً</w:t>
        </w:r>
      </w:hyperlink>
      <w:r w:rsidRPr="00A76789">
        <w:rPr>
          <w:rtl/>
        </w:rPr>
        <w:t xml:space="preserve"> نظمها الاتحاد ولجنة الأمم المتحدة الاقتصادية لأوروبا عبر الإنترنت في مارس 2024 و2023 و2022. وعقدت النسخة الإقليمية الأولى من الندوة في أكتوبر 2023 في الدوحة، قطر. ويقوم </w:t>
      </w:r>
      <w:hyperlink r:id="rId54" w:history="1">
        <w:r w:rsidRPr="00A76789">
          <w:rPr>
            <w:rStyle w:val="Hyperlink"/>
            <w:rtl/>
          </w:rPr>
          <w:t>فريق الخبراء المعني بتكنولوجيا الاتصالات من أجل القيادة الآلية</w:t>
        </w:r>
      </w:hyperlink>
      <w:r w:rsidRPr="00A76789">
        <w:rPr>
          <w:rtl/>
        </w:rPr>
        <w:t xml:space="preserve"> في إطار </w:t>
      </w:r>
      <w:hyperlink r:id="rId55" w:history="1">
        <w:r w:rsidRPr="00A76789">
          <w:rPr>
            <w:rStyle w:val="Hyperlink"/>
            <w:rtl/>
          </w:rPr>
          <w:t>التعاون الذي يقوده الاتحاد بشأن معايير اتصالات أنظمة النقل الذكية</w:t>
        </w:r>
      </w:hyperlink>
      <w:r w:rsidRPr="00A76789">
        <w:rPr>
          <w:rtl/>
        </w:rPr>
        <w:t xml:space="preserve"> حالياً بتشغيل فريقي عمل بشأن "اتصالات المركبات لأغراض الدمج التلقائي في الممرات المزدحمة" و"اتصالات المركبات من أجل الكبح المتقدم في حالات الطوارئ، بما في ذلك حماية مستعملي الطرق المعرضين للخطر". انظر </w:t>
      </w:r>
      <w:hyperlink w:anchor="FiveFive" w:history="1">
        <w:r w:rsidRPr="00A76789">
          <w:rPr>
            <w:rStyle w:val="Hyperlink"/>
            <w:rtl/>
          </w:rPr>
          <w:t>الفقرة 5.5</w:t>
        </w:r>
      </w:hyperlink>
      <w:r w:rsidRPr="00A76789">
        <w:rPr>
          <w:rtl/>
        </w:rPr>
        <w:t>.</w:t>
      </w:r>
    </w:p>
    <w:p w14:paraId="6C27EA02" w14:textId="0747C904" w:rsidR="00A76789" w:rsidRPr="00A76789" w:rsidRDefault="00A76789" w:rsidP="00A76789">
      <w:r w:rsidRPr="00A76789">
        <w:rPr>
          <w:rtl/>
        </w:rPr>
        <w:t xml:space="preserve">ويواصل الاتحاد </w:t>
      </w:r>
      <w:hyperlink r:id="rId56" w:history="1">
        <w:r w:rsidRPr="00A76789">
          <w:rPr>
            <w:rStyle w:val="Hyperlink"/>
            <w:rtl/>
          </w:rPr>
          <w:t>أنشطة العمل الرقمي الأخضر</w:t>
        </w:r>
      </w:hyperlink>
      <w:r w:rsidRPr="00A76789">
        <w:rPr>
          <w:rtl/>
        </w:rPr>
        <w:t xml:space="preserve"> بعد استهلاله </w:t>
      </w:r>
      <w:hyperlink r:id="rId57" w:history="1">
        <w:r w:rsidRPr="00A76789">
          <w:rPr>
            <w:rStyle w:val="Hyperlink"/>
            <w:rtl/>
          </w:rPr>
          <w:t xml:space="preserve">مسار العمل الرقمي الأخضر في الدورة الثامنة والعشرين لمؤتمر الأطراف في اتفاقية الأمم المتحدة الإطارية بشأن تغيُّر المناخ </w:t>
        </w:r>
        <w:r w:rsidR="00BD77A4" w:rsidRPr="00BD77A4">
          <w:rPr>
            <w:rStyle w:val="Hyperlink"/>
          </w:rPr>
          <w:t>)</w:t>
        </w:r>
        <w:r w:rsidRPr="00A76789">
          <w:rPr>
            <w:rStyle w:val="Hyperlink"/>
            <w:rtl/>
          </w:rPr>
          <w:t>COP28</w:t>
        </w:r>
        <w:r w:rsidR="00BD77A4" w:rsidRPr="00BD77A4">
          <w:rPr>
            <w:rStyle w:val="Hyperlink"/>
          </w:rPr>
          <w:t>(</w:t>
        </w:r>
      </w:hyperlink>
      <w:r w:rsidRPr="00A76789">
        <w:rPr>
          <w:rtl/>
        </w:rPr>
        <w:t xml:space="preserve"> في عام 2023 في دبي، الإمارات العربية المتحدة، جنباً إلى جنب مع شركاء من الحكومات والشركات ورابطات الصناعة والمجتمع المدني ووكالات الأمم المتحدة الزميلة. ويتولى مكتب تقييس الاتصالات/قطاع تقييس الاتصالات دوراً قيادياً في تيسير أنشطة العمل الرقمي الأخضر التي تركز على التقييس. انظر </w:t>
      </w:r>
      <w:hyperlink w:anchor="FiveSix" w:history="1">
        <w:r w:rsidRPr="00A76789">
          <w:rPr>
            <w:rStyle w:val="Hyperlink"/>
            <w:rtl/>
          </w:rPr>
          <w:t xml:space="preserve">الفقرة </w:t>
        </w:r>
        <w:r w:rsidR="00BD77A4" w:rsidRPr="004D1D9B">
          <w:rPr>
            <w:rStyle w:val="Hyperlink"/>
          </w:rPr>
          <w:t>6.5</w:t>
        </w:r>
      </w:hyperlink>
      <w:r w:rsidRPr="00A76789">
        <w:rPr>
          <w:rtl/>
        </w:rPr>
        <w:t>.</w:t>
      </w:r>
    </w:p>
    <w:p w14:paraId="5249378D" w14:textId="71901AA6" w:rsidR="00A76789" w:rsidRPr="00A76789" w:rsidRDefault="00A76789" w:rsidP="00BD77A4">
      <w:r w:rsidRPr="00A76789">
        <w:rPr>
          <w:rtl/>
        </w:rPr>
        <w:lastRenderedPageBreak/>
        <w:t xml:space="preserve">ويكرس </w:t>
      </w:r>
      <w:hyperlink r:id="rId58" w:history="1">
        <w:r w:rsidRPr="00A76789">
          <w:rPr>
            <w:rStyle w:val="Hyperlink"/>
            <w:rtl/>
          </w:rPr>
          <w:t xml:space="preserve">فريق المهام المشترك المعني بأنظمة الكبلات </w:t>
        </w:r>
        <w:r w:rsidRPr="00A76789">
          <w:rPr>
            <w:rStyle w:val="Hyperlink"/>
          </w:rPr>
          <w:t>SMART</w:t>
        </w:r>
      </w:hyperlink>
      <w:r w:rsidRPr="00A76789">
        <w:rPr>
          <w:rtl/>
        </w:rPr>
        <w:t xml:space="preserve"> الذي يدعمه الاتحاد واللجنة الحكومية الدولية لعلوم المحيطات التابعة لمنظمة الأمم المتحدة للتربية والعلم والثقافة </w:t>
      </w:r>
      <w:r w:rsidRPr="00A76789">
        <w:t>UNESCO/IOC</w:t>
      </w:r>
      <w:r w:rsidR="00BD77A4">
        <w:t>)</w:t>
      </w:r>
      <w:r w:rsidRPr="00A76789">
        <w:rPr>
          <w:rtl/>
        </w:rPr>
        <w:t>) والمنظمة العالمية للأرصاد الجوية جهوده للنهوض بمفهوم "</w:t>
      </w:r>
      <w:proofErr w:type="spellStart"/>
      <w:r w:rsidRPr="00A76789">
        <w:rPr>
          <w:rtl/>
        </w:rPr>
        <w:t>كبلات</w:t>
      </w:r>
      <w:proofErr w:type="spellEnd"/>
      <w:r w:rsidRPr="00A76789">
        <w:rPr>
          <w:rtl/>
        </w:rPr>
        <w:t xml:space="preserve"> المراقبة العلمية والاتصالات الموثوقة (</w:t>
      </w:r>
      <w:r w:rsidRPr="00A76789">
        <w:t>SMART</w:t>
      </w:r>
      <w:r w:rsidRPr="00A76789">
        <w:rPr>
          <w:rtl/>
        </w:rPr>
        <w:t>)". وتسهم المجموعة الدنيا من المتطلبات التي وضعها فريق المهام المشترك في أعمال التقييس التي يضطلع بها قطاع تقييس الاتصالات،  حيث تمت الموافقة على توصيتين جديدتين لقطاع تقييس الاتصالات في أغسطس ‎2024 ‏بشأن أنظمة الكبلات البحرية للمراقبة العلمية والاتصالات الموثوقة (</w:t>
      </w:r>
      <w:r w:rsidRPr="00A76789">
        <w:t>SMART</w:t>
      </w:r>
      <w:r w:rsidRPr="00A76789">
        <w:rPr>
          <w:rtl/>
        </w:rPr>
        <w:t>)</w:t>
      </w:r>
      <w:r w:rsidR="00BD77A4">
        <w:rPr>
          <w:rFonts w:hint="cs"/>
          <w:rtl/>
        </w:rPr>
        <w:t xml:space="preserve"> </w:t>
      </w:r>
      <w:hyperlink r:id="rId59" w:history="1">
        <w:r w:rsidR="00BD77A4" w:rsidRPr="00BD77A4">
          <w:rPr>
            <w:rStyle w:val="Hyperlink"/>
            <w:rFonts w:hint="eastAsia"/>
            <w:lang w:val="en-GB"/>
          </w:rPr>
          <w:t>G.9730.2</w:t>
        </w:r>
      </w:hyperlink>
      <w:r w:rsidRPr="00A76789">
        <w:rPr>
          <w:rtl/>
        </w:rPr>
        <w:t xml:space="preserve"> (</w:t>
      </w:r>
      <w:proofErr w:type="spellStart"/>
      <w:r w:rsidRPr="00A76789">
        <w:rPr>
          <w:rtl/>
        </w:rPr>
        <w:t>G.smart</w:t>
      </w:r>
      <w:proofErr w:type="spellEnd"/>
      <w:r w:rsidR="00BD77A4">
        <w:t>ex </w:t>
      </w:r>
      <w:r w:rsidRPr="00A76789">
        <w:rPr>
          <w:rtl/>
        </w:rPr>
        <w:t>) ونظام الكبلات البحرية المخصصة للاستشعار العلمي</w:t>
      </w:r>
      <w:r w:rsidR="00BD77A4">
        <w:rPr>
          <w:rFonts w:hint="cs"/>
          <w:rtl/>
        </w:rPr>
        <w:t xml:space="preserve"> </w:t>
      </w:r>
      <w:hyperlink r:id="rId60" w:history="1">
        <w:r w:rsidR="00BD77A4" w:rsidRPr="00BD77A4">
          <w:rPr>
            <w:rStyle w:val="Hyperlink"/>
            <w:rFonts w:hint="eastAsia"/>
            <w:lang w:val="en-GB"/>
          </w:rPr>
          <w:t>G.9730.1</w:t>
        </w:r>
      </w:hyperlink>
      <w:r w:rsidRPr="00A76789">
        <w:rPr>
          <w:rtl/>
        </w:rPr>
        <w:t xml:space="preserve"> (</w:t>
      </w:r>
      <w:proofErr w:type="spellStart"/>
      <w:r w:rsidRPr="00A76789">
        <w:rPr>
          <w:rtl/>
        </w:rPr>
        <w:t>G.dsssc</w:t>
      </w:r>
      <w:proofErr w:type="spellEnd"/>
      <w:r w:rsidR="00BD77A4">
        <w:t>ex </w:t>
      </w:r>
      <w:r w:rsidRPr="00A76789">
        <w:rPr>
          <w:rtl/>
        </w:rPr>
        <w:t xml:space="preserve">). وبالإضافة إلى ذلك، يجري وضع إطار تقييم الأثر لتقييم الكيفية التي يمكن بها للبنية التحتية تحت سطح البحر القائمة على تكنولوجيا المعلومات والاتصالات أن تدعم مراقبة المناخ والبيئة والتنوع البيولوجي. انظر </w:t>
      </w:r>
      <w:hyperlink w:anchor="FiveSeven" w:history="1">
        <w:r w:rsidRPr="00A76789">
          <w:rPr>
            <w:rStyle w:val="Hyperlink"/>
            <w:rtl/>
          </w:rPr>
          <w:t xml:space="preserve">الفقرة </w:t>
        </w:r>
        <w:r w:rsidR="00BD77A4" w:rsidRPr="004D1D9B">
          <w:rPr>
            <w:rStyle w:val="Hyperlink"/>
          </w:rPr>
          <w:t>7.5</w:t>
        </w:r>
      </w:hyperlink>
      <w:r w:rsidRPr="00A76789">
        <w:rPr>
          <w:rtl/>
        </w:rPr>
        <w:t>.</w:t>
      </w:r>
    </w:p>
    <w:p w14:paraId="5DE4FA8E" w14:textId="501AEC4B" w:rsidR="00A76789" w:rsidRPr="00A76789" w:rsidRDefault="00A76789" w:rsidP="00A76789">
      <w:pPr>
        <w:rPr>
          <w:lang w:bidi="en-GB"/>
        </w:rPr>
      </w:pPr>
      <w:r w:rsidRPr="00A76789">
        <w:rPr>
          <w:rtl/>
        </w:rPr>
        <w:t xml:space="preserve">ويواصل الاتحاد ومنظمة الصحة العالمية العمل معاً على المبادئ التوجيهية العالمية بشأن الاستماع الآمن باستخدام الأجهزة وفي الأماكن وفي ألعاب الفيديو والرياضات الإلكترونية، مما يسهم في </w:t>
      </w:r>
      <w:hyperlink r:id="rId61" w:history="1">
        <w:r w:rsidRPr="00A76789">
          <w:rPr>
            <w:rStyle w:val="Hyperlink"/>
            <w:rtl/>
          </w:rPr>
          <w:t>مبادرة منظمة الصحة العالمية "الاستماع الآمن"</w:t>
        </w:r>
      </w:hyperlink>
      <w:r w:rsidRPr="00A76789">
        <w:rPr>
          <w:rtl/>
        </w:rPr>
        <w:t xml:space="preserve">. وتم التوصل إلى الموافقة في أغسطس 2024 على معيار جديد مشترك بين الاتحاد ومنظمة الصحة العالمية للاستماع الآمن في ألعاب الفيديو والرياضات الإلكترونية. ويستند هذا العمل إلى نجاح التعاون بين الاتحاد ومنظمة الصحة العالمية بشأن معيار مشترك للاستماع الآمن باستخدام الأجهزة، ولا سيما مشغلات الموسيقى. اطلع على </w:t>
      </w:r>
      <w:hyperlink r:id="rId62" w:history="1">
        <w:r w:rsidRPr="00A76789">
          <w:rPr>
            <w:rStyle w:val="Hyperlink"/>
            <w:rtl/>
          </w:rPr>
          <w:t>جميع ورش عمل الاستماع الآمن</w:t>
        </w:r>
      </w:hyperlink>
      <w:r w:rsidRPr="00A76789">
        <w:rPr>
          <w:rtl/>
        </w:rPr>
        <w:t xml:space="preserve"> التي يشترك في تنظيمها الاتحاد ومنظمة الصحة العالمية. وبالإضافة إلى ذلك، نشرت في سبتمبر 2024 </w:t>
      </w:r>
      <w:hyperlink r:id="rId63" w:history="1">
        <w:r w:rsidRPr="00A76789">
          <w:rPr>
            <w:rStyle w:val="Hyperlink"/>
            <w:rtl/>
          </w:rPr>
          <w:t>مجموعة أدوات جديدة مشتركة بين الاتحاد ومنظمة الصحة العالمية</w:t>
        </w:r>
      </w:hyperlink>
      <w:r w:rsidRPr="00A76789">
        <w:rPr>
          <w:rtl/>
        </w:rPr>
        <w:t xml:space="preserve"> لتنفيذ المعيار المشترك بين الاتحاد ومنظمة الصحة العالمية بشأن إمكانية النفاذ إلى خدمات الرعاية الصحية عن بعد. انظر </w:t>
      </w:r>
      <w:hyperlink w:anchor="FiveEight" w:history="1">
        <w:r w:rsidRPr="00A76789">
          <w:rPr>
            <w:rStyle w:val="Hyperlink"/>
            <w:rtl/>
          </w:rPr>
          <w:t xml:space="preserve">الفقرة </w:t>
        </w:r>
        <w:r w:rsidR="00BD77A4" w:rsidRPr="004D1D9B">
          <w:rPr>
            <w:rStyle w:val="Hyperlink"/>
          </w:rPr>
          <w:t>8.5</w:t>
        </w:r>
      </w:hyperlink>
      <w:r w:rsidRPr="00A76789">
        <w:rPr>
          <w:rtl/>
        </w:rPr>
        <w:t>.</w:t>
      </w:r>
    </w:p>
    <w:p w14:paraId="346D0DBA" w14:textId="3A907685" w:rsidR="00A76789" w:rsidRPr="00A76789" w:rsidRDefault="00A76789" w:rsidP="00A76789">
      <w:pPr>
        <w:rPr>
          <w:lang w:val="en-GB"/>
        </w:rPr>
      </w:pPr>
      <w:r w:rsidRPr="00A76789">
        <w:rPr>
          <w:rtl/>
        </w:rPr>
        <w:t>وتجمع ‏</w:t>
      </w:r>
      <w:hyperlink r:id="rId64" w:history="1">
        <w:r w:rsidRPr="00A76789">
          <w:rPr>
            <w:rStyle w:val="Hyperlink"/>
            <w:rtl/>
          </w:rPr>
          <w:t>اجتماعات كبار مسؤولي التكنولوجيا وكبار المسؤولين التنفيذيين</w:t>
        </w:r>
      </w:hyperlink>
      <w:r w:rsidRPr="00A76789">
        <w:rPr>
          <w:rtl/>
        </w:rPr>
        <w:t xml:space="preserve"> بين المسؤولين التنفيذيين رفيعي المستوى من دوائر الصناعة </w:t>
      </w:r>
      <w:r w:rsidRPr="00A76789">
        <w:rPr>
          <w:cs/>
        </w:rPr>
        <w:t>‎</w:t>
      </w:r>
      <w:r w:rsidRPr="00A76789">
        <w:rPr>
          <w:rtl/>
        </w:rPr>
        <w:t xml:space="preserve">والإدارة العليا لمكتب تقييس الاتصالات لتبادل الآراء بشأن أولويات الصناعة وأنشطة التقييس ذات الصلة. وعُقدت آخر </w:t>
      </w:r>
      <w:hyperlink r:id="rId65" w:history="1">
        <w:r w:rsidRPr="00A76789">
          <w:rPr>
            <w:rStyle w:val="Hyperlink"/>
            <w:rtl/>
          </w:rPr>
          <w:t xml:space="preserve">مائدة مستديرة </w:t>
        </w:r>
        <w:r w:rsidRPr="00A76789">
          <w:rPr>
            <w:rStyle w:val="Hyperlink"/>
            <w:cs/>
          </w:rPr>
          <w:t>‎</w:t>
        </w:r>
        <w:r w:rsidRPr="00A76789">
          <w:rPr>
            <w:rStyle w:val="Hyperlink"/>
            <w:rtl/>
          </w:rPr>
          <w:t>للرؤساء التنفيذيين</w:t>
        </w:r>
      </w:hyperlink>
      <w:r w:rsidRPr="00A76789">
        <w:rPr>
          <w:rtl/>
        </w:rPr>
        <w:t xml:space="preserve"> في ديسمبر 2023 في قمة القادة التي نظمتها مجلة </w:t>
      </w:r>
      <w:r w:rsidRPr="00A76789">
        <w:rPr>
          <w:lang w:val="en-GB"/>
        </w:rPr>
        <w:t>Telecom Review</w:t>
      </w:r>
      <w:r w:rsidRPr="00A76789">
        <w:rPr>
          <w:rtl/>
        </w:rPr>
        <w:t xml:space="preserve"> في دبي، الإمارات العربية المتحدة، بمشاركة </w:t>
      </w:r>
      <w:r w:rsidRPr="00A76789">
        <w:rPr>
          <w:cs/>
        </w:rPr>
        <w:t>‎</w:t>
      </w:r>
      <w:r w:rsidRPr="00A76789">
        <w:rPr>
          <w:rtl/>
        </w:rPr>
        <w:t xml:space="preserve">إضافية عبر الإنترنت (انظر </w:t>
      </w:r>
      <w:hyperlink r:id="rId66" w:history="1">
        <w:r w:rsidRPr="00A76789">
          <w:rPr>
            <w:rStyle w:val="Hyperlink"/>
            <w:rtl/>
          </w:rPr>
          <w:t>بيان</w:t>
        </w:r>
      </w:hyperlink>
      <w:r w:rsidRPr="00A76789">
        <w:rPr>
          <w:rtl/>
        </w:rPr>
        <w:t xml:space="preserve"> الاجتماع). وعُقد </w:t>
      </w:r>
      <w:hyperlink r:id="rId67" w:history="1">
        <w:r w:rsidRPr="00A76789">
          <w:rPr>
            <w:rStyle w:val="Hyperlink"/>
            <w:rtl/>
          </w:rPr>
          <w:t>اجتماع الرؤساء التنفيذيين</w:t>
        </w:r>
      </w:hyperlink>
      <w:r w:rsidRPr="00A76789">
        <w:rPr>
          <w:rtl/>
        </w:rPr>
        <w:t xml:space="preserve"> السابق في ديسمبر 2022 في قمة القادة التي نظمتها مجلة </w:t>
      </w:r>
      <w:r w:rsidRPr="00A76789">
        <w:rPr>
          <w:cs/>
        </w:rPr>
        <w:t>‎</w:t>
      </w:r>
      <w:r w:rsidRPr="00A76789">
        <w:rPr>
          <w:lang w:val="en-GB"/>
        </w:rPr>
        <w:t>Telecom Review</w:t>
      </w:r>
      <w:r w:rsidRPr="00A76789">
        <w:rPr>
          <w:rtl/>
        </w:rPr>
        <w:t xml:space="preserve">، في دبي، الإمارات العربية المتحدة، بمشاركة إضافية عبر الإنترنت (انظر </w:t>
      </w:r>
      <w:hyperlink r:id="rId68" w:history="1">
        <w:r w:rsidRPr="00A76789">
          <w:rPr>
            <w:rStyle w:val="Hyperlink"/>
            <w:rtl/>
          </w:rPr>
          <w:t>بيان</w:t>
        </w:r>
      </w:hyperlink>
      <w:r w:rsidRPr="00A76789">
        <w:rPr>
          <w:rtl/>
        </w:rPr>
        <w:t xml:space="preserve"> الاجتماع). انظر </w:t>
      </w:r>
      <w:hyperlink w:anchor="FiveNine" w:history="1">
        <w:r w:rsidRPr="00A76789">
          <w:rPr>
            <w:rStyle w:val="Hyperlink"/>
            <w:rtl/>
          </w:rPr>
          <w:t xml:space="preserve">الفقرة </w:t>
        </w:r>
        <w:r w:rsidR="00B31F13" w:rsidRPr="004D1D9B">
          <w:rPr>
            <w:rStyle w:val="Hyperlink"/>
          </w:rPr>
          <w:t>9.5</w:t>
        </w:r>
      </w:hyperlink>
      <w:r w:rsidRPr="00A76789">
        <w:rPr>
          <w:rtl/>
        </w:rPr>
        <w:t>.</w:t>
      </w:r>
      <w:r w:rsidRPr="00A76789">
        <w:rPr>
          <w:cs/>
        </w:rPr>
        <w:t>‎</w:t>
      </w:r>
    </w:p>
    <w:p w14:paraId="60F55614" w14:textId="4FDC5EDB" w:rsidR="00A76789" w:rsidRPr="00A76789" w:rsidRDefault="00A76789" w:rsidP="00A76789">
      <w:pPr>
        <w:rPr>
          <w:lang w:val="en-GB"/>
        </w:rPr>
      </w:pPr>
      <w:r w:rsidRPr="00A76789">
        <w:rPr>
          <w:rtl/>
        </w:rPr>
        <w:t xml:space="preserve">وتمثل </w:t>
      </w:r>
      <w:hyperlink r:id="rId69" w:history="1">
        <w:r w:rsidRPr="00A76789">
          <w:rPr>
            <w:rStyle w:val="Hyperlink"/>
            <w:rtl/>
          </w:rPr>
          <w:t>عضوية الهيئات الأكاديمية في الاتحاد</w:t>
        </w:r>
      </w:hyperlink>
      <w:r w:rsidRPr="00A76789">
        <w:rPr>
          <w:rtl/>
        </w:rPr>
        <w:t>، و</w:t>
      </w:r>
      <w:hyperlink r:id="rId70" w:history="1">
        <w:r w:rsidRPr="00A76789">
          <w:rPr>
            <w:rStyle w:val="Hyperlink"/>
            <w:rtl/>
          </w:rPr>
          <w:t>جريدة الاتحاد بشأن التكنولوجيات المستقبلية والمتطورة</w:t>
        </w:r>
      </w:hyperlink>
      <w:r w:rsidRPr="00A76789">
        <w:rPr>
          <w:rtl/>
        </w:rPr>
        <w:t>، و</w:t>
      </w:r>
      <w:hyperlink r:id="rId71" w:history="1">
        <w:r w:rsidRPr="00A76789">
          <w:rPr>
            <w:rStyle w:val="Hyperlink"/>
            <w:rtl/>
          </w:rPr>
          <w:t xml:space="preserve">مؤتمرات </w:t>
        </w:r>
        <w:proofErr w:type="spellStart"/>
        <w:r w:rsidRPr="00A76789">
          <w:rPr>
            <w:rStyle w:val="Hyperlink"/>
            <w:rtl/>
          </w:rPr>
          <w:t>كاليدوسكوب</w:t>
        </w:r>
        <w:proofErr w:type="spellEnd"/>
        <w:r w:rsidRPr="00A76789">
          <w:rPr>
            <w:rStyle w:val="Hyperlink"/>
            <w:rtl/>
          </w:rPr>
          <w:t xml:space="preserve"> التي </w:t>
        </w:r>
        <w:r w:rsidRPr="00A76789">
          <w:rPr>
            <w:rStyle w:val="Hyperlink"/>
            <w:cs/>
          </w:rPr>
          <w:t>‎</w:t>
        </w:r>
        <w:r w:rsidRPr="00A76789">
          <w:rPr>
            <w:rStyle w:val="Hyperlink"/>
            <w:rtl/>
          </w:rPr>
          <w:t>ينظمها الاتحاد</w:t>
        </w:r>
      </w:hyperlink>
      <w:r w:rsidRPr="00A76789">
        <w:rPr>
          <w:rtl/>
        </w:rPr>
        <w:t xml:space="preserve">، سبلاً رئيسية للهيئات الأكاديمية للمشاركة في أعمال الاتحاد. انظر </w:t>
      </w:r>
      <w:hyperlink w:anchor="Six" w:history="1">
        <w:r w:rsidRPr="00A76789">
          <w:rPr>
            <w:rStyle w:val="Hyperlink"/>
            <w:rtl/>
          </w:rPr>
          <w:t>الفقرة 6</w:t>
        </w:r>
      </w:hyperlink>
      <w:r w:rsidRPr="00A76789">
        <w:rPr>
          <w:rtl/>
        </w:rPr>
        <w:t>.</w:t>
      </w:r>
      <w:r w:rsidRPr="00A76789">
        <w:rPr>
          <w:cs/>
        </w:rPr>
        <w:t>‎</w:t>
      </w:r>
    </w:p>
    <w:p w14:paraId="3EF41BE7" w14:textId="309F48D6" w:rsidR="00A76789" w:rsidRPr="00A76789" w:rsidRDefault="00A76789" w:rsidP="00A76789">
      <w:pPr>
        <w:rPr>
          <w:rtl/>
        </w:rPr>
      </w:pPr>
      <w:r w:rsidRPr="00A76789">
        <w:rPr>
          <w:rtl/>
        </w:rPr>
        <w:t xml:space="preserve">وتوفر مجلة الاتحاد - المجانية للقراء والمؤلفين على السواء - تغطية شاملة للاتصالات والربط الشبكي. و‏ترحب المجلة الإلكترونية بتقديم بحوث بشأن جميع المواضيع ذات الصلة، على مدار العام.‎ ‏وتتضمن المجلة أيضاً </w:t>
      </w:r>
      <w:hyperlink r:id="rId72" w:history="1">
        <w:r w:rsidRPr="00A76789">
          <w:rPr>
            <w:rStyle w:val="Hyperlink"/>
            <w:rtl/>
          </w:rPr>
          <w:t>مناقشات مسجلة عبر الإنترنت</w:t>
        </w:r>
      </w:hyperlink>
      <w:r w:rsidRPr="00A76789">
        <w:rPr>
          <w:rtl/>
        </w:rPr>
        <w:t xml:space="preserve"> مع الباحثين وقادة الصناعة.‎ انظر </w:t>
      </w:r>
      <w:hyperlink w:anchor="SixOne" w:history="1">
        <w:r w:rsidRPr="00A76789">
          <w:rPr>
            <w:rStyle w:val="Hyperlink"/>
            <w:rtl/>
          </w:rPr>
          <w:t xml:space="preserve">الفقرة </w:t>
        </w:r>
        <w:r w:rsidR="00B31F13" w:rsidRPr="004D1D9B">
          <w:rPr>
            <w:rStyle w:val="Hyperlink"/>
          </w:rPr>
          <w:t>1.6</w:t>
        </w:r>
      </w:hyperlink>
      <w:r w:rsidRPr="00A76789">
        <w:rPr>
          <w:rtl/>
        </w:rPr>
        <w:t>.</w:t>
      </w:r>
    </w:p>
    <w:p w14:paraId="35DF3034" w14:textId="742631E4" w:rsidR="00A76789" w:rsidRPr="00A76789" w:rsidRDefault="00A76789" w:rsidP="00A76789">
      <w:r w:rsidRPr="00A76789">
        <w:rPr>
          <w:rtl/>
        </w:rPr>
        <w:t>و</w:t>
      </w:r>
      <w:hyperlink r:id="rId73" w:history="1">
        <w:r w:rsidRPr="00A76789">
          <w:rPr>
            <w:rStyle w:val="Hyperlink"/>
            <w:rtl/>
          </w:rPr>
          <w:t>المؤتمر الأكاديمي متعدد الجوانب (</w:t>
        </w:r>
        <w:proofErr w:type="spellStart"/>
        <w:r w:rsidRPr="00A76789">
          <w:rPr>
            <w:rStyle w:val="Hyperlink"/>
            <w:rtl/>
          </w:rPr>
          <w:t>كاليدوسكوب</w:t>
        </w:r>
        <w:proofErr w:type="spellEnd"/>
        <w:r w:rsidRPr="00A76789">
          <w:rPr>
            <w:rStyle w:val="Hyperlink"/>
            <w:rtl/>
          </w:rPr>
          <w:t>) للاتحاد عام 2024</w:t>
        </w:r>
        <w:r w:rsidRPr="00A76789">
          <w:rPr>
            <w:rStyle w:val="Hyperlink"/>
          </w:rPr>
          <w:t>:</w:t>
        </w:r>
        <w:r w:rsidRPr="00A76789">
          <w:rPr>
            <w:rStyle w:val="Hyperlink"/>
            <w:rtl/>
          </w:rPr>
          <w:t xml:space="preserve"> الابتكار والتحول الرقمي من أجل عالم مستدام</w:t>
        </w:r>
      </w:hyperlink>
      <w:r w:rsidRPr="00A76789">
        <w:rPr>
          <w:rtl/>
        </w:rPr>
        <w:t xml:space="preserve"> الذي يعقد بالتزامن مع الجمعية WTSA-24 سيركز على كيفية إسهام المعايير الدولية في تحقيق أهداف التنمية المستدامة. انظر </w:t>
      </w:r>
      <w:hyperlink w:anchor="SixTwo" w:history="1">
        <w:r w:rsidRPr="00A76789">
          <w:rPr>
            <w:rStyle w:val="Hyperlink"/>
            <w:rtl/>
          </w:rPr>
          <w:t xml:space="preserve">الفقرة </w:t>
        </w:r>
        <w:r w:rsidR="00B31F13" w:rsidRPr="0057029B">
          <w:rPr>
            <w:rStyle w:val="Hyperlink"/>
          </w:rPr>
          <w:t>2.6</w:t>
        </w:r>
      </w:hyperlink>
      <w:r w:rsidRPr="00A76789">
        <w:rPr>
          <w:rtl/>
        </w:rPr>
        <w:t>.</w:t>
      </w:r>
    </w:p>
    <w:p w14:paraId="4E491913" w14:textId="36AB3D98" w:rsidR="00A76789" w:rsidRPr="00A76789" w:rsidRDefault="00A76789" w:rsidP="00A76789">
      <w:pPr>
        <w:rPr>
          <w:rtl/>
        </w:rPr>
      </w:pPr>
      <w:r w:rsidRPr="00A76789">
        <w:rPr>
          <w:rtl/>
        </w:rPr>
        <w:t xml:space="preserve">ويتضمن </w:t>
      </w:r>
      <w:hyperlink r:id="rId74" w:history="1">
        <w:r w:rsidRPr="00A76789">
          <w:rPr>
            <w:rStyle w:val="Hyperlink"/>
            <w:rtl/>
          </w:rPr>
          <w:t xml:space="preserve">برنامج سد الفجوة </w:t>
        </w:r>
        <w:proofErr w:type="spellStart"/>
        <w:r w:rsidRPr="00A76789">
          <w:rPr>
            <w:rStyle w:val="Hyperlink"/>
            <w:rtl/>
          </w:rPr>
          <w:t>التقييسية</w:t>
        </w:r>
        <w:proofErr w:type="spellEnd"/>
        <w:r w:rsidRPr="00A76789">
          <w:rPr>
            <w:rStyle w:val="Hyperlink"/>
            <w:rtl/>
          </w:rPr>
          <w:t xml:space="preserve"> ‏</w:t>
        </w:r>
        <w:r w:rsidRPr="00A76789">
          <w:rPr>
            <w:rStyle w:val="Hyperlink"/>
            <w:cs/>
          </w:rPr>
          <w:t>‎</w:t>
        </w:r>
        <w:r w:rsidRPr="00A76789">
          <w:rPr>
            <w:rStyle w:val="Hyperlink"/>
            <w:rtl/>
          </w:rPr>
          <w:t>(</w:t>
        </w:r>
        <w:r w:rsidRPr="00A76789">
          <w:rPr>
            <w:rStyle w:val="Hyperlink"/>
          </w:rPr>
          <w:t>BSG</w:t>
        </w:r>
        <w:r w:rsidRPr="00A76789">
          <w:rPr>
            <w:rStyle w:val="Hyperlink"/>
            <w:cs/>
          </w:rPr>
          <w:t>‎</w:t>
        </w:r>
        <w:r w:rsidRPr="00A76789">
          <w:rPr>
            <w:rStyle w:val="Hyperlink"/>
            <w:rtl/>
          </w:rPr>
          <w:t>‏)</w:t>
        </w:r>
      </w:hyperlink>
      <w:r w:rsidRPr="00A76789">
        <w:rPr>
          <w:rtl/>
        </w:rPr>
        <w:t xml:space="preserve"> للاتحاد المعاد تصوره ركيزتين استراتيجيتين رئيسيتين - </w:t>
      </w:r>
      <w:r w:rsidRPr="00A76789">
        <w:rPr>
          <w:i/>
          <w:iCs/>
          <w:rtl/>
        </w:rPr>
        <w:t>التطوير ‏والتنفيذ</w:t>
      </w:r>
      <w:r w:rsidRPr="00A76789">
        <w:rPr>
          <w:rtl/>
        </w:rPr>
        <w:t xml:space="preserve"> - بدعم من الموارد والشراكات. وتواصل وزارة الشؤون الداخلية والاتصالات في اليابان تمويل البرنامج. وتم ‏منح 318 منحة في الفترة من يناير 2022 إلى يونيو 2024. وعُقد أكثر من 50 حدثاً من أحداث بناء القدرات في مجال ‏سد الفجوة </w:t>
      </w:r>
      <w:proofErr w:type="spellStart"/>
      <w:r w:rsidRPr="00A76789">
        <w:rPr>
          <w:rtl/>
        </w:rPr>
        <w:t>التقييسية</w:t>
      </w:r>
      <w:proofErr w:type="spellEnd"/>
      <w:r w:rsidRPr="00A76789">
        <w:rPr>
          <w:rtl/>
        </w:rPr>
        <w:t xml:space="preserve"> في فترة الدراسة، تناولت في المقام الأول وضع المعايير ولكن أيضاً الجمعية العالمية لتقييس ‏الاتصالات وأساليب وأدوات العمل الإلكترونية. انظر </w:t>
      </w:r>
      <w:hyperlink w:anchor="Nine" w:history="1">
        <w:r w:rsidRPr="00A76789">
          <w:rPr>
            <w:rStyle w:val="Hyperlink"/>
            <w:rtl/>
          </w:rPr>
          <w:t>الفقرة 9</w:t>
        </w:r>
      </w:hyperlink>
      <w:r w:rsidR="00B31F13">
        <w:rPr>
          <w:rFonts w:hint="cs"/>
          <w:rtl/>
        </w:rPr>
        <w:t>.</w:t>
      </w:r>
    </w:p>
    <w:p w14:paraId="6553D41A" w14:textId="161547CC" w:rsidR="00A76789" w:rsidRPr="00A76789" w:rsidRDefault="00A76789" w:rsidP="00A76789">
      <w:r w:rsidRPr="00A76789">
        <w:rPr>
          <w:rtl/>
        </w:rPr>
        <w:t>ويظل مكتب تقييس الاتصالات ملتزماً بدمج منظور المساواة بين الجنسين في جميع أنشطته وبرامجه، مع الاستفادة من إطار فريق المهام المعني بالمساواة بين الجنسين التابع للاتحاد و</w:t>
      </w:r>
      <w:hyperlink r:id="rId75" w:history="1">
        <w:r w:rsidRPr="00A76789">
          <w:rPr>
            <w:rStyle w:val="Hyperlink"/>
            <w:rtl/>
          </w:rPr>
          <w:t>شبكة المرأة في قطاع تقييس الاتصالات (</w:t>
        </w:r>
        <w:proofErr w:type="spellStart"/>
        <w:r w:rsidRPr="00A76789">
          <w:rPr>
            <w:rStyle w:val="Hyperlink"/>
            <w:rtl/>
          </w:rPr>
          <w:t>NoW</w:t>
        </w:r>
        <w:proofErr w:type="spellEnd"/>
        <w:r w:rsidRPr="00A76789">
          <w:rPr>
            <w:rStyle w:val="Hyperlink"/>
            <w:rtl/>
          </w:rPr>
          <w:t xml:space="preserve"> </w:t>
        </w:r>
        <w:proofErr w:type="spellStart"/>
        <w:r w:rsidRPr="00A76789">
          <w:rPr>
            <w:rStyle w:val="Hyperlink"/>
            <w:rtl/>
          </w:rPr>
          <w:t>in</w:t>
        </w:r>
        <w:proofErr w:type="spellEnd"/>
        <w:r w:rsidRPr="00A76789">
          <w:rPr>
            <w:rStyle w:val="Hyperlink"/>
            <w:rtl/>
          </w:rPr>
          <w:t xml:space="preserve"> ITU-T)</w:t>
        </w:r>
      </w:hyperlink>
      <w:r w:rsidRPr="00A76789">
        <w:rPr>
          <w:rtl/>
        </w:rPr>
        <w:t xml:space="preserve">. وشجعت أهداف التكافؤ بين الجنسين للجمعية WTSA-24، المدعومة بحملة NOW4WTSA-24، الدول الأعضاء على التعهد بدعم زيادة عدد النساء في المناصب القيادية بقطاع تقييس الاتصالات وتحقيق الهدف المتمثل في مشاركة الإناث في الجمعية WTSA-24 بنسبة 35 في المائة. وعينت المنظمات الإقليمية للاتصالات ستة ممثلين إقليميين لشبكة المرأة في قطاع تقييس الاتصالات من أجل الجمعية WTSA-24. انظر </w:t>
      </w:r>
      <w:hyperlink w:anchor="Ten" w:history="1">
        <w:r w:rsidRPr="00A76789">
          <w:rPr>
            <w:rStyle w:val="Hyperlink"/>
            <w:rtl/>
          </w:rPr>
          <w:t>الفقرة 10</w:t>
        </w:r>
      </w:hyperlink>
      <w:r w:rsidR="00B31F13">
        <w:rPr>
          <w:rFonts w:hint="cs"/>
          <w:rtl/>
        </w:rPr>
        <w:t>.</w:t>
      </w:r>
    </w:p>
    <w:p w14:paraId="5BFCE05B" w14:textId="4F9A1AD6" w:rsidR="00A76789" w:rsidRPr="00A76789" w:rsidRDefault="00A76789" w:rsidP="00A76789">
      <w:r w:rsidRPr="00A76789">
        <w:rPr>
          <w:rtl/>
        </w:rPr>
        <w:t xml:space="preserve">وأُدرج في </w:t>
      </w:r>
      <w:hyperlink r:id="rId76" w:history="1">
        <w:r w:rsidRPr="00A76789">
          <w:rPr>
            <w:rStyle w:val="Hyperlink"/>
            <w:rtl/>
          </w:rPr>
          <w:t>قاعدة بيانات معامل الاختبار للاتحاد</w:t>
        </w:r>
      </w:hyperlink>
      <w:r w:rsidRPr="00A76789">
        <w:rPr>
          <w:rtl/>
        </w:rPr>
        <w:t xml:space="preserve"> الخاصة بالمرافق التي يعترف بها الاتحاد أربعة عشر مختبراً من المختبرات ذات الكفاءة لاختبار مطابقة المنتجات لتوصيات قطاع تقييس الاتصالات. ويُعتبر نظام الاعتراف بمعامل الاختبار، الذي تدعمه </w:t>
      </w:r>
      <w:hyperlink r:id="rId77" w:history="1">
        <w:r w:rsidRPr="00A76789">
          <w:rPr>
            <w:rStyle w:val="Hyperlink"/>
            <w:rtl/>
          </w:rPr>
          <w:t xml:space="preserve">لجنة </w:t>
        </w:r>
        <w:r w:rsidRPr="00A76789">
          <w:rPr>
            <w:rStyle w:val="Hyperlink"/>
            <w:rtl/>
          </w:rPr>
          <w:lastRenderedPageBreak/>
          <w:t>التوجيه التابعة لقطاع تقييس الاتصالات والمعنية بتقييم المطابقة</w:t>
        </w:r>
      </w:hyperlink>
      <w:r w:rsidRPr="00A76789">
        <w:rPr>
          <w:rtl/>
        </w:rPr>
        <w:t xml:space="preserve"> مبادرة أُطلقت في إطار </w:t>
      </w:r>
      <w:hyperlink r:id="rId78" w:history="1">
        <w:r w:rsidRPr="00A76789">
          <w:rPr>
            <w:rStyle w:val="Hyperlink"/>
            <w:rtl/>
          </w:rPr>
          <w:t>برنامج الاتحاد بشأن المطابقة وقابلية التشغيل البيني</w:t>
        </w:r>
      </w:hyperlink>
      <w:r w:rsidRPr="00A76789">
        <w:rPr>
          <w:rtl/>
        </w:rPr>
        <w:t xml:space="preserve">. انظر </w:t>
      </w:r>
      <w:hyperlink w:anchor="Seven" w:history="1">
        <w:r w:rsidRPr="00A76789">
          <w:rPr>
            <w:rStyle w:val="Hyperlink"/>
            <w:rtl/>
          </w:rPr>
          <w:t>الفقرة 7</w:t>
        </w:r>
      </w:hyperlink>
      <w:r w:rsidR="00B31F13">
        <w:rPr>
          <w:rFonts w:hint="cs"/>
          <w:rtl/>
        </w:rPr>
        <w:t>.</w:t>
      </w:r>
    </w:p>
    <w:p w14:paraId="0F37E704" w14:textId="3F665617" w:rsidR="00A76789" w:rsidRPr="00A76789" w:rsidRDefault="00A76789" w:rsidP="00A76789">
      <w:r w:rsidRPr="00A76789">
        <w:rPr>
          <w:rtl/>
        </w:rPr>
        <w:t xml:space="preserve">ونشر أكثر من 860 توصية وإضافة لقطاع تقييس الاتصالات في فترة الدراسة. ويواصل مكتب تقييس الاتصالات جمع كل المصطلحات والتعاريف الجديدة التي تقترحها لجان دراسات قطاع تقييس الاتصالات، ويدرجها في </w:t>
      </w:r>
      <w:hyperlink r:id="rId79" w:anchor="/" w:history="1">
        <w:r w:rsidRPr="00A76789">
          <w:rPr>
            <w:rStyle w:val="Hyperlink"/>
            <w:rtl/>
          </w:rPr>
          <w:t>قاعدة بيانات الاتحاد الإلكترونية الخاصة بالمصطلحات والتعاريف</w:t>
        </w:r>
      </w:hyperlink>
      <w:r w:rsidRPr="00A76789">
        <w:rPr>
          <w:rtl/>
        </w:rPr>
        <w:t xml:space="preserve">. ويواصل مكتب تقييس الاتصالات ترجمة جميع التوصيات الموافَق عليها في إطار عملية الموافقة التقليدية إلى جانب جميع تقارير الفريق الاستشاري لتقييس الاتصالات. وبناءً على الطلب، ترجم المكتب في فترة الدراسة عشر توصيات تمت الموافقة عليها في إطار عملية الموافقة البديلة. انظر </w:t>
      </w:r>
      <w:hyperlink w:anchor="Eleven" w:history="1">
        <w:r w:rsidRPr="00A76789">
          <w:rPr>
            <w:rStyle w:val="Hyperlink"/>
            <w:rtl/>
          </w:rPr>
          <w:t>الفقرة 11</w:t>
        </w:r>
      </w:hyperlink>
      <w:r w:rsidR="00742D47">
        <w:rPr>
          <w:rFonts w:hint="cs"/>
          <w:rtl/>
        </w:rPr>
        <w:t>.</w:t>
      </w:r>
    </w:p>
    <w:p w14:paraId="6EA643C4" w14:textId="77777777" w:rsidR="00A76789" w:rsidRPr="00A76789" w:rsidRDefault="00A76789" w:rsidP="00A76789">
      <w:r w:rsidRPr="00A76789">
        <w:br w:type="page"/>
      </w:r>
    </w:p>
    <w:p w14:paraId="7B82A2B2" w14:textId="77777777" w:rsidR="00A76789" w:rsidRPr="00A76789" w:rsidRDefault="00A76789" w:rsidP="00742D47">
      <w:pPr>
        <w:pStyle w:val="Annextitle"/>
      </w:pPr>
      <w:bookmarkStart w:id="5" w:name="_Toc480527765"/>
      <w:bookmarkStart w:id="6" w:name="_Toc179219747"/>
      <w:bookmarkStart w:id="7" w:name="_Toc179221057"/>
      <w:bookmarkStart w:id="8" w:name="_Toc179733599"/>
      <w:bookmarkStart w:id="9" w:name="_Toc462664184"/>
      <w:bookmarkStart w:id="10" w:name="_Toc475550127"/>
      <w:bookmarkStart w:id="11" w:name="_Toc416161323"/>
      <w:bookmarkStart w:id="12" w:name="_Toc438553934"/>
      <w:bookmarkStart w:id="13" w:name="_Toc453929055"/>
      <w:bookmarkStart w:id="14" w:name="_Toc453932927"/>
      <w:bookmarkStart w:id="15" w:name="_Toc454295831"/>
      <w:bookmarkStart w:id="16" w:name="_Toc418526228"/>
      <w:bookmarkStart w:id="17" w:name="_Toc462664185"/>
      <w:r w:rsidRPr="00A76789">
        <w:rPr>
          <w:rtl/>
        </w:rPr>
        <w:lastRenderedPageBreak/>
        <w:t>الملحق - التقرير الكامل لأنشطة قطاع تقييس الاتصالات في فترة الدراسة</w:t>
      </w:r>
      <w:bookmarkEnd w:id="5"/>
      <w:bookmarkEnd w:id="6"/>
      <w:bookmarkEnd w:id="7"/>
      <w:bookmarkEnd w:id="8"/>
    </w:p>
    <w:p w14:paraId="5DA88777" w14:textId="77777777" w:rsidR="00A76789" w:rsidRPr="00A76789" w:rsidRDefault="00A76789" w:rsidP="00742D47">
      <w:pPr>
        <w:pStyle w:val="Heading1"/>
        <w:rPr>
          <w:lang w:bidi="ar-SA"/>
        </w:rPr>
      </w:pPr>
      <w:bookmarkStart w:id="18" w:name="_1_Achievements_in"/>
      <w:bookmarkStart w:id="19" w:name="_1_ITU-T_Study"/>
      <w:bookmarkStart w:id="20" w:name="_Toc179219748"/>
      <w:bookmarkStart w:id="21" w:name="_Toc179221058"/>
      <w:bookmarkStart w:id="22" w:name="_Toc179733600"/>
      <w:bookmarkStart w:id="23" w:name="_Toc480527766"/>
      <w:bookmarkEnd w:id="18"/>
      <w:bookmarkEnd w:id="19"/>
      <w:r w:rsidRPr="00A76789">
        <w:rPr>
          <w:rtl/>
        </w:rPr>
        <w:t>1</w:t>
      </w:r>
      <w:r w:rsidRPr="00A76789">
        <w:rPr>
          <w:rtl/>
        </w:rPr>
        <w:tab/>
        <w:t>لجان الدر</w:t>
      </w:r>
      <w:bookmarkStart w:id="24" w:name="One"/>
      <w:bookmarkEnd w:id="24"/>
      <w:r w:rsidRPr="00A76789">
        <w:rPr>
          <w:rtl/>
        </w:rPr>
        <w:t>اسات</w:t>
      </w:r>
      <w:bookmarkEnd w:id="20"/>
      <w:bookmarkEnd w:id="21"/>
      <w:bookmarkEnd w:id="22"/>
    </w:p>
    <w:p w14:paraId="2561C35D" w14:textId="0C77D65B" w:rsidR="00A76789" w:rsidRPr="00A76789" w:rsidRDefault="00A76789" w:rsidP="00A76789">
      <w:r w:rsidRPr="00A76789">
        <w:rPr>
          <w:rtl/>
        </w:rPr>
        <w:t xml:space="preserve">وافق الاتحاد على أكثر من </w:t>
      </w:r>
      <w:hyperlink r:id="rId80" w:history="1">
        <w:r w:rsidRPr="00A76789">
          <w:rPr>
            <w:rStyle w:val="Hyperlink"/>
            <w:rtl/>
          </w:rPr>
          <w:t>900 توصية جديدة ومراجعة لقطاع تقييس الاتصالات وعلى نصوص ذات صلة</w:t>
        </w:r>
      </w:hyperlink>
      <w:r w:rsidRPr="00A76789">
        <w:rPr>
          <w:rtl/>
        </w:rPr>
        <w:t xml:space="preserve"> في فترة الدراسة. وللاطلاع على جميع توصيات قطاع تقييس الاتصالات السارية، انظر </w:t>
      </w:r>
      <w:hyperlink r:id="rId81" w:history="1">
        <w:r w:rsidRPr="00A76789">
          <w:rPr>
            <w:rStyle w:val="Hyperlink"/>
            <w:rtl/>
          </w:rPr>
          <w:t>فهرس توصيات قطاع تقييس الاتصالات</w:t>
        </w:r>
      </w:hyperlink>
      <w:r w:rsidRPr="00A76789">
        <w:rPr>
          <w:rtl/>
        </w:rPr>
        <w:t>.</w:t>
      </w:r>
    </w:p>
    <w:p w14:paraId="3290862D" w14:textId="69071FF9" w:rsidR="00A76789" w:rsidRPr="00A76789" w:rsidRDefault="00A76789" w:rsidP="00A76789">
      <w:pPr>
        <w:rPr>
          <w:spacing w:val="4"/>
        </w:rPr>
      </w:pPr>
      <w:r w:rsidRPr="00A76789">
        <w:rPr>
          <w:spacing w:val="4"/>
          <w:rtl/>
        </w:rPr>
        <w:t>ويمكن الاطلاع على الملخصات التنفيذية لاجتماعات لجان دراسات</w:t>
      </w:r>
      <w:r w:rsidR="00742D47" w:rsidRPr="00742D47">
        <w:rPr>
          <w:rFonts w:hint="cs"/>
          <w:spacing w:val="4"/>
          <w:rtl/>
        </w:rPr>
        <w:t xml:space="preserve"> </w:t>
      </w:r>
      <w:r w:rsidR="00742D47" w:rsidRPr="00742D47">
        <w:rPr>
          <w:spacing w:val="4"/>
        </w:rPr>
        <w:t>(SG)</w:t>
      </w:r>
      <w:r w:rsidRPr="00A76789">
        <w:rPr>
          <w:spacing w:val="4"/>
          <w:rtl/>
        </w:rPr>
        <w:t xml:space="preserve"> قطاع تقييس الاتصالات في </w:t>
      </w:r>
      <w:hyperlink r:id="rId82" w:history="1">
        <w:r w:rsidRPr="00A76789">
          <w:rPr>
            <w:rStyle w:val="Hyperlink"/>
            <w:spacing w:val="4"/>
            <w:rtl/>
          </w:rPr>
          <w:t>الصفحات الرئيسية</w:t>
        </w:r>
      </w:hyperlink>
      <w:r w:rsidRPr="00A76789">
        <w:rPr>
          <w:spacing w:val="4"/>
          <w:rtl/>
        </w:rPr>
        <w:t xml:space="preserve"> لكل منها.</w:t>
      </w:r>
      <w:bookmarkStart w:id="25" w:name="_1.1_AI-based_mapping"/>
      <w:bookmarkEnd w:id="25"/>
    </w:p>
    <w:p w14:paraId="6D783972" w14:textId="77777777" w:rsidR="00A76789" w:rsidRPr="00A76789" w:rsidRDefault="00A76789" w:rsidP="00A76789">
      <w:r w:rsidRPr="00A76789">
        <w:rPr>
          <w:rtl/>
        </w:rPr>
        <w:t>تقارير لجان دراسات قطاع تقييس الاتصالات إلى الجمعية WTSA-24:</w:t>
      </w:r>
    </w:p>
    <w:p w14:paraId="3840C718" w14:textId="65A0310A" w:rsidR="00A76789" w:rsidRPr="00A76789" w:rsidRDefault="00A76789" w:rsidP="00A76789">
      <w:r w:rsidRPr="00A76789">
        <w:rPr>
          <w:rtl/>
        </w:rPr>
        <w:t>-</w:t>
      </w:r>
      <w:r w:rsidR="00742D47">
        <w:rPr>
          <w:rtl/>
        </w:rPr>
        <w:tab/>
      </w:r>
      <w:hyperlink r:id="rId83" w:history="1">
        <w:r w:rsidRPr="00A76789">
          <w:rPr>
            <w:rStyle w:val="Hyperlink"/>
            <w:rtl/>
          </w:rPr>
          <w:t>لجنة الدراسات 2</w:t>
        </w:r>
      </w:hyperlink>
      <w:r w:rsidRPr="00A76789">
        <w:rPr>
          <w:rtl/>
        </w:rPr>
        <w:t>: اعتبارات عامة (</w:t>
      </w:r>
      <w:hyperlink r:id="rId84" w:history="1">
        <w:r w:rsidR="00742D47" w:rsidRPr="00C57224">
          <w:rPr>
            <w:rStyle w:val="Hyperlink"/>
          </w:rPr>
          <w:t>C1</w:t>
        </w:r>
      </w:hyperlink>
      <w:r w:rsidRPr="00A76789">
        <w:rPr>
          <w:rtl/>
        </w:rPr>
        <w:t>)؛ المسائل المقترحة لفترة الدراسة المقبلة (</w:t>
      </w:r>
      <w:hyperlink r:id="rId85" w:history="1">
        <w:r w:rsidR="00742D47" w:rsidRPr="00C57224">
          <w:rPr>
            <w:rStyle w:val="Hyperlink"/>
          </w:rPr>
          <w:t>C2</w:t>
        </w:r>
      </w:hyperlink>
      <w:r w:rsidRPr="00A76789">
        <w:rPr>
          <w:rtl/>
        </w:rPr>
        <w:t>)</w:t>
      </w:r>
    </w:p>
    <w:p w14:paraId="2822C726" w14:textId="480F2951" w:rsidR="00A76789" w:rsidRPr="00A76789" w:rsidRDefault="00A76789" w:rsidP="00A76789">
      <w:pPr>
        <w:rPr>
          <w:lang w:val="en-GB"/>
        </w:rPr>
      </w:pPr>
      <w:r w:rsidRPr="00A76789">
        <w:rPr>
          <w:rtl/>
        </w:rPr>
        <w:t>-</w:t>
      </w:r>
      <w:r w:rsidR="00742D47">
        <w:rPr>
          <w:rtl/>
        </w:rPr>
        <w:tab/>
      </w:r>
      <w:hyperlink r:id="rId86" w:history="1">
        <w:r w:rsidRPr="00A76789">
          <w:rPr>
            <w:rStyle w:val="Hyperlink"/>
            <w:rtl/>
          </w:rPr>
          <w:t>لجنة الدراسات 3</w:t>
        </w:r>
      </w:hyperlink>
      <w:r w:rsidRPr="00A76789">
        <w:rPr>
          <w:rtl/>
        </w:rPr>
        <w:t>: اعتبارات عامة (</w:t>
      </w:r>
      <w:hyperlink r:id="rId87" w:history="1">
        <w:r w:rsidR="00742D47" w:rsidRPr="00C57224">
          <w:rPr>
            <w:rStyle w:val="Hyperlink"/>
          </w:rPr>
          <w:t>C3</w:t>
        </w:r>
      </w:hyperlink>
      <w:r w:rsidRPr="00A76789">
        <w:rPr>
          <w:rtl/>
        </w:rPr>
        <w:t>)؛ المسائل المقترحة لفترة الدراسة المقبلة (</w:t>
      </w:r>
      <w:hyperlink r:id="rId88" w:history="1">
        <w:r w:rsidR="00742D47" w:rsidRPr="00C57224">
          <w:rPr>
            <w:rStyle w:val="Hyperlink"/>
          </w:rPr>
          <w:t>C4</w:t>
        </w:r>
      </w:hyperlink>
      <w:r w:rsidRPr="00A76789">
        <w:rPr>
          <w:rtl/>
        </w:rPr>
        <w:t>)</w:t>
      </w:r>
    </w:p>
    <w:p w14:paraId="593ED811" w14:textId="70BDFF14" w:rsidR="00A76789" w:rsidRPr="00A76789" w:rsidRDefault="00A76789" w:rsidP="00A76789">
      <w:pPr>
        <w:rPr>
          <w:lang w:val="en-GB"/>
        </w:rPr>
      </w:pPr>
      <w:r w:rsidRPr="00A76789">
        <w:rPr>
          <w:rtl/>
        </w:rPr>
        <w:t>-</w:t>
      </w:r>
      <w:r w:rsidR="00742D47">
        <w:rPr>
          <w:rtl/>
        </w:rPr>
        <w:tab/>
      </w:r>
      <w:hyperlink r:id="rId89" w:history="1">
        <w:r w:rsidRPr="00A76789">
          <w:rPr>
            <w:rStyle w:val="Hyperlink"/>
            <w:rtl/>
          </w:rPr>
          <w:t>لجنة الدراسات 5</w:t>
        </w:r>
      </w:hyperlink>
      <w:r w:rsidRPr="00A76789">
        <w:rPr>
          <w:rtl/>
        </w:rPr>
        <w:t>: اعتبارات عامة (</w:t>
      </w:r>
      <w:hyperlink r:id="rId90" w:history="1">
        <w:r w:rsidR="00742D47" w:rsidRPr="00C57224">
          <w:rPr>
            <w:rStyle w:val="Hyperlink"/>
          </w:rPr>
          <w:t>C5</w:t>
        </w:r>
      </w:hyperlink>
      <w:r w:rsidRPr="00A76789">
        <w:rPr>
          <w:rtl/>
        </w:rPr>
        <w:t>)؛ المسائل المقترحة لفترة الدراسة المقبلة (</w:t>
      </w:r>
      <w:hyperlink r:id="rId91" w:history="1">
        <w:r w:rsidR="00742D47" w:rsidRPr="00C57224">
          <w:rPr>
            <w:rStyle w:val="Hyperlink"/>
          </w:rPr>
          <w:t>C6</w:t>
        </w:r>
      </w:hyperlink>
      <w:r w:rsidRPr="00A76789">
        <w:rPr>
          <w:rtl/>
        </w:rPr>
        <w:t>)</w:t>
      </w:r>
    </w:p>
    <w:p w14:paraId="5AF3E728" w14:textId="0372080B" w:rsidR="00A76789" w:rsidRPr="00A76789" w:rsidRDefault="00A76789" w:rsidP="00A76789">
      <w:pPr>
        <w:rPr>
          <w:lang w:val="en-GB"/>
        </w:rPr>
      </w:pPr>
      <w:r w:rsidRPr="00A76789">
        <w:rPr>
          <w:rtl/>
        </w:rPr>
        <w:t>-</w:t>
      </w:r>
      <w:r w:rsidR="00742D47">
        <w:rPr>
          <w:rtl/>
        </w:rPr>
        <w:tab/>
      </w:r>
      <w:hyperlink r:id="rId92" w:history="1">
        <w:r w:rsidRPr="00A76789">
          <w:rPr>
            <w:rStyle w:val="Hyperlink"/>
            <w:rtl/>
          </w:rPr>
          <w:t>لجنة الدراسات</w:t>
        </w:r>
      </w:hyperlink>
      <w:r w:rsidRPr="00A76789">
        <w:rPr>
          <w:rtl/>
        </w:rPr>
        <w:t xml:space="preserve"> 9: اعتبارات عامة (</w:t>
      </w:r>
      <w:hyperlink r:id="rId93" w:history="1">
        <w:r w:rsidR="00742D47" w:rsidRPr="00C57224">
          <w:rPr>
            <w:rStyle w:val="Hyperlink"/>
          </w:rPr>
          <w:t>C7</w:t>
        </w:r>
      </w:hyperlink>
      <w:r w:rsidRPr="00A76789">
        <w:rPr>
          <w:rtl/>
        </w:rPr>
        <w:t>)؛ المسائل المقترحة لفترة الدراسة المقبلة (</w:t>
      </w:r>
      <w:hyperlink r:id="rId94" w:history="1">
        <w:r w:rsidR="00742D47" w:rsidRPr="00C57224">
          <w:rPr>
            <w:rStyle w:val="Hyperlink"/>
          </w:rPr>
          <w:t>C8</w:t>
        </w:r>
      </w:hyperlink>
      <w:r w:rsidRPr="00A76789">
        <w:rPr>
          <w:rtl/>
        </w:rPr>
        <w:t>)</w:t>
      </w:r>
    </w:p>
    <w:p w14:paraId="59F7C159" w14:textId="0D39599B" w:rsidR="00A76789" w:rsidRPr="00A76789" w:rsidRDefault="00A76789" w:rsidP="00A76789">
      <w:pPr>
        <w:rPr>
          <w:lang w:val="en-GB"/>
        </w:rPr>
      </w:pPr>
      <w:r w:rsidRPr="00A76789">
        <w:rPr>
          <w:rtl/>
        </w:rPr>
        <w:t>-</w:t>
      </w:r>
      <w:r w:rsidR="00742D47">
        <w:rPr>
          <w:rtl/>
        </w:rPr>
        <w:tab/>
      </w:r>
      <w:hyperlink r:id="rId95" w:history="1">
        <w:r w:rsidRPr="00A76789">
          <w:rPr>
            <w:rStyle w:val="Hyperlink"/>
            <w:rtl/>
          </w:rPr>
          <w:t>لجنة الدراسات 11</w:t>
        </w:r>
      </w:hyperlink>
      <w:r w:rsidRPr="00A76789">
        <w:rPr>
          <w:rtl/>
        </w:rPr>
        <w:t>: اعتبارات عامة (</w:t>
      </w:r>
      <w:hyperlink r:id="rId96" w:history="1">
        <w:r w:rsidR="00742D47" w:rsidRPr="00C57224">
          <w:rPr>
            <w:rStyle w:val="Hyperlink"/>
          </w:rPr>
          <w:t>C9</w:t>
        </w:r>
      </w:hyperlink>
      <w:r w:rsidRPr="00A76789">
        <w:rPr>
          <w:rtl/>
        </w:rPr>
        <w:t>)؛ المسائل المقترحة لفترة الدراسة المقبلة (</w:t>
      </w:r>
      <w:hyperlink r:id="rId97" w:history="1">
        <w:r w:rsidR="00742D47" w:rsidRPr="00C57224">
          <w:rPr>
            <w:rStyle w:val="Hyperlink"/>
          </w:rPr>
          <w:t>C10</w:t>
        </w:r>
      </w:hyperlink>
      <w:r w:rsidRPr="00A76789">
        <w:rPr>
          <w:rtl/>
        </w:rPr>
        <w:t>)</w:t>
      </w:r>
    </w:p>
    <w:p w14:paraId="10C148AE" w14:textId="76136ED6" w:rsidR="00A76789" w:rsidRPr="00A76789" w:rsidRDefault="00A76789" w:rsidP="00A76789">
      <w:pPr>
        <w:rPr>
          <w:lang w:val="en-GB"/>
        </w:rPr>
      </w:pPr>
      <w:r w:rsidRPr="00A76789">
        <w:rPr>
          <w:rtl/>
        </w:rPr>
        <w:t>-</w:t>
      </w:r>
      <w:r w:rsidR="00742D47">
        <w:rPr>
          <w:rtl/>
        </w:rPr>
        <w:tab/>
      </w:r>
      <w:hyperlink r:id="rId98" w:history="1">
        <w:r w:rsidRPr="00A76789">
          <w:rPr>
            <w:rStyle w:val="Hyperlink"/>
            <w:rtl/>
          </w:rPr>
          <w:t>لجنة الدراسات 12</w:t>
        </w:r>
      </w:hyperlink>
      <w:r w:rsidRPr="00A76789">
        <w:rPr>
          <w:rtl/>
        </w:rPr>
        <w:t>: اعتبارات عامة (</w:t>
      </w:r>
      <w:hyperlink r:id="rId99" w:history="1">
        <w:r w:rsidR="00742D47" w:rsidRPr="00C57224">
          <w:rPr>
            <w:rStyle w:val="Hyperlink"/>
          </w:rPr>
          <w:t>C11</w:t>
        </w:r>
      </w:hyperlink>
      <w:r w:rsidRPr="00A76789">
        <w:rPr>
          <w:rtl/>
        </w:rPr>
        <w:t>)؛ المسائل المقترحة لفترة الدراسة المقبلة (</w:t>
      </w:r>
      <w:hyperlink r:id="rId100" w:history="1">
        <w:r w:rsidR="00742D47" w:rsidRPr="00C57224">
          <w:rPr>
            <w:rStyle w:val="Hyperlink"/>
          </w:rPr>
          <w:t>C12</w:t>
        </w:r>
      </w:hyperlink>
      <w:r w:rsidRPr="00A76789">
        <w:rPr>
          <w:rtl/>
        </w:rPr>
        <w:t>)</w:t>
      </w:r>
    </w:p>
    <w:p w14:paraId="620DEA6A" w14:textId="39186DF9" w:rsidR="00A76789" w:rsidRPr="00A76789" w:rsidRDefault="00A76789" w:rsidP="00A76789">
      <w:pPr>
        <w:rPr>
          <w:lang w:val="en-GB"/>
        </w:rPr>
      </w:pPr>
      <w:r w:rsidRPr="00A76789">
        <w:rPr>
          <w:rtl/>
        </w:rPr>
        <w:t>-</w:t>
      </w:r>
      <w:r w:rsidR="00742D47">
        <w:rPr>
          <w:rtl/>
        </w:rPr>
        <w:tab/>
      </w:r>
      <w:hyperlink r:id="rId101" w:history="1">
        <w:r w:rsidRPr="00A76789">
          <w:rPr>
            <w:rStyle w:val="Hyperlink"/>
            <w:rtl/>
          </w:rPr>
          <w:t>لجنة الدراسات 13</w:t>
        </w:r>
      </w:hyperlink>
      <w:r w:rsidRPr="00A76789">
        <w:rPr>
          <w:rtl/>
        </w:rPr>
        <w:t>: اعتبارات عامة (</w:t>
      </w:r>
      <w:hyperlink r:id="rId102" w:history="1">
        <w:r w:rsidR="00742D47" w:rsidRPr="00C57224">
          <w:rPr>
            <w:rStyle w:val="Hyperlink"/>
          </w:rPr>
          <w:t>C13</w:t>
        </w:r>
      </w:hyperlink>
      <w:r w:rsidRPr="00A76789">
        <w:rPr>
          <w:rtl/>
        </w:rPr>
        <w:t>)؛ المسائل المقترحة لفترة الدراسة المقبلة (</w:t>
      </w:r>
      <w:hyperlink r:id="rId103" w:history="1">
        <w:r w:rsidR="00742D47" w:rsidRPr="00C57224">
          <w:rPr>
            <w:rStyle w:val="Hyperlink"/>
          </w:rPr>
          <w:t>C14</w:t>
        </w:r>
      </w:hyperlink>
      <w:r w:rsidRPr="00A76789">
        <w:rPr>
          <w:rtl/>
        </w:rPr>
        <w:t>)</w:t>
      </w:r>
    </w:p>
    <w:p w14:paraId="4AE6CEFB" w14:textId="1A548ABB" w:rsidR="00A76789" w:rsidRPr="00A76789" w:rsidRDefault="00A76789" w:rsidP="00A76789">
      <w:pPr>
        <w:rPr>
          <w:lang w:val="en-GB"/>
        </w:rPr>
      </w:pPr>
      <w:r w:rsidRPr="00A76789">
        <w:rPr>
          <w:rtl/>
        </w:rPr>
        <w:t>-</w:t>
      </w:r>
      <w:r w:rsidR="00742D47">
        <w:rPr>
          <w:rtl/>
        </w:rPr>
        <w:tab/>
      </w:r>
      <w:hyperlink r:id="rId104" w:history="1">
        <w:r w:rsidRPr="00A76789">
          <w:rPr>
            <w:rStyle w:val="Hyperlink"/>
            <w:rtl/>
          </w:rPr>
          <w:t>لجنة الدراسات 15</w:t>
        </w:r>
      </w:hyperlink>
      <w:r w:rsidRPr="00A76789">
        <w:rPr>
          <w:rtl/>
        </w:rPr>
        <w:t>: اعتبارات عامة (</w:t>
      </w:r>
      <w:hyperlink r:id="rId105" w:history="1">
        <w:r w:rsidR="00742D47" w:rsidRPr="00C57224">
          <w:rPr>
            <w:rStyle w:val="Hyperlink"/>
          </w:rPr>
          <w:t>C15</w:t>
        </w:r>
      </w:hyperlink>
      <w:r w:rsidRPr="00A76789">
        <w:rPr>
          <w:rtl/>
        </w:rPr>
        <w:t>)؛ المسائل المقترحة لفترة الدراسة المقبلة (</w:t>
      </w:r>
      <w:hyperlink r:id="rId106" w:history="1">
        <w:r w:rsidR="00742D47" w:rsidRPr="00C57224">
          <w:rPr>
            <w:rStyle w:val="Hyperlink"/>
          </w:rPr>
          <w:t>C16</w:t>
        </w:r>
      </w:hyperlink>
      <w:r w:rsidRPr="00A76789">
        <w:rPr>
          <w:rtl/>
        </w:rPr>
        <w:t>)</w:t>
      </w:r>
    </w:p>
    <w:p w14:paraId="139F514C" w14:textId="0AAF049F" w:rsidR="00A76789" w:rsidRPr="00A76789" w:rsidRDefault="00A76789" w:rsidP="00A76789">
      <w:pPr>
        <w:rPr>
          <w:lang w:val="en-GB"/>
        </w:rPr>
      </w:pPr>
      <w:r w:rsidRPr="00A76789">
        <w:rPr>
          <w:rtl/>
        </w:rPr>
        <w:t>-</w:t>
      </w:r>
      <w:r w:rsidR="00742D47">
        <w:rPr>
          <w:rtl/>
        </w:rPr>
        <w:tab/>
      </w:r>
      <w:hyperlink r:id="rId107" w:history="1">
        <w:r w:rsidRPr="00A76789">
          <w:rPr>
            <w:rStyle w:val="Hyperlink"/>
            <w:rtl/>
          </w:rPr>
          <w:t>لجنة الدراسات 16</w:t>
        </w:r>
      </w:hyperlink>
      <w:r w:rsidRPr="00A76789">
        <w:rPr>
          <w:rtl/>
        </w:rPr>
        <w:t>: اعتبارات عامة (</w:t>
      </w:r>
      <w:hyperlink r:id="rId108" w:history="1">
        <w:r w:rsidR="00742D47" w:rsidRPr="00C57224">
          <w:rPr>
            <w:rStyle w:val="Hyperlink"/>
          </w:rPr>
          <w:t>C17</w:t>
        </w:r>
      </w:hyperlink>
      <w:r w:rsidRPr="00A76789">
        <w:rPr>
          <w:rtl/>
        </w:rPr>
        <w:t>)؛ المسائل المقترحة لفترة الدراسة المقبلة (</w:t>
      </w:r>
      <w:hyperlink r:id="rId109" w:history="1">
        <w:r w:rsidR="00742D47" w:rsidRPr="00C57224">
          <w:rPr>
            <w:rStyle w:val="Hyperlink"/>
          </w:rPr>
          <w:t>C18</w:t>
        </w:r>
      </w:hyperlink>
      <w:r w:rsidRPr="00A76789">
        <w:rPr>
          <w:rtl/>
        </w:rPr>
        <w:t>)</w:t>
      </w:r>
    </w:p>
    <w:p w14:paraId="61FE897A" w14:textId="6702D280" w:rsidR="00A76789" w:rsidRPr="00A76789" w:rsidRDefault="00A76789" w:rsidP="00A76789">
      <w:pPr>
        <w:rPr>
          <w:lang w:val="en-GB"/>
        </w:rPr>
      </w:pPr>
      <w:r w:rsidRPr="00A76789">
        <w:rPr>
          <w:rtl/>
        </w:rPr>
        <w:t>-</w:t>
      </w:r>
      <w:r w:rsidR="00742D47">
        <w:rPr>
          <w:rtl/>
        </w:rPr>
        <w:tab/>
      </w:r>
      <w:hyperlink r:id="rId110" w:history="1">
        <w:r w:rsidRPr="00A76789">
          <w:rPr>
            <w:rStyle w:val="Hyperlink"/>
            <w:rtl/>
          </w:rPr>
          <w:t>لجنة الدراسات 17</w:t>
        </w:r>
      </w:hyperlink>
      <w:r w:rsidRPr="00A76789">
        <w:rPr>
          <w:rtl/>
        </w:rPr>
        <w:t>: اعتبارات عامة (</w:t>
      </w:r>
      <w:hyperlink r:id="rId111" w:history="1">
        <w:r w:rsidR="00742D47" w:rsidRPr="00C57224">
          <w:rPr>
            <w:rStyle w:val="Hyperlink"/>
          </w:rPr>
          <w:t>C19</w:t>
        </w:r>
      </w:hyperlink>
      <w:r w:rsidRPr="00A76789">
        <w:rPr>
          <w:rtl/>
        </w:rPr>
        <w:t>)؛ المسائل المقترحة لفترة الدراسة المقبلة (</w:t>
      </w:r>
      <w:hyperlink r:id="rId112" w:history="1">
        <w:r w:rsidR="00742D47" w:rsidRPr="00C57224">
          <w:rPr>
            <w:rStyle w:val="Hyperlink"/>
          </w:rPr>
          <w:t>C20</w:t>
        </w:r>
      </w:hyperlink>
      <w:r w:rsidRPr="00A76789">
        <w:rPr>
          <w:rtl/>
        </w:rPr>
        <w:t>)</w:t>
      </w:r>
    </w:p>
    <w:p w14:paraId="7CED0859" w14:textId="0E4D93D5" w:rsidR="00A76789" w:rsidRPr="00A76789" w:rsidRDefault="00A76789" w:rsidP="00A76789">
      <w:pPr>
        <w:rPr>
          <w:lang w:val="en-GB"/>
        </w:rPr>
      </w:pPr>
      <w:r w:rsidRPr="00A76789">
        <w:rPr>
          <w:rtl/>
        </w:rPr>
        <w:t>-</w:t>
      </w:r>
      <w:r w:rsidR="00742D47">
        <w:rPr>
          <w:rtl/>
        </w:rPr>
        <w:tab/>
      </w:r>
      <w:hyperlink r:id="rId113" w:history="1">
        <w:r w:rsidRPr="00A76789">
          <w:rPr>
            <w:rStyle w:val="Hyperlink"/>
            <w:rtl/>
          </w:rPr>
          <w:t>لجنة الدراسات 20</w:t>
        </w:r>
      </w:hyperlink>
      <w:r w:rsidRPr="00A76789">
        <w:rPr>
          <w:rtl/>
        </w:rPr>
        <w:t>: اعتبارات عامة (</w:t>
      </w:r>
      <w:hyperlink r:id="rId114" w:history="1">
        <w:r w:rsidR="00742D47" w:rsidRPr="00C57224">
          <w:rPr>
            <w:rStyle w:val="Hyperlink"/>
          </w:rPr>
          <w:t>C21</w:t>
        </w:r>
      </w:hyperlink>
      <w:r w:rsidRPr="00A76789">
        <w:rPr>
          <w:rtl/>
        </w:rPr>
        <w:t>)؛ المسائل المقترحة لفترة الدراسة المقبلة (</w:t>
      </w:r>
      <w:hyperlink r:id="rId115" w:history="1">
        <w:r w:rsidR="00742D47" w:rsidRPr="00C57224">
          <w:rPr>
            <w:rStyle w:val="Hyperlink"/>
          </w:rPr>
          <w:t>C22</w:t>
        </w:r>
      </w:hyperlink>
      <w:r w:rsidRPr="00A76789">
        <w:rPr>
          <w:rtl/>
        </w:rPr>
        <w:t>)</w:t>
      </w:r>
    </w:p>
    <w:p w14:paraId="2C664847" w14:textId="2E6DF0A5" w:rsidR="00A76789" w:rsidRPr="00A76789" w:rsidRDefault="00A76789" w:rsidP="00A76789">
      <w:r w:rsidRPr="00A76789">
        <w:rPr>
          <w:rtl/>
        </w:rPr>
        <w:t>‏لم يتغيب أي رئيس عن أي اجتماعات في فترة الدراسة. يورد تذييل هذا التقرير أسماء نواب الرئيس الذين لم يحضروا اجتماعات لجان الدراسات التي عقدت في فترة الدراسة، والتي تم الإبلاغ عنها وفقاً للقرار 208 لمؤتمر المندوبين المفوضين.</w:t>
      </w:r>
      <w:bookmarkStart w:id="26" w:name="_Hlk177662354"/>
    </w:p>
    <w:p w14:paraId="6AEF8EB4" w14:textId="77777777" w:rsidR="00A76789" w:rsidRPr="00A76789" w:rsidRDefault="00A76789" w:rsidP="00E55959">
      <w:pPr>
        <w:pStyle w:val="Heading1"/>
        <w:rPr>
          <w:rtl/>
          <w:lang w:bidi="ar-SA"/>
        </w:rPr>
      </w:pPr>
      <w:bookmarkStart w:id="27" w:name="_2_ITU-T_Focus"/>
      <w:bookmarkStart w:id="28" w:name="_Toc179219749"/>
      <w:bookmarkStart w:id="29" w:name="_Toc179221059"/>
      <w:bookmarkStart w:id="30" w:name="_Toc179733601"/>
      <w:bookmarkStart w:id="31" w:name="_Hlk60057887"/>
      <w:bookmarkEnd w:id="26"/>
      <w:bookmarkEnd w:id="27"/>
      <w:r w:rsidRPr="00A76789">
        <w:rPr>
          <w:rtl/>
        </w:rPr>
        <w:t>2</w:t>
      </w:r>
      <w:r w:rsidRPr="00A76789">
        <w:rPr>
          <w:rtl/>
        </w:rPr>
        <w:tab/>
        <w:t>الأفرقة المتخصص</w:t>
      </w:r>
      <w:bookmarkStart w:id="32" w:name="Two"/>
      <w:bookmarkEnd w:id="32"/>
      <w:r w:rsidRPr="00A76789">
        <w:rPr>
          <w:rtl/>
        </w:rPr>
        <w:t>ة</w:t>
      </w:r>
      <w:bookmarkEnd w:id="28"/>
      <w:bookmarkEnd w:id="29"/>
      <w:bookmarkEnd w:id="30"/>
    </w:p>
    <w:p w14:paraId="0342711A" w14:textId="6EAAECB2" w:rsidR="00A76789" w:rsidRPr="00A76789" w:rsidRDefault="00A76789" w:rsidP="00A76789">
      <w:r w:rsidRPr="00A76789">
        <w:rPr>
          <w:rtl/>
        </w:rPr>
        <w:t xml:space="preserve">يقدم </w:t>
      </w:r>
      <w:hyperlink r:id="rId116" w:history="1">
        <w:r w:rsidRPr="00A76789">
          <w:rPr>
            <w:rStyle w:val="Hyperlink"/>
            <w:rtl/>
          </w:rPr>
          <w:t xml:space="preserve">الفريق المتخصص التابع لقطاع تقييس الاتصالات والمعني بنماذج التكلفة لخدمات البيانات الميسورة التكلفة </w:t>
        </w:r>
        <w:r w:rsidRPr="00A76789">
          <w:rPr>
            <w:rStyle w:val="Hyperlink"/>
          </w:rPr>
          <w:t>(FG-CD</w:t>
        </w:r>
        <w:r w:rsidR="00E55959" w:rsidRPr="00E55959">
          <w:rPr>
            <w:rStyle w:val="Hyperlink"/>
          </w:rPr>
          <w:t>)</w:t>
        </w:r>
      </w:hyperlink>
      <w:r w:rsidRPr="00A76789">
        <w:rPr>
          <w:rtl/>
        </w:rPr>
        <w:t>، الذي أنشئ في مارس 2023، تقاريره إلى لجنة الدراسات 3.</w:t>
      </w:r>
    </w:p>
    <w:p w14:paraId="26F9A087" w14:textId="374CA15C" w:rsidR="00A76789" w:rsidRPr="00A76789" w:rsidRDefault="00A76789" w:rsidP="00A76789">
      <w:pPr>
        <w:rPr>
          <w:spacing w:val="-2"/>
        </w:rPr>
      </w:pPr>
      <w:r w:rsidRPr="00A76789">
        <w:rPr>
          <w:spacing w:val="-2"/>
          <w:rtl/>
        </w:rPr>
        <w:t xml:space="preserve">ويقدم </w:t>
      </w:r>
      <w:hyperlink r:id="rId117" w:history="1">
        <w:r w:rsidRPr="00A76789">
          <w:rPr>
            <w:rStyle w:val="Hyperlink"/>
            <w:spacing w:val="-2"/>
            <w:rtl/>
          </w:rPr>
          <w:t xml:space="preserve">الفريق المتخصص التابع لقطاع تقييس الاتصالات والمعني بتأصيل الذكاء الاصطناعي في شبكات الاتصالات </w:t>
        </w:r>
        <w:r w:rsidRPr="00A76789">
          <w:rPr>
            <w:rStyle w:val="Hyperlink"/>
            <w:spacing w:val="-2"/>
          </w:rPr>
          <w:t>(FG-AINN</w:t>
        </w:r>
        <w:r w:rsidR="00E55959">
          <w:rPr>
            <w:rStyle w:val="Hyperlink"/>
            <w:spacing w:val="-2"/>
          </w:rPr>
          <w:t>)</w:t>
        </w:r>
      </w:hyperlink>
      <w:r w:rsidRPr="00A76789">
        <w:rPr>
          <w:spacing w:val="-2"/>
          <w:rtl/>
        </w:rPr>
        <w:t>، الذي أنشئ في مارس 2024، تقاريره إلى لجنة الدراسات 13.</w:t>
      </w:r>
    </w:p>
    <w:p w14:paraId="519029B8" w14:textId="7A3E37DC" w:rsidR="00A76789" w:rsidRPr="00A76789" w:rsidRDefault="00A76789" w:rsidP="00A76789">
      <w:r w:rsidRPr="00A76789">
        <w:rPr>
          <w:rtl/>
        </w:rPr>
        <w:t xml:space="preserve">وترد أدناه قائمة بالأفرقة المتخصصة التابعة لقطاع تقييس الاتصالات </w:t>
      </w:r>
      <w:r w:rsidRPr="00A76789">
        <w:t>(FG</w:t>
      </w:r>
      <w:r w:rsidR="00E55959">
        <w:t>)</w:t>
      </w:r>
      <w:r w:rsidRPr="00A76789">
        <w:rPr>
          <w:rtl/>
        </w:rPr>
        <w:t xml:space="preserve"> التي أكملت دراساتها خلال فترة الدراسة 2022</w:t>
      </w:r>
      <w:r w:rsidR="00E55959">
        <w:noBreakHyphen/>
      </w:r>
      <w:r w:rsidRPr="00A76789">
        <w:rPr>
          <w:rtl/>
        </w:rPr>
        <w:t xml:space="preserve">2024. ويمكن الاطلاع على معلومات عن أنشطة ونواتج الأفرقة المتخصصة التابعة لقطاع تقييس الاتصالات في الصفحات الرئيسية الخاصة بكل منها. انظر أيضاً </w:t>
      </w:r>
      <w:hyperlink r:id="rId118" w:history="1">
        <w:r w:rsidRPr="00A76789">
          <w:rPr>
            <w:rStyle w:val="Hyperlink"/>
            <w:rtl/>
          </w:rPr>
          <w:t>الصفحة الرئيسية للأفرقة المتخصصة لقطاع تقييس الاتصالات</w:t>
        </w:r>
      </w:hyperlink>
      <w:r w:rsidRPr="00A76789">
        <w:rPr>
          <w:rtl/>
        </w:rPr>
        <w:t>.</w:t>
      </w:r>
    </w:p>
    <w:p w14:paraId="229D5E0C" w14:textId="7B6B3933" w:rsidR="00A76789" w:rsidRPr="00A76789" w:rsidRDefault="00A76789" w:rsidP="00E55959">
      <w:pPr>
        <w:pStyle w:val="Tabletitle"/>
        <w:spacing w:before="240"/>
      </w:pPr>
      <w:bookmarkStart w:id="33" w:name="_Toc179232460"/>
      <w:bookmarkStart w:id="34" w:name="_Toc179733680"/>
      <w:r w:rsidRPr="00A76789">
        <w:rPr>
          <w:rtl/>
        </w:rPr>
        <w:lastRenderedPageBreak/>
        <w:t xml:space="preserve">الجدول 1 - ‏قائمة الأفرقة المتخصصة التابعة لقطاع تقييس الاتصالات </w:t>
      </w:r>
      <w:r w:rsidR="00E55959">
        <w:rPr>
          <w:rtl/>
        </w:rPr>
        <w:br/>
      </w:r>
      <w:r w:rsidRPr="00A76789">
        <w:rPr>
          <w:rtl/>
        </w:rPr>
        <w:t>والتي اختتمت أعمالها في فترة الدراسة ‎2024-2022</w:t>
      </w:r>
      <w:bookmarkEnd w:id="33"/>
      <w:bookmarkEnd w:id="34"/>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07"/>
        <w:gridCol w:w="1201"/>
        <w:gridCol w:w="1201"/>
      </w:tblGrid>
      <w:tr w:rsidR="00A76789" w:rsidRPr="00A76789" w14:paraId="69AC3773" w14:textId="77777777" w:rsidTr="00E55959">
        <w:trPr>
          <w:tblHeader/>
          <w:jc w:val="center"/>
        </w:trPr>
        <w:tc>
          <w:tcPr>
            <w:tcW w:w="3750" w:type="pct"/>
            <w:tcBorders>
              <w:top w:val="single" w:sz="12" w:space="0" w:color="auto"/>
              <w:bottom w:val="single" w:sz="12" w:space="0" w:color="auto"/>
            </w:tcBorders>
            <w:shd w:val="clear" w:color="auto" w:fill="auto"/>
          </w:tcPr>
          <w:p w14:paraId="0A2DC2E9" w14:textId="77777777" w:rsidR="00A76789" w:rsidRPr="00A76789" w:rsidRDefault="00A76789" w:rsidP="000C03C3">
            <w:pPr>
              <w:keepNext/>
              <w:keepLines/>
              <w:rPr>
                <w:b/>
                <w:sz w:val="20"/>
                <w:szCs w:val="20"/>
              </w:rPr>
            </w:pPr>
            <w:bookmarkStart w:id="35" w:name="_2.1_Active_groups"/>
            <w:bookmarkEnd w:id="35"/>
            <w:r w:rsidRPr="00A76789">
              <w:rPr>
                <w:b/>
                <w:bCs/>
                <w:sz w:val="20"/>
                <w:szCs w:val="20"/>
                <w:rtl/>
              </w:rPr>
              <w:t>الأفرقة المتخصصة التابعة لقطاع تقييس الاتصالات والتي اختتمت أعمالها</w:t>
            </w:r>
          </w:p>
        </w:tc>
        <w:tc>
          <w:tcPr>
            <w:tcW w:w="625" w:type="pct"/>
            <w:tcBorders>
              <w:top w:val="single" w:sz="12" w:space="0" w:color="auto"/>
              <w:bottom w:val="single" w:sz="12" w:space="0" w:color="auto"/>
            </w:tcBorders>
            <w:shd w:val="clear" w:color="auto" w:fill="auto"/>
          </w:tcPr>
          <w:p w14:paraId="189B223D" w14:textId="77777777" w:rsidR="00A76789" w:rsidRPr="00A76789" w:rsidRDefault="00A76789" w:rsidP="000C03C3">
            <w:pPr>
              <w:keepNext/>
              <w:keepLines/>
              <w:rPr>
                <w:b/>
                <w:sz w:val="20"/>
                <w:szCs w:val="20"/>
              </w:rPr>
            </w:pPr>
            <w:r w:rsidRPr="00A76789">
              <w:rPr>
                <w:b/>
                <w:bCs/>
                <w:sz w:val="20"/>
                <w:szCs w:val="20"/>
                <w:rtl/>
              </w:rPr>
              <w:t>تاريخ البداية</w:t>
            </w:r>
          </w:p>
        </w:tc>
        <w:tc>
          <w:tcPr>
            <w:tcW w:w="625" w:type="pct"/>
            <w:tcBorders>
              <w:top w:val="single" w:sz="12" w:space="0" w:color="auto"/>
              <w:bottom w:val="single" w:sz="12" w:space="0" w:color="auto"/>
            </w:tcBorders>
            <w:shd w:val="clear" w:color="auto" w:fill="auto"/>
          </w:tcPr>
          <w:p w14:paraId="127D3D7A" w14:textId="77777777" w:rsidR="00A76789" w:rsidRPr="00A76789" w:rsidRDefault="00A76789" w:rsidP="000C03C3">
            <w:pPr>
              <w:keepNext/>
              <w:keepLines/>
              <w:rPr>
                <w:b/>
                <w:sz w:val="20"/>
                <w:szCs w:val="20"/>
              </w:rPr>
            </w:pPr>
            <w:r w:rsidRPr="00A76789">
              <w:rPr>
                <w:b/>
                <w:bCs/>
                <w:sz w:val="20"/>
                <w:szCs w:val="20"/>
                <w:rtl/>
              </w:rPr>
              <w:t>تاريخ النهاية</w:t>
            </w:r>
          </w:p>
        </w:tc>
      </w:tr>
      <w:tr w:rsidR="00E55959" w:rsidRPr="00A76789" w14:paraId="3A9DE820" w14:textId="77777777" w:rsidTr="00E55959">
        <w:trPr>
          <w:jc w:val="center"/>
        </w:trPr>
        <w:tc>
          <w:tcPr>
            <w:tcW w:w="3750" w:type="pct"/>
            <w:tcBorders>
              <w:top w:val="single" w:sz="12" w:space="0" w:color="auto"/>
            </w:tcBorders>
            <w:shd w:val="clear" w:color="auto" w:fill="auto"/>
          </w:tcPr>
          <w:p w14:paraId="0ED83795" w14:textId="77777777" w:rsidR="00E55959" w:rsidRPr="00A76789" w:rsidRDefault="00D61F86" w:rsidP="000C03C3">
            <w:pPr>
              <w:keepNext/>
              <w:keepLines/>
              <w:rPr>
                <w:sz w:val="20"/>
                <w:szCs w:val="20"/>
              </w:rPr>
            </w:pPr>
            <w:hyperlink r:id="rId119" w:tgtFrame="_blank" w:tooltip="https://www.itu.int/en/itu-t/focusgroups/ai4a/pages/default.aspx" w:history="1">
              <w:r w:rsidR="00E55959" w:rsidRPr="00A76789">
                <w:rPr>
                  <w:rStyle w:val="Hyperlink"/>
                  <w:sz w:val="20"/>
                  <w:szCs w:val="20"/>
                  <w:rtl/>
                </w:rPr>
                <w:t xml:space="preserve">الذكاء الاصطناعي وإنترنت الأشياء لأغراض الزراعة الرقمية </w:t>
              </w:r>
              <w:r w:rsidR="00E55959" w:rsidRPr="00A76789">
                <w:rPr>
                  <w:rStyle w:val="Hyperlink"/>
                  <w:sz w:val="20"/>
                  <w:szCs w:val="20"/>
                </w:rPr>
                <w:t>(FG-AI4A)</w:t>
              </w:r>
            </w:hyperlink>
          </w:p>
        </w:tc>
        <w:tc>
          <w:tcPr>
            <w:tcW w:w="625" w:type="pct"/>
            <w:tcBorders>
              <w:top w:val="single" w:sz="12" w:space="0" w:color="auto"/>
            </w:tcBorders>
            <w:shd w:val="clear" w:color="auto" w:fill="auto"/>
          </w:tcPr>
          <w:p w14:paraId="17D90BD3" w14:textId="6C0DE506" w:rsidR="00E55959" w:rsidRPr="00A76789" w:rsidRDefault="00E55959" w:rsidP="000C03C3">
            <w:pPr>
              <w:keepNext/>
              <w:keepLines/>
              <w:rPr>
                <w:sz w:val="20"/>
                <w:szCs w:val="20"/>
              </w:rPr>
            </w:pPr>
            <w:r w:rsidRPr="00E55959">
              <w:rPr>
                <w:sz w:val="20"/>
                <w:szCs w:val="20"/>
              </w:rPr>
              <w:t>2021-10</w:t>
            </w:r>
          </w:p>
        </w:tc>
        <w:tc>
          <w:tcPr>
            <w:tcW w:w="625" w:type="pct"/>
            <w:tcBorders>
              <w:top w:val="single" w:sz="12" w:space="0" w:color="auto"/>
            </w:tcBorders>
            <w:shd w:val="clear" w:color="auto" w:fill="auto"/>
          </w:tcPr>
          <w:p w14:paraId="7CA75612" w14:textId="52DD0CBC" w:rsidR="00E55959" w:rsidRPr="00A76789" w:rsidRDefault="00E55959" w:rsidP="000C03C3">
            <w:pPr>
              <w:keepNext/>
              <w:keepLines/>
              <w:rPr>
                <w:sz w:val="20"/>
                <w:szCs w:val="20"/>
              </w:rPr>
            </w:pPr>
            <w:r w:rsidRPr="00E55959">
              <w:rPr>
                <w:sz w:val="20"/>
                <w:szCs w:val="20"/>
              </w:rPr>
              <w:t>2024-06</w:t>
            </w:r>
          </w:p>
        </w:tc>
      </w:tr>
      <w:tr w:rsidR="00E55959" w:rsidRPr="00A76789" w14:paraId="53A18C61" w14:textId="77777777" w:rsidTr="00E55959">
        <w:trPr>
          <w:jc w:val="center"/>
        </w:trPr>
        <w:tc>
          <w:tcPr>
            <w:tcW w:w="3750" w:type="pct"/>
            <w:shd w:val="clear" w:color="auto" w:fill="auto"/>
          </w:tcPr>
          <w:p w14:paraId="56DEE991" w14:textId="77777777" w:rsidR="00E55959" w:rsidRPr="00A76789" w:rsidRDefault="00D61F86" w:rsidP="000C03C3">
            <w:pPr>
              <w:keepNext/>
              <w:keepLines/>
              <w:rPr>
                <w:sz w:val="20"/>
                <w:szCs w:val="20"/>
              </w:rPr>
            </w:pPr>
            <w:hyperlink r:id="rId120" w:history="1">
              <w:r w:rsidR="00E55959" w:rsidRPr="00A76789">
                <w:rPr>
                  <w:rStyle w:val="Hyperlink"/>
                  <w:sz w:val="20"/>
                  <w:szCs w:val="20"/>
                  <w:rtl/>
                </w:rPr>
                <w:t xml:space="preserve">الميتافيرس </w:t>
              </w:r>
              <w:r w:rsidR="00E55959" w:rsidRPr="00A76789">
                <w:rPr>
                  <w:rStyle w:val="Hyperlink"/>
                  <w:sz w:val="20"/>
                  <w:szCs w:val="20"/>
                </w:rPr>
                <w:t>(FG-MV)</w:t>
              </w:r>
            </w:hyperlink>
          </w:p>
        </w:tc>
        <w:tc>
          <w:tcPr>
            <w:tcW w:w="625" w:type="pct"/>
            <w:shd w:val="clear" w:color="auto" w:fill="auto"/>
          </w:tcPr>
          <w:p w14:paraId="40B346A1" w14:textId="73B8D72C" w:rsidR="00E55959" w:rsidRPr="00A76789" w:rsidRDefault="00E55959" w:rsidP="000C03C3">
            <w:pPr>
              <w:keepNext/>
              <w:keepLines/>
              <w:rPr>
                <w:sz w:val="20"/>
                <w:szCs w:val="20"/>
              </w:rPr>
            </w:pPr>
            <w:r w:rsidRPr="00E55959">
              <w:rPr>
                <w:sz w:val="20"/>
                <w:szCs w:val="20"/>
              </w:rPr>
              <w:t>2022-12</w:t>
            </w:r>
          </w:p>
        </w:tc>
        <w:tc>
          <w:tcPr>
            <w:tcW w:w="625" w:type="pct"/>
            <w:shd w:val="clear" w:color="auto" w:fill="auto"/>
          </w:tcPr>
          <w:p w14:paraId="38A957FE" w14:textId="46923B84" w:rsidR="00E55959" w:rsidRPr="00A76789" w:rsidRDefault="00E55959" w:rsidP="000C03C3">
            <w:pPr>
              <w:keepNext/>
              <w:keepLines/>
              <w:rPr>
                <w:sz w:val="20"/>
                <w:szCs w:val="20"/>
              </w:rPr>
            </w:pPr>
            <w:r w:rsidRPr="00E55959">
              <w:rPr>
                <w:sz w:val="20"/>
                <w:szCs w:val="20"/>
              </w:rPr>
              <w:t>2024-06</w:t>
            </w:r>
          </w:p>
        </w:tc>
      </w:tr>
      <w:tr w:rsidR="00E55959" w:rsidRPr="00A76789" w14:paraId="50D800E8" w14:textId="77777777" w:rsidTr="00E55959">
        <w:trPr>
          <w:jc w:val="center"/>
        </w:trPr>
        <w:tc>
          <w:tcPr>
            <w:tcW w:w="3750" w:type="pct"/>
            <w:shd w:val="clear" w:color="auto" w:fill="auto"/>
          </w:tcPr>
          <w:p w14:paraId="77934EA9" w14:textId="77777777" w:rsidR="00E55959" w:rsidRPr="00A76789" w:rsidRDefault="00D61F86" w:rsidP="000C03C3">
            <w:pPr>
              <w:keepNext/>
              <w:keepLines/>
              <w:rPr>
                <w:sz w:val="20"/>
                <w:szCs w:val="20"/>
              </w:rPr>
            </w:pPr>
            <w:hyperlink r:id="rId121" w:history="1">
              <w:r w:rsidR="00E55959" w:rsidRPr="00A76789">
                <w:rPr>
                  <w:rStyle w:val="Hyperlink"/>
                  <w:sz w:val="20"/>
                  <w:szCs w:val="20"/>
                  <w:rtl/>
                </w:rPr>
                <w:t>اتحادات منصات الاختبار للاتصالات المتنقلة الدولية-</w:t>
              </w:r>
              <w:r w:rsidR="00E55959" w:rsidRPr="00A76789">
                <w:rPr>
                  <w:rStyle w:val="Hyperlink"/>
                  <w:sz w:val="20"/>
                  <w:szCs w:val="20"/>
                </w:rPr>
                <w:t xml:space="preserve">2020 </w:t>
              </w:r>
              <w:proofErr w:type="spellStart"/>
              <w:r w:rsidR="00E55959" w:rsidRPr="00A76789">
                <w:rPr>
                  <w:rStyle w:val="Hyperlink"/>
                  <w:sz w:val="20"/>
                  <w:szCs w:val="20"/>
                </w:rPr>
                <w:t>وما</w:t>
              </w:r>
              <w:proofErr w:type="spellEnd"/>
              <w:r w:rsidR="00E55959" w:rsidRPr="00A76789">
                <w:rPr>
                  <w:rStyle w:val="Hyperlink"/>
                  <w:sz w:val="20"/>
                  <w:szCs w:val="20"/>
                </w:rPr>
                <w:t xml:space="preserve"> </w:t>
              </w:r>
              <w:proofErr w:type="spellStart"/>
              <w:r w:rsidR="00E55959" w:rsidRPr="00A76789">
                <w:rPr>
                  <w:rStyle w:val="Hyperlink"/>
                  <w:sz w:val="20"/>
                  <w:szCs w:val="20"/>
                </w:rPr>
                <w:t>بعدها</w:t>
              </w:r>
              <w:proofErr w:type="spellEnd"/>
              <w:r w:rsidR="00E55959" w:rsidRPr="00A76789">
                <w:rPr>
                  <w:rStyle w:val="Hyperlink"/>
                  <w:sz w:val="20"/>
                  <w:szCs w:val="20"/>
                </w:rPr>
                <w:t xml:space="preserve"> (FG-</w:t>
              </w:r>
              <w:proofErr w:type="spellStart"/>
              <w:r w:rsidR="00E55959" w:rsidRPr="00A76789">
                <w:rPr>
                  <w:rStyle w:val="Hyperlink"/>
                  <w:sz w:val="20"/>
                  <w:szCs w:val="20"/>
                </w:rPr>
                <w:t>TBFxG</w:t>
              </w:r>
              <w:proofErr w:type="spellEnd"/>
              <w:r w:rsidR="00E55959" w:rsidRPr="00A76789">
                <w:rPr>
                  <w:rStyle w:val="Hyperlink"/>
                  <w:sz w:val="20"/>
                  <w:szCs w:val="20"/>
                </w:rPr>
                <w:t>)</w:t>
              </w:r>
            </w:hyperlink>
          </w:p>
        </w:tc>
        <w:tc>
          <w:tcPr>
            <w:tcW w:w="625" w:type="pct"/>
            <w:shd w:val="clear" w:color="auto" w:fill="auto"/>
          </w:tcPr>
          <w:p w14:paraId="693D9909" w14:textId="14E61277" w:rsidR="00E55959" w:rsidRPr="00A76789" w:rsidRDefault="00E55959" w:rsidP="000C03C3">
            <w:pPr>
              <w:keepNext/>
              <w:keepLines/>
              <w:rPr>
                <w:sz w:val="20"/>
                <w:szCs w:val="20"/>
              </w:rPr>
            </w:pPr>
            <w:r w:rsidRPr="00E55959">
              <w:rPr>
                <w:sz w:val="20"/>
                <w:szCs w:val="20"/>
              </w:rPr>
              <w:t>2021-12</w:t>
            </w:r>
          </w:p>
        </w:tc>
        <w:tc>
          <w:tcPr>
            <w:tcW w:w="625" w:type="pct"/>
            <w:shd w:val="clear" w:color="auto" w:fill="auto"/>
          </w:tcPr>
          <w:p w14:paraId="7B24E0FB" w14:textId="2F31859A" w:rsidR="00E55959" w:rsidRPr="00A76789" w:rsidRDefault="00E55959" w:rsidP="000C03C3">
            <w:pPr>
              <w:keepNext/>
              <w:keepLines/>
              <w:rPr>
                <w:sz w:val="20"/>
                <w:szCs w:val="20"/>
              </w:rPr>
            </w:pPr>
            <w:r w:rsidRPr="00E55959">
              <w:rPr>
                <w:sz w:val="20"/>
                <w:szCs w:val="20"/>
              </w:rPr>
              <w:t>2024-04</w:t>
            </w:r>
          </w:p>
        </w:tc>
      </w:tr>
      <w:tr w:rsidR="00E55959" w:rsidRPr="00A76789" w14:paraId="6B9D2C45" w14:textId="77777777" w:rsidTr="00E55959">
        <w:trPr>
          <w:jc w:val="center"/>
        </w:trPr>
        <w:tc>
          <w:tcPr>
            <w:tcW w:w="3750" w:type="pct"/>
            <w:shd w:val="clear" w:color="auto" w:fill="auto"/>
          </w:tcPr>
          <w:p w14:paraId="09A7AAB6" w14:textId="77777777" w:rsidR="00E55959" w:rsidRPr="00A76789" w:rsidRDefault="00D61F86" w:rsidP="000C03C3">
            <w:pPr>
              <w:keepNext/>
              <w:keepLines/>
              <w:rPr>
                <w:sz w:val="20"/>
                <w:szCs w:val="20"/>
              </w:rPr>
            </w:pPr>
            <w:hyperlink r:id="rId122" w:tgtFrame="_blank" w:tooltip="https://www.itu.int/en/itu-t/focusgroups/ai4ndm/pages/default.aspx" w:history="1">
              <w:r w:rsidR="00E55959" w:rsidRPr="00A76789">
                <w:rPr>
                  <w:rStyle w:val="Hyperlink"/>
                  <w:sz w:val="20"/>
                  <w:szCs w:val="20"/>
                  <w:rtl/>
                </w:rPr>
                <w:t xml:space="preserve">الذكاء الاصطناعي لإدارة الكوارث الطبيعية </w:t>
              </w:r>
              <w:r w:rsidR="00E55959" w:rsidRPr="00A76789">
                <w:rPr>
                  <w:rStyle w:val="Hyperlink"/>
                  <w:sz w:val="20"/>
                  <w:szCs w:val="20"/>
                </w:rPr>
                <w:t>(FG-AI4NDM)</w:t>
              </w:r>
            </w:hyperlink>
          </w:p>
        </w:tc>
        <w:tc>
          <w:tcPr>
            <w:tcW w:w="625" w:type="pct"/>
            <w:shd w:val="clear" w:color="auto" w:fill="auto"/>
          </w:tcPr>
          <w:p w14:paraId="004CC736" w14:textId="2F9F9874" w:rsidR="00E55959" w:rsidRPr="00A76789" w:rsidRDefault="00E55959" w:rsidP="000C03C3">
            <w:pPr>
              <w:keepNext/>
              <w:keepLines/>
              <w:rPr>
                <w:sz w:val="20"/>
                <w:szCs w:val="20"/>
              </w:rPr>
            </w:pPr>
            <w:r w:rsidRPr="00E55959">
              <w:rPr>
                <w:sz w:val="20"/>
                <w:szCs w:val="20"/>
              </w:rPr>
              <w:t>2020-12</w:t>
            </w:r>
          </w:p>
        </w:tc>
        <w:tc>
          <w:tcPr>
            <w:tcW w:w="625" w:type="pct"/>
            <w:shd w:val="clear" w:color="auto" w:fill="auto"/>
          </w:tcPr>
          <w:p w14:paraId="1C8313D9" w14:textId="24EB7185" w:rsidR="00E55959" w:rsidRPr="00A76789" w:rsidRDefault="00E55959" w:rsidP="000C03C3">
            <w:pPr>
              <w:keepNext/>
              <w:keepLines/>
              <w:rPr>
                <w:sz w:val="20"/>
                <w:szCs w:val="20"/>
              </w:rPr>
            </w:pPr>
            <w:r w:rsidRPr="00E55959">
              <w:rPr>
                <w:sz w:val="20"/>
                <w:szCs w:val="20"/>
              </w:rPr>
              <w:t>2024-03</w:t>
            </w:r>
          </w:p>
        </w:tc>
      </w:tr>
      <w:tr w:rsidR="00E55959" w:rsidRPr="00A76789" w14:paraId="0EC7C2DB" w14:textId="77777777" w:rsidTr="00E55959">
        <w:trPr>
          <w:jc w:val="center"/>
        </w:trPr>
        <w:tc>
          <w:tcPr>
            <w:tcW w:w="3750" w:type="pct"/>
            <w:shd w:val="clear" w:color="auto" w:fill="auto"/>
          </w:tcPr>
          <w:p w14:paraId="07B84363" w14:textId="77777777" w:rsidR="00E55959" w:rsidRPr="00A76789" w:rsidRDefault="00D61F86" w:rsidP="000C03C3">
            <w:pPr>
              <w:keepNext/>
              <w:keepLines/>
              <w:rPr>
                <w:sz w:val="20"/>
                <w:szCs w:val="20"/>
              </w:rPr>
            </w:pPr>
            <w:hyperlink r:id="rId123" w:tgtFrame="_blank" w:tooltip="https://www.itu.int/en/itu-t/focusgroups/an/pages/default.aspx" w:history="1">
              <w:r w:rsidR="00E55959" w:rsidRPr="00A76789">
                <w:rPr>
                  <w:rStyle w:val="Hyperlink"/>
                  <w:sz w:val="20"/>
                  <w:szCs w:val="20"/>
                  <w:rtl/>
                </w:rPr>
                <w:t xml:space="preserve">الشبكات المستقلة </w:t>
              </w:r>
              <w:r w:rsidR="00E55959" w:rsidRPr="00A76789">
                <w:rPr>
                  <w:rStyle w:val="Hyperlink"/>
                  <w:sz w:val="20"/>
                  <w:szCs w:val="20"/>
                </w:rPr>
                <w:t>(FG-AN)</w:t>
              </w:r>
            </w:hyperlink>
          </w:p>
        </w:tc>
        <w:tc>
          <w:tcPr>
            <w:tcW w:w="625" w:type="pct"/>
            <w:shd w:val="clear" w:color="auto" w:fill="auto"/>
          </w:tcPr>
          <w:p w14:paraId="42FDEB3B" w14:textId="0EB035CD" w:rsidR="00E55959" w:rsidRPr="00A76789" w:rsidRDefault="00E55959" w:rsidP="000C03C3">
            <w:pPr>
              <w:keepNext/>
              <w:keepLines/>
              <w:rPr>
                <w:sz w:val="20"/>
                <w:szCs w:val="20"/>
              </w:rPr>
            </w:pPr>
            <w:r w:rsidRPr="00E55959">
              <w:rPr>
                <w:sz w:val="20"/>
                <w:szCs w:val="20"/>
              </w:rPr>
              <w:t>2020-12</w:t>
            </w:r>
          </w:p>
        </w:tc>
        <w:tc>
          <w:tcPr>
            <w:tcW w:w="625" w:type="pct"/>
            <w:shd w:val="clear" w:color="auto" w:fill="auto"/>
          </w:tcPr>
          <w:p w14:paraId="22360E1A" w14:textId="702E05A2" w:rsidR="00E55959" w:rsidRPr="00A76789" w:rsidRDefault="00E55959" w:rsidP="000C03C3">
            <w:pPr>
              <w:keepNext/>
              <w:keepLines/>
              <w:rPr>
                <w:sz w:val="20"/>
                <w:szCs w:val="20"/>
              </w:rPr>
            </w:pPr>
            <w:r w:rsidRPr="00E55959">
              <w:rPr>
                <w:sz w:val="20"/>
                <w:szCs w:val="20"/>
              </w:rPr>
              <w:t>2024-01</w:t>
            </w:r>
          </w:p>
        </w:tc>
      </w:tr>
      <w:tr w:rsidR="00E55959" w:rsidRPr="00A76789" w14:paraId="5F5AD985" w14:textId="77777777" w:rsidTr="00E55959">
        <w:trPr>
          <w:jc w:val="center"/>
        </w:trPr>
        <w:tc>
          <w:tcPr>
            <w:tcW w:w="3750" w:type="pct"/>
            <w:shd w:val="clear" w:color="auto" w:fill="auto"/>
          </w:tcPr>
          <w:p w14:paraId="208B0302" w14:textId="77777777" w:rsidR="00E55959" w:rsidRPr="00A76789" w:rsidRDefault="00D61F86" w:rsidP="000C03C3">
            <w:pPr>
              <w:keepNext/>
              <w:keepLines/>
              <w:rPr>
                <w:sz w:val="20"/>
                <w:szCs w:val="20"/>
              </w:rPr>
            </w:pPr>
            <w:hyperlink r:id="rId124" w:tgtFrame="_blank" w:tooltip="https://www.itu.int/en/itu-t/focusgroups/ai4h/pages/default.aspx" w:history="1">
              <w:r w:rsidR="00E55959" w:rsidRPr="00A76789">
                <w:rPr>
                  <w:rStyle w:val="Hyperlink"/>
                  <w:sz w:val="20"/>
                  <w:szCs w:val="20"/>
                  <w:rtl/>
                </w:rPr>
                <w:t xml:space="preserve">الذكاء الاصطناعي لأغراض الصحة </w:t>
              </w:r>
              <w:r w:rsidR="00E55959" w:rsidRPr="00A76789">
                <w:rPr>
                  <w:rStyle w:val="Hyperlink"/>
                  <w:sz w:val="20"/>
                  <w:szCs w:val="20"/>
                </w:rPr>
                <w:t>(FG-AI4H)</w:t>
              </w:r>
            </w:hyperlink>
          </w:p>
        </w:tc>
        <w:tc>
          <w:tcPr>
            <w:tcW w:w="625" w:type="pct"/>
            <w:shd w:val="clear" w:color="auto" w:fill="auto"/>
          </w:tcPr>
          <w:p w14:paraId="0FFF2717" w14:textId="1953356C" w:rsidR="00E55959" w:rsidRPr="00A76789" w:rsidRDefault="00E55959" w:rsidP="000C03C3">
            <w:pPr>
              <w:keepNext/>
              <w:keepLines/>
              <w:rPr>
                <w:sz w:val="20"/>
                <w:szCs w:val="20"/>
              </w:rPr>
            </w:pPr>
            <w:r w:rsidRPr="00E55959">
              <w:rPr>
                <w:sz w:val="20"/>
                <w:szCs w:val="20"/>
              </w:rPr>
              <w:t>2018-07</w:t>
            </w:r>
          </w:p>
        </w:tc>
        <w:tc>
          <w:tcPr>
            <w:tcW w:w="625" w:type="pct"/>
            <w:shd w:val="clear" w:color="auto" w:fill="auto"/>
          </w:tcPr>
          <w:p w14:paraId="4A8B5C25" w14:textId="48BD256B" w:rsidR="00E55959" w:rsidRPr="00A76789" w:rsidRDefault="00E55959" w:rsidP="000C03C3">
            <w:pPr>
              <w:keepNext/>
              <w:keepLines/>
              <w:rPr>
                <w:sz w:val="20"/>
                <w:szCs w:val="20"/>
              </w:rPr>
            </w:pPr>
            <w:r w:rsidRPr="00E55959">
              <w:rPr>
                <w:sz w:val="20"/>
                <w:szCs w:val="20"/>
              </w:rPr>
              <w:t>2023-09</w:t>
            </w:r>
          </w:p>
        </w:tc>
      </w:tr>
      <w:tr w:rsidR="00E55959" w:rsidRPr="00A76789" w14:paraId="69C9AD11" w14:textId="77777777" w:rsidTr="00E55959">
        <w:trPr>
          <w:jc w:val="center"/>
        </w:trPr>
        <w:tc>
          <w:tcPr>
            <w:tcW w:w="3750" w:type="pct"/>
            <w:shd w:val="clear" w:color="auto" w:fill="auto"/>
          </w:tcPr>
          <w:p w14:paraId="3B57BA9A" w14:textId="77777777" w:rsidR="00E55959" w:rsidRPr="00A76789" w:rsidRDefault="00D61F86" w:rsidP="000C03C3">
            <w:pPr>
              <w:keepNext/>
              <w:keepLines/>
              <w:rPr>
                <w:sz w:val="20"/>
                <w:szCs w:val="20"/>
              </w:rPr>
            </w:pPr>
            <w:hyperlink r:id="rId125" w:tgtFrame="_blank" w:tooltip="https://www.itu.int/en/itu-t/focusgroups/ai4ee/pages/default.aspx" w:history="1">
              <w:r w:rsidR="00E55959" w:rsidRPr="00A76789">
                <w:rPr>
                  <w:rStyle w:val="Hyperlink"/>
                  <w:sz w:val="20"/>
                  <w:szCs w:val="20"/>
                  <w:rtl/>
                </w:rPr>
                <w:t xml:space="preserve">الكفاءة البيئية للذكاء الاصطناعي والتكنولوجيات الناشئة الأخرى </w:t>
              </w:r>
              <w:r w:rsidR="00E55959" w:rsidRPr="00A76789">
                <w:rPr>
                  <w:rStyle w:val="Hyperlink"/>
                  <w:sz w:val="20"/>
                  <w:szCs w:val="20"/>
                </w:rPr>
                <w:t>(FG-AI4EE)</w:t>
              </w:r>
            </w:hyperlink>
          </w:p>
        </w:tc>
        <w:tc>
          <w:tcPr>
            <w:tcW w:w="625" w:type="pct"/>
            <w:shd w:val="clear" w:color="auto" w:fill="auto"/>
          </w:tcPr>
          <w:p w14:paraId="2F9E8661" w14:textId="1B6B1A7D" w:rsidR="00E55959" w:rsidRPr="00A76789" w:rsidRDefault="00E55959" w:rsidP="000C03C3">
            <w:pPr>
              <w:keepNext/>
              <w:keepLines/>
              <w:rPr>
                <w:sz w:val="20"/>
                <w:szCs w:val="20"/>
              </w:rPr>
            </w:pPr>
            <w:r w:rsidRPr="00E55959">
              <w:rPr>
                <w:sz w:val="20"/>
                <w:szCs w:val="20"/>
              </w:rPr>
              <w:t>2019-05</w:t>
            </w:r>
          </w:p>
        </w:tc>
        <w:tc>
          <w:tcPr>
            <w:tcW w:w="625" w:type="pct"/>
            <w:shd w:val="clear" w:color="auto" w:fill="auto"/>
          </w:tcPr>
          <w:p w14:paraId="6F96084F" w14:textId="1BD9C9B6" w:rsidR="00E55959" w:rsidRPr="00A76789" w:rsidRDefault="00E55959" w:rsidP="000C03C3">
            <w:pPr>
              <w:keepNext/>
              <w:keepLines/>
              <w:rPr>
                <w:sz w:val="20"/>
                <w:szCs w:val="20"/>
              </w:rPr>
            </w:pPr>
            <w:r w:rsidRPr="00E55959">
              <w:rPr>
                <w:sz w:val="20"/>
                <w:szCs w:val="20"/>
              </w:rPr>
              <w:t>2022-12</w:t>
            </w:r>
          </w:p>
        </w:tc>
      </w:tr>
      <w:tr w:rsidR="00E55959" w:rsidRPr="00A76789" w14:paraId="7BFC30AB" w14:textId="77777777" w:rsidTr="00E55959">
        <w:trPr>
          <w:jc w:val="center"/>
        </w:trPr>
        <w:tc>
          <w:tcPr>
            <w:tcW w:w="3750" w:type="pct"/>
            <w:shd w:val="clear" w:color="auto" w:fill="auto"/>
          </w:tcPr>
          <w:p w14:paraId="79015471" w14:textId="77777777" w:rsidR="00E55959" w:rsidRPr="00A76789" w:rsidRDefault="00D61F86" w:rsidP="000C03C3">
            <w:pPr>
              <w:keepNext/>
              <w:keepLines/>
              <w:rPr>
                <w:sz w:val="20"/>
                <w:szCs w:val="20"/>
              </w:rPr>
            </w:pPr>
            <w:hyperlink r:id="rId126" w:tgtFrame="_blank" w:tooltip="https://www.itu.int/en/itu-t/focusgroups/ai4ad/pages/default.aspx" w:history="1">
              <w:r w:rsidR="00E55959" w:rsidRPr="00A76789">
                <w:rPr>
                  <w:rStyle w:val="Hyperlink"/>
                  <w:sz w:val="20"/>
                  <w:szCs w:val="20"/>
                  <w:rtl/>
                </w:rPr>
                <w:t xml:space="preserve">الذكاء الاصطناعي لأغراض القيادة الذاتية والمساعَدة </w:t>
              </w:r>
              <w:r w:rsidR="00E55959" w:rsidRPr="00A76789">
                <w:rPr>
                  <w:rStyle w:val="Hyperlink"/>
                  <w:sz w:val="20"/>
                  <w:szCs w:val="20"/>
                </w:rPr>
                <w:t>(FG-AI4AD)</w:t>
              </w:r>
            </w:hyperlink>
          </w:p>
        </w:tc>
        <w:tc>
          <w:tcPr>
            <w:tcW w:w="625" w:type="pct"/>
            <w:shd w:val="clear" w:color="auto" w:fill="auto"/>
          </w:tcPr>
          <w:p w14:paraId="43116923" w14:textId="1FEC4DFE" w:rsidR="00E55959" w:rsidRPr="00A76789" w:rsidRDefault="00E55959" w:rsidP="000C03C3">
            <w:pPr>
              <w:keepNext/>
              <w:keepLines/>
              <w:rPr>
                <w:sz w:val="20"/>
                <w:szCs w:val="20"/>
              </w:rPr>
            </w:pPr>
            <w:r w:rsidRPr="00E55959">
              <w:rPr>
                <w:sz w:val="20"/>
                <w:szCs w:val="20"/>
              </w:rPr>
              <w:t>2019-10</w:t>
            </w:r>
          </w:p>
        </w:tc>
        <w:tc>
          <w:tcPr>
            <w:tcW w:w="625" w:type="pct"/>
            <w:shd w:val="clear" w:color="auto" w:fill="auto"/>
          </w:tcPr>
          <w:p w14:paraId="0DFB47BF" w14:textId="08C31F36" w:rsidR="00E55959" w:rsidRPr="00A76789" w:rsidRDefault="00E55959" w:rsidP="000C03C3">
            <w:pPr>
              <w:keepNext/>
              <w:keepLines/>
              <w:rPr>
                <w:sz w:val="20"/>
                <w:szCs w:val="20"/>
              </w:rPr>
            </w:pPr>
            <w:r w:rsidRPr="00E55959">
              <w:rPr>
                <w:sz w:val="20"/>
                <w:szCs w:val="20"/>
              </w:rPr>
              <w:t>2022-09</w:t>
            </w:r>
          </w:p>
        </w:tc>
      </w:tr>
      <w:tr w:rsidR="00E55959" w:rsidRPr="00A76789" w14:paraId="19462EA3" w14:textId="77777777" w:rsidTr="00E55959">
        <w:trPr>
          <w:jc w:val="center"/>
        </w:trPr>
        <w:tc>
          <w:tcPr>
            <w:tcW w:w="3750" w:type="pct"/>
            <w:shd w:val="clear" w:color="auto" w:fill="auto"/>
          </w:tcPr>
          <w:p w14:paraId="14E3F880" w14:textId="77777777" w:rsidR="00E55959" w:rsidRPr="00A76789" w:rsidRDefault="00D61F86" w:rsidP="000C03C3">
            <w:pPr>
              <w:keepNext/>
              <w:keepLines/>
              <w:rPr>
                <w:sz w:val="20"/>
                <w:szCs w:val="20"/>
              </w:rPr>
            </w:pPr>
            <w:hyperlink r:id="rId127" w:tgtFrame="_blank" w:tooltip="https://www.itu.int/en/itu-t/focusgroups/vm/pages/default.aspx" w:history="1">
              <w:r w:rsidR="00E55959" w:rsidRPr="00A76789">
                <w:rPr>
                  <w:rStyle w:val="Hyperlink"/>
                  <w:sz w:val="20"/>
                  <w:szCs w:val="20"/>
                  <w:rtl/>
                </w:rPr>
                <w:t xml:space="preserve">الوسائط المتعددة في المركبات </w:t>
              </w:r>
              <w:r w:rsidR="00E55959" w:rsidRPr="00A76789">
                <w:rPr>
                  <w:rStyle w:val="Hyperlink"/>
                  <w:sz w:val="20"/>
                  <w:szCs w:val="20"/>
                </w:rPr>
                <w:t>(FG-VM)</w:t>
              </w:r>
            </w:hyperlink>
          </w:p>
        </w:tc>
        <w:tc>
          <w:tcPr>
            <w:tcW w:w="625" w:type="pct"/>
            <w:shd w:val="clear" w:color="auto" w:fill="auto"/>
          </w:tcPr>
          <w:p w14:paraId="08C0FB07" w14:textId="7F3594AD" w:rsidR="00E55959" w:rsidRPr="00A76789" w:rsidRDefault="00E55959" w:rsidP="000C03C3">
            <w:pPr>
              <w:keepNext/>
              <w:keepLines/>
              <w:rPr>
                <w:sz w:val="20"/>
                <w:szCs w:val="20"/>
              </w:rPr>
            </w:pPr>
            <w:r w:rsidRPr="00E55959">
              <w:rPr>
                <w:sz w:val="20"/>
                <w:szCs w:val="20"/>
              </w:rPr>
              <w:t>2018-07</w:t>
            </w:r>
          </w:p>
        </w:tc>
        <w:tc>
          <w:tcPr>
            <w:tcW w:w="625" w:type="pct"/>
            <w:shd w:val="clear" w:color="auto" w:fill="auto"/>
          </w:tcPr>
          <w:p w14:paraId="6E6AFBAE" w14:textId="15F0B640" w:rsidR="00E55959" w:rsidRPr="00A76789" w:rsidRDefault="00E55959" w:rsidP="000C03C3">
            <w:pPr>
              <w:keepNext/>
              <w:keepLines/>
              <w:rPr>
                <w:sz w:val="20"/>
                <w:szCs w:val="20"/>
              </w:rPr>
            </w:pPr>
            <w:r w:rsidRPr="00E55959">
              <w:rPr>
                <w:sz w:val="20"/>
                <w:szCs w:val="20"/>
              </w:rPr>
              <w:t>2022-09</w:t>
            </w:r>
          </w:p>
        </w:tc>
      </w:tr>
    </w:tbl>
    <w:p w14:paraId="3477D066" w14:textId="77777777" w:rsidR="00A76789" w:rsidRPr="00A76789" w:rsidRDefault="00A76789" w:rsidP="00E55959">
      <w:pPr>
        <w:pStyle w:val="Heading1"/>
        <w:rPr>
          <w:lang w:bidi="ar-SA"/>
        </w:rPr>
      </w:pPr>
      <w:bookmarkStart w:id="36" w:name="_2.8_IPTV_and"/>
      <w:bookmarkStart w:id="37" w:name="a353677d2-7347-4cd3-8301-15d8ee365aeb"/>
      <w:bookmarkStart w:id="38" w:name="_3.4_e-Health"/>
      <w:bookmarkStart w:id="39" w:name="_3.6_Aviation_applications"/>
      <w:bookmarkStart w:id="40" w:name="_6.5_Focus_Group"/>
      <w:bookmarkStart w:id="41" w:name="_7.5_Focus_Group"/>
      <w:bookmarkStart w:id="42" w:name="_7.2_TSB_Director’s"/>
      <w:bookmarkStart w:id="43" w:name="_13_Chief_Technology"/>
      <w:bookmarkStart w:id="44" w:name="_8.1_ITU-UNECE_event"/>
      <w:bookmarkStart w:id="45" w:name="_8.3_3rd_ITU"/>
      <w:bookmarkStart w:id="46" w:name="_8.5_Standards_collaboration,"/>
      <w:bookmarkStart w:id="47" w:name="_8.6_Montevideo_forum"/>
      <w:bookmarkStart w:id="48" w:name="_8.8_Accessible_Inclusion"/>
      <w:bookmarkStart w:id="49" w:name="_10_Chief_Technology"/>
      <w:bookmarkStart w:id="50" w:name="_3_Collaboration_initiatives"/>
      <w:bookmarkStart w:id="51" w:name="_3_Workshops_and"/>
      <w:bookmarkStart w:id="52" w:name="_3_Workshops,_symposia"/>
      <w:bookmarkStart w:id="53" w:name="_Toc179219750"/>
      <w:bookmarkStart w:id="54" w:name="_Toc179221060"/>
      <w:bookmarkStart w:id="55" w:name="_Toc179733602"/>
      <w:bookmarkEnd w:id="9"/>
      <w:bookmarkEnd w:id="10"/>
      <w:bookmarkEnd w:id="11"/>
      <w:bookmarkEnd w:id="12"/>
      <w:bookmarkEnd w:id="13"/>
      <w:bookmarkEnd w:id="14"/>
      <w:bookmarkEnd w:id="15"/>
      <w:bookmarkEnd w:id="16"/>
      <w:bookmarkEnd w:id="17"/>
      <w:bookmarkEnd w:id="23"/>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76789">
        <w:rPr>
          <w:rtl/>
        </w:rPr>
        <w:t>3</w:t>
      </w:r>
      <w:r w:rsidRPr="00A76789">
        <w:rPr>
          <w:rtl/>
        </w:rPr>
        <w:tab/>
        <w:t>‏ورش العم</w:t>
      </w:r>
      <w:bookmarkStart w:id="56" w:name="Three"/>
      <w:bookmarkEnd w:id="56"/>
      <w:r w:rsidRPr="00A76789">
        <w:rPr>
          <w:rtl/>
        </w:rPr>
        <w:t>ل والندوات والحلقات الدراسية الإلكترونية‎</w:t>
      </w:r>
      <w:bookmarkEnd w:id="53"/>
      <w:bookmarkEnd w:id="54"/>
      <w:bookmarkEnd w:id="55"/>
    </w:p>
    <w:p w14:paraId="7382A0D5" w14:textId="1EDF8ADC" w:rsidR="00A76789" w:rsidRPr="00A76789" w:rsidRDefault="00A76789" w:rsidP="00A76789">
      <w:r w:rsidRPr="00A76789">
        <w:rPr>
          <w:rtl/>
        </w:rPr>
        <w:t xml:space="preserve">تم تنظيم أكثر من 200 ورشة عمل وندوة وحلقة دراسية إلكترونية لقطاع تقييس الاتصالات في فترة الدراسة، بالإضافة إلى البرامج الأسبوعية للمنصة الرقمية بشأن </w:t>
      </w:r>
      <w:hyperlink r:id="rId128" w:history="1">
        <w:r w:rsidRPr="00A76789">
          <w:rPr>
            <w:rStyle w:val="Hyperlink"/>
            <w:rtl/>
          </w:rPr>
          <w:t>الذكاء الاصطناعي من أجل المصلحة العامة</w:t>
        </w:r>
      </w:hyperlink>
      <w:r w:rsidRPr="00A76789">
        <w:rPr>
          <w:rtl/>
        </w:rPr>
        <w:t xml:space="preserve"> المتاحة على مدار السنة. ويمكن الاطلاع على قائمة بجميع الأحداث السابقة والمخططة المفتوحة أمام الجميع في </w:t>
      </w:r>
      <w:hyperlink r:id="rId129" w:history="1">
        <w:r w:rsidRPr="00A76789">
          <w:rPr>
            <w:rStyle w:val="Hyperlink"/>
            <w:rtl/>
          </w:rPr>
          <w:t>الصفحة الرئيسية لورش العمل التي ينظمها قطاع تقييس الاتصالات</w:t>
        </w:r>
      </w:hyperlink>
      <w:r w:rsidRPr="00A76789">
        <w:rPr>
          <w:rtl/>
        </w:rPr>
        <w:t xml:space="preserve">. وللاطلاع على جميع حوارات التحول الرقمي، انظر </w:t>
      </w:r>
      <w:hyperlink r:id="rId130" w:history="1">
        <w:r w:rsidRPr="00A76789">
          <w:rPr>
            <w:rStyle w:val="Hyperlink"/>
            <w:rtl/>
          </w:rPr>
          <w:t>صفحة الويب</w:t>
        </w:r>
      </w:hyperlink>
      <w:r w:rsidRPr="00A76789">
        <w:rPr>
          <w:rtl/>
        </w:rPr>
        <w:t xml:space="preserve"> المخصصة.</w:t>
      </w:r>
    </w:p>
    <w:p w14:paraId="75610C07" w14:textId="77777777" w:rsidR="00A76789" w:rsidRPr="00A76789" w:rsidRDefault="00A76789" w:rsidP="00A76789">
      <w:r w:rsidRPr="00A76789">
        <w:rPr>
          <w:rtl/>
        </w:rPr>
        <w:t>وتناقش ورش العمل والندوات والحلقات الدراسية الإلكترونية التي ينظمها الاتحاد الاتجاهات الناشئة في مجال التقييس وتسلط الضوء على أعمال قطاع تقييس الاتصالات به، وتعزز تعاون القطاع مع هيئات أخرى، وتجذب الأعضاء الجدد للانضمام إليه، وتشجع التعلم من الأقران فيما يتعلق بوضع المعايير الدولية وتنفيذها.</w:t>
      </w:r>
    </w:p>
    <w:p w14:paraId="2717641A" w14:textId="77777777" w:rsidR="00A76789" w:rsidRPr="00A76789" w:rsidRDefault="00A76789" w:rsidP="00AA7BA0">
      <w:pPr>
        <w:pStyle w:val="Heading1"/>
        <w:rPr>
          <w:lang w:bidi="ar-SA"/>
        </w:rPr>
      </w:pPr>
      <w:bookmarkStart w:id="57" w:name="_4_Virtual_meetings"/>
      <w:bookmarkStart w:id="58" w:name="_4_Electronic_working"/>
      <w:bookmarkStart w:id="59" w:name="_4_Remote_participation"/>
      <w:bookmarkStart w:id="60" w:name="_Toc179219751"/>
      <w:bookmarkStart w:id="61" w:name="_Toc179221061"/>
      <w:bookmarkStart w:id="62" w:name="_Toc179733603"/>
      <w:bookmarkStart w:id="63" w:name="_Hlk135236206"/>
      <w:bookmarkEnd w:id="57"/>
      <w:bookmarkEnd w:id="58"/>
      <w:bookmarkEnd w:id="59"/>
      <w:r w:rsidRPr="00A76789">
        <w:rPr>
          <w:rtl/>
        </w:rPr>
        <w:t>4</w:t>
      </w:r>
      <w:r w:rsidRPr="00A76789">
        <w:rPr>
          <w:rtl/>
        </w:rPr>
        <w:tab/>
        <w:t>المشاركة عن بُع</w:t>
      </w:r>
      <w:bookmarkStart w:id="64" w:name="Four"/>
      <w:bookmarkEnd w:id="64"/>
      <w:r w:rsidRPr="00A76789">
        <w:rPr>
          <w:rtl/>
        </w:rPr>
        <w:t>د</w:t>
      </w:r>
      <w:bookmarkEnd w:id="60"/>
      <w:bookmarkEnd w:id="61"/>
      <w:bookmarkEnd w:id="62"/>
    </w:p>
    <w:p w14:paraId="47680127" w14:textId="77777777" w:rsidR="00A76789" w:rsidRPr="00A76789" w:rsidRDefault="00A76789" w:rsidP="00A76789">
      <w:bookmarkStart w:id="65" w:name="_Hlk178155835"/>
      <w:bookmarkStart w:id="66" w:name="_Hlk155876914"/>
      <w:r w:rsidRPr="00A76789">
        <w:rPr>
          <w:rtl/>
        </w:rPr>
        <w:t xml:space="preserve">أداة </w:t>
      </w:r>
      <w:proofErr w:type="spellStart"/>
      <w:r w:rsidRPr="00A76789">
        <w:t>MyMeetings</w:t>
      </w:r>
      <w:proofErr w:type="spellEnd"/>
      <w:r w:rsidRPr="00A76789">
        <w:rPr>
          <w:rtl/>
        </w:rPr>
        <w:t>، الحل مفتوح المصدر لقطاع تقييس الاتصالات للاجتماعات الإلكترونية الذي قدمه مكتب تقييس الاتصالات في يناير 2019، هو المنصة الرئيسية لتنظيم الاجتماعات النظامية لقطاع تقييس الاتصالات. ‏وتتضمن الأداة بعض العناصر المهمة الموجودة في الاجتماعات الحضورية لقطاع تقييس الاتصالات، بما في ذلك قوائم المشاركين وانتماءاتهم، والدعم متعدد اللغات، وطلب الإدلاء بكلمة، والعرض النصي.‎ وبالإضافة إلى ذلك، تتضمن الأداة عدة طبقات من التحكم في النفاذ لضمان عدم إتاحة النفاذ إلى الاجتماعات النظامية إلا للمشاركين المسجلين.</w:t>
      </w:r>
    </w:p>
    <w:p w14:paraId="7C01087C" w14:textId="77777777" w:rsidR="00A76789" w:rsidRPr="00A76789" w:rsidRDefault="00A76789" w:rsidP="00A76789">
      <w:r w:rsidRPr="00A76789">
        <w:rPr>
          <w:rtl/>
        </w:rPr>
        <w:t xml:space="preserve">وتُستعمل منصة </w:t>
      </w:r>
      <w:proofErr w:type="spellStart"/>
      <w:r w:rsidRPr="00A76789">
        <w:t>MyMeetings</w:t>
      </w:r>
      <w:proofErr w:type="spellEnd"/>
      <w:r w:rsidRPr="00A76789">
        <w:rPr>
          <w:rtl/>
        </w:rPr>
        <w:t xml:space="preserve"> أيضاً لاستضافة اجتماعات أفرقة المقرِّرين والأحداث غير النظامية مثل الحلقات الدراسية الإلكترونية. ويقدم مكتب تقييس الاتصالات أيضاً أدوات اجتماع إلكترونية أخرى مثل </w:t>
      </w:r>
      <w:r w:rsidRPr="00A76789">
        <w:t>Zoom</w:t>
      </w:r>
      <w:r w:rsidRPr="00A76789">
        <w:rPr>
          <w:rtl/>
        </w:rPr>
        <w:t xml:space="preserve"> لاستضافة اجتماعات افتراضية بالكامل وأي اجتماعات مخصصة حسب الطلب.</w:t>
      </w:r>
    </w:p>
    <w:bookmarkEnd w:id="65"/>
    <w:bookmarkEnd w:id="66"/>
    <w:p w14:paraId="4EAF7CA6" w14:textId="77777777" w:rsidR="00A76789" w:rsidRPr="00A76789" w:rsidRDefault="00A76789" w:rsidP="00A76789">
      <w:r w:rsidRPr="00A76789">
        <w:rPr>
          <w:rtl/>
        </w:rPr>
        <w:t>وترد أدناه إحصاءات عن الاجتماعات الإلكترونية منذ عام 2020 وتوضح في الشكل 1.</w:t>
      </w:r>
    </w:p>
    <w:p w14:paraId="3D4DD308" w14:textId="78B4DD40" w:rsidR="00A76789" w:rsidRPr="00A76789" w:rsidRDefault="00A76789" w:rsidP="00A76789">
      <w:pPr>
        <w:numPr>
          <w:ilvl w:val="0"/>
          <w:numId w:val="15"/>
        </w:numPr>
      </w:pPr>
      <w:r w:rsidRPr="00A76789">
        <w:rPr>
          <w:rtl/>
        </w:rPr>
        <w:t xml:space="preserve">2020: </w:t>
      </w:r>
      <w:r w:rsidR="00AA7BA0">
        <w:t>4 220</w:t>
      </w:r>
      <w:r w:rsidRPr="00A76789">
        <w:rPr>
          <w:rtl/>
        </w:rPr>
        <w:t xml:space="preserve"> اجتماعاً إلكترونياً؛ </w:t>
      </w:r>
      <w:r w:rsidR="00AA7BA0">
        <w:t>77 693</w:t>
      </w:r>
      <w:r w:rsidRPr="00A76789">
        <w:rPr>
          <w:rtl/>
        </w:rPr>
        <w:t xml:space="preserve"> توصيلة</w:t>
      </w:r>
    </w:p>
    <w:p w14:paraId="6DA5B4DE" w14:textId="45D6905F" w:rsidR="00A76789" w:rsidRPr="00A76789" w:rsidRDefault="00A76789" w:rsidP="00A76789">
      <w:pPr>
        <w:numPr>
          <w:ilvl w:val="0"/>
          <w:numId w:val="15"/>
        </w:numPr>
      </w:pPr>
      <w:r w:rsidRPr="00A76789">
        <w:rPr>
          <w:rtl/>
        </w:rPr>
        <w:t xml:space="preserve">2021: </w:t>
      </w:r>
      <w:r w:rsidR="00AA7BA0">
        <w:t>4 671</w:t>
      </w:r>
      <w:r w:rsidRPr="00A76789">
        <w:rPr>
          <w:rtl/>
        </w:rPr>
        <w:t xml:space="preserve"> اجتماعاً إلكترونياً؛ </w:t>
      </w:r>
      <w:r w:rsidR="00AA7BA0">
        <w:t>87 302</w:t>
      </w:r>
      <w:r w:rsidRPr="00A76789">
        <w:rPr>
          <w:rtl/>
        </w:rPr>
        <w:t xml:space="preserve"> توصيلة</w:t>
      </w:r>
    </w:p>
    <w:p w14:paraId="0918961F" w14:textId="5406151E" w:rsidR="00A76789" w:rsidRPr="00A76789" w:rsidRDefault="00A76789" w:rsidP="00A76789">
      <w:pPr>
        <w:numPr>
          <w:ilvl w:val="0"/>
          <w:numId w:val="15"/>
        </w:numPr>
      </w:pPr>
      <w:r w:rsidRPr="00A76789">
        <w:rPr>
          <w:rtl/>
        </w:rPr>
        <w:t xml:space="preserve">2022: </w:t>
      </w:r>
      <w:r w:rsidR="00AA7BA0">
        <w:t>5 430</w:t>
      </w:r>
      <w:r w:rsidRPr="00A76789">
        <w:rPr>
          <w:rtl/>
        </w:rPr>
        <w:t xml:space="preserve"> اجتماعاً إلكترونياً؛ </w:t>
      </w:r>
      <w:r w:rsidR="00AA7BA0">
        <w:t>78 270</w:t>
      </w:r>
      <w:r w:rsidRPr="00A76789">
        <w:rPr>
          <w:rtl/>
        </w:rPr>
        <w:t xml:space="preserve"> توصيلة</w:t>
      </w:r>
    </w:p>
    <w:p w14:paraId="0F43E547" w14:textId="5F15C3E3" w:rsidR="00A76789" w:rsidRPr="00A76789" w:rsidRDefault="00A76789" w:rsidP="00A76789">
      <w:pPr>
        <w:numPr>
          <w:ilvl w:val="0"/>
          <w:numId w:val="15"/>
        </w:numPr>
      </w:pPr>
      <w:bookmarkStart w:id="67" w:name="_Hlk155880752"/>
      <w:r w:rsidRPr="00A76789">
        <w:rPr>
          <w:rtl/>
        </w:rPr>
        <w:t xml:space="preserve">2023: </w:t>
      </w:r>
      <w:r w:rsidR="00AA7BA0">
        <w:t>4 143</w:t>
      </w:r>
      <w:r w:rsidRPr="00A76789">
        <w:rPr>
          <w:rtl/>
        </w:rPr>
        <w:t xml:space="preserve"> اجتماعاً إلكترونياً؛ </w:t>
      </w:r>
      <w:r w:rsidR="00AA7BA0">
        <w:t>68 734</w:t>
      </w:r>
      <w:r w:rsidRPr="00A76789">
        <w:rPr>
          <w:rtl/>
        </w:rPr>
        <w:t xml:space="preserve"> توصيلة</w:t>
      </w:r>
    </w:p>
    <w:p w14:paraId="3ABF893E" w14:textId="4B2A2B76" w:rsidR="00A76789" w:rsidRPr="00A76789" w:rsidRDefault="00A76789" w:rsidP="00A76789">
      <w:pPr>
        <w:numPr>
          <w:ilvl w:val="0"/>
          <w:numId w:val="15"/>
        </w:numPr>
      </w:pPr>
      <w:r w:rsidRPr="00A76789">
        <w:rPr>
          <w:rtl/>
        </w:rPr>
        <w:t xml:space="preserve">2024: </w:t>
      </w:r>
      <w:r w:rsidR="00AA7BA0">
        <w:t>4 172</w:t>
      </w:r>
      <w:r w:rsidRPr="00A76789">
        <w:rPr>
          <w:rtl/>
        </w:rPr>
        <w:t xml:space="preserve"> اجتماعاً إلكترونياً؛ </w:t>
      </w:r>
      <w:r w:rsidR="00AA7BA0">
        <w:t>39 384</w:t>
      </w:r>
      <w:r w:rsidRPr="00A76789">
        <w:rPr>
          <w:rtl/>
        </w:rPr>
        <w:t xml:space="preserve"> توصيلة (*حتى منتصف سبتمبر 2024</w:t>
      </w:r>
      <w:bookmarkEnd w:id="67"/>
      <w:r w:rsidR="00AA7BA0">
        <w:rPr>
          <w:rFonts w:hint="cs"/>
          <w:rtl/>
        </w:rPr>
        <w:t>)</w:t>
      </w:r>
    </w:p>
    <w:p w14:paraId="6100EF0E" w14:textId="38A454B2" w:rsidR="00A76789" w:rsidRPr="00AA7BA0" w:rsidRDefault="000C03C3" w:rsidP="00AA7BA0">
      <w:pPr>
        <w:pStyle w:val="Figure"/>
        <w:rPr>
          <w:sz w:val="22"/>
          <w:szCs w:val="22"/>
          <w:lang w:bidi="ar-EG"/>
        </w:rPr>
      </w:pPr>
      <w:r>
        <w:rPr>
          <w:noProof/>
          <w:sz w:val="22"/>
          <w:szCs w:val="22"/>
          <w:lang w:bidi="ar-EG"/>
        </w:rPr>
        <w:lastRenderedPageBreak/>
        <w:drawing>
          <wp:inline distT="0" distB="0" distL="0" distR="0" wp14:anchorId="0967C4F7" wp14:editId="389148D8">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BDFDCA0" w14:textId="58D9D852" w:rsidR="00A76789" w:rsidRPr="00A76789" w:rsidRDefault="00A76789" w:rsidP="00AA7BA0">
      <w:pPr>
        <w:pStyle w:val="Figuretitle"/>
        <w:rPr>
          <w:lang w:bidi="en-GB"/>
        </w:rPr>
      </w:pPr>
      <w:bookmarkStart w:id="68" w:name="_Toc179221086"/>
      <w:bookmarkStart w:id="69" w:name="_Toc179733701"/>
      <w:r w:rsidRPr="00A76789">
        <w:rPr>
          <w:rtl/>
        </w:rPr>
        <w:t>الشكل 1 - المشاركة عن ب</w:t>
      </w:r>
      <w:r w:rsidR="00B51DC7">
        <w:rPr>
          <w:rFonts w:hint="cs"/>
          <w:rtl/>
        </w:rPr>
        <w:t>ُ</w:t>
      </w:r>
      <w:r w:rsidRPr="00A76789">
        <w:rPr>
          <w:rtl/>
        </w:rPr>
        <w:t>عد والاجتماعات الإلكترونية</w:t>
      </w:r>
      <w:bookmarkEnd w:id="68"/>
      <w:bookmarkEnd w:id="69"/>
    </w:p>
    <w:p w14:paraId="494BBE45" w14:textId="77777777" w:rsidR="00A76789" w:rsidRPr="00A76789" w:rsidRDefault="00A76789" w:rsidP="00AA7BA0">
      <w:pPr>
        <w:pStyle w:val="Heading1"/>
        <w:rPr>
          <w:rtl/>
          <w:lang w:bidi="ar-SA"/>
        </w:rPr>
      </w:pPr>
      <w:bookmarkStart w:id="70" w:name="_Toc179219752"/>
      <w:bookmarkStart w:id="71" w:name="_Toc179221062"/>
      <w:bookmarkStart w:id="72" w:name="_Toc179733604"/>
      <w:bookmarkStart w:id="73" w:name="_Hlk178605526"/>
      <w:bookmarkEnd w:id="63"/>
      <w:r w:rsidRPr="00A76789">
        <w:rPr>
          <w:rtl/>
        </w:rPr>
        <w:t>5</w:t>
      </w:r>
      <w:r w:rsidRPr="00A76789">
        <w:rPr>
          <w:rtl/>
        </w:rPr>
        <w:tab/>
        <w:t>مباد</w:t>
      </w:r>
      <w:bookmarkStart w:id="74" w:name="Five"/>
      <w:bookmarkEnd w:id="74"/>
      <w:r w:rsidRPr="00A76789">
        <w:rPr>
          <w:rtl/>
        </w:rPr>
        <w:t>رات التعاون</w:t>
      </w:r>
      <w:bookmarkEnd w:id="70"/>
      <w:bookmarkEnd w:id="71"/>
      <w:bookmarkEnd w:id="72"/>
    </w:p>
    <w:p w14:paraId="79CF32B5" w14:textId="15590872" w:rsidR="00A76789" w:rsidRPr="00A76789" w:rsidRDefault="00A76789" w:rsidP="00A76789">
      <w:r w:rsidRPr="00A76789">
        <w:rPr>
          <w:rtl/>
        </w:rPr>
        <w:t xml:space="preserve">تتاح مذكرات التفاهم واتفاقات التعاون في </w:t>
      </w:r>
      <w:hyperlink r:id="rId132" w:history="1">
        <w:r w:rsidRPr="00A76789">
          <w:rPr>
            <w:rStyle w:val="Hyperlink"/>
            <w:rtl/>
          </w:rPr>
          <w:t>الصفحة الإلكترونية الخاصة بالتعاون الخارجي</w:t>
        </w:r>
      </w:hyperlink>
      <w:r w:rsidRPr="00A76789">
        <w:rPr>
          <w:rtl/>
        </w:rPr>
        <w:t>.</w:t>
      </w:r>
    </w:p>
    <w:p w14:paraId="1CD93B33" w14:textId="2C54FFE4" w:rsidR="00A76789" w:rsidRPr="00A76789" w:rsidRDefault="00AA7BA0" w:rsidP="00AA7BA0">
      <w:pPr>
        <w:pStyle w:val="Heading2"/>
        <w:rPr>
          <w:lang w:bidi="ar-SA"/>
        </w:rPr>
      </w:pPr>
      <w:bookmarkStart w:id="75" w:name="_5.1_World_standards"/>
      <w:bookmarkStart w:id="76" w:name="_Toc179219753"/>
      <w:bookmarkStart w:id="77" w:name="_Toc179221063"/>
      <w:bookmarkStart w:id="78" w:name="_Toc179733605"/>
      <w:bookmarkEnd w:id="75"/>
      <w:r>
        <w:t>1.5</w:t>
      </w:r>
      <w:r w:rsidR="00A76789" w:rsidRPr="00A76789">
        <w:rPr>
          <w:rtl/>
        </w:rPr>
        <w:tab/>
        <w:t xml:space="preserve">التعاون </w:t>
      </w:r>
      <w:bookmarkStart w:id="79" w:name="FiveOne"/>
      <w:bookmarkEnd w:id="79"/>
      <w:r w:rsidR="00A76789" w:rsidRPr="00A76789">
        <w:rPr>
          <w:rtl/>
        </w:rPr>
        <w:t>العالمي بشأن المعايير</w:t>
      </w:r>
      <w:bookmarkEnd w:id="76"/>
      <w:bookmarkEnd w:id="77"/>
      <w:bookmarkEnd w:id="78"/>
    </w:p>
    <w:p w14:paraId="54C0C74D" w14:textId="7E7791E8" w:rsidR="00A76789" w:rsidRPr="00A76789" w:rsidRDefault="00A76789" w:rsidP="00A76789">
      <w:r w:rsidRPr="00A76789">
        <w:rPr>
          <w:rtl/>
        </w:rPr>
        <w:t xml:space="preserve">أنشأ الاتحاد الدولي للاتصالات </w:t>
      </w:r>
      <w:r w:rsidRPr="00A76789">
        <w:t>(ITU</w:t>
      </w:r>
      <w:r w:rsidR="00AA7BA0">
        <w:t>)</w:t>
      </w:r>
      <w:r w:rsidRPr="00A76789">
        <w:rPr>
          <w:rtl/>
        </w:rPr>
        <w:t>، ومنظمة التقييس الدولية (</w:t>
      </w:r>
      <w:r w:rsidRPr="00A76789">
        <w:t>ISO</w:t>
      </w:r>
      <w:r w:rsidRPr="00A76789">
        <w:rPr>
          <w:rtl/>
        </w:rPr>
        <w:t xml:space="preserve">)، واللجنة </w:t>
      </w:r>
      <w:proofErr w:type="spellStart"/>
      <w:r w:rsidRPr="00A76789">
        <w:rPr>
          <w:rtl/>
        </w:rPr>
        <w:t>الكهرتقنية</w:t>
      </w:r>
      <w:proofErr w:type="spellEnd"/>
      <w:r w:rsidRPr="00A76789">
        <w:rPr>
          <w:rtl/>
        </w:rPr>
        <w:t xml:space="preserve"> الدولية (</w:t>
      </w:r>
      <w:r w:rsidRPr="00A76789">
        <w:t>IEC</w:t>
      </w:r>
      <w:r w:rsidRPr="00A76789">
        <w:rPr>
          <w:rtl/>
        </w:rPr>
        <w:t xml:space="preserve">) </w:t>
      </w:r>
      <w:hyperlink r:id="rId133" w:history="1">
        <w:r w:rsidRPr="00A76789">
          <w:rPr>
            <w:rStyle w:val="Hyperlink"/>
            <w:rtl/>
          </w:rPr>
          <w:t>هيئة التعاون العالمي بشأن المعايير</w:t>
        </w:r>
      </w:hyperlink>
      <w:r w:rsidRPr="00A76789">
        <w:rPr>
          <w:rtl/>
        </w:rPr>
        <w:t xml:space="preserve"> في عام 2001، لدعم وتطوير أنظمة المعايير الدولية الطوعية التي تستند إلى توافق الآراء، للاتحاد الدولي للاتصالات (</w:t>
      </w:r>
      <w:r w:rsidRPr="00A76789">
        <w:t>ITU</w:t>
      </w:r>
      <w:r w:rsidRPr="00A76789">
        <w:rPr>
          <w:rtl/>
        </w:rPr>
        <w:t>)، ومنظمة التقييس الدولية (</w:t>
      </w:r>
      <w:r w:rsidRPr="00A76789">
        <w:t>ISO</w:t>
      </w:r>
      <w:r w:rsidRPr="00A76789">
        <w:rPr>
          <w:rtl/>
        </w:rPr>
        <w:t xml:space="preserve">)، واللجنة </w:t>
      </w:r>
      <w:proofErr w:type="spellStart"/>
      <w:r w:rsidRPr="00A76789">
        <w:rPr>
          <w:rtl/>
        </w:rPr>
        <w:t>الكهرتقنية</w:t>
      </w:r>
      <w:proofErr w:type="spellEnd"/>
      <w:r w:rsidRPr="00A76789">
        <w:rPr>
          <w:rtl/>
        </w:rPr>
        <w:t xml:space="preserve"> الدولية (</w:t>
      </w:r>
      <w:r w:rsidRPr="00A76789">
        <w:t>IEC</w:t>
      </w:r>
      <w:r w:rsidRPr="00A76789">
        <w:rPr>
          <w:rtl/>
        </w:rPr>
        <w:t>).</w:t>
      </w:r>
    </w:p>
    <w:p w14:paraId="02AAC286" w14:textId="04731D4D" w:rsidR="00A76789" w:rsidRPr="00A76789" w:rsidRDefault="00A76789" w:rsidP="00A76789">
      <w:r w:rsidRPr="00A76789">
        <w:rPr>
          <w:b/>
          <w:bCs/>
          <w:rtl/>
        </w:rPr>
        <w:t>وضع معايير الذكاء الاصطناعي</w:t>
      </w:r>
      <w:r w:rsidRPr="00A76789">
        <w:rPr>
          <w:rtl/>
        </w:rPr>
        <w:t>: أثناء </w:t>
      </w:r>
      <w:hyperlink r:id="rId134" w:history="1">
        <w:r w:rsidRPr="00A76789">
          <w:rPr>
            <w:rStyle w:val="Hyperlink"/>
            <w:rtl/>
          </w:rPr>
          <w:t>القمة العالمية للذكاء الاصطناعي من أجل المصلحة العامة لعام 2024</w:t>
        </w:r>
      </w:hyperlink>
      <w:r w:rsidRPr="00A76789">
        <w:rPr>
          <w:rtl/>
        </w:rPr>
        <w:t xml:space="preserve">، سلط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 الضوء على التزامهم بتوفير إطار موحد لوضع معايير الذكاء الاصطناعي.</w:t>
      </w:r>
    </w:p>
    <w:p w14:paraId="6BF53138" w14:textId="0757A14C" w:rsidR="00A76789" w:rsidRPr="00A76789" w:rsidRDefault="00A76789" w:rsidP="00A76789">
      <w:r w:rsidRPr="00A76789">
        <w:rPr>
          <w:rtl/>
        </w:rPr>
        <w:t xml:space="preserve">وسيؤدي </w:t>
      </w:r>
      <w:hyperlink r:id="rId135" w:history="1">
        <w:r w:rsidRPr="00A76789">
          <w:rPr>
            <w:rStyle w:val="Hyperlink"/>
            <w:rtl/>
          </w:rPr>
          <w:t>‏التعاون الجديد في مجال الذكاء الاصطناعي ومعايير أصالة الوسائط المتعددة</w:t>
        </w:r>
      </w:hyperlink>
      <w:r w:rsidRPr="00A76789">
        <w:rPr>
          <w:rtl/>
        </w:rPr>
        <w:t xml:space="preserve"> ‎إلى تطوير معايير منسقة للعلامات المائية للذكاء الاصطناعي وأصالة الوسائط المتعددة واكتشاف التزييف العميق. ويقود مبادرة التعاون،  التعاون العالمي بشأن المعايير وتشمل المبادرة حالياً أيضاً مبادرة أصالة المحتوى، والتحالف من أجل مصدر المحتوى وأصالته، وفريق الخبراء المعني بالصور الفوتوغرافية المشترك بين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 ويقدم </w:t>
      </w:r>
      <w:hyperlink r:id="rId136" w:history="1">
        <w:r w:rsidRPr="00A76789">
          <w:rPr>
            <w:rStyle w:val="Hyperlink"/>
            <w:rtl/>
          </w:rPr>
          <w:t>تقرير جديد</w:t>
        </w:r>
      </w:hyperlink>
      <w:r w:rsidRPr="00A76789">
        <w:rPr>
          <w:rtl/>
        </w:rPr>
        <w:t xml:space="preserve"> لمحة شاملة عن ورشة العمل التي عقدت في القمة العالمية للذكاء الاصطناعي من أجل المصلحة العامة لعام 2024 والتي بدأت إطلاق المبادرة.</w:t>
      </w:r>
    </w:p>
    <w:p w14:paraId="386E276F" w14:textId="35AD014E" w:rsidR="00A76789" w:rsidRPr="00A76789" w:rsidRDefault="00A76789" w:rsidP="00A76789">
      <w:r w:rsidRPr="00A76789">
        <w:rPr>
          <w:rtl/>
        </w:rPr>
        <w:t>وتهدف</w:t>
      </w:r>
      <w:r w:rsidR="00AA7BA0" w:rsidRPr="00AA7BA0">
        <w:rPr>
          <w:rFonts w:hint="cs"/>
          <w:rtl/>
        </w:rPr>
        <w:t xml:space="preserve"> </w:t>
      </w:r>
      <w:hyperlink r:id="rId137" w:history="1">
        <w:r w:rsidRPr="00A76789">
          <w:rPr>
            <w:rStyle w:val="Hyperlink"/>
            <w:rtl/>
          </w:rPr>
          <w:t>‏قمة معايير الذكاء الاصطناعي الدولية</w:t>
        </w:r>
      </w:hyperlink>
      <w:r w:rsidRPr="00A76789">
        <w:rPr>
          <w:rtl/>
        </w:rPr>
        <w:t xml:space="preserve"> الجديدة‎ التي ينظمها التعاون العالمي بشأن المعايير إلى ضمان معايير شاملة لمشهد الذكاء الاصطناعي سريع التطور. وستعقد الدورة الأولى بالتزامن مع الجمعية WTSA-24.</w:t>
      </w:r>
    </w:p>
    <w:p w14:paraId="74EBA211" w14:textId="0B8CE23D" w:rsidR="00A76789" w:rsidRPr="00A76789" w:rsidRDefault="00A76789" w:rsidP="00A76789">
      <w:r w:rsidRPr="00A76789">
        <w:rPr>
          <w:b/>
          <w:bCs/>
          <w:rtl/>
        </w:rPr>
        <w:t>الاتفاق الرقمي العالمي</w:t>
      </w:r>
      <w:r w:rsidRPr="00A76789">
        <w:rPr>
          <w:rtl/>
        </w:rPr>
        <w:t xml:space="preserve">: أصدر التعاون العالمي بشأن المعايير </w:t>
      </w:r>
      <w:hyperlink r:id="rId138" w:history="1">
        <w:r w:rsidRPr="00A76789">
          <w:rPr>
            <w:rStyle w:val="Hyperlink"/>
            <w:rtl/>
          </w:rPr>
          <w:t>بياناً</w:t>
        </w:r>
      </w:hyperlink>
      <w:r w:rsidRPr="00A76789">
        <w:rPr>
          <w:rtl/>
        </w:rPr>
        <w:t xml:space="preserve"> شدد فيه على أن المبادئ التي يقوم عليها الاتفاق الرقمي العالمي وكذلك عملية استعراض تنفيذ نواتج القمة العالمية لمجتمع المعلومات بعد مضي 20 عاماً على انعقادها (WSIS+20) يجب أن تُجسد في المعايير الدولية إذا أريد لها أن تظل جزءاً لا يتجزأ من تطوير التكنولوجيات الرقمية وتطبيقها.</w:t>
      </w:r>
    </w:p>
    <w:p w14:paraId="0EB550BA" w14:textId="698B9701" w:rsidR="00A76789" w:rsidRPr="00A76789" w:rsidRDefault="00A76789" w:rsidP="00A76789">
      <w:r w:rsidRPr="00A76789">
        <w:rPr>
          <w:b/>
          <w:bCs/>
          <w:rtl/>
        </w:rPr>
        <w:t>مؤتمرات الأمم   المتحدة لتغير المناخ</w:t>
      </w:r>
      <w:r w:rsidRPr="00A76789">
        <w:rPr>
          <w:b/>
          <w:bCs/>
        </w:rPr>
        <w:t>:</w:t>
      </w:r>
      <w:r w:rsidRPr="00A76789">
        <w:rPr>
          <w:rtl/>
        </w:rPr>
        <w:t xml:space="preserve"> أصدر التعاون العالمي بشأن المعايير </w:t>
      </w:r>
      <w:hyperlink r:id="rId139" w:history="1">
        <w:r w:rsidRPr="00A76789">
          <w:rPr>
            <w:rStyle w:val="Hyperlink"/>
            <w:rtl/>
          </w:rPr>
          <w:t>بياناً</w:t>
        </w:r>
      </w:hyperlink>
      <w:r w:rsidRPr="00A76789">
        <w:rPr>
          <w:rtl/>
        </w:rPr>
        <w:t xml:space="preserve"> في مؤتمر COP28 بشأن أهمية دمج الاستدامة في وضع المعاير التقنية عن سابق تصميم، والمعايير التي تساعد العالم على الوصول إلى صافي انبعاثات صفري وتحقيق اقتصاد دائري منخفض الكربون يتسم بالكفاءة في استخدام الموارد. وكانت المنظمة الدولية للتوحيد القياسي واللجنة </w:t>
      </w:r>
      <w:proofErr w:type="spellStart"/>
      <w:r w:rsidRPr="00A76789">
        <w:rPr>
          <w:rtl/>
        </w:rPr>
        <w:t>الكهرتقنية</w:t>
      </w:r>
      <w:proofErr w:type="spellEnd"/>
      <w:r w:rsidRPr="00A76789">
        <w:rPr>
          <w:rtl/>
        </w:rPr>
        <w:t xml:space="preserve"> الدولية أيضاً شريكين رئيسيين في </w:t>
      </w:r>
      <w:hyperlink r:id="rId140" w:history="1">
        <w:r w:rsidRPr="00A76789">
          <w:rPr>
            <w:rStyle w:val="Hyperlink"/>
            <w:rtl/>
          </w:rPr>
          <w:t>أنشطة العمل الرقمي الأخضر</w:t>
        </w:r>
      </w:hyperlink>
      <w:r w:rsidRPr="00A76789">
        <w:rPr>
          <w:rtl/>
        </w:rPr>
        <w:t xml:space="preserve"> للاتحاد في مؤتمر COP29.</w:t>
      </w:r>
    </w:p>
    <w:p w14:paraId="5CE6AE6F" w14:textId="779350AB" w:rsidR="00A76789" w:rsidRPr="00A76789" w:rsidRDefault="00A76789" w:rsidP="00A76789">
      <w:r w:rsidRPr="00A76789">
        <w:rPr>
          <w:b/>
          <w:bCs/>
          <w:rtl/>
        </w:rPr>
        <w:t>مؤتمرات القمة الدولية للمعايير لمجموعة العشرين</w:t>
      </w:r>
      <w:r w:rsidRPr="00A76789">
        <w:rPr>
          <w:b/>
          <w:bCs/>
        </w:rPr>
        <w:t>:</w:t>
      </w:r>
      <w:r w:rsidRPr="00A76789">
        <w:rPr>
          <w:rtl/>
        </w:rPr>
        <w:t xml:space="preserve"> ينظم التعاون العالمي بشأن المعايير </w:t>
      </w:r>
      <w:hyperlink r:id="rId141" w:history="1">
        <w:r w:rsidRPr="00A76789">
          <w:rPr>
            <w:rStyle w:val="Hyperlink"/>
            <w:rtl/>
          </w:rPr>
          <w:t>مؤتمرات القمة الدولية للمعايير</w:t>
        </w:r>
      </w:hyperlink>
      <w:r w:rsidRPr="00A76789">
        <w:rPr>
          <w:u w:val="single"/>
          <w:rtl/>
        </w:rPr>
        <w:t xml:space="preserve"> </w:t>
      </w:r>
      <w:r w:rsidRPr="00A76789">
        <w:rPr>
          <w:rtl/>
        </w:rPr>
        <w:t xml:space="preserve">كجزء من أنشطة مجموعة العشرين بشأن قيمة المعايير الدولية للتنمية المستدامة. وعُقدت ثلاثة أحداث من هذا القبيل تحت </w:t>
      </w:r>
      <w:r w:rsidRPr="00A76789">
        <w:rPr>
          <w:rtl/>
        </w:rPr>
        <w:lastRenderedPageBreak/>
        <w:t>رئاسة مجموعة العشرين في إندونيسيا (2022) وإيطاليا (2021) والمملكة العربية السعودية (2020). والمناقشات جارية مع البرازيل بشأن إمكانية تنظيم القمة المقبلة.</w:t>
      </w:r>
    </w:p>
    <w:p w14:paraId="18BEC160" w14:textId="0A6568FE" w:rsidR="00A76789" w:rsidRPr="00A76789" w:rsidRDefault="00A76789" w:rsidP="00A76789">
      <w:r w:rsidRPr="00A76789">
        <w:rPr>
          <w:rtl/>
        </w:rPr>
        <w:t xml:space="preserve">ويقر </w:t>
      </w:r>
      <w:hyperlink r:id="rId142" w:history="1">
        <w:r w:rsidRPr="00A76789">
          <w:rPr>
            <w:rStyle w:val="Hyperlink"/>
            <w:rtl/>
          </w:rPr>
          <w:t>الإعلان الوزاري لمجموعة العشرين بشأن الشمول الرقمي للجميع</w:t>
        </w:r>
      </w:hyperlink>
      <w:r w:rsidRPr="00A76789">
        <w:rPr>
          <w:rtl/>
        </w:rPr>
        <w:t xml:space="preserve"> الصادر في 13 سبتمبر 2024 بأهمية المعايير الدولية، بما في ذلك المعايير المفتوحة، وبأن آليات استيقان المحتوى ومصدره والمعايير التقنية ذات الصلة قد تساعد في تحديد المحتوى الذي ينشئه الذكاء الاصطناعي وتمكين المستعملين من تحديد التلاعب بالمعلومات.</w:t>
      </w:r>
    </w:p>
    <w:p w14:paraId="690D4CAD" w14:textId="3B82A209" w:rsidR="00A76789" w:rsidRPr="00A76789" w:rsidRDefault="00A76789" w:rsidP="00A76789">
      <w:r w:rsidRPr="00A76789">
        <w:rPr>
          <w:b/>
          <w:bCs/>
          <w:rtl/>
        </w:rPr>
        <w:t>اليوم العالمي للمعايير، 14 أكتوبر</w:t>
      </w:r>
      <w:r w:rsidRPr="00A76789">
        <w:rPr>
          <w:rtl/>
        </w:rPr>
        <w:t>: يقود التعاون العالمي بشأن المعايير، الاحتفالات ب</w:t>
      </w:r>
      <w:hyperlink r:id="rId143" w:history="1">
        <w:r w:rsidRPr="00A76789">
          <w:rPr>
            <w:rStyle w:val="Hyperlink"/>
            <w:rtl/>
          </w:rPr>
          <w:t>اليوم العالمي للمعايير</w:t>
        </w:r>
      </w:hyperlink>
      <w:r w:rsidRPr="00A76789">
        <w:rPr>
          <w:rtl/>
        </w:rPr>
        <w:t>. وموضوع اليوم العالمي للمعايير لعام 2021 هو "الرؤية المشتركة من أجل عالم أفضل"، من أجل حملة متعددة السنوات أطلقت في عام 2021 بهدف إذكاء الوعي بشأن الكيفية التي تساهم بها المعايير الدولية في تحقيق أهداف التنمية المستدامة (</w:t>
      </w:r>
      <w:r w:rsidRPr="00A76789">
        <w:t>SDG</w:t>
      </w:r>
      <w:r w:rsidRPr="00A76789">
        <w:rPr>
          <w:rtl/>
        </w:rPr>
        <w:t xml:space="preserve">). </w:t>
      </w:r>
      <w:hyperlink r:id="rId144" w:history="1">
        <w:r w:rsidRPr="00A76789">
          <w:rPr>
            <w:rStyle w:val="Hyperlink"/>
            <w:rtl/>
          </w:rPr>
          <w:t>جميع دورات اليوم العالمي للمعايير</w:t>
        </w:r>
      </w:hyperlink>
      <w:r w:rsidRPr="00A76789">
        <w:rPr>
          <w:rtl/>
        </w:rPr>
        <w:t>.</w:t>
      </w:r>
    </w:p>
    <w:p w14:paraId="3E4369A8" w14:textId="6284318F" w:rsidR="00A76789" w:rsidRPr="00A76789" w:rsidRDefault="001D64A1" w:rsidP="001D64A1">
      <w:pPr>
        <w:pStyle w:val="Heading2"/>
        <w:rPr>
          <w:lang w:bidi="ar-SA"/>
        </w:rPr>
      </w:pPr>
      <w:bookmarkStart w:id="80" w:name="_5.1_Artificial_intelligence"/>
      <w:bookmarkStart w:id="81" w:name="_Toc179219754"/>
      <w:bookmarkStart w:id="82" w:name="_Toc179221064"/>
      <w:bookmarkStart w:id="83" w:name="_Toc179733606"/>
      <w:bookmarkStart w:id="84" w:name="_Hlk119497450"/>
      <w:bookmarkEnd w:id="80"/>
      <w:r>
        <w:t>2.5</w:t>
      </w:r>
      <w:r w:rsidR="00A76789" w:rsidRPr="00A76789">
        <w:rPr>
          <w:rtl/>
        </w:rPr>
        <w:tab/>
        <w:t>الذكاء الاصطناع</w:t>
      </w:r>
      <w:bookmarkStart w:id="85" w:name="FiveTwo"/>
      <w:bookmarkEnd w:id="85"/>
      <w:r w:rsidR="00A76789" w:rsidRPr="00A76789">
        <w:rPr>
          <w:rtl/>
        </w:rPr>
        <w:t>ي وتعلُّم الآلة</w:t>
      </w:r>
      <w:bookmarkEnd w:id="81"/>
      <w:bookmarkEnd w:id="82"/>
      <w:bookmarkEnd w:id="83"/>
    </w:p>
    <w:p w14:paraId="3B391F95" w14:textId="48543938" w:rsidR="00A76789" w:rsidRPr="00A76789" w:rsidRDefault="00A76789" w:rsidP="001D64A1">
      <w:pPr>
        <w:rPr>
          <w:rtl/>
        </w:rPr>
      </w:pPr>
      <w:r w:rsidRPr="00A76789">
        <w:rPr>
          <w:rtl/>
        </w:rPr>
        <w:t xml:space="preserve">ومنصة </w:t>
      </w:r>
      <w:hyperlink r:id="rId145" w:history="1">
        <w:r w:rsidRPr="00A76789">
          <w:rPr>
            <w:rStyle w:val="Hyperlink"/>
            <w:rtl/>
          </w:rPr>
          <w:t>‏الذكاء الاصطناعي من أجل المصلحة العامة</w:t>
        </w:r>
      </w:hyperlink>
      <w:r w:rsidRPr="00A76789">
        <w:rPr>
          <w:rtl/>
        </w:rPr>
        <w:t>، هي منصة الأمم المتحدة الأساسية للذكاء الاصطناعي (</w:t>
      </w:r>
      <w:r w:rsidRPr="00A76789">
        <w:t>AI</w:t>
      </w:r>
      <w:r w:rsidRPr="00A76789">
        <w:rPr>
          <w:rtl/>
        </w:rPr>
        <w:t xml:space="preserve">). وهي المنصة الأولى في </w:t>
      </w:r>
      <w:r w:rsidRPr="00A76789">
        <w:rPr>
          <w:cs/>
        </w:rPr>
        <w:t>‎</w:t>
      </w:r>
      <w:r w:rsidRPr="00A76789">
        <w:rPr>
          <w:rtl/>
        </w:rPr>
        <w:t xml:space="preserve">العالم للنهوض بمساهمة الذكاء الاصطناعي في التنمية المستدامة. وتحظى منصة الذكاء الاصطناعي أجل المصلحة العامة، بالدعم من 47 </w:t>
      </w:r>
      <w:r w:rsidRPr="00A76789">
        <w:rPr>
          <w:cs/>
        </w:rPr>
        <w:t>‎</w:t>
      </w:r>
      <w:r w:rsidRPr="00A76789">
        <w:rPr>
          <w:rtl/>
        </w:rPr>
        <w:t>شريكاً للأمم المتحدة ومجموعة من الجهات الراعية من دوائر الصناعة. وتُعقد بالاشتراك مع حكومة سويسرا.</w:t>
      </w:r>
      <w:r w:rsidRPr="00A76789">
        <w:rPr>
          <w:cs/>
        </w:rPr>
        <w:t>‎</w:t>
      </w:r>
    </w:p>
    <w:p w14:paraId="197D70E5" w14:textId="77777777" w:rsidR="00A76789" w:rsidRPr="00A76789" w:rsidRDefault="00A76789" w:rsidP="00A76789">
      <w:r w:rsidRPr="00A76789">
        <w:rPr>
          <w:rtl/>
        </w:rPr>
        <w:t>ويقدم القسم التالي معلومات محدثة بشأن المنصة الرقمية للذكاء الاصطناعي من أجل المصلحة العامة، ومؤتمرات القمة العالمية السنوية، والتعاون في مجال المعايير، ومبادرات بناء القدرات.</w:t>
      </w:r>
    </w:p>
    <w:p w14:paraId="7C60CBE4" w14:textId="77777777" w:rsidR="00A76789" w:rsidRPr="00A76789" w:rsidRDefault="00A76789" w:rsidP="001D64A1">
      <w:pPr>
        <w:pStyle w:val="Headingb"/>
      </w:pPr>
      <w:r w:rsidRPr="00A76789">
        <w:rPr>
          <w:rtl/>
        </w:rPr>
        <w:t>على مدار العام، دائماً على الإنترنت</w:t>
      </w:r>
    </w:p>
    <w:p w14:paraId="287AEDB4" w14:textId="50E64144" w:rsidR="00A76789" w:rsidRPr="00A76789" w:rsidRDefault="00A76789" w:rsidP="00A76789">
      <w:r w:rsidRPr="00A76789">
        <w:rPr>
          <w:rtl/>
        </w:rPr>
        <w:t xml:space="preserve">وبالإضافة إلى مؤتمرات القمة السنوية، تُعرَض الآن منصة الذكاء الاصطناعي من أجل المصلحة العامة كمنصة رقمية على مدار العام - تتميز </w:t>
      </w:r>
      <w:hyperlink r:id="rId146" w:history="1">
        <w:r w:rsidRPr="00A76789">
          <w:rPr>
            <w:rStyle w:val="Hyperlink"/>
            <w:rtl/>
          </w:rPr>
          <w:t>ببرامج</w:t>
        </w:r>
      </w:hyperlink>
      <w:r w:rsidRPr="00A76789">
        <w:rPr>
          <w:rtl/>
        </w:rPr>
        <w:t xml:space="preserve"> شبه يومية - يتعلم فيها المبتكرون والمعنيون بحل المشاكل في مجال الذكاء الاصطناعي ويبنون ويتواصلون للمساعدة في تحديد حلول الذكاء الاصطناعي العملية لتحقيق أهداف التنمية المستدامة. وتتميز </w:t>
      </w:r>
      <w:hyperlink r:id="rId147" w:history="1">
        <w:r w:rsidRPr="00A76789">
          <w:rPr>
            <w:rStyle w:val="Hyperlink"/>
            <w:rtl/>
          </w:rPr>
          <w:t>الشبكة العصبية للذكاء الاصطناعي من أجل المصلحة العامة</w:t>
        </w:r>
      </w:hyperlink>
      <w:r w:rsidRPr="00A76789">
        <w:rPr>
          <w:rtl/>
        </w:rPr>
        <w:t xml:space="preserve"> بالمطابقة الذكية المدعومة بالذكاء الاصطناعي لمساعدة المستعملين في بناء علاقات وربط الأفكار المبتكرة بفرص التأثير الاجتماعي ومناقشة تطبيقات الذكاء الاصطناعي من أجل الصالح الاجتماعي. وأنشأ أكثر من </w:t>
      </w:r>
      <w:r w:rsidR="001D64A1">
        <w:t>37 000</w:t>
      </w:r>
      <w:r w:rsidRPr="00A76789">
        <w:rPr>
          <w:rtl/>
        </w:rPr>
        <w:t xml:space="preserve"> شخص ملفات شخصية على الشبكة العصبية منذ إطلاقها في فبراير 2022.</w:t>
      </w:r>
    </w:p>
    <w:p w14:paraId="593F1B1E" w14:textId="7DF1A0ED" w:rsidR="001D64A1" w:rsidRDefault="00D61F86" w:rsidP="00A76789">
      <w:pPr>
        <w:rPr>
          <w:rtl/>
        </w:rPr>
      </w:pPr>
      <w:hyperlink r:id="rId148" w:history="1">
        <w:r w:rsidR="001D64A1" w:rsidRPr="001D64A1">
          <w:rPr>
            <w:rStyle w:val="Hyperlink"/>
            <w:rFonts w:hint="cs"/>
            <w:rtl/>
          </w:rPr>
          <w:t>التقارير الرئيسية</w:t>
        </w:r>
      </w:hyperlink>
      <w:r w:rsidR="001D64A1">
        <w:rPr>
          <w:rFonts w:hint="cs"/>
          <w:rtl/>
        </w:rPr>
        <w:t xml:space="preserve"> المنشورة في فترة الدراسة:</w:t>
      </w:r>
    </w:p>
    <w:p w14:paraId="3C9079CC" w14:textId="77777777" w:rsidR="00A76789" w:rsidRPr="00A76789" w:rsidRDefault="00A76789" w:rsidP="001D64A1">
      <w:pPr>
        <w:numPr>
          <w:ilvl w:val="0"/>
          <w:numId w:val="15"/>
        </w:numPr>
        <w:tabs>
          <w:tab w:val="clear" w:pos="720"/>
        </w:tabs>
        <w:ind w:left="567" w:hanging="567"/>
      </w:pPr>
      <w:r w:rsidRPr="00A76789">
        <w:rPr>
          <w:rtl/>
        </w:rPr>
        <w:t>يوم إدارة الذكاء الاصطناعي - من المبادئ إلى التنفيذ</w:t>
      </w:r>
    </w:p>
    <w:p w14:paraId="0D9D67B2" w14:textId="77777777" w:rsidR="00A76789" w:rsidRPr="00A76789" w:rsidRDefault="00A76789" w:rsidP="001D64A1">
      <w:pPr>
        <w:numPr>
          <w:ilvl w:val="0"/>
          <w:numId w:val="15"/>
        </w:numPr>
        <w:tabs>
          <w:tab w:val="clear" w:pos="720"/>
        </w:tabs>
        <w:ind w:left="567" w:hanging="567"/>
      </w:pPr>
      <w:r w:rsidRPr="00A76789">
        <w:rPr>
          <w:rtl/>
        </w:rPr>
        <w:t>‏تقرير موجز عن القمة العالمية للذكاء الاصطناعي من أجل تحقيق المصلحة العامة لعام ‎2024</w:t>
      </w:r>
    </w:p>
    <w:p w14:paraId="6A9FD04F" w14:textId="77777777" w:rsidR="00A76789" w:rsidRPr="00A76789" w:rsidRDefault="00A76789" w:rsidP="001D64A1">
      <w:pPr>
        <w:numPr>
          <w:ilvl w:val="0"/>
          <w:numId w:val="15"/>
        </w:numPr>
        <w:tabs>
          <w:tab w:val="clear" w:pos="720"/>
        </w:tabs>
        <w:ind w:left="567" w:hanging="567"/>
      </w:pPr>
      <w:r w:rsidRPr="00A76789">
        <w:rPr>
          <w:rtl/>
        </w:rPr>
        <w:t>تقرير المائدة المستديرة لتقييس الذكاء الاصطناعي - مستقبل الذكاء الاصطناعي والتنظيم وتنمية الصناعة</w:t>
      </w:r>
    </w:p>
    <w:p w14:paraId="10074CD4" w14:textId="77777777" w:rsidR="00A76789" w:rsidRPr="00A76789" w:rsidRDefault="00A76789" w:rsidP="001D64A1">
      <w:pPr>
        <w:numPr>
          <w:ilvl w:val="0"/>
          <w:numId w:val="15"/>
        </w:numPr>
        <w:tabs>
          <w:tab w:val="clear" w:pos="720"/>
        </w:tabs>
        <w:ind w:left="567" w:hanging="567"/>
      </w:pPr>
      <w:r w:rsidRPr="00A76789">
        <w:rPr>
          <w:rtl/>
        </w:rPr>
        <w:t>الورقة البيضاء لمنظومة الأمم المتحدة بشأن إدارة الذكاء الاصطناعي‏</w:t>
      </w:r>
    </w:p>
    <w:p w14:paraId="031B2A99" w14:textId="77777777" w:rsidR="00A76789" w:rsidRPr="00A76789" w:rsidRDefault="00A76789" w:rsidP="001D64A1">
      <w:pPr>
        <w:numPr>
          <w:ilvl w:val="0"/>
          <w:numId w:val="15"/>
        </w:numPr>
        <w:tabs>
          <w:tab w:val="clear" w:pos="720"/>
        </w:tabs>
        <w:ind w:left="567" w:hanging="567"/>
      </w:pPr>
      <w:r w:rsidRPr="00A76789">
        <w:rPr>
          <w:rtl/>
        </w:rPr>
        <w:t>أنشطة الأمم المتحدة بشأن الذكاء الاصطناعي.</w:t>
      </w:r>
    </w:p>
    <w:p w14:paraId="443DF14B" w14:textId="77777777" w:rsidR="00A76789" w:rsidRPr="00A76789" w:rsidRDefault="00A76789" w:rsidP="001D64A1">
      <w:pPr>
        <w:numPr>
          <w:ilvl w:val="0"/>
          <w:numId w:val="15"/>
        </w:numPr>
        <w:tabs>
          <w:tab w:val="clear" w:pos="720"/>
        </w:tabs>
        <w:ind w:left="567" w:hanging="567"/>
      </w:pPr>
      <w:r w:rsidRPr="00A76789">
        <w:rPr>
          <w:rtl/>
        </w:rPr>
        <w:t>الذكاء الاصطناعي من أجل المصلحة العامة - الابتكار من أجل التأثير 2024</w:t>
      </w:r>
    </w:p>
    <w:p w14:paraId="175EAF8E" w14:textId="77777777" w:rsidR="00A76789" w:rsidRPr="00A76789" w:rsidRDefault="00A76789" w:rsidP="001D64A1">
      <w:pPr>
        <w:numPr>
          <w:ilvl w:val="0"/>
          <w:numId w:val="15"/>
        </w:numPr>
        <w:tabs>
          <w:tab w:val="clear" w:pos="720"/>
        </w:tabs>
        <w:ind w:left="567" w:hanging="567"/>
      </w:pPr>
      <w:r w:rsidRPr="00A76789">
        <w:rPr>
          <w:rtl/>
        </w:rPr>
        <w:t>‏جاهزية الذكاء الاصطناعي - تحليل نحو إطار جاهزية موحد</w:t>
      </w:r>
    </w:p>
    <w:p w14:paraId="268194E2" w14:textId="77777777" w:rsidR="00A76789" w:rsidRPr="00A76789" w:rsidRDefault="00A76789" w:rsidP="001D64A1">
      <w:pPr>
        <w:numPr>
          <w:ilvl w:val="0"/>
          <w:numId w:val="15"/>
        </w:numPr>
        <w:tabs>
          <w:tab w:val="clear" w:pos="720"/>
        </w:tabs>
        <w:ind w:left="567" w:hanging="567"/>
      </w:pPr>
      <w:r w:rsidRPr="00A76789">
        <w:rPr>
          <w:rtl/>
        </w:rPr>
        <w:t>تقرير عن الكشف عن التزييف العميق والذكاء الاصطناعي التوليدي - ورشة عمل بشأن معايير العلامات المائية الذكاء الاصطناعي وأصالة الوسائط المتعددة</w:t>
      </w:r>
    </w:p>
    <w:p w14:paraId="543961B7" w14:textId="77777777" w:rsidR="00A76789" w:rsidRPr="00A76789" w:rsidRDefault="00A76789" w:rsidP="001D64A1">
      <w:pPr>
        <w:numPr>
          <w:ilvl w:val="0"/>
          <w:numId w:val="15"/>
        </w:numPr>
        <w:tabs>
          <w:tab w:val="clear" w:pos="720"/>
        </w:tabs>
        <w:ind w:left="567" w:hanging="567"/>
      </w:pPr>
      <w:r w:rsidRPr="00A76789">
        <w:rPr>
          <w:rtl/>
        </w:rPr>
        <w:t xml:space="preserve">حلول </w:t>
      </w:r>
      <w:proofErr w:type="spellStart"/>
      <w:r w:rsidRPr="00A76789">
        <w:rPr>
          <w:rtl/>
        </w:rPr>
        <w:t>التعهيد</w:t>
      </w:r>
      <w:proofErr w:type="spellEnd"/>
      <w:r w:rsidRPr="00A76789">
        <w:rPr>
          <w:rtl/>
        </w:rPr>
        <w:t xml:space="preserve"> الجماعي للذكاء الاصطناعي وتعلم الآلة من أجل تحقيق أهداف التنمية المستدامة - تقرير بشأن تحديات الذكاء الاصطناعي/تعلم الآلة الصادر عن الاتحاد في 2024</w:t>
      </w:r>
    </w:p>
    <w:p w14:paraId="38668B7D" w14:textId="77777777" w:rsidR="00A76789" w:rsidRPr="00A76789" w:rsidRDefault="00A76789" w:rsidP="001D64A1">
      <w:pPr>
        <w:numPr>
          <w:ilvl w:val="0"/>
          <w:numId w:val="15"/>
        </w:numPr>
        <w:tabs>
          <w:tab w:val="clear" w:pos="720"/>
        </w:tabs>
        <w:ind w:left="567" w:hanging="567"/>
      </w:pPr>
      <w:r w:rsidRPr="00A76789">
        <w:rPr>
          <w:rtl/>
        </w:rPr>
        <w:t>الذكاء الاصطناعي والبيئة - المعايير الدولية الذكاء الاصطناعي والبيئة</w:t>
      </w:r>
    </w:p>
    <w:p w14:paraId="5102045D" w14:textId="77777777" w:rsidR="00A76789" w:rsidRPr="00A76789" w:rsidRDefault="00A76789" w:rsidP="001D64A1">
      <w:pPr>
        <w:numPr>
          <w:ilvl w:val="0"/>
          <w:numId w:val="15"/>
        </w:numPr>
        <w:tabs>
          <w:tab w:val="clear" w:pos="720"/>
        </w:tabs>
        <w:ind w:left="567" w:hanging="567"/>
      </w:pPr>
      <w:r w:rsidRPr="00A76789">
        <w:rPr>
          <w:rtl/>
        </w:rPr>
        <w:t>أنشطة الأمم المتحدة بشأن الذكاء الاصطناعي.</w:t>
      </w:r>
    </w:p>
    <w:p w14:paraId="556E4857" w14:textId="77777777" w:rsidR="00A76789" w:rsidRPr="00A76789" w:rsidRDefault="00A76789" w:rsidP="001D64A1">
      <w:pPr>
        <w:numPr>
          <w:ilvl w:val="0"/>
          <w:numId w:val="15"/>
        </w:numPr>
        <w:tabs>
          <w:tab w:val="clear" w:pos="720"/>
        </w:tabs>
        <w:ind w:left="567" w:hanging="567"/>
      </w:pPr>
      <w:r w:rsidRPr="00A76789">
        <w:rPr>
          <w:rtl/>
        </w:rPr>
        <w:t>‏تقرير موجز عن القمة العالمية للذكاء الاصطناعي من أجل تحقيق المصلحة العامة لعام ‎2023</w:t>
      </w:r>
    </w:p>
    <w:p w14:paraId="02DA024F" w14:textId="77777777" w:rsidR="00A76789" w:rsidRPr="00A76789" w:rsidRDefault="00A76789" w:rsidP="00230D1D">
      <w:pPr>
        <w:pStyle w:val="Headingb"/>
      </w:pPr>
      <w:r w:rsidRPr="00A76789">
        <w:rPr>
          <w:rtl/>
        </w:rPr>
        <w:lastRenderedPageBreak/>
        <w:t>القمم العالمية</w:t>
      </w:r>
    </w:p>
    <w:p w14:paraId="009735DE" w14:textId="06AEE52D" w:rsidR="00A76789" w:rsidRPr="00A76789" w:rsidRDefault="00A76789" w:rsidP="00A76789">
      <w:r w:rsidRPr="00A76789">
        <w:rPr>
          <w:b/>
          <w:bCs/>
          <w:rtl/>
        </w:rPr>
        <w:t>القمة العالمية بشأن الذكاء الاصطناعي من أجل المصلحة العامة لعام ‎2024</w:t>
      </w:r>
      <w:r w:rsidRPr="00A76789">
        <w:rPr>
          <w:b/>
          <w:bCs/>
        </w:rPr>
        <w:t>:</w:t>
      </w:r>
      <w:r w:rsidRPr="00A76789">
        <w:rPr>
          <w:rtl/>
        </w:rPr>
        <w:t xml:space="preserve"> أكدت المناقشات التي دارت في </w:t>
      </w:r>
      <w:hyperlink r:id="rId149" w:history="1">
        <w:r w:rsidRPr="00A76789">
          <w:rPr>
            <w:rStyle w:val="Hyperlink"/>
            <w:rtl/>
          </w:rPr>
          <w:t>القمة العالمية للذكاء الاصطناعي من أجل المصلحة العامة</w:t>
        </w:r>
      </w:hyperlink>
      <w:r w:rsidRPr="00A76789">
        <w:rPr>
          <w:rtl/>
        </w:rPr>
        <w:t xml:space="preserve"> في جنيف، في</w:t>
      </w:r>
      <w:r w:rsidR="00230D1D">
        <w:rPr>
          <w:rFonts w:hint="cs"/>
          <w:rtl/>
        </w:rPr>
        <w:t xml:space="preserve"> </w:t>
      </w:r>
      <w:r w:rsidR="00230D1D">
        <w:t>31-30</w:t>
      </w:r>
      <w:r w:rsidRPr="00A76789">
        <w:rPr>
          <w:rtl/>
        </w:rPr>
        <w:t xml:space="preserve"> مايو 2024، و</w:t>
      </w:r>
      <w:hyperlink r:id="rId150" w:anchor="day0" w:history="1">
        <w:r w:rsidRPr="00A76789">
          <w:rPr>
            <w:rStyle w:val="Hyperlink"/>
            <w:rtl/>
          </w:rPr>
          <w:t>يوم إدارة الذكاء الاصطناعي</w:t>
        </w:r>
      </w:hyperlink>
      <w:r w:rsidRPr="00A76789">
        <w:rPr>
          <w:rtl/>
        </w:rPr>
        <w:t xml:space="preserve"> في 29 مايو، أن وضع المعايير وبناء القدرات سيساهمان بشكل</w:t>
      </w:r>
      <w:r w:rsidR="00002794">
        <w:rPr>
          <w:rFonts w:hint="cs"/>
          <w:rtl/>
        </w:rPr>
        <w:t>ٍ</w:t>
      </w:r>
      <w:r w:rsidRPr="00A76789">
        <w:rPr>
          <w:rtl/>
        </w:rPr>
        <w:t xml:space="preserve"> أساسي في إدارة الذكاء الاصطناعي على الصعيد العالمي. انظر </w:t>
      </w:r>
      <w:hyperlink r:id="rId151" w:history="1">
        <w:r w:rsidRPr="00A76789">
          <w:rPr>
            <w:rStyle w:val="Hyperlink"/>
            <w:rtl/>
          </w:rPr>
          <w:t>التقرير الموجز عن القمة العالمية للذكاء الاصطناعي من أجل تحقيق المصلحة العامة لعام ‎2024</w:t>
        </w:r>
      </w:hyperlink>
      <w:r w:rsidR="00002794">
        <w:rPr>
          <w:rFonts w:hint="cs"/>
          <w:rtl/>
        </w:rPr>
        <w:t>.</w:t>
      </w:r>
    </w:p>
    <w:p w14:paraId="43FA3CB9" w14:textId="40BEAF49" w:rsidR="00A76789" w:rsidRPr="00A76789" w:rsidRDefault="00A76789" w:rsidP="00A76789">
      <w:r w:rsidRPr="00A76789">
        <w:rPr>
          <w:rtl/>
        </w:rPr>
        <w:t xml:space="preserve">وعرضت القمة ابتكارات الذكاء الاصطناعي التوليدي </w:t>
      </w:r>
      <w:proofErr w:type="spellStart"/>
      <w:r w:rsidRPr="00A76789">
        <w:rPr>
          <w:rtl/>
        </w:rPr>
        <w:t>والروبوتيات</w:t>
      </w:r>
      <w:proofErr w:type="spellEnd"/>
      <w:r w:rsidRPr="00A76789">
        <w:rPr>
          <w:rtl/>
        </w:rPr>
        <w:t xml:space="preserve"> وواجهات الدماغ والآلة، التي من شأنها أن تسرِّع التقدم في مجالات مثل العمل المناخي وإمكانية النفاذ والصحة والتعليم والاستجابة في حالات الكوارث. وعُقدت القمة بالتزامن مع اجتماع </w:t>
      </w:r>
      <w:hyperlink r:id="rId152" w:history="1">
        <w:r w:rsidRPr="00A76789">
          <w:rPr>
            <w:rStyle w:val="Hyperlink"/>
            <w:rtl/>
          </w:rPr>
          <w:t>القمة العالمية لمجتمع المعلومات بعد عشرين عاماً من انعقادها (WSIS +20)</w:t>
        </w:r>
      </w:hyperlink>
      <w:r w:rsidRPr="00A76789">
        <w:rPr>
          <w:rtl/>
        </w:rPr>
        <w:t xml:space="preserve"> في جنيف، 27-31 مايو، بهدف ضمان منظورات تكميلية بشأن التنمية الرقمية.</w:t>
      </w:r>
      <w:bookmarkStart w:id="86" w:name="_Hlk172568153"/>
      <w:bookmarkEnd w:id="86"/>
    </w:p>
    <w:p w14:paraId="71F86315" w14:textId="6CB430E2" w:rsidR="00A76789" w:rsidRPr="00A76789" w:rsidRDefault="00A76789" w:rsidP="00A76789">
      <w:r w:rsidRPr="00A76789">
        <w:rPr>
          <w:rtl/>
        </w:rPr>
        <w:t xml:space="preserve">وفي يوم إدارة الذكاء الاصطناعي، أطلق الاتحاد واليونسكو </w:t>
      </w:r>
      <w:hyperlink r:id="rId153" w:history="1">
        <w:r w:rsidRPr="00A76789">
          <w:rPr>
            <w:rStyle w:val="Hyperlink"/>
            <w:rtl/>
          </w:rPr>
          <w:t>أنشطة الأمم المتحدة بشأن الذكاء الاصطناعي</w:t>
        </w:r>
      </w:hyperlink>
      <w:r w:rsidRPr="00A76789">
        <w:rPr>
          <w:rtl/>
        </w:rPr>
        <w:t xml:space="preserve">، وهي مجموعة تضم أكثر من 400 مشروع مقدم من 47 وكالة من وكالات الأمم المتحدة تتناول جميع أهداف التنمية المستدامة </w:t>
      </w:r>
      <w:r w:rsidR="00002794">
        <w:t>(SDG)</w:t>
      </w:r>
      <w:r w:rsidRPr="00A76789">
        <w:rPr>
          <w:rtl/>
        </w:rPr>
        <w:t xml:space="preserve"> السبعة عشر التي وضعتها الأمم المتحدة.</w:t>
      </w:r>
    </w:p>
    <w:p w14:paraId="60FE2093" w14:textId="6E2FBD47" w:rsidR="00A76789" w:rsidRPr="00A76789" w:rsidRDefault="00A76789" w:rsidP="00A76789">
      <w:r w:rsidRPr="00A76789">
        <w:rPr>
          <w:rtl/>
        </w:rPr>
        <w:t xml:space="preserve">وتهدف الشراكة بين الاتحاد وجامعة الأمم المتحدة التي أعلن عنها في القمة إلى الاستفادة من فيض المعارف التي يزخر بها مجتمع الذكاء الاصطناعي من أجل المصلحة العامة، الذي يشمل زهاء </w:t>
      </w:r>
      <w:r w:rsidR="00002794">
        <w:t>10 000</w:t>
      </w:r>
      <w:r w:rsidRPr="00A76789">
        <w:rPr>
          <w:rtl/>
        </w:rPr>
        <w:t xml:space="preserve"> خبير في مجال الذكاء الاصطناعي من مؤسسات أكاديمية في جميع أنحاء العالم. وسيتيح التقرير الرائد الناتج عن ذلك هذه الخبرة كمورد لأصحاب المصلحة، بحيث يساعدهم على تطوير حلول مبتكرة واتخاذ قرارات مستنيرة عند قيادتهم لعالم الذكاء الاصطناعي المتطور.</w:t>
      </w:r>
    </w:p>
    <w:p w14:paraId="1034A2AA" w14:textId="68002FD6" w:rsidR="00A76789" w:rsidRPr="00A76789" w:rsidRDefault="00A76789" w:rsidP="00A76789">
      <w:pPr>
        <w:rPr>
          <w:bCs/>
        </w:rPr>
      </w:pPr>
      <w:r w:rsidRPr="00A76789">
        <w:rPr>
          <w:b/>
          <w:bCs/>
          <w:rtl/>
        </w:rPr>
        <w:t>القمة العالمية للذكاء الاصطناعي من أجل المصلحة العامة لعام 2023</w:t>
      </w:r>
      <w:r w:rsidRPr="00A76789">
        <w:rPr>
          <w:b/>
          <w:bCs/>
        </w:rPr>
        <w:t>:</w:t>
      </w:r>
      <w:r w:rsidRPr="00A76789">
        <w:rPr>
          <w:rtl/>
        </w:rPr>
        <w:t xml:space="preserve"> شهدت </w:t>
      </w:r>
      <w:hyperlink r:id="rId154" w:history="1">
        <w:r w:rsidRPr="00A76789">
          <w:rPr>
            <w:rStyle w:val="Hyperlink"/>
            <w:rtl/>
          </w:rPr>
          <w:t>القمة العالمية للذكاء الاصطناعي من أجل المصلحة العامة</w:t>
        </w:r>
      </w:hyperlink>
      <w:r w:rsidRPr="00A76789">
        <w:rPr>
          <w:rtl/>
        </w:rPr>
        <w:t>، التي عُقدت في جنيف يومَي 6 و7 يوليو 2023، مشاركة خبراء مشهورين عالمياً في مجال الذكاء الاصطناعي والعمل الإنساني وأكبر تجمع عالمي للروبوتات الشبيهة بالبشر والمتخصصة. وعُقد قبل القمة، يومَي 4 و5 يوليو، ورش عمل بشأن تعلُّم الآلة، بحيث يستفاد من الخبرة المكتسبة من برنامج اكتشاف الذكاء الاصطناعي من أجل المصلحة العامة. انظر</w:t>
      </w:r>
      <w:r w:rsidRPr="00A76789">
        <w:rPr>
          <w:u w:val="single"/>
          <w:rtl/>
        </w:rPr>
        <w:t xml:space="preserve"> </w:t>
      </w:r>
      <w:hyperlink r:id="rId155" w:history="1">
        <w:r w:rsidRPr="00A76789">
          <w:rPr>
            <w:rStyle w:val="Hyperlink"/>
            <w:rtl/>
          </w:rPr>
          <w:t>التقرير الموجز عن القمة العالمية للذكاء الاصطناعي من أجل تحقيق المصلحة العامة لعام ‎2023</w:t>
        </w:r>
        <w:bookmarkStart w:id="87" w:name="_Hlk120615371"/>
        <w:bookmarkStart w:id="88" w:name="_Hlk120615385"/>
        <w:bookmarkEnd w:id="87"/>
        <w:bookmarkEnd w:id="88"/>
      </w:hyperlink>
      <w:r w:rsidR="00002794">
        <w:rPr>
          <w:rFonts w:hint="cs"/>
          <w:rtl/>
        </w:rPr>
        <w:t>.</w:t>
      </w:r>
    </w:p>
    <w:p w14:paraId="4E50FF84" w14:textId="77777777" w:rsidR="00A76789" w:rsidRPr="00A76789" w:rsidRDefault="00A76789" w:rsidP="00A76789">
      <w:pPr>
        <w:rPr>
          <w:bCs/>
        </w:rPr>
      </w:pPr>
      <w:r w:rsidRPr="00A76789">
        <w:rPr>
          <w:rtl/>
        </w:rPr>
        <w:t>وعُقدت القمتان في عامي 2024 و2023 بعد القمم التي عُقدت في أعوام 2019 و2018 و2017.</w:t>
      </w:r>
    </w:p>
    <w:p w14:paraId="146747CB" w14:textId="77777777" w:rsidR="00A76789" w:rsidRPr="00A76789" w:rsidRDefault="00A76789" w:rsidP="00002794">
      <w:pPr>
        <w:pStyle w:val="Headingb"/>
        <w:rPr>
          <w:rtl/>
          <w:lang w:bidi="ar-SA"/>
        </w:rPr>
      </w:pPr>
      <w:r w:rsidRPr="00A76789">
        <w:rPr>
          <w:rtl/>
        </w:rPr>
        <w:t>التعاون في مجال المعايير</w:t>
      </w:r>
    </w:p>
    <w:p w14:paraId="5939EC3E" w14:textId="0B88300F" w:rsidR="00A76789" w:rsidRPr="00A76789" w:rsidRDefault="00A76789" w:rsidP="00A76789">
      <w:r w:rsidRPr="00A76789">
        <w:rPr>
          <w:b/>
          <w:bCs/>
          <w:rtl/>
        </w:rPr>
        <w:t>أصالة الوسائط المتعددة</w:t>
      </w:r>
      <w:r w:rsidRPr="00A76789">
        <w:rPr>
          <w:b/>
          <w:bCs/>
        </w:rPr>
        <w:t>:</w:t>
      </w:r>
      <w:r w:rsidRPr="00A76789">
        <w:rPr>
          <w:rtl/>
        </w:rPr>
        <w:t xml:space="preserve"> في القمة العالمية للذكاء الاصطناعي من أجل المصلحة العامة لعام 2024، سلط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 الضوء على التزامهم بتوفير إطار موحد لوضع معايير الذكاء الاصطناعي وأعلنوا عن </w:t>
      </w:r>
      <w:hyperlink r:id="rId156" w:history="1">
        <w:r w:rsidRPr="00A76789">
          <w:rPr>
            <w:rStyle w:val="Hyperlink"/>
            <w:rtl/>
          </w:rPr>
          <w:t>تعاون جديد في مجال معايير أصالة الذكاء الاصطناعي والوسائط المتعددة</w:t>
        </w:r>
      </w:hyperlink>
      <w:r w:rsidRPr="00A76789">
        <w:rPr>
          <w:rtl/>
        </w:rPr>
        <w:t xml:space="preserve"> لدفع عملية وضع المعايير المنسقة للعلامة المائية للذكاء الاصطناعي وأصالة الوسائط المتعددة وكشف التزييف العميق.</w:t>
      </w:r>
    </w:p>
    <w:p w14:paraId="1E28FAE4" w14:textId="77777777" w:rsidR="00A76789" w:rsidRPr="00A76789" w:rsidRDefault="00A76789" w:rsidP="00A76789">
      <w:r w:rsidRPr="00A76789">
        <w:rPr>
          <w:rtl/>
        </w:rPr>
        <w:t xml:space="preserve">ويقود مبادرة التعاون هيئة التعاون العالمي بشأن المعايير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 وبالإضافة إلى الاتحاد والمنظمة الدولية لتوحيد المقاييس واللجنة </w:t>
      </w:r>
      <w:proofErr w:type="spellStart"/>
      <w:r w:rsidRPr="00A76789">
        <w:rPr>
          <w:rtl/>
        </w:rPr>
        <w:t>الكهرتقنية</w:t>
      </w:r>
      <w:proofErr w:type="spellEnd"/>
      <w:r w:rsidRPr="00A76789">
        <w:rPr>
          <w:rtl/>
        </w:rPr>
        <w:t xml:space="preserve">، تشمل المبادرة حالياً مبادرة أصالة المحتوى، والتحالف من أجل مصدر المحتوى وأصالته، وفريق الخبراء المعني بالصور الفوتوغرافية المشترك بين الاتحاد والمنظمة الدولية للتوحيد القياسي واللجنة </w:t>
      </w:r>
      <w:proofErr w:type="spellStart"/>
      <w:r w:rsidRPr="00A76789">
        <w:rPr>
          <w:rtl/>
        </w:rPr>
        <w:t>الكهرتقنية</w:t>
      </w:r>
      <w:proofErr w:type="spellEnd"/>
      <w:r w:rsidRPr="00A76789">
        <w:rPr>
          <w:rtl/>
        </w:rPr>
        <w:t xml:space="preserve"> الدولية.</w:t>
      </w:r>
      <w:bookmarkStart w:id="89" w:name="_Hlk178681621"/>
      <w:bookmarkEnd w:id="89"/>
    </w:p>
    <w:p w14:paraId="252DB3AD" w14:textId="54CF5A0F" w:rsidR="00A76789" w:rsidRPr="00A76789" w:rsidRDefault="00A76789" w:rsidP="00A76789">
      <w:r w:rsidRPr="00A76789">
        <w:rPr>
          <w:rtl/>
        </w:rPr>
        <w:t xml:space="preserve">ويقدم </w:t>
      </w:r>
      <w:hyperlink r:id="rId157" w:history="1">
        <w:r w:rsidRPr="00A76789">
          <w:rPr>
            <w:rStyle w:val="Hyperlink"/>
            <w:rtl/>
          </w:rPr>
          <w:t>تقرير جديد</w:t>
        </w:r>
      </w:hyperlink>
      <w:r w:rsidRPr="00A76789">
        <w:rPr>
          <w:rtl/>
        </w:rPr>
        <w:t xml:space="preserve"> لمحة شاملة عن ورشة العمل التي عقدت في القمة العالمية للذكاء الاصطناعي من أجل المصلحة العامة لعام 2024 والتي بدأت إطلاق المبادرة.</w:t>
      </w:r>
    </w:p>
    <w:p w14:paraId="6552CC30" w14:textId="0F4BEC46" w:rsidR="00A76789" w:rsidRPr="00A76789" w:rsidRDefault="00A76789" w:rsidP="00A76789">
      <w:r w:rsidRPr="00A76789">
        <w:rPr>
          <w:b/>
          <w:bCs/>
          <w:rtl/>
        </w:rPr>
        <w:t>الصحة</w:t>
      </w:r>
      <w:r w:rsidRPr="00A76789">
        <w:rPr>
          <w:rtl/>
        </w:rPr>
        <w:t xml:space="preserve">: تهدف </w:t>
      </w:r>
      <w:hyperlink r:id="rId158" w:history="1">
        <w:r w:rsidRPr="00A76789">
          <w:rPr>
            <w:rStyle w:val="Hyperlink"/>
            <w:rtl/>
          </w:rPr>
          <w:t>المبادرة العالمية بشأن الذكاء الاصطناعي لأغراض الصحة</w:t>
        </w:r>
      </w:hyperlink>
      <w:r w:rsidRPr="00A76789">
        <w:rPr>
          <w:rtl/>
        </w:rPr>
        <w:t xml:space="preserve"> التي يقودها الاتحاد ومنظمة الصحة العالمية والمنظمة العالمية للملكية الفكرية - التي أعلن عنها في القمة العالمية للذكاء الاصطناعي أجل المصلحة العامة لعام 2023 - إلى ضمان تحقيق الذكاء الاصطناعي إمكاناته لدعم التشخيص والعلاج، إلى جانب خدمات الرعاية الصحية التي تتسم بالكفاءة والشمول على نحو متزايد. وتهدف المبادرة العالمية إلى وضع معايير تقنية وتوجيهات </w:t>
      </w:r>
      <w:proofErr w:type="spellStart"/>
      <w:r w:rsidRPr="00A76789">
        <w:rPr>
          <w:rtl/>
        </w:rPr>
        <w:t>سياساتية</w:t>
      </w:r>
      <w:proofErr w:type="spellEnd"/>
      <w:r w:rsidRPr="00A76789">
        <w:rPr>
          <w:rtl/>
        </w:rPr>
        <w:t>، وتسهيل تبادل المعارف والبيانات، ودعم القرارات القائمة على الأدلة بشأن إدخال حلول الذكاء الاصطناعي في مجال الصحة.</w:t>
      </w:r>
    </w:p>
    <w:p w14:paraId="34702D32" w14:textId="67B31B1F" w:rsidR="00A76789" w:rsidRPr="00A76789" w:rsidRDefault="00A76789" w:rsidP="00A76789">
      <w:pPr>
        <w:rPr>
          <w:bCs/>
          <w:u w:val="single"/>
        </w:rPr>
      </w:pPr>
      <w:r w:rsidRPr="00A76789">
        <w:rPr>
          <w:rtl/>
        </w:rPr>
        <w:t xml:space="preserve">وتعتمد المبادرة على الزخم الذي أحدثه </w:t>
      </w:r>
      <w:hyperlink r:id="rId159" w:history="1">
        <w:r w:rsidRPr="00A76789">
          <w:rPr>
            <w:rStyle w:val="Hyperlink"/>
            <w:rtl/>
          </w:rPr>
          <w:t>الفريق المتخصص المشترك بين الاتحاد الدولي للاتصالات ومنظمة الصحة العالمية المعني بالذكاء الاصطناعي من أجل الصحة</w:t>
        </w:r>
      </w:hyperlink>
      <w:r w:rsidRPr="00A76789">
        <w:rPr>
          <w:rtl/>
        </w:rPr>
        <w:t>.</w:t>
      </w:r>
      <w:bookmarkStart w:id="90" w:name="_Hlk172568332"/>
    </w:p>
    <w:p w14:paraId="4E82B63F" w14:textId="0CDD374E" w:rsidR="00A76789" w:rsidRPr="00A76789" w:rsidRDefault="00A76789" w:rsidP="00A76789">
      <w:r w:rsidRPr="00A76789">
        <w:rPr>
          <w:b/>
          <w:bCs/>
          <w:rtl/>
        </w:rPr>
        <w:t>الحد من مخاطر الكوارث</w:t>
      </w:r>
      <w:r w:rsidRPr="00A76789">
        <w:rPr>
          <w:rtl/>
        </w:rPr>
        <w:t xml:space="preserve">: تهدف </w:t>
      </w:r>
      <w:hyperlink r:id="rId160" w:history="1">
        <w:r w:rsidRPr="00A76789">
          <w:rPr>
            <w:rStyle w:val="Hyperlink"/>
            <w:rtl/>
          </w:rPr>
          <w:t>المبادرة العالمية بشأن القدرة على الصمود أمام المخاطر الطبيعية من خلال حلول الذكاء الاصطناعي</w:t>
        </w:r>
      </w:hyperlink>
      <w:r w:rsidRPr="00A76789">
        <w:rPr>
          <w:rtl/>
        </w:rPr>
        <w:t xml:space="preserve"> التي يقودها الاتحاد الدولي للاتصالات وبرنامج الأمم المتحدة للبيئة واتفاقية الأمم المتحدة الإطارية بشأن تغير المناخ </w:t>
      </w:r>
      <w:r w:rsidRPr="00A76789">
        <w:rPr>
          <w:rtl/>
        </w:rPr>
        <w:lastRenderedPageBreak/>
        <w:t>والاتحاد البريدي العالمي والمنظمة العالمية للأرصاد الجوية - التي أعلن عنها في القمة العالمية الذكاء الاصطناعي من أجل المصلحة العامة لعام 2024 - إلى استكشاف حالات استعمال الذكاء الاصطناعي للقدرة على الصمود، وتقدم إرشادات متخصصة وتدعم البحوث والابتكار ووضع المعايير. وتهدف المبادرة أيضاً إلى وضع إطار للتأهب قائم على الذكاء الاصطناعي لتقييم وتحسين القدرات الوطنية لاستخدام الذكاء الاصطناعي في إدارة الكوارث.</w:t>
      </w:r>
    </w:p>
    <w:p w14:paraId="07967BFC" w14:textId="4B139F16" w:rsidR="00A76789" w:rsidRPr="00A76789" w:rsidRDefault="00A76789" w:rsidP="00A76789">
      <w:pPr>
        <w:rPr>
          <w:bCs/>
        </w:rPr>
      </w:pPr>
      <w:r w:rsidRPr="00A76789">
        <w:rPr>
          <w:rtl/>
        </w:rPr>
        <w:t xml:space="preserve">وتعتمد المبادرة على الزخم الذي أحدثه </w:t>
      </w:r>
      <w:hyperlink r:id="rId161" w:history="1">
        <w:r w:rsidRPr="00A76789">
          <w:rPr>
            <w:rStyle w:val="Hyperlink"/>
            <w:rtl/>
          </w:rPr>
          <w:t>الفريق المتخصص المشترك بين الاتحاد الدولي للاتصالات والمنظمة العالمية للأرصاد الجوية وبرنامج الأمم المتحدة للبيئة والمعني بالذكاء الاصطناعي من أجل إدارة الكوارث الطبيعية</w:t>
        </w:r>
      </w:hyperlink>
      <w:r w:rsidRPr="00A76789">
        <w:rPr>
          <w:rtl/>
        </w:rPr>
        <w:t>.</w:t>
      </w:r>
      <w:bookmarkEnd w:id="90"/>
    </w:p>
    <w:p w14:paraId="331F3802" w14:textId="77777777" w:rsidR="00A76789" w:rsidRPr="00A76789" w:rsidRDefault="00A76789" w:rsidP="00002794">
      <w:pPr>
        <w:pStyle w:val="Headingb"/>
      </w:pPr>
      <w:r w:rsidRPr="00A76789">
        <w:rPr>
          <w:rtl/>
        </w:rPr>
        <w:t>بناء القدرات</w:t>
      </w:r>
    </w:p>
    <w:p w14:paraId="4FB466D0" w14:textId="27FE484F" w:rsidR="00A76789" w:rsidRPr="00A76789" w:rsidRDefault="00A76789" w:rsidP="00A76789">
      <w:r w:rsidRPr="00A76789">
        <w:rPr>
          <w:b/>
          <w:bCs/>
          <w:rtl/>
        </w:rPr>
        <w:t>مبادرة من أجل التأثير</w:t>
      </w:r>
      <w:r w:rsidRPr="00A76789">
        <w:rPr>
          <w:b/>
          <w:bCs/>
        </w:rPr>
        <w:t>:</w:t>
      </w:r>
      <w:r w:rsidRPr="00A76789">
        <w:rPr>
          <w:rtl/>
        </w:rPr>
        <w:t xml:space="preserve"> تهدف </w:t>
      </w:r>
      <w:hyperlink r:id="rId162" w:history="1">
        <w:r w:rsidRPr="00A76789">
          <w:rPr>
            <w:rStyle w:val="Hyperlink"/>
            <w:rtl/>
          </w:rPr>
          <w:t>مبادرة التأثير في إطار الذكاء الاصطناعي من أجل المصلحة العامة</w:t>
        </w:r>
      </w:hyperlink>
      <w:r w:rsidRPr="00A76789">
        <w:rPr>
          <w:rtl/>
        </w:rPr>
        <w:t xml:space="preserve">، التي أطلقت في القمة لعام 2024، إلى توسيع نطاق وتأثير تطبيقات الذكاء الاصطناعي من أجل التنمية المستدامة. وتشمل المبادرة </w:t>
      </w:r>
      <w:hyperlink r:id="rId163" w:history="1">
        <w:r w:rsidRPr="00A76789">
          <w:rPr>
            <w:rStyle w:val="Hyperlink"/>
            <w:rtl/>
          </w:rPr>
          <w:t>تحالفاً جديداً لمهارات الذكاء الاصطناعي</w:t>
        </w:r>
      </w:hyperlink>
      <w:r w:rsidRPr="00A76789">
        <w:rPr>
          <w:rtl/>
        </w:rPr>
        <w:t xml:space="preserve"> أُعلن عنه في سبتمبر 2024.</w:t>
      </w:r>
    </w:p>
    <w:p w14:paraId="56D91B58" w14:textId="1EA94836" w:rsidR="00A76789" w:rsidRPr="00A76789" w:rsidRDefault="00A76789" w:rsidP="00A76789">
      <w:r w:rsidRPr="00A76789">
        <w:rPr>
          <w:rtl/>
        </w:rPr>
        <w:t xml:space="preserve">وستكون هذه المبادرة بمثابة حلقة وصل بين المبتكرين في مجال الذكاء الاصطناعي وفرص توسيع نطاق وتمويل حلول الذكاء الاصطناعي الواعدة لكل هدف من أهداف التنمية المستدامة على قدم المساواة في كل المناطق. وستشمل الأنشطة أحداث الذكاء الاصطناعي الإقليمية للتأثير الجيد مثل </w:t>
      </w:r>
      <w:hyperlink r:id="rId164" w:history="1">
        <w:r w:rsidRPr="00A76789">
          <w:rPr>
            <w:rStyle w:val="Hyperlink"/>
            <w:rtl/>
          </w:rPr>
          <w:t>الذكاء الاصطناعي من أجل تأثير جيد في الهند</w:t>
        </w:r>
      </w:hyperlink>
      <w:r w:rsidRPr="00A76789">
        <w:rPr>
          <w:rtl/>
        </w:rPr>
        <w:t xml:space="preserve"> الذي يعقد بالتزامن مع الجمعية WTSA-24؛ ومسابقات عالمية لحشد حلول الذكاء الاصطناعي من مصادر جماعية وتحفيز الخبرة في مجال الذكاء الاصطناعي؛ وإرشادات بحثية </w:t>
      </w:r>
      <w:proofErr w:type="spellStart"/>
      <w:r w:rsidRPr="00A76789">
        <w:rPr>
          <w:rtl/>
        </w:rPr>
        <w:t>وسياساتية</w:t>
      </w:r>
      <w:proofErr w:type="spellEnd"/>
      <w:r w:rsidRPr="00A76789">
        <w:rPr>
          <w:rtl/>
        </w:rPr>
        <w:t xml:space="preserve"> بشأن الذكاء الاصطناعي من أجل التنمية المستدامة؛ ومسرِّعات للشركات الناشئة والشركات الصغيرة والمتوسطة.</w:t>
      </w:r>
    </w:p>
    <w:p w14:paraId="61FADA61" w14:textId="2F86B140" w:rsidR="00A76789" w:rsidRPr="00A76789" w:rsidRDefault="00A76789" w:rsidP="00A76789">
      <w:r w:rsidRPr="00A76789">
        <w:rPr>
          <w:b/>
          <w:bCs/>
          <w:rtl/>
        </w:rPr>
        <w:t>مصنع الابتكار</w:t>
      </w:r>
      <w:r w:rsidRPr="00A76789">
        <w:rPr>
          <w:b/>
          <w:bCs/>
        </w:rPr>
        <w:t xml:space="preserve">: </w:t>
      </w:r>
      <w:r w:rsidRPr="00A76789">
        <w:rPr>
          <w:rtl/>
        </w:rPr>
        <w:t xml:space="preserve">يشكل </w:t>
      </w:r>
      <w:hyperlink r:id="rId165" w:history="1">
        <w:r w:rsidRPr="00A76789">
          <w:rPr>
            <w:rStyle w:val="Hyperlink"/>
            <w:rtl/>
          </w:rPr>
          <w:t>مصنع الابتكارات في مجال الذكاء الاصطناعي من أجل المصلحة العامة</w:t>
        </w:r>
      </w:hyperlink>
      <w:r w:rsidRPr="00A76789">
        <w:rPr>
          <w:rtl/>
        </w:rPr>
        <w:t xml:space="preserve"> و</w:t>
      </w:r>
      <w:hyperlink r:id="rId166" w:history="1">
        <w:r w:rsidRPr="00A76789">
          <w:rPr>
            <w:rStyle w:val="Hyperlink"/>
            <w:rtl/>
          </w:rPr>
          <w:t>برنامج تسريع الشركات الناشئة</w:t>
        </w:r>
      </w:hyperlink>
      <w:r w:rsidRPr="00A76789">
        <w:rPr>
          <w:u w:val="single"/>
          <w:rtl/>
        </w:rPr>
        <w:t xml:space="preserve"> </w:t>
      </w:r>
      <w:r w:rsidRPr="00A76789">
        <w:rPr>
          <w:rtl/>
        </w:rPr>
        <w:t>التابع له المنصة الرائدة للأمم المتحدة لعرض وتسريع الشركات الناشئة. تتقدم مئات الشركات الناشئة كل عام بطلبات للمشاركة في جلسات عرض الأفكار الشهرية عبر الإنترنت أو حضورها شخصياً. وتركز هذه الجلسات على مناطق وبلدان مختلفة، أو قطاعات اقتصادية مختلفة. وتصل المسابقة التي تستمر لمدة عام إلى ذروتها في قمة الذكاء الاصطناعي من أجل المصلحة العامة، حيث يعرض المتأهلون للتصفيات النهائية حلولهم أمام لجنة من المستثمرين والمانحين.</w:t>
      </w:r>
    </w:p>
    <w:p w14:paraId="6F98AC27" w14:textId="7B394142" w:rsidR="00A76789" w:rsidRPr="00A76789" w:rsidRDefault="00A76789" w:rsidP="00A76789">
      <w:r w:rsidRPr="00A76789">
        <w:rPr>
          <w:b/>
          <w:bCs/>
          <w:rtl/>
        </w:rPr>
        <w:t>مسابقات الذكاء الاصطناعي/تعلم الآلة:</w:t>
      </w:r>
      <w:r w:rsidRPr="00A76789">
        <w:rPr>
          <w:rtl/>
        </w:rPr>
        <w:t xml:space="preserve"> تساهم مسابقات حل المشاكل المنظمة في إطار مسابقات الاتحاد المتعلقة بالذكاء الاصطناعي/تعلم الآلة في تطوير الخبرات والقدرات في مجال الذكاء الاصطناعي/تعلم الآلة في جميع أنحاء العالم. ومعظم المشاركين هم طلاب من البلدان النامية. وتمكن المسابقات المشاركين من التواصل مع شركاء جدد - واستعمال أدوات وموارد بيانات جديدة - لتحقيق الأهداف المحددة مع مراعاة بيانات المشاكل التي تعرضها الصناعة والأوساط الأكاديمية. يقدم </w:t>
      </w:r>
      <w:hyperlink r:id="rId167" w:history="1">
        <w:r w:rsidRPr="00A76789">
          <w:rPr>
            <w:rStyle w:val="Hyperlink"/>
            <w:rtl/>
          </w:rPr>
          <w:t>تقرير جديد</w:t>
        </w:r>
      </w:hyperlink>
      <w:r w:rsidRPr="00A76789">
        <w:rPr>
          <w:rtl/>
        </w:rPr>
        <w:t xml:space="preserve"> نظرة عامة شاملة على جميع المسابقات منذ عام 2020.</w:t>
      </w:r>
    </w:p>
    <w:p w14:paraId="4F114A1B" w14:textId="46033A12" w:rsidR="00A76789" w:rsidRPr="00A76789" w:rsidRDefault="00A76789" w:rsidP="00002794">
      <w:r w:rsidRPr="00A76789">
        <w:rPr>
          <w:rtl/>
        </w:rPr>
        <w:t xml:space="preserve">وللتشارك في الحلول مع المجتمع الأوسع، تُتداول الحلول المقدمة كمصدر مفتوح في عدة مستودعات في موقع </w:t>
      </w:r>
      <w:r w:rsidRPr="00A76789">
        <w:t>GitHub</w:t>
      </w:r>
      <w:r w:rsidRPr="00A76789">
        <w:rPr>
          <w:rtl/>
        </w:rPr>
        <w:t xml:space="preserve"> الإلكتروني الخاص بالمسابقة </w:t>
      </w:r>
      <w:proofErr w:type="spellStart"/>
      <w:r w:rsidRPr="00A76789">
        <w:rPr>
          <w:rtl/>
        </w:rPr>
        <w:t>GitHub</w:t>
      </w:r>
      <w:proofErr w:type="spellEnd"/>
      <w:r w:rsidR="00002794">
        <w:rPr>
          <w:rFonts w:hint="cs"/>
          <w:rtl/>
        </w:rPr>
        <w:t xml:space="preserve">: </w:t>
      </w:r>
      <w:hyperlink r:id="rId168" w:history="1">
        <w:r w:rsidR="00002794" w:rsidRPr="00002794">
          <w:rPr>
            <w:rStyle w:val="Hyperlink"/>
            <w:lang w:val="en-GB"/>
          </w:rPr>
          <w:t>https://github.com/ITU-AI-ML-in-5G-Challenge</w:t>
        </w:r>
      </w:hyperlink>
      <w:r w:rsidR="00002794">
        <w:rPr>
          <w:rFonts w:hint="cs"/>
          <w:rtl/>
        </w:rPr>
        <w:t xml:space="preserve">. </w:t>
      </w:r>
      <w:r w:rsidRPr="00A76789">
        <w:rPr>
          <w:rtl/>
        </w:rPr>
        <w:t xml:space="preserve">بالإضافة إلى ذلك، تقدم الأعداد الخاصة من </w:t>
      </w:r>
      <w:hyperlink r:id="rId169" w:history="1">
        <w:r w:rsidRPr="00A76789">
          <w:rPr>
            <w:rStyle w:val="Hyperlink"/>
            <w:rtl/>
          </w:rPr>
          <w:t>مجلة الاتحاد الدولي للاتصالات بشأن التكنولوجيات المستقبلية والمتطورة</w:t>
        </w:r>
      </w:hyperlink>
      <w:r w:rsidRPr="00A76789">
        <w:rPr>
          <w:rtl/>
        </w:rPr>
        <w:t> معلومات عن الحلول والدروس المستفادة من المشاركين والجهات المضيفة للمسابقات (مصادر بيانات المشكلة).</w:t>
      </w:r>
    </w:p>
    <w:p w14:paraId="6554C40D" w14:textId="1833924E" w:rsidR="00A76789" w:rsidRPr="00A76789" w:rsidRDefault="00A76789" w:rsidP="00A76789">
      <w:r w:rsidRPr="00A76789">
        <w:rPr>
          <w:b/>
          <w:bCs/>
          <w:rtl/>
        </w:rPr>
        <w:t>تحدي الروبوتيات من أجل تحقيق المصلحة العامة للشباب</w:t>
      </w:r>
      <w:r w:rsidRPr="00A76789">
        <w:rPr>
          <w:rtl/>
        </w:rPr>
        <w:t xml:space="preserve">: </w:t>
      </w:r>
      <w:hyperlink r:id="rId170" w:history="1">
        <w:r w:rsidRPr="00A76789">
          <w:rPr>
            <w:rStyle w:val="Hyperlink"/>
            <w:rtl/>
          </w:rPr>
          <w:t>تحدي الروبوتيات من أجل تحقيق المصلحة العامة للشباب</w:t>
        </w:r>
      </w:hyperlink>
      <w:r w:rsidRPr="00A76789">
        <w:rPr>
          <w:rtl/>
        </w:rPr>
        <w:t xml:space="preserve"> هو بطولة الأمم المتحدة الرائدة في مجال الروبوتات التعليمية للشباب، حيث تعرض الروبوتات التي تقدم حلولاً عملية ذات صلة بأهداف التنمية المستدامة.‎ ويركز تحدي 2024-2025 على الاستجابة للكوارث. ويستضيف نحو 25 بلداً بطولات تأهيلية وطنية. وسيعقد الحدث الافتتاحي بالتزامن مع الجمعية WTSA-24 في إطار حدث ‏الذكاء الاصطناعي من أجل تأثير جيد في الهند‎. وستعقد التصفيات النهائية الكبرى في </w:t>
      </w:r>
      <w:hyperlink r:id="rId171" w:history="1">
        <w:r w:rsidRPr="00A76789">
          <w:rPr>
            <w:rStyle w:val="Hyperlink"/>
            <w:rtl/>
          </w:rPr>
          <w:t>القمة العالمية الذكاء الاصطناعي أجل المصلحة العامة لعام 2025</w:t>
        </w:r>
      </w:hyperlink>
      <w:r w:rsidRPr="00A76789">
        <w:rPr>
          <w:rtl/>
        </w:rPr>
        <w:t>.</w:t>
      </w:r>
    </w:p>
    <w:p w14:paraId="7FF2032E" w14:textId="552665E6" w:rsidR="00A76789" w:rsidRPr="00A76789" w:rsidRDefault="00A76789" w:rsidP="00A76789">
      <w:r w:rsidRPr="00A76789">
        <w:rPr>
          <w:b/>
          <w:bCs/>
          <w:rtl/>
        </w:rPr>
        <w:t>الابتكار من أجل التأثير</w:t>
      </w:r>
      <w:r w:rsidRPr="00A76789">
        <w:rPr>
          <w:rtl/>
        </w:rPr>
        <w:t xml:space="preserve">: يقوم برنامج </w:t>
      </w:r>
      <w:hyperlink r:id="rId172" w:history="1">
        <w:r w:rsidRPr="00A76789">
          <w:rPr>
            <w:rStyle w:val="Hyperlink"/>
            <w:rtl/>
          </w:rPr>
          <w:t>"الذكاء الاصطناعي من أجل المصلحة العامة والابتكار من أجل التأثير"</w:t>
        </w:r>
      </w:hyperlink>
      <w:r w:rsidRPr="00A76789">
        <w:rPr>
          <w:rtl/>
        </w:rPr>
        <w:t xml:space="preserve"> بجمع تطبيقات الذكاء الاصطناعي لتحقيق الصالح الاجتماعي وتحليلها وتقاسمها. ويغطي </w:t>
      </w:r>
      <w:hyperlink r:id="rId173" w:history="1">
        <w:r w:rsidRPr="00A76789">
          <w:rPr>
            <w:rStyle w:val="Hyperlink"/>
            <w:rtl/>
          </w:rPr>
          <w:t>تقرير مؤقت</w:t>
        </w:r>
      </w:hyperlink>
      <w:r w:rsidRPr="00A76789">
        <w:rPr>
          <w:rtl/>
        </w:rPr>
        <w:t xml:space="preserve"> الطلبات الواردة من 38 بلداً وعددها 218 طلباً. وبدعم من وزارة الصناعة وتكنولوجيا المعلومات في الصين، شجع الاتحاد المشاركة في برنامج الابتكار من أجل التأثير في جلسة مخصصة لمدة نصف يوم في المؤتمر العالمي للذكاء الاصطناعي في يوليو 2024 في شنغهاي، الصين.</w:t>
      </w:r>
    </w:p>
    <w:p w14:paraId="02710176" w14:textId="131473B5" w:rsidR="00A76789" w:rsidRPr="00A76789" w:rsidRDefault="00002794" w:rsidP="00002794">
      <w:pPr>
        <w:pStyle w:val="Heading2"/>
        <w:rPr>
          <w:lang w:bidi="ar-SA"/>
        </w:rPr>
      </w:pPr>
      <w:bookmarkStart w:id="91" w:name="_5.2_Artificial_intelligence"/>
      <w:bookmarkStart w:id="92" w:name="_5.2_Digital_financial"/>
      <w:bookmarkStart w:id="93" w:name="_5.3_Digital_financial"/>
      <w:bookmarkStart w:id="94" w:name="_5.3_Digital_transformation"/>
      <w:bookmarkStart w:id="95" w:name="_Toc179219755"/>
      <w:bookmarkStart w:id="96" w:name="_Toc179221065"/>
      <w:bookmarkStart w:id="97" w:name="_Toc179733607"/>
      <w:bookmarkEnd w:id="73"/>
      <w:bookmarkEnd w:id="84"/>
      <w:bookmarkEnd w:id="91"/>
      <w:bookmarkEnd w:id="92"/>
      <w:bookmarkEnd w:id="93"/>
      <w:bookmarkEnd w:id="94"/>
      <w:r>
        <w:lastRenderedPageBreak/>
        <w:t>3.5</w:t>
      </w:r>
      <w:r w:rsidR="00A76789" w:rsidRPr="00A76789">
        <w:rPr>
          <w:rtl/>
        </w:rPr>
        <w:tab/>
        <w:t>التحول ال</w:t>
      </w:r>
      <w:bookmarkStart w:id="98" w:name="FiveThree"/>
      <w:bookmarkEnd w:id="98"/>
      <w:r w:rsidR="00A76789" w:rsidRPr="00A76789">
        <w:rPr>
          <w:rtl/>
        </w:rPr>
        <w:t>رقمي للمدن والمجتمعات</w:t>
      </w:r>
      <w:bookmarkEnd w:id="95"/>
      <w:bookmarkEnd w:id="96"/>
      <w:bookmarkEnd w:id="97"/>
    </w:p>
    <w:p w14:paraId="4451C82F" w14:textId="4C4AFED2" w:rsidR="00A76789" w:rsidRPr="00A76789" w:rsidRDefault="00A76789" w:rsidP="00A76789">
      <w:bookmarkStart w:id="99" w:name="_Hlk172568241"/>
      <w:r w:rsidRPr="00A76789">
        <w:rPr>
          <w:rtl/>
        </w:rPr>
        <w:t xml:space="preserve">ستحدد </w:t>
      </w:r>
      <w:hyperlink r:id="rId174" w:history="1">
        <w:r w:rsidRPr="00A76789">
          <w:rPr>
            <w:rStyle w:val="Hyperlink"/>
            <w:rtl/>
          </w:rPr>
          <w:t xml:space="preserve">المبادرة العالمية الجديدة بشأن العوالم الافتراضية - اكتشاف </w:t>
        </w:r>
        <w:proofErr w:type="spellStart"/>
        <w:r w:rsidRPr="00A76789">
          <w:rPr>
            <w:rStyle w:val="Hyperlink"/>
            <w:rtl/>
          </w:rPr>
          <w:t>السيتيف</w:t>
        </w:r>
        <w:r w:rsidR="00002794">
          <w:rPr>
            <w:rStyle w:val="Hyperlink"/>
            <w:rFonts w:hint="cs"/>
            <w:rtl/>
          </w:rPr>
          <w:t>ي</w:t>
        </w:r>
        <w:r w:rsidRPr="00A76789">
          <w:rPr>
            <w:rStyle w:val="Hyperlink"/>
            <w:rtl/>
          </w:rPr>
          <w:t>رس</w:t>
        </w:r>
        <w:proofErr w:type="spellEnd"/>
      </w:hyperlink>
      <w:r w:rsidRPr="00A76789">
        <w:rPr>
          <w:rtl/>
        </w:rPr>
        <w:t xml:space="preserve"> التي أُعلن عنها في </w:t>
      </w:r>
      <w:hyperlink r:id="rId175" w:history="1">
        <w:r w:rsidRPr="00A76789">
          <w:rPr>
            <w:rStyle w:val="Hyperlink"/>
            <w:rtl/>
          </w:rPr>
          <w:t>يوم الأمم المتحدة الأول للعوالم الافتراضية</w:t>
        </w:r>
      </w:hyperlink>
      <w:r w:rsidRPr="00A76789">
        <w:rPr>
          <w:rtl/>
        </w:rPr>
        <w:t xml:space="preserve"> في يونيو 2024 - والتي ينظمها الاتحاد مع 17 وكالة زميلة تابعة للأمم المتحدة - القواعد والمبادئ لتوجيه إدارة حلول الميتافيرس في المدن في مجالات مثل التخطيط الحضري والتعليم والخدمات البلدية.</w:t>
      </w:r>
    </w:p>
    <w:p w14:paraId="10799563" w14:textId="77777777" w:rsidR="00A76789" w:rsidRPr="00A76789" w:rsidRDefault="00A76789" w:rsidP="00A76789">
      <w:r w:rsidRPr="00A76789">
        <w:rPr>
          <w:rtl/>
        </w:rPr>
        <w:t>وستمكّن المبادرة، بقيادة الاتحاد ومركز الأمم المتحدة الدولي للحوسبة ودبي الرقمية، من دفع عجلة تنمية القدرات، وتيسير تبادل أفضل الممارسات، وتهيئة بيئة اختبارية للمدن لمحاكاة سيناريوهات العوالم الافتراضي.</w:t>
      </w:r>
    </w:p>
    <w:p w14:paraId="2364A712" w14:textId="51E39D63" w:rsidR="00A76789" w:rsidRPr="00A76789" w:rsidRDefault="00A76789" w:rsidP="00A76789">
      <w:r w:rsidRPr="00A76789">
        <w:rPr>
          <w:rtl/>
        </w:rPr>
        <w:t xml:space="preserve">وستستند المبادرة إلى عمل </w:t>
      </w:r>
      <w:hyperlink r:id="rId176" w:history="1">
        <w:r w:rsidRPr="00A76789">
          <w:rPr>
            <w:rStyle w:val="Hyperlink"/>
            <w:rtl/>
          </w:rPr>
          <w:t>الفريق المتخصص التابع للاتحاد والمعني بالميتافيرس</w:t>
        </w:r>
      </w:hyperlink>
      <w:r w:rsidRPr="00A76789">
        <w:rPr>
          <w:rtl/>
        </w:rPr>
        <w:t xml:space="preserve"> وتكمل عمل </w:t>
      </w:r>
      <w:hyperlink r:id="rId177" w:history="1">
        <w:r w:rsidRPr="00A76789">
          <w:rPr>
            <w:rStyle w:val="Hyperlink"/>
            <w:rtl/>
          </w:rPr>
          <w:t>لجنة الدراسات 20 لقطاع تقييس الاتصالات</w:t>
        </w:r>
      </w:hyperlink>
      <w:r w:rsidRPr="00A76789">
        <w:rPr>
          <w:rtl/>
        </w:rPr>
        <w:t xml:space="preserve"> </w:t>
      </w:r>
      <w:r w:rsidRPr="00A76789">
        <w:rPr>
          <w:u w:val="single"/>
          <w:rtl/>
        </w:rPr>
        <w:t>و</w:t>
      </w:r>
      <w:hyperlink r:id="rId178" w:history="1">
        <w:r w:rsidRPr="00A76789">
          <w:rPr>
            <w:rStyle w:val="Hyperlink"/>
            <w:rtl/>
          </w:rPr>
          <w:t>مبادرة "متحدون من أجل مدن ذكية مستدامة" (U4SSC)</w:t>
        </w:r>
      </w:hyperlink>
      <w:r w:rsidRPr="00A76789">
        <w:rPr>
          <w:rtl/>
        </w:rPr>
        <w:t>.</w:t>
      </w:r>
    </w:p>
    <w:bookmarkEnd w:id="99"/>
    <w:p w14:paraId="676A288A" w14:textId="77777777" w:rsidR="00A76789" w:rsidRPr="00A76789" w:rsidRDefault="00A76789" w:rsidP="00A76789">
      <w:r w:rsidRPr="00A76789">
        <w:rPr>
          <w:rtl/>
        </w:rPr>
        <w:t>وترتكز المبادرة على ثلاث ركائز:</w:t>
      </w:r>
    </w:p>
    <w:p w14:paraId="6EA22F84" w14:textId="77777777" w:rsidR="00A76789" w:rsidRPr="00A76789" w:rsidRDefault="00A76789" w:rsidP="00906B2C">
      <w:pPr>
        <w:numPr>
          <w:ilvl w:val="0"/>
          <w:numId w:val="15"/>
        </w:numPr>
        <w:tabs>
          <w:tab w:val="clear" w:pos="720"/>
        </w:tabs>
        <w:ind w:left="567" w:hanging="567"/>
      </w:pPr>
      <w:r w:rsidRPr="00A76789">
        <w:rPr>
          <w:rtl/>
        </w:rPr>
        <w:t>بعث عالم المدينة الافتراضية إلى الحياة: تشمل هذه الركيزة تقديم إرشادات أعدها الخبراء، والتوعية بما يُتيحه عالم المدينة الافتراضية من فرص وما يطرحه من تحديات، واستحداث مؤشرات أداء رئيسية واعتمادها.</w:t>
      </w:r>
    </w:p>
    <w:p w14:paraId="5F05BEAE" w14:textId="77777777" w:rsidR="00A76789" w:rsidRPr="00A76789" w:rsidRDefault="00A76789" w:rsidP="00906B2C">
      <w:pPr>
        <w:numPr>
          <w:ilvl w:val="0"/>
          <w:numId w:val="15"/>
        </w:numPr>
        <w:tabs>
          <w:tab w:val="clear" w:pos="720"/>
        </w:tabs>
        <w:ind w:left="567" w:hanging="567"/>
      </w:pPr>
      <w:r w:rsidRPr="00A76789">
        <w:rPr>
          <w:rtl/>
        </w:rPr>
        <w:t>توصيل المدن بالعالمين الافتراضي والحقيقي: تشمل التقدم في إدماج التكنولوجيات الناشئة في المدن، وجمع وعرض حالات استخدام عالم المدينة الافتراضية، وإعداد بيئة اختبارية وما يتصل بها من أدوات تقنية.</w:t>
      </w:r>
    </w:p>
    <w:p w14:paraId="7A71106B" w14:textId="77777777" w:rsidR="00A76789" w:rsidRPr="00A76789" w:rsidRDefault="00A76789" w:rsidP="00906B2C">
      <w:pPr>
        <w:numPr>
          <w:ilvl w:val="0"/>
          <w:numId w:val="15"/>
        </w:numPr>
        <w:tabs>
          <w:tab w:val="clear" w:pos="720"/>
        </w:tabs>
        <w:ind w:left="567" w:hanging="567"/>
      </w:pPr>
      <w:r w:rsidRPr="00A76789">
        <w:rPr>
          <w:rtl/>
        </w:rPr>
        <w:t>إنشاء قنوات لنشر عالم المدينة الافتراضية: تستهدف هذه الركيزة إنماء مجتمع من الممارسين يشجع التعاون فيما بين المدن، وتنظيم مسابقات لحل المشاكل في المناطق الحضرية، وتنفيذ برامج تدريبية لتعزيز الخبرة المتخصصة في عالم المدينة الافتراضية.</w:t>
      </w:r>
    </w:p>
    <w:p w14:paraId="5E8FD8B2" w14:textId="11784BBD" w:rsidR="00A76789" w:rsidRPr="00A76789" w:rsidRDefault="00A76789" w:rsidP="00A76789">
      <w:bookmarkStart w:id="100" w:name="_Hlk172568288"/>
      <w:r w:rsidRPr="00A76789">
        <w:rPr>
          <w:rtl/>
        </w:rPr>
        <w:t>وتبرز </w:t>
      </w:r>
      <w:hyperlink r:id="rId179" w:anchor="p=1" w:history="1">
        <w:r w:rsidRPr="00A76789">
          <w:rPr>
            <w:rStyle w:val="Hyperlink"/>
            <w:rtl/>
          </w:rPr>
          <w:t>نشرة إعلامية تنفيذية جديدة للأمم المتحدة</w:t>
        </w:r>
      </w:hyperlink>
      <w:r w:rsidRPr="00A76789">
        <w:rPr>
          <w:rtl/>
        </w:rPr>
        <w:t xml:space="preserve"> أطلقت في يوم الأمم المتحدة للعوالم الافتراضية، وأعدها الاتحاد بالاشتراك مع 17 شريكا</w:t>
      </w:r>
      <w:r w:rsidR="00906B2C">
        <w:rPr>
          <w:rFonts w:hint="cs"/>
          <w:rtl/>
        </w:rPr>
        <w:t>ً</w:t>
      </w:r>
      <w:r w:rsidRPr="00A76789">
        <w:rPr>
          <w:rtl/>
        </w:rPr>
        <w:t xml:space="preserve"> من شركاء الأمم المتحدة،  صلة العوالم الافتراضية والميتافيرس بأهداف التنمية المستدامة. وتضمن يوم الأمم المتحدة للعوالم الافتراضية أيضاً حفل توزيع جوائز للفائزين في مسابقة الأمم المتحدة بشأن شحذ الأفكار في مجال الميتافيرس التي نظمها الاتحاد الدولي للاتصالات ومركز الأمم المتحدة الدولي للحوسبة </w:t>
      </w:r>
      <w:r w:rsidRPr="00A76789">
        <w:t>(UNICC</w:t>
      </w:r>
      <w:r w:rsidR="00906B2C">
        <w:t>)</w:t>
      </w:r>
      <w:r w:rsidRPr="00A76789">
        <w:rPr>
          <w:rtl/>
        </w:rPr>
        <w:t>، ومنظمة الأغذية والزراعة (</w:t>
      </w:r>
      <w:r w:rsidRPr="00A76789">
        <w:t>FAO</w:t>
      </w:r>
      <w:r w:rsidRPr="00A76789">
        <w:rPr>
          <w:rtl/>
        </w:rPr>
        <w:t>)، والوكالة الدولية للطاقة الذرية (</w:t>
      </w:r>
      <w:r w:rsidRPr="00A76789">
        <w:t>IAEA</w:t>
      </w:r>
      <w:r w:rsidRPr="00A76789">
        <w:rPr>
          <w:rtl/>
        </w:rPr>
        <w:t xml:space="preserve">). للاطلاع على أبرز أحداث يوم الأمم المتحدة للعوالم الافتراضية، انظر </w:t>
      </w:r>
      <w:hyperlink r:id="rId180" w:history="1">
        <w:r w:rsidRPr="00A76789">
          <w:rPr>
            <w:rStyle w:val="Hyperlink"/>
            <w:rtl/>
          </w:rPr>
          <w:t>تقرير أبرز الأحداث</w:t>
        </w:r>
      </w:hyperlink>
      <w:r w:rsidRPr="00A76789">
        <w:rPr>
          <w:rtl/>
        </w:rPr>
        <w:t>.</w:t>
      </w:r>
    </w:p>
    <w:bookmarkEnd w:id="100"/>
    <w:p w14:paraId="4F79205F" w14:textId="4CDFA80B" w:rsidR="00A76789" w:rsidRPr="00A76789" w:rsidRDefault="00A76789" w:rsidP="00A76789">
      <w:pPr>
        <w:rPr>
          <w:rtl/>
        </w:rPr>
      </w:pPr>
      <w:r w:rsidRPr="00A76789">
        <w:rPr>
          <w:rtl/>
        </w:rPr>
        <w:t xml:space="preserve">وشملت </w:t>
      </w:r>
      <w:r w:rsidRPr="00A76789">
        <w:rPr>
          <w:u w:val="single"/>
          <w:rtl/>
        </w:rPr>
        <w:t>‏</w:t>
      </w:r>
      <w:hyperlink r:id="rId181" w:history="1">
        <w:r w:rsidRPr="00A76789">
          <w:rPr>
            <w:rStyle w:val="Hyperlink"/>
            <w:rtl/>
          </w:rPr>
          <w:t>حوارات الاتحاد بشأن التحول الرقمي</w:t>
        </w:r>
      </w:hyperlink>
      <w:r w:rsidRPr="00A76789">
        <w:rPr>
          <w:rtl/>
        </w:rPr>
        <w:t xml:space="preserve"> دردشات جانبية وجلسات استفسار من الخبراء وحلقات دراسية بشأن الأبعاد واسعة </w:t>
      </w:r>
      <w:r w:rsidRPr="00A76789">
        <w:rPr>
          <w:cs/>
        </w:rPr>
        <w:t>‎</w:t>
      </w:r>
      <w:r w:rsidRPr="00A76789">
        <w:rPr>
          <w:rtl/>
        </w:rPr>
        <w:t>النطاق للتحول الرقمي ودعم معايير الاتحاد.</w:t>
      </w:r>
      <w:r w:rsidRPr="00A76789">
        <w:rPr>
          <w:cs/>
        </w:rPr>
        <w:t>‎</w:t>
      </w:r>
    </w:p>
    <w:p w14:paraId="74DBB214" w14:textId="18637111" w:rsidR="00A76789" w:rsidRPr="00A76789" w:rsidRDefault="00A76789" w:rsidP="00A76789">
      <w:r w:rsidRPr="00A76789">
        <w:rPr>
          <w:rtl/>
        </w:rPr>
        <w:t xml:space="preserve">وتحظى </w:t>
      </w:r>
      <w:hyperlink r:id="rId182" w:history="1">
        <w:r w:rsidRPr="00A76789">
          <w:rPr>
            <w:rStyle w:val="Hyperlink"/>
            <w:rtl/>
          </w:rPr>
          <w:t>مبادرة "متحدون من أجل مدن ذكية مستدامة" (U4SSC)</w:t>
        </w:r>
      </w:hyperlink>
      <w:r w:rsidRPr="00A76789">
        <w:rPr>
          <w:rtl/>
        </w:rPr>
        <w:t xml:space="preserve"> بالدعم من 19 كياناً من كيانات الأمم المتحدة من أجل تحقيق الهدف 11 من أهداف التنمية المستدامة ("جعل المدن والمستوطنات البشرية شاملة وآمنة ومرنة ومستدامة"). وتقيّم أكثر من 200 مدينة من مدن العالم تقدمها نحو تحقيق أهداف المدن الذكية وأهداف التنمية المستدامة باستعمال </w:t>
      </w:r>
      <w:hyperlink r:id="rId183" w:history="1">
        <w:r w:rsidRPr="00A76789">
          <w:rPr>
            <w:rStyle w:val="Hyperlink"/>
            <w:rtl/>
          </w:rPr>
          <w:t>مؤشرات الأداء الرئيسية للمدن الذكية المستدامة في إطار مبادرة متحدون من أجل مدن ذكية ومستدامة</w:t>
        </w:r>
      </w:hyperlink>
      <w:r w:rsidRPr="00A76789">
        <w:rPr>
          <w:rtl/>
        </w:rPr>
        <w:t xml:space="preserve"> استناداً إلى معايير الاتحاد. وتعرض </w:t>
      </w:r>
      <w:hyperlink r:id="rId184" w:history="1">
        <w:r w:rsidRPr="00A76789">
          <w:rPr>
            <w:rStyle w:val="Hyperlink"/>
            <w:rtl/>
          </w:rPr>
          <w:t>لقطات المدن وصحائف الوقائع وتقارير التحقق ودراسات الحالة</w:t>
        </w:r>
      </w:hyperlink>
      <w:r w:rsidRPr="00A76789">
        <w:rPr>
          <w:rtl/>
        </w:rPr>
        <w:t xml:space="preserve"> نتائج تقييمات مؤشرات الأداء الرئيسية. وبالإضافة إلى ذلك، أنشئت </w:t>
      </w:r>
      <w:hyperlink r:id="rId185" w:history="1">
        <w:r w:rsidRPr="00A76789">
          <w:rPr>
            <w:rStyle w:val="Hyperlink"/>
            <w:rtl/>
          </w:rPr>
          <w:t>مراكز قطرية للمبادرة U4SSC</w:t>
        </w:r>
      </w:hyperlink>
      <w:r w:rsidRPr="00A76789">
        <w:rPr>
          <w:rtl/>
        </w:rPr>
        <w:t xml:space="preserve"> في النمسا وغانا.</w:t>
      </w:r>
    </w:p>
    <w:p w14:paraId="2B4B93BE" w14:textId="77777777" w:rsidR="00A76789" w:rsidRPr="00A76789" w:rsidRDefault="00A76789" w:rsidP="00A76789">
      <w:r w:rsidRPr="00A76789">
        <w:rPr>
          <w:rtl/>
        </w:rPr>
        <w:t>وتعمل المبادرة U4SSC في إطار المجموعات المحورية الخمس التالية:</w:t>
      </w:r>
    </w:p>
    <w:p w14:paraId="0D6F97D9" w14:textId="77777777" w:rsidR="00A76789" w:rsidRPr="00A76789" w:rsidRDefault="00A76789" w:rsidP="00906B2C">
      <w:pPr>
        <w:numPr>
          <w:ilvl w:val="0"/>
          <w:numId w:val="15"/>
        </w:numPr>
        <w:tabs>
          <w:tab w:val="clear" w:pos="720"/>
        </w:tabs>
        <w:ind w:left="567" w:hanging="567"/>
      </w:pPr>
      <w:r w:rsidRPr="00A76789">
        <w:rPr>
          <w:rtl/>
        </w:rPr>
        <w:t>منصات المدن</w:t>
      </w:r>
    </w:p>
    <w:p w14:paraId="0D211FAD" w14:textId="77777777" w:rsidR="00A76789" w:rsidRPr="00A76789" w:rsidRDefault="00A76789" w:rsidP="00906B2C">
      <w:pPr>
        <w:numPr>
          <w:ilvl w:val="0"/>
          <w:numId w:val="15"/>
        </w:numPr>
        <w:tabs>
          <w:tab w:val="clear" w:pos="720"/>
        </w:tabs>
        <w:ind w:left="567" w:hanging="567"/>
      </w:pPr>
      <w:r w:rsidRPr="00A76789">
        <w:rPr>
          <w:rtl/>
        </w:rPr>
        <w:t>بناء المرونة الاقتصادية الحضرية على مستوى المدينة</w:t>
      </w:r>
    </w:p>
    <w:p w14:paraId="4AC8DA08" w14:textId="77777777" w:rsidR="00A76789" w:rsidRPr="00A76789" w:rsidRDefault="00A76789" w:rsidP="00906B2C">
      <w:pPr>
        <w:numPr>
          <w:ilvl w:val="0"/>
          <w:numId w:val="15"/>
        </w:numPr>
        <w:tabs>
          <w:tab w:val="clear" w:pos="720"/>
        </w:tabs>
        <w:ind w:left="567" w:hanging="567"/>
      </w:pPr>
      <w:r w:rsidRPr="00A76789">
        <w:rPr>
          <w:rtl/>
        </w:rPr>
        <w:t>الذكاء الاصطناعي في المدن؛</w:t>
      </w:r>
    </w:p>
    <w:p w14:paraId="166148DD" w14:textId="77777777" w:rsidR="00A76789" w:rsidRPr="00A76789" w:rsidRDefault="00A76789" w:rsidP="00906B2C">
      <w:pPr>
        <w:numPr>
          <w:ilvl w:val="0"/>
          <w:numId w:val="15"/>
        </w:numPr>
        <w:tabs>
          <w:tab w:val="clear" w:pos="720"/>
        </w:tabs>
        <w:ind w:left="567" w:hanging="567"/>
      </w:pPr>
      <w:r w:rsidRPr="00A76789">
        <w:rPr>
          <w:rtl/>
        </w:rPr>
        <w:t>تمكين المدن التي تركز على الناس من خلال التحول الرقمي؛</w:t>
      </w:r>
    </w:p>
    <w:p w14:paraId="2D35059A" w14:textId="77777777" w:rsidR="00A76789" w:rsidRPr="00A76789" w:rsidRDefault="00A76789" w:rsidP="00906B2C">
      <w:pPr>
        <w:numPr>
          <w:ilvl w:val="0"/>
          <w:numId w:val="15"/>
        </w:numPr>
        <w:tabs>
          <w:tab w:val="clear" w:pos="720"/>
        </w:tabs>
        <w:ind w:left="567" w:hanging="567"/>
      </w:pPr>
      <w:r w:rsidRPr="00A76789">
        <w:rPr>
          <w:rtl/>
        </w:rPr>
        <w:t>الرفاهية الرقمية.</w:t>
      </w:r>
    </w:p>
    <w:p w14:paraId="6624AB14" w14:textId="508B2E8A" w:rsidR="00A76789" w:rsidRPr="00A76789" w:rsidRDefault="00D61F86" w:rsidP="00A76789">
      <w:hyperlink r:id="rId186" w:history="1">
        <w:r w:rsidR="00A76789" w:rsidRPr="00A76789">
          <w:rPr>
            <w:rStyle w:val="Hyperlink"/>
            <w:rtl/>
          </w:rPr>
          <w:t>التقارير الجديدة</w:t>
        </w:r>
      </w:hyperlink>
      <w:r w:rsidR="00A76789" w:rsidRPr="00A76789">
        <w:rPr>
          <w:rtl/>
        </w:rPr>
        <w:t xml:space="preserve"> المنشورة في فترة الدراسة:</w:t>
      </w:r>
    </w:p>
    <w:p w14:paraId="27C3F8B5" w14:textId="77777777" w:rsidR="00A76789" w:rsidRPr="00A76789" w:rsidRDefault="00A76789" w:rsidP="00906B2C">
      <w:pPr>
        <w:numPr>
          <w:ilvl w:val="0"/>
          <w:numId w:val="15"/>
        </w:numPr>
        <w:tabs>
          <w:tab w:val="clear" w:pos="720"/>
        </w:tabs>
        <w:ind w:left="567" w:hanging="567"/>
      </w:pPr>
      <w:r w:rsidRPr="00A76789">
        <w:rPr>
          <w:rtl/>
        </w:rPr>
        <w:t>المعايير المرجعية السياساتية للتحول الرقمي من أجل مدن تركز على السكان</w:t>
      </w:r>
    </w:p>
    <w:p w14:paraId="2428F473" w14:textId="77777777" w:rsidR="00A76789" w:rsidRPr="00A76789" w:rsidRDefault="00A76789" w:rsidP="00906B2C">
      <w:pPr>
        <w:numPr>
          <w:ilvl w:val="0"/>
          <w:numId w:val="15"/>
        </w:numPr>
        <w:tabs>
          <w:tab w:val="clear" w:pos="720"/>
        </w:tabs>
        <w:ind w:left="567" w:hanging="567"/>
      </w:pPr>
      <w:r w:rsidRPr="00A76789">
        <w:rPr>
          <w:rtl/>
        </w:rPr>
        <w:t>متطلبات البيانات والسطوح البينية لبرمجة التطبيقات في منصات المدن الذكية</w:t>
      </w:r>
    </w:p>
    <w:p w14:paraId="52369833" w14:textId="77777777" w:rsidR="00A76789" w:rsidRPr="00A76789" w:rsidRDefault="00A76789" w:rsidP="00906B2C">
      <w:pPr>
        <w:numPr>
          <w:ilvl w:val="0"/>
          <w:numId w:val="15"/>
        </w:numPr>
        <w:tabs>
          <w:tab w:val="clear" w:pos="720"/>
        </w:tabs>
        <w:ind w:left="567" w:hanging="567"/>
      </w:pPr>
      <w:r w:rsidRPr="00A76789">
        <w:rPr>
          <w:rtl/>
        </w:rPr>
        <w:lastRenderedPageBreak/>
        <w:t>الوثيقة التنفيذية للأمم المتحدة بشأن إطلاق إمكانات العوالم الافتراضية والميتافيرس من أجل تحقيق أهداف التنمية المستدامة</w:t>
      </w:r>
      <w:r w:rsidRPr="00A76789">
        <w:rPr>
          <w:lang w:bidi="en-GB"/>
        </w:rPr>
        <w:t>.</w:t>
      </w:r>
    </w:p>
    <w:p w14:paraId="1379ADC1" w14:textId="77777777" w:rsidR="00A76789" w:rsidRPr="00A76789" w:rsidRDefault="00A76789" w:rsidP="00906B2C">
      <w:pPr>
        <w:numPr>
          <w:ilvl w:val="0"/>
          <w:numId w:val="15"/>
        </w:numPr>
        <w:tabs>
          <w:tab w:val="clear" w:pos="720"/>
        </w:tabs>
        <w:ind w:left="567" w:hanging="567"/>
      </w:pPr>
      <w:r w:rsidRPr="00A76789">
        <w:rPr>
          <w:rtl/>
        </w:rPr>
        <w:t>المبادئ التوجيهية من أجل الذكاء الاصطناعي في المدن</w:t>
      </w:r>
    </w:p>
    <w:p w14:paraId="3E0B74B1" w14:textId="77777777" w:rsidR="00A76789" w:rsidRPr="00A76789" w:rsidRDefault="00A76789" w:rsidP="00906B2C">
      <w:pPr>
        <w:numPr>
          <w:ilvl w:val="0"/>
          <w:numId w:val="15"/>
        </w:numPr>
        <w:tabs>
          <w:tab w:val="clear" w:pos="720"/>
        </w:tabs>
        <w:ind w:left="567" w:hanging="567"/>
      </w:pPr>
      <w:r w:rsidRPr="00A76789">
        <w:rPr>
          <w:rtl/>
        </w:rPr>
        <w:t xml:space="preserve">دليل لقادة المدن الذكية المستدامة </w:t>
      </w:r>
    </w:p>
    <w:p w14:paraId="58889140" w14:textId="77777777" w:rsidR="00A76789" w:rsidRPr="00A76789" w:rsidRDefault="00A76789" w:rsidP="00906B2C">
      <w:pPr>
        <w:numPr>
          <w:ilvl w:val="0"/>
          <w:numId w:val="15"/>
        </w:numPr>
        <w:tabs>
          <w:tab w:val="clear" w:pos="720"/>
        </w:tabs>
        <w:ind w:left="567" w:hanging="567"/>
      </w:pPr>
      <w:r w:rsidRPr="00A76789">
        <w:rPr>
          <w:rtl/>
        </w:rPr>
        <w:t>تمكين التحول الرقمي في المدن الذكية المستدامة - الخطة الرئيسية</w:t>
      </w:r>
    </w:p>
    <w:p w14:paraId="0A39341F" w14:textId="77777777" w:rsidR="00A76789" w:rsidRPr="00A76789" w:rsidRDefault="00A76789" w:rsidP="00906B2C">
      <w:pPr>
        <w:numPr>
          <w:ilvl w:val="0"/>
          <w:numId w:val="15"/>
        </w:numPr>
        <w:tabs>
          <w:tab w:val="clear" w:pos="720"/>
        </w:tabs>
        <w:ind w:left="567" w:hanging="567"/>
      </w:pPr>
      <w:r w:rsidRPr="00A76789">
        <w:rPr>
          <w:rtl/>
        </w:rPr>
        <w:t>الإطار المرجعي للإدارة المتكاملة لمدينة ذكية مستدامة</w:t>
      </w:r>
    </w:p>
    <w:p w14:paraId="4F914401" w14:textId="77777777" w:rsidR="00A76789" w:rsidRPr="00A76789" w:rsidRDefault="00A76789" w:rsidP="00906B2C">
      <w:pPr>
        <w:numPr>
          <w:ilvl w:val="0"/>
          <w:numId w:val="15"/>
        </w:numPr>
        <w:tabs>
          <w:tab w:val="clear" w:pos="720"/>
        </w:tabs>
        <w:ind w:left="567" w:hanging="567"/>
      </w:pPr>
      <w:r w:rsidRPr="00A76789">
        <w:rPr>
          <w:rtl/>
        </w:rPr>
        <w:t>إحاطة تنفيذية حول الميتافيرس</w:t>
      </w:r>
    </w:p>
    <w:p w14:paraId="12EAC3CA" w14:textId="77777777" w:rsidR="00A76789" w:rsidRPr="00A76789" w:rsidRDefault="00A76789" w:rsidP="00906B2C">
      <w:pPr>
        <w:numPr>
          <w:ilvl w:val="0"/>
          <w:numId w:val="15"/>
        </w:numPr>
        <w:tabs>
          <w:tab w:val="clear" w:pos="720"/>
        </w:tabs>
        <w:ind w:left="567" w:hanging="567"/>
      </w:pPr>
      <w:r w:rsidRPr="00A76789">
        <w:rPr>
          <w:rtl/>
        </w:rPr>
        <w:t>بناء مستقبل رقمي للمدن والمجتمعات محوره الأشخاص</w:t>
      </w:r>
    </w:p>
    <w:p w14:paraId="5365E5A9" w14:textId="77777777" w:rsidR="00A76789" w:rsidRPr="00A76789" w:rsidRDefault="00A76789" w:rsidP="00906B2C">
      <w:pPr>
        <w:numPr>
          <w:ilvl w:val="0"/>
          <w:numId w:val="15"/>
        </w:numPr>
        <w:tabs>
          <w:tab w:val="clear" w:pos="720"/>
        </w:tabs>
        <w:ind w:left="567" w:hanging="567"/>
      </w:pPr>
      <w:r w:rsidRPr="00A76789">
        <w:rPr>
          <w:rtl/>
        </w:rPr>
        <w:t>المبادئ التوجيهية بشأن المشتريات في المدن الذكية المستدامة</w:t>
      </w:r>
    </w:p>
    <w:p w14:paraId="072876F7" w14:textId="77777777" w:rsidR="00A76789" w:rsidRPr="00A76789" w:rsidRDefault="00A76789" w:rsidP="00906B2C">
      <w:pPr>
        <w:numPr>
          <w:ilvl w:val="0"/>
          <w:numId w:val="15"/>
        </w:numPr>
        <w:tabs>
          <w:tab w:val="clear" w:pos="720"/>
        </w:tabs>
        <w:ind w:left="567" w:hanging="567"/>
      </w:pPr>
      <w:r w:rsidRPr="00A76789">
        <w:rPr>
          <w:rtl/>
        </w:rPr>
        <w:t>دور التكنولوجيات الرقمية فيما يتعلق بالشيخوخة والصحة</w:t>
      </w:r>
    </w:p>
    <w:p w14:paraId="36688ACB" w14:textId="77777777" w:rsidR="00A76789" w:rsidRPr="00A76789" w:rsidRDefault="00A76789" w:rsidP="00906B2C">
      <w:pPr>
        <w:numPr>
          <w:ilvl w:val="0"/>
          <w:numId w:val="15"/>
        </w:numPr>
        <w:tabs>
          <w:tab w:val="clear" w:pos="720"/>
        </w:tabs>
        <w:ind w:left="567" w:hanging="567"/>
      </w:pPr>
      <w:r w:rsidRPr="00A76789">
        <w:rPr>
          <w:rtl/>
        </w:rPr>
        <w:t>خلاصة وافية للممارسات المتعلقة بالتمويل المبتكر لمشاريع المدن الذكية المستدامة</w:t>
      </w:r>
    </w:p>
    <w:p w14:paraId="63A155E6" w14:textId="77777777" w:rsidR="00A76789" w:rsidRPr="00A76789" w:rsidRDefault="00A76789" w:rsidP="00906B2C">
      <w:pPr>
        <w:numPr>
          <w:ilvl w:val="0"/>
          <w:numId w:val="15"/>
        </w:numPr>
        <w:tabs>
          <w:tab w:val="clear" w:pos="720"/>
        </w:tabs>
        <w:ind w:left="567" w:hanging="567"/>
      </w:pPr>
      <w:r w:rsidRPr="00A76789">
        <w:rPr>
          <w:rtl/>
        </w:rPr>
        <w:t>السياحة الذكية: مسار إلى وجهات أكثر أماناً ومرونة</w:t>
      </w:r>
    </w:p>
    <w:p w14:paraId="3F6955AF" w14:textId="77777777" w:rsidR="00A76789" w:rsidRPr="00A76789" w:rsidRDefault="00A76789" w:rsidP="00906B2C">
      <w:pPr>
        <w:numPr>
          <w:ilvl w:val="0"/>
          <w:numId w:val="15"/>
        </w:numPr>
        <w:tabs>
          <w:tab w:val="clear" w:pos="720"/>
        </w:tabs>
        <w:ind w:left="567" w:hanging="567"/>
      </w:pPr>
      <w:r w:rsidRPr="00A76789">
        <w:rPr>
          <w:rtl/>
        </w:rPr>
        <w:t>إعادة تحديد منصات المدن الذكية: تمهيد الطريق للحد الأدنى من آليات التشغيل البيني</w:t>
      </w:r>
    </w:p>
    <w:p w14:paraId="73D914C6" w14:textId="77777777" w:rsidR="004D1D9B" w:rsidRPr="00A76789" w:rsidRDefault="004D1D9B" w:rsidP="00A76789">
      <w:r w:rsidRPr="00A76789">
        <w:rPr>
          <w:rtl/>
        </w:rPr>
        <w:t>و</w:t>
      </w:r>
      <w:hyperlink r:id="rId187" w:history="1">
        <w:r w:rsidRPr="00906EBA">
          <w:rPr>
            <w:rStyle w:val="Hyperlink"/>
            <w:rtl/>
          </w:rPr>
          <w:t>مجموعة أدوات الاتحاد بشأن التحول الرقمي من أجل مدن ومجتمعات تركز على الأشخاص</w:t>
        </w:r>
      </w:hyperlink>
      <w:r w:rsidRPr="00A76789">
        <w:rPr>
          <w:rtl/>
        </w:rPr>
        <w:t xml:space="preserve"> هي دليل شامل على الإنترنت مصمم لمساعدة المدن والمجتمعات على الاستفادة من التكنولوجيات الرقمية من أجل التنمية المستدامة، ويغطي مجالات مثل البنية التحتية الرقمية وإدارة البيانات والخدمات الرقمية. ويوفر استراتيجيات وأدوات عملية للعصر الرقمي، مع التركيز على تحسين نوعية الحياة، وتعزيز الشمولية وتحسين تقديم الخدمات.</w:t>
      </w:r>
    </w:p>
    <w:p w14:paraId="69FED2AF" w14:textId="77777777" w:rsidR="004D1D9B" w:rsidRPr="00A76789" w:rsidRDefault="004D1D9B" w:rsidP="00A76789">
      <w:r w:rsidRPr="00A76789">
        <w:rPr>
          <w:rtl/>
        </w:rPr>
        <w:t xml:space="preserve">ويجمع </w:t>
      </w:r>
      <w:hyperlink r:id="rId188" w:history="1">
        <w:r w:rsidRPr="00906EBA">
          <w:rPr>
            <w:rStyle w:val="Hyperlink"/>
            <w:rtl/>
          </w:rPr>
          <w:t>مركز موارد التحول الرقمي للاتحاد</w:t>
        </w:r>
      </w:hyperlink>
      <w:r w:rsidRPr="00906EBA">
        <w:rPr>
          <w:rtl/>
        </w:rPr>
        <w:t xml:space="preserve"> </w:t>
      </w:r>
      <w:r w:rsidRPr="00A76789">
        <w:rPr>
          <w:rtl/>
        </w:rPr>
        <w:t>أحدث التقارير والدراسات والمبادئ التوجيهية الصادرة عن الاتحاد ومن مختلف مصادر الإنترنت.</w:t>
      </w:r>
    </w:p>
    <w:p w14:paraId="6FE56CFF" w14:textId="77777777" w:rsidR="004D1D9B" w:rsidRPr="00A76789" w:rsidRDefault="004D1D9B" w:rsidP="00A76789">
      <w:pPr>
        <w:rPr>
          <w:rtl/>
        </w:rPr>
      </w:pPr>
      <w:r w:rsidRPr="00A76789">
        <w:rPr>
          <w:rtl/>
        </w:rPr>
        <w:t xml:space="preserve">ويقدم </w:t>
      </w:r>
      <w:hyperlink r:id="rId189" w:history="1">
        <w:r w:rsidRPr="00906EBA">
          <w:rPr>
            <w:rStyle w:val="Hyperlink"/>
            <w:rtl/>
          </w:rPr>
          <w:t>ملخص التحول الرقمي والمدن للاتحاد</w:t>
        </w:r>
      </w:hyperlink>
      <w:r w:rsidRPr="00A76789">
        <w:rPr>
          <w:rtl/>
        </w:rPr>
        <w:t xml:space="preserve"> آخر المستجدات بشأن التحول الرقمي والمدن الذكية المستدامة والميتافيرس. كما يتضمن معلومات عن الأحداث القادمة والمنشورات الجديدة.</w:t>
      </w:r>
    </w:p>
    <w:p w14:paraId="4F936247" w14:textId="77777777" w:rsidR="004D1D9B" w:rsidRPr="00A76789" w:rsidRDefault="004D1D9B" w:rsidP="00A76789">
      <w:pPr>
        <w:rPr>
          <w:rtl/>
        </w:rPr>
      </w:pPr>
      <w:r w:rsidRPr="00A76789">
        <w:rPr>
          <w:rtl/>
        </w:rPr>
        <w:t>وللاطلاع على جميع الأحداث المتعلقة بالتحول الرقمي للمدن والمجتمعات، انظر</w:t>
      </w:r>
      <w:r w:rsidRPr="00A76789">
        <w:rPr>
          <w:u w:val="single"/>
          <w:rtl/>
        </w:rPr>
        <w:t xml:space="preserve"> </w:t>
      </w:r>
      <w:hyperlink r:id="rId190" w:history="1">
        <w:r w:rsidRPr="00906EBA">
          <w:rPr>
            <w:rStyle w:val="Hyperlink"/>
            <w:rtl/>
          </w:rPr>
          <w:t>صفحة الويب</w:t>
        </w:r>
      </w:hyperlink>
      <w:r w:rsidRPr="00A76789">
        <w:rPr>
          <w:rtl/>
        </w:rPr>
        <w:t xml:space="preserve"> ذات الصلة.</w:t>
      </w:r>
    </w:p>
    <w:p w14:paraId="642E3082" w14:textId="77777777" w:rsidR="004D1D9B" w:rsidRPr="00A76789" w:rsidRDefault="004D1D9B" w:rsidP="00906EBA">
      <w:pPr>
        <w:pStyle w:val="Heading2"/>
      </w:pPr>
      <w:bookmarkStart w:id="101" w:name="_5.4_Digital_financial"/>
      <w:bookmarkStart w:id="102" w:name="_Toc179219756"/>
      <w:bookmarkStart w:id="103" w:name="_Toc179221066"/>
      <w:bookmarkStart w:id="104" w:name="_Toc179733608"/>
      <w:bookmarkEnd w:id="101"/>
      <w:r>
        <w:rPr>
          <w:rFonts w:hint="cs"/>
          <w:rtl/>
        </w:rPr>
        <w:t>4.5</w:t>
      </w:r>
      <w:r>
        <w:rPr>
          <w:rtl/>
        </w:rPr>
        <w:tab/>
      </w:r>
      <w:r w:rsidRPr="00A76789">
        <w:rPr>
          <w:rtl/>
        </w:rPr>
        <w:t>الشمول المالي الرق</w:t>
      </w:r>
      <w:bookmarkStart w:id="105" w:name="FiveFour"/>
      <w:bookmarkEnd w:id="105"/>
      <w:r w:rsidRPr="00A76789">
        <w:rPr>
          <w:rtl/>
        </w:rPr>
        <w:t>مي والتكنولوجيات المالية</w:t>
      </w:r>
      <w:bookmarkEnd w:id="102"/>
      <w:bookmarkEnd w:id="103"/>
      <w:bookmarkEnd w:id="104"/>
    </w:p>
    <w:p w14:paraId="5B07C896" w14:textId="77777777" w:rsidR="004D1D9B" w:rsidRPr="00A76789" w:rsidRDefault="004D1D9B" w:rsidP="00A76789">
      <w:pPr>
        <w:rPr>
          <w:rtl/>
        </w:rPr>
      </w:pPr>
      <w:r w:rsidRPr="00A76789">
        <w:rPr>
          <w:rtl/>
        </w:rPr>
        <w:t xml:space="preserve">للاطلاع على لمحة عامة عن جميع أنشطة مكتب تقييس الاتصالات/قطاع تقييس الاتصالات بشأن الشمول المالي الرقمي والتكنولوجيا المالية، انظر </w:t>
      </w:r>
      <w:hyperlink r:id="rId191" w:history="1">
        <w:r w:rsidRPr="00906EBA">
          <w:rPr>
            <w:rStyle w:val="Hyperlink"/>
            <w:rtl/>
          </w:rPr>
          <w:t>الصفحة الإلكترونية</w:t>
        </w:r>
      </w:hyperlink>
      <w:r w:rsidRPr="00A76789">
        <w:rPr>
          <w:rtl/>
        </w:rPr>
        <w:t xml:space="preserve"> المخصصة لهذا الغرض والتقرير ذي الصلة المقدم إلى الجمعية WTSA-24 (</w:t>
      </w:r>
      <w:hyperlink r:id="rId192" w:history="1">
        <w:r w:rsidRPr="00906EBA">
          <w:rPr>
            <w:rStyle w:val="Hyperlink"/>
            <w:rtl/>
          </w:rPr>
          <w:t>وثيقة المعلومات 5</w:t>
        </w:r>
      </w:hyperlink>
      <w:r w:rsidRPr="00A76789">
        <w:rPr>
          <w:rtl/>
        </w:rPr>
        <w:t>).</w:t>
      </w:r>
    </w:p>
    <w:p w14:paraId="54A708C5" w14:textId="77777777" w:rsidR="004D1D9B" w:rsidRPr="00906EBA" w:rsidRDefault="004D1D9B" w:rsidP="00906EBA">
      <w:pPr>
        <w:rPr>
          <w:spacing w:val="-4"/>
        </w:rPr>
      </w:pPr>
      <w:r w:rsidRPr="00906EBA">
        <w:rPr>
          <w:b/>
          <w:bCs/>
          <w:spacing w:val="-4"/>
          <w:rtl/>
        </w:rPr>
        <w:t xml:space="preserve">حالة اعتماد التوصيات الأمنية للخدمات المالية الرقمية </w:t>
      </w:r>
      <w:r w:rsidRPr="00906EBA">
        <w:rPr>
          <w:b/>
          <w:bCs/>
          <w:spacing w:val="-4"/>
        </w:rPr>
        <w:t>(DFS)</w:t>
      </w:r>
      <w:r w:rsidRPr="00906EBA">
        <w:rPr>
          <w:rFonts w:hint="cs"/>
          <w:b/>
          <w:bCs/>
          <w:spacing w:val="-4"/>
          <w:rtl/>
        </w:rPr>
        <w:t>:</w:t>
      </w:r>
      <w:r w:rsidRPr="00906EBA">
        <w:rPr>
          <w:spacing w:val="-4"/>
          <w:rtl/>
        </w:rPr>
        <w:t xml:space="preserve"> من خلال أنشطة </w:t>
      </w:r>
      <w:hyperlink r:id="rId193" w:history="1">
        <w:r w:rsidRPr="00906EBA">
          <w:rPr>
            <w:rStyle w:val="Hyperlink"/>
            <w:spacing w:val="-4"/>
            <w:rtl/>
          </w:rPr>
          <w:t>مختبر أمن الخدمات المالية الرقمية للاتحاد</w:t>
        </w:r>
      </w:hyperlink>
      <w:r w:rsidRPr="00906EBA">
        <w:rPr>
          <w:spacing w:val="-4"/>
          <w:rtl/>
        </w:rPr>
        <w:t>، يتعاون مكتب تقييس الاتصالات مع منظمي الاتصالات في الاقتصادات الناشئة والهيئات الإقليمية لتنظيم الاتصالات لعرض</w:t>
      </w:r>
      <w:r w:rsidRPr="00906EBA">
        <w:rPr>
          <w:rtl/>
        </w:rPr>
        <w:t xml:space="preserve"> </w:t>
      </w:r>
      <w:hyperlink r:id="rId194" w:history="1">
        <w:r w:rsidRPr="00906EBA">
          <w:rPr>
            <w:rStyle w:val="Hyperlink"/>
            <w:spacing w:val="-4"/>
            <w:rtl/>
          </w:rPr>
          <w:t>التوصيات الأمنية للخدمات المالية الرقمية</w:t>
        </w:r>
      </w:hyperlink>
      <w:r w:rsidRPr="00906EBA">
        <w:rPr>
          <w:spacing w:val="-4"/>
          <w:rtl/>
        </w:rPr>
        <w:t xml:space="preserve"> التي توضع في إطار </w:t>
      </w:r>
      <w:hyperlink r:id="rId195" w:history="1">
        <w:r w:rsidRPr="00906EBA">
          <w:rPr>
            <w:rStyle w:val="Hyperlink"/>
            <w:spacing w:val="-4"/>
            <w:rtl/>
          </w:rPr>
          <w:t>المبادرة العالمية للشمول المالي (</w:t>
        </w:r>
        <w:r w:rsidRPr="00906EBA">
          <w:rPr>
            <w:rStyle w:val="Hyperlink"/>
            <w:spacing w:val="-4"/>
          </w:rPr>
          <w:t>FIGI</w:t>
        </w:r>
        <w:r w:rsidRPr="00906EBA">
          <w:rPr>
            <w:rStyle w:val="Hyperlink"/>
            <w:spacing w:val="-4"/>
            <w:rtl/>
          </w:rPr>
          <w:t>)</w:t>
        </w:r>
      </w:hyperlink>
      <w:r w:rsidRPr="00906EBA">
        <w:rPr>
          <w:spacing w:val="-4"/>
          <w:rtl/>
        </w:rPr>
        <w:t>، ويدعوهم إلى اعتماد التوصيات.</w:t>
      </w:r>
    </w:p>
    <w:p w14:paraId="27084516" w14:textId="77777777" w:rsidR="004D1D9B" w:rsidRPr="00A76789" w:rsidRDefault="004D1D9B" w:rsidP="00A76789">
      <w:r w:rsidRPr="00A76789">
        <w:rPr>
          <w:rtl/>
        </w:rPr>
        <w:t>ونفذت نيجيريا وليسوتو وسيراليون وتنزانيا وكينيا وزمبابوي مذكرة التفاهم بين هيئة تنظيم الاتصالات والبنك المركزي لأمن الخدمات المالية الرقمية التي اقترحتها التوصيات الأمنية للخدمات المالية الرقمية.</w:t>
      </w:r>
    </w:p>
    <w:p w14:paraId="034F1677" w14:textId="77777777" w:rsidR="004D1D9B" w:rsidRPr="00A76789" w:rsidRDefault="004D1D9B" w:rsidP="00A76789">
      <w:pPr>
        <w:rPr>
          <w:rtl/>
        </w:rPr>
      </w:pPr>
      <w:r w:rsidRPr="00A76789">
        <w:rPr>
          <w:rtl/>
        </w:rPr>
        <w:t xml:space="preserve">واعتمدت رابطة منظمي الاتصالات في الجنوب الإفريقي </w:t>
      </w:r>
      <w:r w:rsidRPr="00A76789">
        <w:t>(CRASA</w:t>
      </w:r>
      <w:r>
        <w:t>)</w:t>
      </w:r>
      <w:r w:rsidRPr="00A76789">
        <w:rPr>
          <w:rtl/>
        </w:rPr>
        <w:t xml:space="preserve"> ومنظمة شرق إفريقيا للاتصالات (</w:t>
      </w:r>
      <w:r w:rsidRPr="00A76789">
        <w:t>EACO</w:t>
      </w:r>
      <w:r w:rsidRPr="00A76789">
        <w:rPr>
          <w:rtl/>
        </w:rPr>
        <w:t>) التوصيات الأمنية للخدمات المالية الرقمية في عام 2023، ويعمل مختبر أمن الخدمات المالية الرقمية التابع للاتحاد مع أعضائه المعنيين لدعم تنفيذ هذه التوصيات. ويقدم مختبر أمن الخدمات المالية الرقمية التابع للاتحاد أيضاً إرشادات تقنية إلى جمعية تنظيم الاتصالات في غرب إفريقيا (</w:t>
      </w:r>
      <w:r w:rsidRPr="00A76789">
        <w:t>WATRA</w:t>
      </w:r>
      <w:r w:rsidRPr="00A76789">
        <w:rPr>
          <w:rtl/>
        </w:rPr>
        <w:t>) دعماً لاعتماد التوصيات الأمنية للخدمات المالية الرقمية.</w:t>
      </w:r>
    </w:p>
    <w:p w14:paraId="0C1D92EC" w14:textId="77777777" w:rsidR="004D1D9B" w:rsidRPr="00A76789" w:rsidRDefault="004D1D9B" w:rsidP="00906EBA">
      <w:pPr>
        <w:rPr>
          <w:rtl/>
        </w:rPr>
      </w:pPr>
      <w:r w:rsidRPr="00A76789">
        <w:rPr>
          <w:b/>
          <w:bCs/>
          <w:rtl/>
        </w:rPr>
        <w:t>مختبر أمن الخدمات المالية الرقمية</w:t>
      </w:r>
      <w:r w:rsidRPr="00A76789">
        <w:rPr>
          <w:rtl/>
        </w:rPr>
        <w:t xml:space="preserve">: وضع </w:t>
      </w:r>
      <w:hyperlink r:id="rId196" w:history="1">
        <w:r w:rsidRPr="00906EBA">
          <w:rPr>
            <w:rStyle w:val="Hyperlink"/>
            <w:rtl/>
          </w:rPr>
          <w:t>مختبر أمن الخدمات المالية الرقمية التابع للاتحاد</w:t>
        </w:r>
      </w:hyperlink>
      <w:r w:rsidRPr="00A76789">
        <w:rPr>
          <w:rtl/>
        </w:rPr>
        <w:t xml:space="preserve"> الذي أنشئ كجزء من أنشطة المبادرة العالمية للشمول المالي </w:t>
      </w:r>
      <w:r w:rsidRPr="00A76789">
        <w:t>(FIGI</w:t>
      </w:r>
      <w:r>
        <w:t>)</w:t>
      </w:r>
      <w:r w:rsidRPr="00A76789">
        <w:rPr>
          <w:rtl/>
        </w:rPr>
        <w:t xml:space="preserve">، لإجراء اختبارات أمنية لتطبيقات ‏الدفع عبر الهاتف المحمول القائمة على ‎USSD </w:t>
      </w:r>
      <w:r>
        <w:rPr>
          <w:rFonts w:hint="cs"/>
          <w:rtl/>
        </w:rPr>
        <w:t>و</w:t>
      </w:r>
      <w:r>
        <w:t>iOS</w:t>
      </w:r>
      <w:r>
        <w:rPr>
          <w:rFonts w:hint="cs"/>
          <w:rtl/>
          <w:lang w:bidi="ar-EG"/>
        </w:rPr>
        <w:t xml:space="preserve"> و</w:t>
      </w:r>
      <w:r>
        <w:rPr>
          <w:lang w:bidi="ar-EG"/>
        </w:rPr>
        <w:t>STK</w:t>
      </w:r>
      <w:r>
        <w:rPr>
          <w:rFonts w:hint="cs"/>
          <w:rtl/>
          <w:lang w:bidi="ar-EG"/>
        </w:rPr>
        <w:t xml:space="preserve"> و</w:t>
      </w:r>
      <w:r>
        <w:rPr>
          <w:lang w:bidi="ar-EG"/>
        </w:rPr>
        <w:t>Android</w:t>
      </w:r>
      <w:r w:rsidRPr="00A76789">
        <w:rPr>
          <w:rtl/>
        </w:rPr>
        <w:t>.</w:t>
      </w:r>
    </w:p>
    <w:p w14:paraId="659A2A59" w14:textId="77777777" w:rsidR="004D1D9B" w:rsidRPr="00A76789" w:rsidRDefault="004D1D9B" w:rsidP="00A76789">
      <w:pPr>
        <w:rPr>
          <w:rtl/>
        </w:rPr>
      </w:pPr>
      <w:r>
        <w:rPr>
          <w:rFonts w:hint="cs"/>
          <w:rtl/>
        </w:rPr>
        <w:lastRenderedPageBreak/>
        <w:t>وتدعم</w:t>
      </w:r>
      <w:r w:rsidRPr="00A76789">
        <w:rPr>
          <w:rtl/>
        </w:rPr>
        <w:t xml:space="preserve"> أنشطة مختبر أمن الخدمات المالية الرقمية التابع للاتحاد بتمويل من وزارة العلوم وتكنولوجيا المعلومات والاتصالات في جمهورية كوريا واليابان.</w:t>
      </w:r>
    </w:p>
    <w:p w14:paraId="66577528" w14:textId="77777777" w:rsidR="004D1D9B" w:rsidRPr="00A76789" w:rsidRDefault="004D1D9B" w:rsidP="00A76789">
      <w:pPr>
        <w:rPr>
          <w:rtl/>
        </w:rPr>
      </w:pPr>
      <w:r w:rsidRPr="00A76789">
        <w:rPr>
          <w:rtl/>
        </w:rPr>
        <w:t>وكجزء من أنشطة مختبر أمن الخدمات المالية الرقمية التابع للاتحاد، تقدم</w:t>
      </w:r>
      <w:r w:rsidRPr="00906EBA">
        <w:rPr>
          <w:rtl/>
        </w:rPr>
        <w:t xml:space="preserve"> </w:t>
      </w:r>
      <w:hyperlink r:id="rId197" w:history="1">
        <w:r w:rsidRPr="00906EBA">
          <w:rPr>
            <w:rStyle w:val="Hyperlink"/>
            <w:rtl/>
          </w:rPr>
          <w:t>الدورات التدريبية الأمنية للاتحاد بشأن الخدمات المالية الرقمية</w:t>
        </w:r>
      </w:hyperlink>
      <w:r w:rsidRPr="00A76789">
        <w:rPr>
          <w:rtl/>
        </w:rPr>
        <w:t xml:space="preserve"> إرشادات للمنظمين ومقدمي الخدمات المالية الرقمية بشأن اعتماد الممارسات الأمنية </w:t>
      </w:r>
      <w:r>
        <w:rPr>
          <w:rFonts w:hint="cs"/>
          <w:rtl/>
        </w:rPr>
        <w:t xml:space="preserve">الفضلى </w:t>
      </w:r>
      <w:r w:rsidRPr="00A76789">
        <w:rPr>
          <w:rtl/>
        </w:rPr>
        <w:t>التي وضعت في إطار المبادرة FIGI. ويساعد مختبر أمن الخدمات المالية الرقمية أصحاب المصلحة للتحقق من اتباع أفضل الممارسات هذه.</w:t>
      </w:r>
    </w:p>
    <w:p w14:paraId="44367279" w14:textId="77777777" w:rsidR="004D1D9B" w:rsidRPr="00A76789" w:rsidRDefault="004D1D9B" w:rsidP="00A76789">
      <w:r w:rsidRPr="00A76789">
        <w:rPr>
          <w:rtl/>
        </w:rPr>
        <w:t xml:space="preserve">وأجرى مختبر أمن الخدمات المالية الرقمية اثنتين وثلاثين (32) دورة تدريبية أمنية في فترة الدراسة، وهي مدرجة في هذه </w:t>
      </w:r>
      <w:hyperlink r:id="rId198" w:history="1">
        <w:r w:rsidRPr="00906EBA">
          <w:rPr>
            <w:rStyle w:val="Hyperlink"/>
            <w:rtl/>
          </w:rPr>
          <w:t>الصفحة الإلكترونية</w:t>
        </w:r>
      </w:hyperlink>
      <w:r w:rsidRPr="00A76789">
        <w:rPr>
          <w:rtl/>
        </w:rPr>
        <w:t>.</w:t>
      </w:r>
    </w:p>
    <w:p w14:paraId="77D257DB" w14:textId="77777777" w:rsidR="004D1D9B" w:rsidRPr="00A76789" w:rsidRDefault="004D1D9B" w:rsidP="00A76789">
      <w:r w:rsidRPr="00A76789">
        <w:rPr>
          <w:b/>
          <w:bCs/>
          <w:rtl/>
        </w:rPr>
        <w:t>برنامج نقل المعرفة</w:t>
      </w:r>
      <w:r w:rsidRPr="00A76789">
        <w:rPr>
          <w:rtl/>
        </w:rPr>
        <w:t>: كجزء من أنشطة مختبر أمن الخدمات المالية الرقمية، ينفذ الاتحاد أيضاً برنامجاً لنقل المعرفة لدعم منظمي الاتصالات في الاقتصادات الناشئة في إنشاء مختبراتهم الأمنية الخاصة وتنفيذ منهجية الأمن لإجراء عمليات التدقيق الأمني لتطبيقات الدفع عبر الهاتف المحمول وفقاً لمنهجية أكبر 10 مخاطر أمنية تهدد التطبيقات المتنقلة.</w:t>
      </w:r>
    </w:p>
    <w:p w14:paraId="5B816CD6" w14:textId="77777777" w:rsidR="004D1D9B" w:rsidRDefault="004D1D9B" w:rsidP="00A76789">
      <w:pPr>
        <w:rPr>
          <w:rtl/>
        </w:rPr>
      </w:pPr>
      <w:r w:rsidRPr="00A76789">
        <w:rPr>
          <w:rtl/>
        </w:rPr>
        <w:t xml:space="preserve">وقد استفادت البلدان التالية من برنامج نقل المعرفة في فترة الدراسة: أوغندا وتنزانيا وبيرو وغامبيا وزمبابوي. وفي عام 2024، قدمت إسواتيني وغانا وسانت لوسيا وأنتيغوا </w:t>
      </w:r>
      <w:proofErr w:type="spellStart"/>
      <w:r w:rsidRPr="00A76789">
        <w:rPr>
          <w:rtl/>
        </w:rPr>
        <w:t>وبربودا</w:t>
      </w:r>
      <w:proofErr w:type="spellEnd"/>
      <w:r w:rsidRPr="00A76789">
        <w:rPr>
          <w:rtl/>
        </w:rPr>
        <w:t xml:space="preserve"> طلبات للمساعدة من برنامج نقل المعرفة.</w:t>
      </w:r>
    </w:p>
    <w:p w14:paraId="0F392663" w14:textId="77777777" w:rsidR="004D1D9B" w:rsidRPr="00A76789" w:rsidRDefault="004D1D9B" w:rsidP="00906EBA">
      <w:r w:rsidRPr="00A76789">
        <w:rPr>
          <w:b/>
          <w:bCs/>
          <w:rtl/>
        </w:rPr>
        <w:t>منصة تبادل المعرفة</w:t>
      </w:r>
      <w:r w:rsidRPr="00A76789">
        <w:rPr>
          <w:rtl/>
        </w:rPr>
        <w:t xml:space="preserve">: تساعد هذه المنصة التي طورها مختبر أمن الخدمات المالية الرقمية التابع للاتحاد الهيئات التنظيمية على التعاون مع المختبر لمواكبة الضوابط الأمنية </w:t>
      </w:r>
      <w:hyperlink r:id="rId199" w:history="1">
        <w:r w:rsidRPr="00906EBA">
          <w:rPr>
            <w:rStyle w:val="Hyperlink"/>
            <w:rtl/>
          </w:rPr>
          <w:t>لإطار ضمان أمن الخدمات المالية الرقمية</w:t>
        </w:r>
      </w:hyperlink>
      <w:r w:rsidRPr="00906EBA">
        <w:rPr>
          <w:rtl/>
        </w:rPr>
        <w:t xml:space="preserve"> </w:t>
      </w:r>
      <w:r w:rsidRPr="00A76789">
        <w:rPr>
          <w:rtl/>
        </w:rPr>
        <w:t>و</w:t>
      </w:r>
      <w:hyperlink r:id="rId200" w:history="1">
        <w:r w:rsidRPr="00906EBA">
          <w:rPr>
            <w:rStyle w:val="Hyperlink"/>
            <w:rtl/>
          </w:rPr>
          <w:t>التوصيات الأمنية الخاصة بالخدمات المالية الرقمية</w:t>
        </w:r>
      </w:hyperlink>
      <w:r w:rsidRPr="00906EBA">
        <w:rPr>
          <w:rtl/>
        </w:rPr>
        <w:t>.</w:t>
      </w:r>
      <w:r w:rsidRPr="00A76789">
        <w:rPr>
          <w:rtl/>
        </w:rPr>
        <w:t xml:space="preserve"> وتدعم أيضاً تبادل الخبرات وعرض التحديات والدروس المستفادة من تنفيذ التدابير الأمنية في مختلف الولايات القضائية. وأُطلقت المنصة في نوفمبر 2023.</w:t>
      </w:r>
    </w:p>
    <w:p w14:paraId="1E8252DF" w14:textId="77777777" w:rsidR="004D1D9B" w:rsidRPr="00A76789" w:rsidRDefault="004D1D9B" w:rsidP="00A76789">
      <w:r w:rsidRPr="00A76789">
        <w:rPr>
          <w:b/>
          <w:bCs/>
          <w:rtl/>
        </w:rPr>
        <w:t>مجموعة أدوات تقييم مرونة الأمن السيبراني للبنية التحتية الحرجة للخدمات المالية الرقمية</w:t>
      </w:r>
      <w:r w:rsidRPr="00A76789">
        <w:rPr>
          <w:b/>
          <w:bCs/>
        </w:rPr>
        <w:t>:</w:t>
      </w:r>
      <w:r w:rsidRPr="00A76789">
        <w:rPr>
          <w:rtl/>
        </w:rPr>
        <w:t xml:space="preserve"> تزود مجموعة </w:t>
      </w:r>
      <w:hyperlink r:id="rId201" w:history="1">
        <w:r w:rsidRPr="00906EBA">
          <w:rPr>
            <w:rStyle w:val="Hyperlink"/>
            <w:rtl/>
          </w:rPr>
          <w:t>الأدوات الشاملة لتقييم مرونة الأمن السيبراني للبنية التحتية الحرجة للخدمات المالية الرقمية</w:t>
        </w:r>
      </w:hyperlink>
      <w:r w:rsidRPr="00906EBA">
        <w:rPr>
          <w:rtl/>
        </w:rPr>
        <w:t xml:space="preserve"> </w:t>
      </w:r>
      <w:r w:rsidRPr="00A76789">
        <w:rPr>
          <w:rtl/>
        </w:rPr>
        <w:t>هيئات تنظيم الخدمات المالية الرقمية بالتوجيهات اللازمة لتقييم نقاط الضعف في الأمن السيبراني في البنية التحتية المالية الرقمية وإجراء تقييمات التأهب السيبراني بين أصحاب المصلحة في النظام الإيكولوجي للخدمات المالية الرقمية.</w:t>
      </w:r>
    </w:p>
    <w:p w14:paraId="08B2039D" w14:textId="77777777" w:rsidR="004D1D9B" w:rsidRPr="00A76789" w:rsidRDefault="004D1D9B" w:rsidP="00A76789">
      <w:r w:rsidRPr="00A76789">
        <w:rPr>
          <w:rtl/>
        </w:rPr>
        <w:t xml:space="preserve">وفي عام 2024، تلقى مختبر أمن الخدمات المالية الرقمية التابع للاتحاد طلبات من ليسوتو وبيرو وتنزانيا للمساعدة في تنفيذ مجموعة الأدوات. كما أعربت منظمة اتصالات شرق إفريقيا </w:t>
      </w:r>
      <w:r w:rsidRPr="00A76789">
        <w:t>(EACO</w:t>
      </w:r>
      <w:r>
        <w:t>)</w:t>
      </w:r>
      <w:r w:rsidRPr="00A76789">
        <w:rPr>
          <w:rtl/>
        </w:rPr>
        <w:t>، ورابطة منظمي الاتصالات في الجنوب الإفريقي</w:t>
      </w:r>
      <w:r>
        <w:rPr>
          <w:rFonts w:hint="cs"/>
          <w:rtl/>
        </w:rPr>
        <w:t> </w:t>
      </w:r>
      <w:r w:rsidRPr="00A76789">
        <w:rPr>
          <w:rtl/>
        </w:rPr>
        <w:t>(</w:t>
      </w:r>
      <w:r w:rsidRPr="00A76789">
        <w:t>CRASA</w:t>
      </w:r>
      <w:r w:rsidRPr="00A76789">
        <w:rPr>
          <w:rtl/>
        </w:rPr>
        <w:t>)، وجمعية منظمي الاتصالات في غرب إفريقيا</w:t>
      </w:r>
      <w:r>
        <w:rPr>
          <w:rFonts w:hint="cs"/>
          <w:rtl/>
        </w:rPr>
        <w:t> </w:t>
      </w:r>
      <w:r w:rsidRPr="00A76789">
        <w:rPr>
          <w:rtl/>
        </w:rPr>
        <w:t>(</w:t>
      </w:r>
      <w:r w:rsidRPr="00A76789">
        <w:t>WATRA</w:t>
      </w:r>
      <w:r w:rsidRPr="00A76789">
        <w:rPr>
          <w:rtl/>
        </w:rPr>
        <w:t>)، عن اهتمامها بمجموعة الأدوات ومن المقرر أن تبدأ المساعدة التقنية المرتبطة بها المقدمة من مكتب تقييس الاتصالات في الربع الأخير من عام 2024.</w:t>
      </w:r>
    </w:p>
    <w:p w14:paraId="30416644" w14:textId="77777777" w:rsidR="004D1D9B" w:rsidRPr="00A76789" w:rsidRDefault="004D1D9B" w:rsidP="00A76789">
      <w:r w:rsidRPr="00A76789">
        <w:rPr>
          <w:b/>
          <w:bCs/>
          <w:rtl/>
        </w:rPr>
        <w:t xml:space="preserve">الشراكة مع </w:t>
      </w:r>
      <w:r w:rsidRPr="00A76789">
        <w:rPr>
          <w:b/>
          <w:bCs/>
        </w:rPr>
        <w:t>FNSV</w:t>
      </w:r>
      <w:r w:rsidRPr="00A76789">
        <w:rPr>
          <w:b/>
          <w:bCs/>
          <w:rtl/>
        </w:rPr>
        <w:t xml:space="preserve"> بشأن الاستيقان الآمن لسلسلة الكتل</w:t>
      </w:r>
      <w:r w:rsidRPr="00A76789">
        <w:rPr>
          <w:rtl/>
        </w:rPr>
        <w:t>: دخل الاتحاد في شراكة تعاون لمدة عام واحد مع مؤسسة</w:t>
      </w:r>
      <w:r>
        <w:rPr>
          <w:rFonts w:hint="cs"/>
          <w:rtl/>
        </w:rPr>
        <w:t> </w:t>
      </w:r>
      <w:r w:rsidRPr="00A76789">
        <w:t>FNSV</w:t>
      </w:r>
      <w:r w:rsidRPr="00A76789">
        <w:rPr>
          <w:rtl/>
        </w:rPr>
        <w:t xml:space="preserve"> في كوريا في أغسطس 2023 لتعزيز التكنولوجيا بدون كلمة مرور في المدفوعات المتنقلة باستخدام الاستيقان الآمن لسلسلة الكتل في البلدان النامية.</w:t>
      </w:r>
    </w:p>
    <w:p w14:paraId="57FD1C70" w14:textId="77777777" w:rsidR="004D1D9B" w:rsidRPr="00A76789" w:rsidRDefault="004D1D9B" w:rsidP="00A76789">
      <w:bookmarkStart w:id="106" w:name="_Hlk172568207"/>
      <w:r w:rsidRPr="00A76789">
        <w:rPr>
          <w:rtl/>
        </w:rPr>
        <w:t xml:space="preserve">وأُطلقت في أبريل 2024 </w:t>
      </w:r>
      <w:hyperlink r:id="rId202" w:history="1">
        <w:r w:rsidRPr="00515FF8">
          <w:rPr>
            <w:rStyle w:val="Hyperlink"/>
            <w:rtl/>
          </w:rPr>
          <w:t xml:space="preserve">مسابقة الاتحاد بشأن تطبيق الاستيقان الآمن لسلسلة الكتل </w:t>
        </w:r>
        <w:r w:rsidRPr="00515FF8">
          <w:rPr>
            <w:rStyle w:val="Hyperlink"/>
          </w:rPr>
          <w:t>(BSA</w:t>
        </w:r>
        <w:r w:rsidRPr="00515FF8">
          <w:rPr>
            <w:rStyle w:val="Hyperlink"/>
            <w:lang w:bidi="ar-EG"/>
          </w:rPr>
          <w:t>)</w:t>
        </w:r>
      </w:hyperlink>
      <w:r w:rsidRPr="00515FF8">
        <w:rPr>
          <w:rtl/>
        </w:rPr>
        <w:t xml:space="preserve"> </w:t>
      </w:r>
      <w:r w:rsidRPr="00A76789">
        <w:rPr>
          <w:rtl/>
        </w:rPr>
        <w:t xml:space="preserve">التي ينظمها الاتحاد بالاشتراك مع مؤسسة </w:t>
      </w:r>
      <w:r w:rsidRPr="00A76789">
        <w:t>FNSV</w:t>
      </w:r>
      <w:r w:rsidRPr="00A76789">
        <w:rPr>
          <w:rtl/>
        </w:rPr>
        <w:t xml:space="preserve"> في كوريا. وتهدف المسابقة إلى إلهام المطوِّرين للاستفادة من الاستيقان الآمن لسلسلة الكتل من أجل إيجاد أساليب استيقان أقوى وأكثر أمناً تتجاوز كلمات المرور التقليدية. تتم استضافة التحدي على </w:t>
      </w:r>
      <w:hyperlink r:id="rId203" w:history="1">
        <w:r w:rsidRPr="00515FF8">
          <w:rPr>
            <w:rStyle w:val="Hyperlink"/>
          </w:rPr>
          <w:t>Zindi</w:t>
        </w:r>
      </w:hyperlink>
      <w:r w:rsidRPr="00A76789">
        <w:rPr>
          <w:rtl/>
        </w:rPr>
        <w:t xml:space="preserve"> وقد اجتذب 171 مشاركاً مسجلاً من 39 بلداً. ويستضيف مختبر أمن الخدمات المالية الرقمية التابع للاتحاد</w:t>
      </w:r>
      <w:r w:rsidRPr="00515FF8">
        <w:rPr>
          <w:rtl/>
        </w:rPr>
        <w:t xml:space="preserve"> </w:t>
      </w:r>
      <w:hyperlink r:id="rId204" w:history="1">
        <w:r w:rsidRPr="00515FF8">
          <w:rPr>
            <w:rStyle w:val="Hyperlink"/>
            <w:rtl/>
          </w:rPr>
          <w:t>منصة اختبار الاستيقان الآمن لسلسة الكتل</w:t>
        </w:r>
      </w:hyperlink>
      <w:r w:rsidRPr="00515FF8">
        <w:rPr>
          <w:rtl/>
        </w:rPr>
        <w:t xml:space="preserve"> </w:t>
      </w:r>
      <w:r w:rsidRPr="00A76789">
        <w:rPr>
          <w:rtl/>
        </w:rPr>
        <w:t>التي توفر موارد للمطورين.</w:t>
      </w:r>
    </w:p>
    <w:bookmarkEnd w:id="106"/>
    <w:p w14:paraId="2438D772" w14:textId="77777777" w:rsidR="004D1D9B" w:rsidRPr="00A76789" w:rsidRDefault="004D1D9B" w:rsidP="00A76789">
      <w:r w:rsidRPr="00A76789">
        <w:rPr>
          <w:b/>
          <w:bCs/>
          <w:rtl/>
        </w:rPr>
        <w:t>التعاون مع الاتحاد البريدي العالمي:</w:t>
      </w:r>
      <w:r w:rsidRPr="00A76789">
        <w:rPr>
          <w:rtl/>
        </w:rPr>
        <w:t xml:space="preserve"> يجتمع فريق عمل معني بالخدمات المالية الرقمية مشترك بين أمانتي الاتحاد والاتحاد البريدي العالمي كل ثلاثة أشهر لتبادل المعلومات حول الأحداث والأنشطة التي تنفذها كل منظمة فيما يتعلق بالخدمات المالية الرقمية والتعاون المحتمل ذي الصلة، وذلك بموجب القرار 11 للجمعية. وفي عام 2024، ساعد برنامج نقل المعرفة لدى مختبر أمن الخدمات المالية الرقمية للاتحاد، الاتحاد البريدي العالمي في تدريب موظفيه على إجراء عمليات تدقيق أمني لتطبيقات الدفع عبر الهاتف المحمول استناداً إلى </w:t>
      </w:r>
      <w:r w:rsidRPr="00A76789">
        <w:t>USSD</w:t>
      </w:r>
      <w:r w:rsidRPr="00A76789">
        <w:rPr>
          <w:rtl/>
        </w:rPr>
        <w:t xml:space="preserve"> و</w:t>
      </w:r>
      <w:r w:rsidRPr="00A76789">
        <w:t>iOS</w:t>
      </w:r>
      <w:r w:rsidRPr="00A76789">
        <w:rPr>
          <w:rtl/>
        </w:rPr>
        <w:t xml:space="preserve"> و</w:t>
      </w:r>
      <w:r w:rsidRPr="00A76789">
        <w:t>Android</w:t>
      </w:r>
      <w:r w:rsidRPr="00A76789">
        <w:rPr>
          <w:rtl/>
        </w:rPr>
        <w:t>.</w:t>
      </w:r>
    </w:p>
    <w:p w14:paraId="33ADF353" w14:textId="77777777" w:rsidR="004D1D9B" w:rsidRPr="00A76789" w:rsidRDefault="004D1D9B" w:rsidP="00A76789">
      <w:r w:rsidRPr="00A76789">
        <w:rPr>
          <w:b/>
          <w:bCs/>
          <w:rtl/>
        </w:rPr>
        <w:t>منتدى المحفظة المفتوحة</w:t>
      </w:r>
      <w:r w:rsidRPr="00A76789">
        <w:rPr>
          <w:rtl/>
        </w:rPr>
        <w:t xml:space="preserve">: يعكف الاتحاد ومؤسسة </w:t>
      </w:r>
      <w:r w:rsidRPr="00A76789">
        <w:t>Linux</w:t>
      </w:r>
      <w:r w:rsidRPr="00A76789">
        <w:rPr>
          <w:rtl/>
        </w:rPr>
        <w:t xml:space="preserve"> على إطلاق </w:t>
      </w:r>
      <w:hyperlink r:id="rId205" w:anchor="/ar" w:history="1">
        <w:r w:rsidRPr="00515FF8">
          <w:rPr>
            <w:rStyle w:val="Hyperlink"/>
            <w:rtl/>
          </w:rPr>
          <w:t>منتدى المحفظة المفتوحة</w:t>
        </w:r>
      </w:hyperlink>
      <w:r w:rsidRPr="00A76789">
        <w:rPr>
          <w:rtl/>
        </w:rPr>
        <w:t xml:space="preserve"> لتحفيز النفاذ العالمي إلى المحافظ الرقمية التي تشكل اللبنات التكنولوجية الرئيسية للبنية التحتية العامة الرقمية. وسيحظى المنتدى أيضاً بدعم من مركز </w:t>
      </w:r>
      <w:r w:rsidRPr="00A76789">
        <w:t>UNICC</w:t>
      </w:r>
      <w:r w:rsidRPr="00A76789">
        <w:rPr>
          <w:rtl/>
        </w:rPr>
        <w:t xml:space="preserve"> وحكومة سويسرا.</w:t>
      </w:r>
    </w:p>
    <w:p w14:paraId="335C98DC" w14:textId="77777777" w:rsidR="004D1D9B" w:rsidRPr="00A76789" w:rsidRDefault="004D1D9B" w:rsidP="00A76789">
      <w:r w:rsidRPr="00A76789">
        <w:rPr>
          <w:rtl/>
        </w:rPr>
        <w:t>وسيوفر منتدى المحفظة المفتوحة منصة للتعاون بين أصحاب المصلحة المتعددين لدمج المتطلبات واسعة النطاق من الحكومات والشركات في السياسات المنسقة والمعايير التقنية للمحافظ الرقمية. وسيركز على أمن المحافظ الرقمية وقابليتها للتشغيل البيني.</w:t>
      </w:r>
    </w:p>
    <w:p w14:paraId="0261045F" w14:textId="77777777" w:rsidR="004D1D9B" w:rsidRPr="00A76789" w:rsidRDefault="004D1D9B" w:rsidP="00515FF8">
      <w:r w:rsidRPr="00A76789">
        <w:rPr>
          <w:b/>
          <w:bCs/>
          <w:rtl/>
        </w:rPr>
        <w:lastRenderedPageBreak/>
        <w:t>العملة الرقمية</w:t>
      </w:r>
      <w:r w:rsidRPr="00A76789">
        <w:rPr>
          <w:b/>
          <w:bCs/>
        </w:rPr>
        <w:t>:</w:t>
      </w:r>
      <w:r w:rsidRPr="00A76789">
        <w:rPr>
          <w:rtl/>
        </w:rPr>
        <w:t xml:space="preserve"> </w:t>
      </w:r>
      <w:hyperlink r:id="rId206" w:history="1">
        <w:r w:rsidRPr="00515FF8">
          <w:rPr>
            <w:rStyle w:val="Hyperlink"/>
            <w:rtl/>
          </w:rPr>
          <w:t>المبادرة العالمية للعملة الرقمية</w:t>
        </w:r>
      </w:hyperlink>
      <w:r w:rsidRPr="00515FF8">
        <w:rPr>
          <w:b/>
          <w:rtl/>
        </w:rPr>
        <w:t xml:space="preserve"> </w:t>
      </w:r>
      <w:r w:rsidRPr="00A76789">
        <w:rPr>
          <w:rtl/>
        </w:rPr>
        <w:t>هي تعاون بين الاتحاد وجامعة ستانفورد توفر منصة مفتوحة للحوار والبحث بشأن التنفيذ التجريبي للعملة الرقمية ووضع مواصفات للمعايير التقنية لتعزيز الاعتماد والنفاذ الشامل والشمول المالي.</w:t>
      </w:r>
    </w:p>
    <w:p w14:paraId="5EF158D2" w14:textId="77777777" w:rsidR="004D1D9B" w:rsidRPr="00A76789" w:rsidRDefault="004D1D9B" w:rsidP="00515FF8">
      <w:r w:rsidRPr="00A76789">
        <w:rPr>
          <w:rtl/>
        </w:rPr>
        <w:t xml:space="preserve">وبالإضافة إلى اجتماعات أفرقة العمل، نُظمت دورتان "لمؤتمر العملة الرقمية </w:t>
      </w:r>
      <w:r w:rsidRPr="00515FF8">
        <w:rPr>
          <w:rStyle w:val="FootnoteReference"/>
          <w:rtl/>
        </w:rPr>
        <w:t>3</w:t>
      </w:r>
      <w:r w:rsidRPr="00A76789">
        <w:rPr>
          <w:rtl/>
        </w:rPr>
        <w:t>DC</w:t>
      </w:r>
      <w:r>
        <w:rPr>
          <w:rFonts w:hint="cs"/>
          <w:rtl/>
        </w:rPr>
        <w:t>:</w:t>
      </w:r>
      <w:r w:rsidRPr="00A76789">
        <w:rPr>
          <w:rtl/>
        </w:rPr>
        <w:t xml:space="preserve"> من العملات المشفرة إلى العملات الرقمية للمصارف المركزية" في </w:t>
      </w:r>
      <w:hyperlink r:id="rId207" w:history="1">
        <w:r w:rsidRPr="00515FF8">
          <w:rPr>
            <w:rStyle w:val="Hyperlink"/>
            <w:rtl/>
          </w:rPr>
          <w:t>يناير 2023</w:t>
        </w:r>
      </w:hyperlink>
      <w:r w:rsidRPr="00A76789">
        <w:rPr>
          <w:rtl/>
        </w:rPr>
        <w:t xml:space="preserve"> و</w:t>
      </w:r>
      <w:hyperlink r:id="rId208" w:history="1">
        <w:r w:rsidRPr="00515FF8">
          <w:rPr>
            <w:rStyle w:val="Hyperlink"/>
            <w:rtl/>
          </w:rPr>
          <w:t>يناير 2022</w:t>
        </w:r>
      </w:hyperlink>
      <w:r w:rsidRPr="00A76789">
        <w:rPr>
          <w:rtl/>
        </w:rPr>
        <w:t>.</w:t>
      </w:r>
    </w:p>
    <w:p w14:paraId="6BE965DA" w14:textId="77777777" w:rsidR="004D1D9B" w:rsidRPr="00A76789" w:rsidRDefault="004D1D9B" w:rsidP="00515FF8">
      <w:pPr>
        <w:pStyle w:val="Heading2"/>
      </w:pPr>
      <w:bookmarkStart w:id="107" w:name="_5.4_Resilience_to"/>
      <w:bookmarkStart w:id="108" w:name="_5.3_Smart_cities"/>
      <w:bookmarkStart w:id="109" w:name="_5.4_Digital_transformation"/>
      <w:bookmarkStart w:id="110" w:name="_3.4_Intelligent_transport"/>
      <w:bookmarkStart w:id="111" w:name="_5.4_Environment,_climate"/>
      <w:bookmarkStart w:id="112" w:name="_5.5_Intelligent_transport"/>
      <w:bookmarkStart w:id="113" w:name="_Toc179219757"/>
      <w:bookmarkStart w:id="114" w:name="_Toc179221067"/>
      <w:bookmarkStart w:id="115" w:name="_Toc179733609"/>
      <w:bookmarkEnd w:id="107"/>
      <w:bookmarkEnd w:id="108"/>
      <w:bookmarkEnd w:id="109"/>
      <w:bookmarkEnd w:id="110"/>
      <w:bookmarkEnd w:id="111"/>
      <w:bookmarkEnd w:id="112"/>
      <w:r>
        <w:rPr>
          <w:rFonts w:hint="cs"/>
          <w:rtl/>
        </w:rPr>
        <w:t>5.5</w:t>
      </w:r>
      <w:r w:rsidRPr="00A76789">
        <w:rPr>
          <w:rtl/>
        </w:rPr>
        <w:tab/>
        <w:t>أنظمة</w:t>
      </w:r>
      <w:bookmarkStart w:id="116" w:name="FiveFive"/>
      <w:bookmarkEnd w:id="116"/>
      <w:r w:rsidRPr="00A76789">
        <w:rPr>
          <w:rtl/>
        </w:rPr>
        <w:t xml:space="preserve"> النقل الذكية</w:t>
      </w:r>
      <w:bookmarkEnd w:id="113"/>
      <w:bookmarkEnd w:id="114"/>
      <w:bookmarkEnd w:id="115"/>
    </w:p>
    <w:p w14:paraId="73F54CCF" w14:textId="77777777" w:rsidR="004D1D9B" w:rsidRPr="00A76789" w:rsidRDefault="004D1D9B" w:rsidP="00A76789">
      <w:bookmarkStart w:id="117" w:name="_Hlk120616326"/>
      <w:bookmarkStart w:id="118" w:name="_Hlk92287189"/>
      <w:r w:rsidRPr="00A76789">
        <w:rPr>
          <w:rtl/>
        </w:rPr>
        <w:t xml:space="preserve">تتناول </w:t>
      </w:r>
      <w:hyperlink r:id="rId209" w:history="1">
        <w:r w:rsidRPr="00515FF8">
          <w:rPr>
            <w:rStyle w:val="Hyperlink"/>
            <w:rtl/>
          </w:rPr>
          <w:t xml:space="preserve">ندوة سيارة المستقبل الموصولة شبكياً المشتركة بين الاتحاد ولجنة الأمم المتحدة الاقتصادية لأوروبا </w:t>
        </w:r>
        <w:r w:rsidRPr="00515FF8">
          <w:rPr>
            <w:rStyle w:val="Hyperlink"/>
          </w:rPr>
          <w:t>(UNECE</w:t>
        </w:r>
        <w:r>
          <w:rPr>
            <w:rStyle w:val="Hyperlink"/>
          </w:rPr>
          <w:t>)</w:t>
        </w:r>
      </w:hyperlink>
      <w:r w:rsidRPr="00515FF8">
        <w:rPr>
          <w:rtl/>
        </w:rPr>
        <w:t xml:space="preserve"> </w:t>
      </w:r>
      <w:r w:rsidRPr="00A76789">
        <w:rPr>
          <w:rtl/>
        </w:rPr>
        <w:t>أحدث التطورات في مجالات توصيلية المركبات والتنقل المؤتمت ودور الذكاء الاصطناعي في قطاع النقل، وتشهد تبادُل رؤى دولية متعمقة بشأن الآثار المرتبطة بالتكنولوجيا والأعمال والمعايير واللوائح التنظيمية. وعُقدت أحدث دوراتها عبر الإنترنت في مارس</w:t>
      </w:r>
      <w:r>
        <w:rPr>
          <w:rFonts w:hint="cs"/>
          <w:rtl/>
        </w:rPr>
        <w:t> </w:t>
      </w:r>
      <w:r w:rsidRPr="00A76789">
        <w:rPr>
          <w:rtl/>
        </w:rPr>
        <w:t>2024 و2023 و2022.</w:t>
      </w:r>
    </w:p>
    <w:p w14:paraId="2490A1B4" w14:textId="77777777" w:rsidR="004D1D9B" w:rsidRPr="00A76789" w:rsidRDefault="004D1D9B" w:rsidP="00A76789">
      <w:r w:rsidRPr="00A76789">
        <w:rPr>
          <w:rtl/>
        </w:rPr>
        <w:t xml:space="preserve">وعُقدت الدورة الإقليمية الأولى للندوة يوم 6 أكتوبر 2023، في الدوحة، قطر، حيث انطلقت في الدوحة جنباً إلى جنب مع معرض جنيف الدولي للسيارات. ونظم الندوة الاتحاد الدولي للاتصالات ولجنة الأمم المتحدة الاقتصادية لأوروبا بدعم من هيئة تنظيم الاتصالات في قطر. وركزت المناقشات على الفرص والتحديات بالنسبة لبلدان مجلس التعاون الخليجي </w:t>
      </w:r>
      <w:r w:rsidRPr="00A76789">
        <w:t>(GCC</w:t>
      </w:r>
      <w:r>
        <w:t>)</w:t>
      </w:r>
      <w:r w:rsidRPr="00A76789">
        <w:rPr>
          <w:rtl/>
        </w:rPr>
        <w:t>.</w:t>
      </w:r>
    </w:p>
    <w:bookmarkEnd w:id="117"/>
    <w:p w14:paraId="5B983DA5" w14:textId="77777777" w:rsidR="004D1D9B" w:rsidRDefault="004D1D9B" w:rsidP="00A76789">
      <w:pPr>
        <w:rPr>
          <w:rtl/>
        </w:rPr>
      </w:pPr>
      <w:r w:rsidRPr="00A76789">
        <w:rPr>
          <w:rtl/>
        </w:rPr>
        <w:t>و</w:t>
      </w:r>
      <w:hyperlink r:id="rId210" w:history="1">
        <w:r w:rsidRPr="00515FF8">
          <w:rPr>
            <w:rStyle w:val="Hyperlink"/>
            <w:rtl/>
          </w:rPr>
          <w:t xml:space="preserve">التعاون بشأن معايير اتصالات أنظمة النقل الذكية </w:t>
        </w:r>
        <w:r w:rsidRPr="00515FF8">
          <w:rPr>
            <w:rStyle w:val="Hyperlink"/>
          </w:rPr>
          <w:t>(CITS)</w:t>
        </w:r>
      </w:hyperlink>
      <w:r w:rsidRPr="00A76789">
        <w:rPr>
          <w:rtl/>
        </w:rPr>
        <w:t xml:space="preserve"> الذي يقوده الاتحاد هو منتدى يدعم تنسيق مجموعة مقبولة دولياً ومنسَّقة عالمياً من معايير الاتصالات الخاصة بأنظمة النقل الذكية (</w:t>
      </w:r>
      <w:r w:rsidRPr="00A76789">
        <w:t>ITS</w:t>
      </w:r>
      <w:r w:rsidRPr="00A76789">
        <w:rPr>
          <w:rtl/>
        </w:rPr>
        <w:t>) بأعلى درجة من الجودة وبأسرع ما يكون بُغية التمكين من تزويد السوق العالمية سريعاً بمنتجات وخدمات الاتصالات المتعلقة بأنظمة النقل الذكية القابلة تماماً للتشغيل البيني.</w:t>
      </w:r>
    </w:p>
    <w:p w14:paraId="7A81D92D" w14:textId="77777777" w:rsidR="004D1D9B" w:rsidRPr="00A76789" w:rsidRDefault="004D1D9B" w:rsidP="00A76789">
      <w:r w:rsidRPr="00515FF8">
        <w:rPr>
          <w:rtl/>
        </w:rPr>
        <w:t>و</w:t>
      </w:r>
      <w:hyperlink r:id="rId211" w:history="1">
        <w:r w:rsidRPr="00515FF8">
          <w:rPr>
            <w:rStyle w:val="Hyperlink"/>
            <w:rtl/>
          </w:rPr>
          <w:t xml:space="preserve">فريق الخبراء </w:t>
        </w:r>
        <w:r w:rsidRPr="00515FF8">
          <w:rPr>
            <w:rStyle w:val="Hyperlink"/>
          </w:rPr>
          <w:t>CITS</w:t>
        </w:r>
        <w:r w:rsidRPr="00515FF8">
          <w:rPr>
            <w:rStyle w:val="Hyperlink"/>
            <w:rtl/>
          </w:rPr>
          <w:t xml:space="preserve"> المعني بتكنولوجيا الاتصالات من أجل القيادة الآلية</w:t>
        </w:r>
      </w:hyperlink>
      <w:r w:rsidRPr="00A76789">
        <w:rPr>
          <w:rtl/>
        </w:rPr>
        <w:t xml:space="preserve"> الذي أُطلق في عام 2023، يقوم حالياً بتشغيل فريقي عمل بشأن </w:t>
      </w:r>
      <w:r w:rsidRPr="00515FF8">
        <w:rPr>
          <w:rtl/>
        </w:rPr>
        <w:t>"</w:t>
      </w:r>
      <w:hyperlink r:id="rId212" w:history="1">
        <w:r w:rsidRPr="00515FF8">
          <w:rPr>
            <w:rStyle w:val="Hyperlink"/>
            <w:rtl/>
          </w:rPr>
          <w:t>اتصالات المركبات لأغراض الدمج التلقائي في الممرات المزدحمة</w:t>
        </w:r>
      </w:hyperlink>
      <w:r w:rsidRPr="00515FF8">
        <w:rPr>
          <w:rtl/>
        </w:rPr>
        <w:t xml:space="preserve">" </w:t>
      </w:r>
      <w:r w:rsidRPr="00A76789">
        <w:rPr>
          <w:rtl/>
        </w:rPr>
        <w:t>و"</w:t>
      </w:r>
      <w:hyperlink r:id="rId213" w:history="1">
        <w:r w:rsidRPr="00515FF8">
          <w:rPr>
            <w:rStyle w:val="Hyperlink"/>
            <w:rtl/>
          </w:rPr>
          <w:t>اتصالات المركبات من أجل الكبح المتقدم في حالات الطوارئ، بما في ذلك حماية مستعملي الطرق المعرضين للخطر</w:t>
        </w:r>
      </w:hyperlink>
      <w:r w:rsidRPr="00A76789">
        <w:rPr>
          <w:u w:val="single"/>
          <w:rtl/>
        </w:rPr>
        <w:t>"</w:t>
      </w:r>
      <w:r w:rsidRPr="00A76789">
        <w:rPr>
          <w:rtl/>
        </w:rPr>
        <w:t>.</w:t>
      </w:r>
      <w:bookmarkStart w:id="119" w:name="_Hlk172568450"/>
      <w:bookmarkEnd w:id="119"/>
    </w:p>
    <w:p w14:paraId="62758550" w14:textId="77777777" w:rsidR="004D1D9B" w:rsidRPr="00A76789" w:rsidRDefault="004D1D9B" w:rsidP="00A76789">
      <w:r w:rsidRPr="00A76789">
        <w:rPr>
          <w:rtl/>
        </w:rPr>
        <w:t>وعادةً ما تُعقد اجتماعات هيئة التعاون المعنية بوضع معايير الاتصالات لأنظمة النقل الذكية مرتين في السنة، في مارس وسبتمبر، وكثيراً ما تُنظم بالتعاقب مع الأحداث الأخرى المتعلقة بأنظمة النقل الذكية، من قبيل الندوات السنوية المشتركة بين الاتحاد واللجنة الاقتصادية لأوروبا التابعة للأمم المتحدة بشأن سيارة المستقبل الموصولة شبكياً، والتي تتيح أيضاً فرصاً لتبادل المعلومات وإبقاء الخبراء مطلعين على مستجدات تقييس أنظمة النقل الذكية. ويُدعى ممثلو مختلف هيئات وضع المعايير المعنية إلى تقديم تقرير حالة إلى اجتماعات هيئة التعاون بشأن أنشطة تقييس أنظمة النقل الذكية الجارية في منظماتهم.</w:t>
      </w:r>
    </w:p>
    <w:p w14:paraId="5188328A" w14:textId="77777777" w:rsidR="004D1D9B" w:rsidRDefault="004D1D9B" w:rsidP="00A76789">
      <w:pPr>
        <w:rPr>
          <w:rtl/>
        </w:rPr>
      </w:pPr>
      <w:r w:rsidRPr="00A76789">
        <w:rPr>
          <w:rtl/>
        </w:rPr>
        <w:t xml:space="preserve">وتدير هيئة التعاون </w:t>
      </w:r>
      <w:hyperlink r:id="rId214" w:anchor="?topic=0.131&amp;workgroup=1&amp;searchValue=&amp;page=1&amp;sort=Revelance" w:history="1">
        <w:r w:rsidRPr="00515FF8">
          <w:rPr>
            <w:rStyle w:val="Hyperlink"/>
            <w:rtl/>
          </w:rPr>
          <w:t>قاعدة البيانات العالمية لمعايير الاتصالات الخاصة بأنظمة النقل الذكية</w:t>
        </w:r>
      </w:hyperlink>
      <w:r w:rsidRPr="00A76789">
        <w:rPr>
          <w:rtl/>
        </w:rPr>
        <w:t xml:space="preserve">. وقد صُممت قاعدة البيانات للمساعدة في تنسيق معايير أنظمة النقل الذكية </w:t>
      </w:r>
      <w:r w:rsidRPr="00A76789">
        <w:t>(ITS</w:t>
      </w:r>
      <w:r>
        <w:t>)</w:t>
      </w:r>
      <w:r w:rsidRPr="00A76789">
        <w:rPr>
          <w:rtl/>
        </w:rPr>
        <w:t>. وهي تتضمن معايير وضعتها جميع هيئات وضع المعايير ذات الصلة، مما يقدم مرجعاً لجميع المعايير التي تدعم المركبات الموصولة والقيادة المؤتمتة.</w:t>
      </w:r>
    </w:p>
    <w:p w14:paraId="7107C839" w14:textId="77777777" w:rsidR="004D1D9B" w:rsidRDefault="004D1D9B" w:rsidP="00A76789">
      <w:pPr>
        <w:rPr>
          <w:rtl/>
        </w:rPr>
      </w:pPr>
      <w:r w:rsidRPr="00A76789">
        <w:rPr>
          <w:rtl/>
        </w:rPr>
        <w:t xml:space="preserve">انظر أيضاً </w:t>
      </w:r>
      <w:hyperlink r:id="rId215" w:history="1">
        <w:r w:rsidRPr="00515FF8">
          <w:rPr>
            <w:rStyle w:val="Hyperlink"/>
            <w:rtl/>
          </w:rPr>
          <w:t>البوابة الإلكترونية</w:t>
        </w:r>
      </w:hyperlink>
      <w:r w:rsidRPr="00A76789">
        <w:rPr>
          <w:rtl/>
        </w:rPr>
        <w:t xml:space="preserve"> الجديدة للاتحاد بشأن أنظمة النقل الذكية.</w:t>
      </w:r>
    </w:p>
    <w:p w14:paraId="529928B8" w14:textId="77777777" w:rsidR="004D1D9B" w:rsidRDefault="004D1D9B" w:rsidP="00515FF8">
      <w:pPr>
        <w:pStyle w:val="Heading2"/>
      </w:pPr>
      <w:bookmarkStart w:id="120" w:name="_5.6_CTO_and"/>
      <w:bookmarkStart w:id="121" w:name="_5.7_Green_Digital"/>
      <w:bookmarkStart w:id="122" w:name="_5.6_Green_digital"/>
      <w:bookmarkStart w:id="123" w:name="_Toc179219758"/>
      <w:bookmarkStart w:id="124" w:name="_Toc179221068"/>
      <w:bookmarkStart w:id="125" w:name="_Toc179733610"/>
      <w:bookmarkStart w:id="126" w:name="_Hlk172133209"/>
      <w:bookmarkStart w:id="127" w:name="_Hlk120616343"/>
      <w:bookmarkEnd w:id="120"/>
      <w:bookmarkEnd w:id="121"/>
      <w:bookmarkEnd w:id="122"/>
      <w:r>
        <w:t>6.5</w:t>
      </w:r>
      <w:r w:rsidRPr="00A76789">
        <w:rPr>
          <w:rtl/>
        </w:rPr>
        <w:tab/>
        <w:t>العمل الر</w:t>
      </w:r>
      <w:bookmarkStart w:id="128" w:name="FiveSix"/>
      <w:bookmarkEnd w:id="128"/>
      <w:r w:rsidRPr="00A76789">
        <w:rPr>
          <w:rtl/>
        </w:rPr>
        <w:t>قمي الأخضر</w:t>
      </w:r>
      <w:bookmarkEnd w:id="123"/>
      <w:bookmarkEnd w:id="124"/>
      <w:bookmarkEnd w:id="125"/>
    </w:p>
    <w:p w14:paraId="58BBF7FA" w14:textId="77777777" w:rsidR="004D1D9B" w:rsidRPr="00A76789" w:rsidRDefault="004D1D9B" w:rsidP="00A76789">
      <w:r w:rsidRPr="00A76789">
        <w:rPr>
          <w:rtl/>
        </w:rPr>
        <w:t xml:space="preserve">يواصل الاتحاد </w:t>
      </w:r>
      <w:hyperlink r:id="rId216" w:history="1">
        <w:r w:rsidRPr="00515FF8">
          <w:rPr>
            <w:rStyle w:val="Hyperlink"/>
            <w:rtl/>
          </w:rPr>
          <w:t>أنشطة العمل الرقمي الأخضر</w:t>
        </w:r>
      </w:hyperlink>
      <w:r w:rsidRPr="00A76789">
        <w:rPr>
          <w:rtl/>
        </w:rPr>
        <w:t xml:space="preserve"> بعد استهلاله </w:t>
      </w:r>
      <w:hyperlink r:id="rId217" w:history="1">
        <w:r w:rsidRPr="00515FF8">
          <w:rPr>
            <w:rStyle w:val="Hyperlink"/>
            <w:rtl/>
          </w:rPr>
          <w:t>مسار العمل الرقمي الأخضر في الدورة الثامنة والعشرين لمؤتمر الأطراف في اتفاقية الأمم المتحدة الإطارية بشأن تغيُّر المناخ COP28</w:t>
        </w:r>
      </w:hyperlink>
      <w:r w:rsidRPr="00A76789">
        <w:rPr>
          <w:rtl/>
        </w:rPr>
        <w:t xml:space="preserve"> في عام 2023 في دبي، الإمارات العربية المتحدة، جنباً إلى جنب مع شركاء من الحكومات والشركات ورابطات الصناعة والمجتمع المدني ووكالات الأمم المتحدة الزميلة.</w:t>
      </w:r>
    </w:p>
    <w:p w14:paraId="3E25298E" w14:textId="77777777" w:rsidR="004D1D9B" w:rsidRPr="00A76789" w:rsidRDefault="004D1D9B" w:rsidP="00A76789">
      <w:r w:rsidRPr="00A76789">
        <w:rPr>
          <w:rtl/>
        </w:rPr>
        <w:t>ويتولى مكتب تقييس الاتصالات/قطاع تقييس الاتصالات دوراً قيادياً في تيسير أنشطة العمل الرقمي الأخضر التي تركز على التقييس.</w:t>
      </w:r>
    </w:p>
    <w:p w14:paraId="32B81077" w14:textId="77777777" w:rsidR="004D1D9B" w:rsidRPr="00A76789" w:rsidRDefault="004D1D9B" w:rsidP="00A76789">
      <w:r w:rsidRPr="00A76789">
        <w:rPr>
          <w:rtl/>
        </w:rPr>
        <w:t xml:space="preserve">وتم الترتيب لتنظيم ثلاث </w:t>
      </w:r>
      <w:hyperlink r:id="rId218" w:history="1">
        <w:r w:rsidRPr="00515FF8">
          <w:rPr>
            <w:rStyle w:val="Hyperlink"/>
            <w:rtl/>
          </w:rPr>
          <w:t>حلقات دراسية إلكترونية</w:t>
        </w:r>
      </w:hyperlink>
      <w:r w:rsidRPr="00A76789">
        <w:rPr>
          <w:rtl/>
        </w:rPr>
        <w:t xml:space="preserve"> بشأن العمل الرقمي الأخضر في عام 2024 بخصوص الانتقال إلى انبعاثات صافية صفرية، وخاصة المنهجيات الموحدة لقياس تقدم قطاع تكنولوجيا المعلومات والاتصالات، وإنشاء خطط انتقالية في قطاع تكنولوجيا المعلومات والاتصالات، والأهداف المستندة إلى العلم.</w:t>
      </w:r>
    </w:p>
    <w:p w14:paraId="5A5C83F0" w14:textId="77777777" w:rsidR="004D1D9B" w:rsidRPr="00A76789" w:rsidRDefault="004D1D9B" w:rsidP="00A76789">
      <w:pPr>
        <w:rPr>
          <w:rtl/>
        </w:rPr>
      </w:pPr>
      <w:r w:rsidRPr="00515FF8">
        <w:rPr>
          <w:rtl/>
        </w:rPr>
        <w:t>و</w:t>
      </w:r>
      <w:hyperlink r:id="rId219" w:history="1">
        <w:r w:rsidRPr="00515FF8">
          <w:rPr>
            <w:rStyle w:val="Hyperlink"/>
            <w:rtl/>
          </w:rPr>
          <w:t>من بين النتائج</w:t>
        </w:r>
      </w:hyperlink>
      <w:r w:rsidRPr="00A76789">
        <w:rPr>
          <w:rtl/>
        </w:rPr>
        <w:t xml:space="preserve"> التي حققها العمل الرقمي الأخضر في مؤتمر الأطراف الثامن والعشرين </w:t>
      </w:r>
      <w:r w:rsidRPr="00A76789">
        <w:t>(COP28)</w:t>
      </w:r>
      <w:r w:rsidRPr="00A76789">
        <w:rPr>
          <w:rtl/>
        </w:rPr>
        <w:t xml:space="preserve"> ما يلي:</w:t>
      </w:r>
    </w:p>
    <w:p w14:paraId="2A3E7ECE" w14:textId="77777777" w:rsidR="004D1D9B" w:rsidRPr="00A76789" w:rsidRDefault="004D1D9B" w:rsidP="00515FF8">
      <w:pPr>
        <w:pStyle w:val="enumlev1"/>
      </w:pPr>
      <w:r>
        <w:rPr>
          <w:rFonts w:hint="cs"/>
          <w:rtl/>
        </w:rPr>
        <w:t>-</w:t>
      </w:r>
      <w:r>
        <w:rPr>
          <w:rtl/>
        </w:rPr>
        <w:tab/>
      </w:r>
      <w:r w:rsidRPr="00A76789">
        <w:rPr>
          <w:rtl/>
        </w:rPr>
        <w:t>اتفاقيات الشركات بشأن الحد من انبعاثات غازات الاحتباس الحراري باتباع أهداف قائمة على العلم تتماشى مع هدف الحد من ظاهرة الاحترار المناخي إلى 1,5 درجة مئوية، ووضع خطط انتقالية بالإضافة إلى زيادة الشفافية بشأن بيانات الانبعاثات عبر صناعة التكنولوجيا.</w:t>
      </w:r>
    </w:p>
    <w:p w14:paraId="3A937EE7" w14:textId="77777777" w:rsidR="004D1D9B" w:rsidRPr="00A76789" w:rsidRDefault="004D1D9B" w:rsidP="00515FF8">
      <w:pPr>
        <w:pStyle w:val="enumlev1"/>
      </w:pPr>
      <w:r>
        <w:rPr>
          <w:rFonts w:hint="cs"/>
          <w:rtl/>
        </w:rPr>
        <w:t>-</w:t>
      </w:r>
      <w:r>
        <w:rPr>
          <w:rtl/>
        </w:rPr>
        <w:tab/>
      </w:r>
      <w:r w:rsidRPr="00A76789">
        <w:rPr>
          <w:rtl/>
        </w:rPr>
        <w:t>التعاون بين البلدان لوضع تنظيم للمخلفات الإلكترونية كوسيلة رئيسية لتعزيز صناعة التكنولوجيا الدائرية.</w:t>
      </w:r>
    </w:p>
    <w:p w14:paraId="47782422" w14:textId="77777777" w:rsidR="004D1D9B" w:rsidRPr="00A76789" w:rsidRDefault="004D1D9B" w:rsidP="00515FF8">
      <w:pPr>
        <w:pStyle w:val="enumlev1"/>
      </w:pPr>
      <w:r>
        <w:rPr>
          <w:rFonts w:hint="cs"/>
          <w:rtl/>
        </w:rPr>
        <w:lastRenderedPageBreak/>
        <w:t>-</w:t>
      </w:r>
      <w:r>
        <w:rPr>
          <w:rtl/>
        </w:rPr>
        <w:tab/>
      </w:r>
      <w:hyperlink r:id="rId220" w:history="1">
        <w:r w:rsidRPr="00515FF8">
          <w:rPr>
            <w:rStyle w:val="Hyperlink"/>
            <w:rtl/>
          </w:rPr>
          <w:t>بيان مشترك</w:t>
        </w:r>
      </w:hyperlink>
      <w:r w:rsidRPr="00A76789">
        <w:rPr>
          <w:cs/>
        </w:rPr>
        <w:t>‎</w:t>
      </w:r>
      <w:r w:rsidRPr="00A76789">
        <w:rPr>
          <w:rtl/>
        </w:rPr>
        <w:t xml:space="preserve"> صادر عن الاتحاد الدولي للاتصالات، والمنظمة الدولية للتوحيد القياسي</w:t>
      </w:r>
      <w:r>
        <w:rPr>
          <w:rFonts w:hint="cs"/>
          <w:rtl/>
        </w:rPr>
        <w:t> </w:t>
      </w:r>
      <w:r>
        <w:t>(ISO)</w:t>
      </w:r>
      <w:r w:rsidRPr="00A76789">
        <w:rPr>
          <w:rtl/>
        </w:rPr>
        <w:t xml:space="preserve"> واللجنة </w:t>
      </w:r>
      <w:proofErr w:type="spellStart"/>
      <w:r w:rsidRPr="00A76789">
        <w:rPr>
          <w:rtl/>
        </w:rPr>
        <w:t>الكهرتقنية</w:t>
      </w:r>
      <w:proofErr w:type="spellEnd"/>
      <w:r w:rsidRPr="00A76789">
        <w:rPr>
          <w:rtl/>
        </w:rPr>
        <w:t xml:space="preserve"> الدولية</w:t>
      </w:r>
      <w:r>
        <w:rPr>
          <w:rFonts w:hint="cs"/>
          <w:rtl/>
        </w:rPr>
        <w:t> </w:t>
      </w:r>
      <w:r>
        <w:t>(IEC)</w:t>
      </w:r>
      <w:r>
        <w:rPr>
          <w:rFonts w:hint="cs"/>
          <w:rtl/>
          <w:lang w:bidi="ar-EG"/>
        </w:rPr>
        <w:t xml:space="preserve"> </w:t>
      </w:r>
      <w:r w:rsidRPr="00A76789">
        <w:rPr>
          <w:cs/>
        </w:rPr>
        <w:t>‎</w:t>
      </w:r>
      <w:r w:rsidRPr="00A76789">
        <w:rPr>
          <w:rtl/>
        </w:rPr>
        <w:t xml:space="preserve">بشأن أهمية دمج الاستدامة في وضع المعاير التقنية عن سابق تصميم، والمعايير التي تساعد العالم على </w:t>
      </w:r>
      <w:r w:rsidRPr="00A76789">
        <w:rPr>
          <w:cs/>
        </w:rPr>
        <w:t>‎</w:t>
      </w:r>
      <w:r w:rsidRPr="00A76789">
        <w:rPr>
          <w:rtl/>
        </w:rPr>
        <w:t>الوصول إلى صافي انبعاثات صفري وتحقيق اقتصاد دائري منخفض الكربون يتسم بالكفاءة في استخدام الموارد</w:t>
      </w:r>
      <w:r w:rsidRPr="00A76789">
        <w:t>.</w:t>
      </w:r>
    </w:p>
    <w:p w14:paraId="670EF960" w14:textId="77777777" w:rsidR="004D1D9B" w:rsidRPr="00A76789" w:rsidRDefault="004D1D9B" w:rsidP="00515FF8">
      <w:pPr>
        <w:pStyle w:val="enumlev1"/>
      </w:pPr>
      <w:r>
        <w:rPr>
          <w:rFonts w:hint="cs"/>
          <w:rtl/>
        </w:rPr>
        <w:t>-</w:t>
      </w:r>
      <w:r>
        <w:rPr>
          <w:rtl/>
        </w:rPr>
        <w:tab/>
      </w:r>
      <w:r w:rsidRPr="00A76789">
        <w:rPr>
          <w:rtl/>
        </w:rPr>
        <w:t xml:space="preserve">تعزيز التعاون بين الصناعة والبلدان بشأن تنفيذ معايير الاستدامة البيئية من خلال </w:t>
      </w:r>
      <w:hyperlink r:id="rId221" w:history="1">
        <w:r w:rsidRPr="00B65F4A">
          <w:rPr>
            <w:rStyle w:val="Hyperlink"/>
            <w:rtl/>
          </w:rPr>
          <w:t>خطة عمل</w:t>
        </w:r>
      </w:hyperlink>
      <w:r w:rsidRPr="00A76789">
        <w:rPr>
          <w:rtl/>
        </w:rPr>
        <w:t>.</w:t>
      </w:r>
    </w:p>
    <w:p w14:paraId="4481CD96" w14:textId="77777777" w:rsidR="004D1D9B" w:rsidRDefault="004D1D9B" w:rsidP="00515FF8">
      <w:pPr>
        <w:pStyle w:val="enumlev1"/>
      </w:pPr>
      <w:r>
        <w:rPr>
          <w:rFonts w:hint="cs"/>
          <w:rtl/>
        </w:rPr>
        <w:t>-</w:t>
      </w:r>
      <w:r>
        <w:rPr>
          <w:rtl/>
        </w:rPr>
        <w:tab/>
      </w:r>
      <w:r w:rsidRPr="00A76789">
        <w:rPr>
          <w:rtl/>
        </w:rPr>
        <w:t>تعهّد قطاع صناعة الاتصالات المتنقلة والسواتل بدعم مبادرة الإنذار المبكر للجميع من خلال الإذاعة الخلوية والخدمات مباشرة إلى الهاتف الخلوي لحماية الجميع من خلال إنذارات الكوارث المنقذة للأرواح بحلول عام 2027. كما تعهد القطاع العام بتنفيذ الإذاعة الخلوية باستخدام نهج تنظيمي.</w:t>
      </w:r>
    </w:p>
    <w:p w14:paraId="42B8DB0B" w14:textId="77777777" w:rsidR="004D1D9B" w:rsidRDefault="004D1D9B" w:rsidP="00B65F4A">
      <w:pPr>
        <w:rPr>
          <w:rtl/>
        </w:rPr>
      </w:pPr>
      <w:r w:rsidRPr="00A76789">
        <w:rPr>
          <w:rtl/>
        </w:rPr>
        <w:t xml:space="preserve">كما بلغت </w:t>
      </w:r>
      <w:hyperlink r:id="rId222" w:anchor="/ar" w:history="1">
        <w:r w:rsidRPr="00B65F4A">
          <w:rPr>
            <w:rStyle w:val="Hyperlink"/>
            <w:rtl/>
          </w:rPr>
          <w:t>مسابقة الذكاء الاصطناعي/تعلُّم الآلة في مجال تغير المناخ</w:t>
        </w:r>
      </w:hyperlink>
      <w:r w:rsidRPr="00A76789">
        <w:rPr>
          <w:rtl/>
        </w:rPr>
        <w:t xml:space="preserve"> </w:t>
      </w:r>
      <w:proofErr w:type="spellStart"/>
      <w:r w:rsidRPr="00A76789">
        <w:rPr>
          <w:rtl/>
        </w:rPr>
        <w:t>نهائياتها</w:t>
      </w:r>
      <w:proofErr w:type="spellEnd"/>
      <w:r w:rsidRPr="00A76789">
        <w:rPr>
          <w:rtl/>
        </w:rPr>
        <w:t xml:space="preserve"> في مؤتمر الأطراف الثامن والعشرين. وحظيت المسابقة بدعم من الاتحاد الدولي للاتصالات والوكالة الدولية للطاقة الذرية</w:t>
      </w:r>
      <w:r>
        <w:rPr>
          <w:rFonts w:hint="cs"/>
          <w:rtl/>
        </w:rPr>
        <w:t> </w:t>
      </w:r>
      <w:r>
        <w:t>(IAEA)</w:t>
      </w:r>
      <w:r w:rsidRPr="00A76789">
        <w:rPr>
          <w:rtl/>
        </w:rPr>
        <w:t xml:space="preserve"> ومنظمة الأغذية والزراعة </w:t>
      </w:r>
      <w:r w:rsidRPr="00A76789">
        <w:t>(FAO</w:t>
      </w:r>
      <w:r>
        <w:t>)</w:t>
      </w:r>
      <w:r w:rsidRPr="00A76789">
        <w:rPr>
          <w:rtl/>
        </w:rPr>
        <w:t xml:space="preserve"> ومنظمة الأمم المتحدة للتربية والعلم والثقافة (اليونسكو) والبنك الدولي. وتيسرت المسابقات من خلال </w:t>
      </w:r>
      <w:hyperlink r:id="rId223" w:anchor="/ar" w:history="1">
        <w:r w:rsidRPr="00B65F4A">
          <w:rPr>
            <w:rStyle w:val="Hyperlink"/>
            <w:rtl/>
          </w:rPr>
          <w:t>مصنع الابتكارات في مجال الذكاء الاصطناعي من أجل المصلحة العامة</w:t>
        </w:r>
      </w:hyperlink>
      <w:r w:rsidRPr="00A76789">
        <w:rPr>
          <w:rtl/>
        </w:rPr>
        <w:t xml:space="preserve"> بقيادة الاتحاد والوكالة الدولية للطاقة الذرية.</w:t>
      </w:r>
    </w:p>
    <w:p w14:paraId="48B80FE2" w14:textId="77777777" w:rsidR="004D1D9B" w:rsidRDefault="004D1D9B" w:rsidP="00B65F4A">
      <w:pPr>
        <w:rPr>
          <w:rtl/>
        </w:rPr>
      </w:pPr>
      <w:r w:rsidRPr="00A76789">
        <w:rPr>
          <w:rtl/>
        </w:rPr>
        <w:t xml:space="preserve">وعُقد </w:t>
      </w:r>
      <w:hyperlink r:id="rId224" w:history="1">
        <w:r w:rsidRPr="00B65F4A">
          <w:rPr>
            <w:rStyle w:val="Hyperlink"/>
            <w:rtl/>
          </w:rPr>
          <w:t>مؤتمر الأمم المتحدة بشأن تغير المناخ (COP27)</w:t>
        </w:r>
      </w:hyperlink>
      <w:r w:rsidRPr="00A76789">
        <w:rPr>
          <w:rtl/>
        </w:rPr>
        <w:t xml:space="preserve"> في مصر، شرم الشيخ، في الفترة 17-18 نوفمبر 2022.</w:t>
      </w:r>
    </w:p>
    <w:p w14:paraId="5846379A" w14:textId="77777777" w:rsidR="004D1D9B" w:rsidRDefault="004D1D9B" w:rsidP="00A76789">
      <w:pPr>
        <w:rPr>
          <w:rtl/>
        </w:rPr>
      </w:pPr>
      <w:r w:rsidRPr="00A76789">
        <w:rPr>
          <w:rtl/>
        </w:rPr>
        <w:t>نظم الاتحاد معرضاً تحت عنوان "تحويل الابتكار الرقمي إلى عمل مناخي من أجل الوصول بالانبعاثات إلى مستوى الصفر" - بدعم من برنامج الأمم المتحدة للبيئة</w:t>
      </w:r>
      <w:r>
        <w:rPr>
          <w:rFonts w:hint="eastAsia"/>
          <w:rtl/>
          <w:lang w:bidi="ar-EG"/>
        </w:rPr>
        <w:t> </w:t>
      </w:r>
      <w:r>
        <w:rPr>
          <w:lang w:bidi="ar-EG"/>
        </w:rPr>
        <w:t>(UNEO)</w:t>
      </w:r>
      <w:r w:rsidRPr="00A76789">
        <w:rPr>
          <w:rtl/>
        </w:rPr>
        <w:t xml:space="preserve"> وجامعة الأمم المتحدة ومنظمة الأمم المتحدة للتنمية الصناعية</w:t>
      </w:r>
      <w:r>
        <w:rPr>
          <w:rFonts w:hint="cs"/>
          <w:rtl/>
        </w:rPr>
        <w:t> </w:t>
      </w:r>
      <w:r>
        <w:t>(UNIDO)</w:t>
      </w:r>
      <w:r w:rsidRPr="00A76789">
        <w:rPr>
          <w:rtl/>
        </w:rPr>
        <w:t xml:space="preserve"> وموئل الأمم المتحدة </w:t>
      </w:r>
      <w:r>
        <w:t>(UN-HABITAT)</w:t>
      </w:r>
      <w:r>
        <w:rPr>
          <w:rFonts w:hint="cs"/>
          <w:rtl/>
        </w:rPr>
        <w:t xml:space="preserve"> </w:t>
      </w:r>
      <w:r w:rsidRPr="00A76789">
        <w:rPr>
          <w:rtl/>
        </w:rPr>
        <w:t>ومنظمة الصحة العالمية</w:t>
      </w:r>
      <w:r>
        <w:rPr>
          <w:rFonts w:hint="cs"/>
          <w:rtl/>
        </w:rPr>
        <w:t> </w:t>
      </w:r>
      <w:r>
        <w:t>(WHO)</w:t>
      </w:r>
      <w:r w:rsidRPr="00A76789">
        <w:rPr>
          <w:rtl/>
        </w:rPr>
        <w:t xml:space="preserve"> ومنظمة العمل الدولية</w:t>
      </w:r>
      <w:r>
        <w:rPr>
          <w:rFonts w:hint="cs"/>
          <w:rtl/>
        </w:rPr>
        <w:t> </w:t>
      </w:r>
      <w:r>
        <w:t>(ILO)</w:t>
      </w:r>
      <w:r w:rsidRPr="00A76789">
        <w:rPr>
          <w:rtl/>
        </w:rPr>
        <w:t xml:space="preserve"> ومعهد الأمم المتحدة للتدريب والبحث</w:t>
      </w:r>
      <w:r>
        <w:rPr>
          <w:rFonts w:hint="cs"/>
          <w:rtl/>
        </w:rPr>
        <w:t> </w:t>
      </w:r>
      <w:r>
        <w:t>(UNITAR)</w:t>
      </w:r>
      <w:r w:rsidRPr="00A76789">
        <w:rPr>
          <w:rtl/>
        </w:rPr>
        <w:t xml:space="preserve"> ومركز التجارة الدولية</w:t>
      </w:r>
      <w:r>
        <w:rPr>
          <w:rFonts w:hint="cs"/>
          <w:rtl/>
        </w:rPr>
        <w:t> </w:t>
      </w:r>
      <w:r>
        <w:t>(ITC)</w:t>
      </w:r>
      <w:r w:rsidRPr="00A76789">
        <w:rPr>
          <w:rtl/>
        </w:rPr>
        <w:t xml:space="preserve"> واتفاقية بازل واتفاقية روتردام واتفاقية استكهولم ولجنة الأمم المتحدة الاقتصادية لأوروبا</w:t>
      </w:r>
      <w:r>
        <w:rPr>
          <w:rFonts w:hint="cs"/>
          <w:rtl/>
        </w:rPr>
        <w:t> </w:t>
      </w:r>
      <w:r>
        <w:t>(UNECE)</w:t>
      </w:r>
      <w:r w:rsidRPr="00A76789">
        <w:rPr>
          <w:rtl/>
        </w:rPr>
        <w:t xml:space="preserve"> واللجنة الاقتصادية لأمريكا اللاتينية ومنطقة البحر الكاريبي</w:t>
      </w:r>
      <w:r>
        <w:rPr>
          <w:rFonts w:hint="cs"/>
          <w:rtl/>
        </w:rPr>
        <w:t> </w:t>
      </w:r>
      <w:r>
        <w:t>(ECLAC)</w:t>
      </w:r>
      <w:r w:rsidRPr="00A76789">
        <w:rPr>
          <w:rtl/>
        </w:rPr>
        <w:t xml:space="preserve"> ومنظمة الأغذية والزراعة</w:t>
      </w:r>
      <w:r>
        <w:rPr>
          <w:rFonts w:hint="cs"/>
          <w:rtl/>
        </w:rPr>
        <w:t> </w:t>
      </w:r>
      <w:r>
        <w:t>(FAO)</w:t>
      </w:r>
      <w:r w:rsidRPr="00A76789">
        <w:rPr>
          <w:rtl/>
        </w:rPr>
        <w:t xml:space="preserve"> وبرنامج الأمم المتحدة الإنمائي</w:t>
      </w:r>
      <w:r>
        <w:rPr>
          <w:rFonts w:hint="eastAsia"/>
          <w:rtl/>
          <w:lang w:bidi="ar-EG"/>
        </w:rPr>
        <w:t> </w:t>
      </w:r>
      <w:r>
        <w:rPr>
          <w:lang w:bidi="ar-EG"/>
        </w:rPr>
        <w:t>(UNDP)</w:t>
      </w:r>
      <w:r w:rsidRPr="00A76789">
        <w:rPr>
          <w:rtl/>
        </w:rPr>
        <w:t xml:space="preserve"> واللجنة الاقتصادية لإفريقيا</w:t>
      </w:r>
      <w:r>
        <w:rPr>
          <w:rFonts w:hint="eastAsia"/>
          <w:rtl/>
          <w:lang w:bidi="ar-EG"/>
        </w:rPr>
        <w:t> </w:t>
      </w:r>
      <w:r>
        <w:rPr>
          <w:lang w:bidi="ar-EG"/>
        </w:rPr>
        <w:t>(UNECA)</w:t>
      </w:r>
      <w:r w:rsidRPr="00A76789">
        <w:rPr>
          <w:rtl/>
        </w:rPr>
        <w:t xml:space="preserve"> واليونسكو واتفاقية الأمم المتحدة الإطارية بشأن تغير المناخ</w:t>
      </w:r>
      <w:r>
        <w:rPr>
          <w:rFonts w:hint="cs"/>
          <w:rtl/>
        </w:rPr>
        <w:t> </w:t>
      </w:r>
      <w:r>
        <w:t>(UNFCCC)</w:t>
      </w:r>
      <w:r w:rsidRPr="00A76789">
        <w:rPr>
          <w:rtl/>
        </w:rPr>
        <w:t xml:space="preserve"> ومكتب الأمم المتحدة لخدمات المشاريع</w:t>
      </w:r>
      <w:r>
        <w:rPr>
          <w:rFonts w:hint="cs"/>
          <w:rtl/>
        </w:rPr>
        <w:t> </w:t>
      </w:r>
      <w:r>
        <w:t>(UNOP)</w:t>
      </w:r>
      <w:r w:rsidRPr="00A76789">
        <w:rPr>
          <w:rtl/>
        </w:rPr>
        <w:t xml:space="preserve"> وهيئة الأمم المتحدة للمرأة</w:t>
      </w:r>
      <w:r>
        <w:rPr>
          <w:rFonts w:hint="cs"/>
          <w:rtl/>
        </w:rPr>
        <w:t> </w:t>
      </w:r>
      <w:r>
        <w:t>(UN Women)</w:t>
      </w:r>
      <w:r>
        <w:rPr>
          <w:rFonts w:hint="cs"/>
          <w:rtl/>
          <w:lang w:bidi="ar-EG"/>
        </w:rPr>
        <w:t xml:space="preserve"> </w:t>
      </w:r>
      <w:r w:rsidRPr="00A76789">
        <w:rPr>
          <w:rtl/>
        </w:rPr>
        <w:t>والمنظمة العالمية للأرصاد الجوية</w:t>
      </w:r>
      <w:r>
        <w:rPr>
          <w:rFonts w:hint="cs"/>
          <w:rtl/>
        </w:rPr>
        <w:t> </w:t>
      </w:r>
      <w:r>
        <w:t>(WMO)</w:t>
      </w:r>
      <w:r w:rsidRPr="00A76789">
        <w:rPr>
          <w:rtl/>
        </w:rPr>
        <w:t>.</w:t>
      </w:r>
    </w:p>
    <w:p w14:paraId="18CFFB5F" w14:textId="77777777" w:rsidR="004D1D9B" w:rsidRDefault="004D1D9B" w:rsidP="00A76789">
      <w:pPr>
        <w:rPr>
          <w:rtl/>
        </w:rPr>
      </w:pPr>
      <w:r w:rsidRPr="00A76789">
        <w:rPr>
          <w:rtl/>
        </w:rPr>
        <w:t xml:space="preserve">وقاد مكتب تقييس الاتصالات/قطاع تقييس الاتصالات تنظيم الاتحاد لأحداث COP27 بشأن مواضيع تشمل المخلفات الإلكترونية واقتصاد التدوير، وخفض الانبعاثات للوصول بها إلى مستوى الصفر، والتحول الرقمي للمدن الذكية المستدامة. ونظم الاتحاد أحداث COP27 هذه بالشراكة مع وزارة الاتصالات وتكنولوجيا المعلومات </w:t>
      </w:r>
      <w:r w:rsidRPr="00A76789">
        <w:t>(MCIT</w:t>
      </w:r>
      <w:r>
        <w:t>)</w:t>
      </w:r>
      <w:r w:rsidRPr="00A76789">
        <w:rPr>
          <w:rtl/>
        </w:rPr>
        <w:t xml:space="preserve"> في مصر واللجنة الاقتصادية لإفريقيا ومعهد الأمم المتحدة للتدريب والبحث.</w:t>
      </w:r>
    </w:p>
    <w:p w14:paraId="7DEB189D" w14:textId="77777777" w:rsidR="004D1D9B" w:rsidRDefault="004D1D9B" w:rsidP="00A76789">
      <w:pPr>
        <w:rPr>
          <w:rtl/>
        </w:rPr>
      </w:pPr>
      <w:r w:rsidRPr="00A76789">
        <w:rPr>
          <w:rtl/>
        </w:rPr>
        <w:t xml:space="preserve">وللاطلاع على جميع ورش العمل والندوات والحلقات الدراسية الإلكترونية بشأن البيئة وتغير المناخ واقتصاد التدوير التي نظمت في فترة الدراسة، انظر </w:t>
      </w:r>
      <w:hyperlink r:id="rId225" w:history="1">
        <w:r w:rsidRPr="00B65F4A">
          <w:rPr>
            <w:rStyle w:val="Hyperlink"/>
            <w:rtl/>
          </w:rPr>
          <w:t>الصفحة الإلكترونية</w:t>
        </w:r>
      </w:hyperlink>
      <w:r w:rsidRPr="00A76789">
        <w:rPr>
          <w:rtl/>
        </w:rPr>
        <w:t xml:space="preserve"> ذات الصلة.</w:t>
      </w:r>
    </w:p>
    <w:p w14:paraId="3F1C4C93" w14:textId="77777777" w:rsidR="004D1D9B" w:rsidRPr="00A76789" w:rsidRDefault="004D1D9B" w:rsidP="00B65F4A">
      <w:pPr>
        <w:pStyle w:val="Heading2"/>
      </w:pPr>
      <w:bookmarkStart w:id="129" w:name="_5.7_Submarine_cables"/>
      <w:bookmarkStart w:id="130" w:name="_Toc179219759"/>
      <w:bookmarkStart w:id="131" w:name="_Toc179221069"/>
      <w:bookmarkStart w:id="132" w:name="_Toc179733611"/>
      <w:bookmarkEnd w:id="129"/>
      <w:r>
        <w:t>7.5</w:t>
      </w:r>
      <w:r w:rsidRPr="00A76789">
        <w:rPr>
          <w:rtl/>
        </w:rPr>
        <w:tab/>
      </w:r>
      <w:proofErr w:type="spellStart"/>
      <w:r w:rsidRPr="00A76789">
        <w:rPr>
          <w:rtl/>
        </w:rPr>
        <w:t>الكبلات</w:t>
      </w:r>
      <w:proofErr w:type="spellEnd"/>
      <w:r w:rsidRPr="00A76789">
        <w:rPr>
          <w:rtl/>
        </w:rPr>
        <w:t xml:space="preserve"> البحرية</w:t>
      </w:r>
      <w:bookmarkStart w:id="133" w:name="FiveSeven"/>
      <w:bookmarkEnd w:id="133"/>
      <w:r w:rsidRPr="00A76789">
        <w:rPr>
          <w:rtl/>
        </w:rPr>
        <w:t xml:space="preserve"> والعمل المناخي</w:t>
      </w:r>
      <w:bookmarkEnd w:id="130"/>
      <w:bookmarkEnd w:id="131"/>
      <w:bookmarkEnd w:id="132"/>
    </w:p>
    <w:p w14:paraId="3BB281E3" w14:textId="77777777" w:rsidR="004D1D9B" w:rsidRDefault="004D1D9B" w:rsidP="00A76789">
      <w:pPr>
        <w:rPr>
          <w:rtl/>
        </w:rPr>
      </w:pPr>
      <w:r w:rsidRPr="00A76789">
        <w:rPr>
          <w:rtl/>
        </w:rPr>
        <w:t xml:space="preserve">ويكرس </w:t>
      </w:r>
      <w:hyperlink r:id="rId226" w:history="1">
        <w:r w:rsidRPr="00B65F4A">
          <w:rPr>
            <w:rStyle w:val="Hyperlink"/>
            <w:rtl/>
          </w:rPr>
          <w:t xml:space="preserve">فريق المهام المشترك المعني بأنظمة الكبلات </w:t>
        </w:r>
        <w:r w:rsidRPr="00B65F4A">
          <w:rPr>
            <w:rStyle w:val="Hyperlink"/>
          </w:rPr>
          <w:t>SMART</w:t>
        </w:r>
      </w:hyperlink>
      <w:r w:rsidRPr="00B65F4A">
        <w:rPr>
          <w:rtl/>
        </w:rPr>
        <w:t xml:space="preserve"> </w:t>
      </w:r>
      <w:r w:rsidRPr="00A76789">
        <w:rPr>
          <w:rtl/>
        </w:rPr>
        <w:t xml:space="preserve">الذي يدعمه الاتحاد واللجنة الحكومية الدولية لعلوم المحيطات التابعة لمنظمة الأمم المتحدة للتربية والعلم والثقافة </w:t>
      </w:r>
      <w:r w:rsidRPr="00A76789">
        <w:t>(UNESCO/IOC</w:t>
      </w:r>
      <w:r>
        <w:t>)</w:t>
      </w:r>
      <w:r w:rsidRPr="00A76789">
        <w:rPr>
          <w:rtl/>
        </w:rPr>
        <w:t xml:space="preserve"> والمنظمة العالمية للأرصاد الجوية جهوده للنهوض بمفهوم "</w:t>
      </w:r>
      <w:proofErr w:type="spellStart"/>
      <w:r w:rsidRPr="00A76789">
        <w:rPr>
          <w:rtl/>
        </w:rPr>
        <w:t>كبلات</w:t>
      </w:r>
      <w:proofErr w:type="spellEnd"/>
      <w:r w:rsidRPr="00A76789">
        <w:rPr>
          <w:rtl/>
        </w:rPr>
        <w:t xml:space="preserve"> المراقبة العلمية والاتصالات الموثوقة (</w:t>
      </w:r>
      <w:r w:rsidRPr="00A76789">
        <w:t>SMART</w:t>
      </w:r>
      <w:r w:rsidRPr="00A76789">
        <w:rPr>
          <w:rtl/>
        </w:rPr>
        <w:t>)</w:t>
      </w:r>
      <w:r w:rsidRPr="00A76789">
        <w:t>"</w:t>
      </w:r>
      <w:r w:rsidRPr="00A76789">
        <w:rPr>
          <w:rtl/>
        </w:rPr>
        <w:t>.</w:t>
      </w:r>
    </w:p>
    <w:p w14:paraId="4A2DBD2D" w14:textId="77777777" w:rsidR="004D1D9B" w:rsidRPr="00A76789" w:rsidRDefault="004D1D9B" w:rsidP="00A76789">
      <w:r w:rsidRPr="00A76789">
        <w:rPr>
          <w:rtl/>
        </w:rPr>
        <w:t xml:space="preserve">وتسهم المجموعة الدنيا من المتطلبات التي وضعها فريق المهام المشترك في أعمال التقييس التي يضطلع بها قطاع تقييس الاتصالات،  حيث تمت الموافقة على توصيتين جديدتين لقطاع تقييس الاتصالات في أغسطس ‎2024 ‏بشأن أنظمة الكبلات البحرية للمراقبة العلمية والاتصالات الموثوقة </w:t>
      </w:r>
      <w:hyperlink r:id="rId227" w:history="1">
        <w:r w:rsidRPr="00B65F4A">
          <w:rPr>
            <w:rStyle w:val="Hyperlink"/>
            <w:rtl/>
          </w:rPr>
          <w:t>G.9730.2</w:t>
        </w:r>
      </w:hyperlink>
      <w:r w:rsidRPr="00B65F4A">
        <w:rPr>
          <w:rFonts w:hint="cs"/>
          <w:rtl/>
        </w:rPr>
        <w:t xml:space="preserve"> (</w:t>
      </w:r>
      <w:proofErr w:type="spellStart"/>
      <w:r w:rsidRPr="00B65F4A">
        <w:t>G.smart</w:t>
      </w:r>
      <w:proofErr w:type="spellEnd"/>
      <w:r w:rsidRPr="00B65F4A">
        <w:rPr>
          <w:rFonts w:hint="cs"/>
          <w:rtl/>
        </w:rPr>
        <w:t xml:space="preserve"> سابقاُ)</w:t>
      </w:r>
      <w:r w:rsidRPr="00A76789">
        <w:rPr>
          <w:rtl/>
        </w:rPr>
        <w:t xml:space="preserve"> ونظام الكبلات البحرية المخصصة للاستشعار العلمي</w:t>
      </w:r>
      <w:r>
        <w:rPr>
          <w:rFonts w:hint="cs"/>
          <w:rtl/>
        </w:rPr>
        <w:t> </w:t>
      </w:r>
      <w:hyperlink r:id="rId228" w:history="1">
        <w:r w:rsidRPr="00B65F4A">
          <w:rPr>
            <w:rStyle w:val="Hyperlink"/>
            <w:rtl/>
          </w:rPr>
          <w:t>G.9730.1</w:t>
        </w:r>
      </w:hyperlink>
      <w:r>
        <w:rPr>
          <w:rFonts w:hint="cs"/>
          <w:rtl/>
        </w:rPr>
        <w:t xml:space="preserve"> (</w:t>
      </w:r>
      <w:proofErr w:type="spellStart"/>
      <w:r w:rsidRPr="00A76789">
        <w:rPr>
          <w:rtl/>
        </w:rPr>
        <w:t>G.dsssc</w:t>
      </w:r>
      <w:proofErr w:type="spellEnd"/>
      <w:r>
        <w:rPr>
          <w:rFonts w:hint="cs"/>
          <w:rtl/>
        </w:rPr>
        <w:t xml:space="preserve"> سابقاً</w:t>
      </w:r>
      <w:r w:rsidRPr="00A76789">
        <w:rPr>
          <w:rtl/>
        </w:rPr>
        <w:t>). وبالإضافة إلى ذلك، يجري وضع "إطار تقييم الأثر لتقييم الكيفية التي يمكن بها للبنية التحتية تحت سطح البحر القائمة على تكنولوجيا المعلومات والاتصالات أن تدعم مراقبة المناخ والبيئة والتنوع البيولوجي"</w:t>
      </w:r>
      <w:r>
        <w:rPr>
          <w:rFonts w:hint="cs"/>
          <w:rtl/>
        </w:rPr>
        <w:t> </w:t>
      </w:r>
      <w:r w:rsidRPr="00A76789">
        <w:rPr>
          <w:rtl/>
        </w:rPr>
        <w:t>‎(</w:t>
      </w:r>
      <w:hyperlink r:id="rId229" w:history="1">
        <w:r w:rsidRPr="00C57224">
          <w:rPr>
            <w:rStyle w:val="Hyperlink"/>
          </w:rPr>
          <w:t>L.SMART</w:t>
        </w:r>
      </w:hyperlink>
      <w:r w:rsidRPr="00A76789">
        <w:rPr>
          <w:rtl/>
        </w:rPr>
        <w:t>)‎.</w:t>
      </w:r>
    </w:p>
    <w:p w14:paraId="57BF4DC6" w14:textId="77777777" w:rsidR="004D1D9B" w:rsidRPr="00A76789" w:rsidRDefault="004D1D9B" w:rsidP="00B65F4A">
      <w:pPr>
        <w:pStyle w:val="Heading2"/>
      </w:pPr>
      <w:bookmarkStart w:id="134" w:name="_5.8_Safe_listening"/>
      <w:bookmarkStart w:id="135" w:name="_Toc179219760"/>
      <w:bookmarkStart w:id="136" w:name="_Toc179221070"/>
      <w:bookmarkStart w:id="137" w:name="_Toc179733612"/>
      <w:bookmarkEnd w:id="134"/>
      <w:r>
        <w:rPr>
          <w:rFonts w:hint="cs"/>
          <w:rtl/>
        </w:rPr>
        <w:t>8.5</w:t>
      </w:r>
      <w:r w:rsidRPr="00A76789">
        <w:rPr>
          <w:rtl/>
        </w:rPr>
        <w:tab/>
        <w:t>الاستماع الآمن والرعا</w:t>
      </w:r>
      <w:bookmarkStart w:id="138" w:name="FiveEight"/>
      <w:bookmarkEnd w:id="138"/>
      <w:r w:rsidRPr="00A76789">
        <w:rPr>
          <w:rtl/>
        </w:rPr>
        <w:t>ية الصحية عن بُعد المتاحة للجميع</w:t>
      </w:r>
      <w:bookmarkEnd w:id="135"/>
      <w:bookmarkEnd w:id="136"/>
      <w:bookmarkEnd w:id="137"/>
    </w:p>
    <w:p w14:paraId="61178A62" w14:textId="77777777" w:rsidR="004D1D9B" w:rsidRPr="00A76789" w:rsidRDefault="004D1D9B" w:rsidP="00B65F4A">
      <w:pPr>
        <w:rPr>
          <w:rtl/>
          <w:lang w:bidi="ar-EG"/>
        </w:rPr>
      </w:pPr>
      <w:r w:rsidRPr="00A76789">
        <w:rPr>
          <w:rtl/>
        </w:rPr>
        <w:t>يواصل الاتحاد ومنظمة الصحة العالمية العمل معاً على المبادئ التوجيهية العالمية بشأن الاستماع الآمن باستخدام الأجهزة وفي الأماكن وفي ألعاب الفيديو والرياضات الإلكترونية. انظر</w:t>
      </w:r>
      <w:r w:rsidRPr="00B65F4A">
        <w:rPr>
          <w:rtl/>
        </w:rPr>
        <w:t xml:space="preserve"> </w:t>
      </w:r>
      <w:hyperlink r:id="rId230" w:history="1">
        <w:r w:rsidRPr="00B65F4A">
          <w:rPr>
            <w:rStyle w:val="Hyperlink"/>
            <w:rtl/>
          </w:rPr>
          <w:t>الحدث الجانبي ذي الصلة المشترك بين الاتحاد الدولي للاتصالات ومنظمة الصحة العالمية خلال الجمعية WTSA-24</w:t>
        </w:r>
      </w:hyperlink>
      <w:r w:rsidRPr="00B65F4A">
        <w:rPr>
          <w:rFonts w:hint="cs"/>
          <w:rtl/>
        </w:rPr>
        <w:t>.</w:t>
      </w:r>
    </w:p>
    <w:p w14:paraId="5F24A931" w14:textId="77777777" w:rsidR="004D1D9B" w:rsidRPr="00A76789" w:rsidRDefault="004D1D9B" w:rsidP="00A76789">
      <w:r w:rsidRPr="00A76789">
        <w:rPr>
          <w:rtl/>
        </w:rPr>
        <w:t>وتم التوصل إلى الموافقة في أغسطس 2024 على معيار جديد مشترك بين الاتحاد ومنظمة الصحة العالمية بشأن الاستماع الآمن في ألعاب الفيديو والرياضات الإلكترونية، وهو</w:t>
      </w:r>
      <w:r w:rsidRPr="00B65F4A">
        <w:rPr>
          <w:rtl/>
        </w:rPr>
        <w:t xml:space="preserve"> </w:t>
      </w:r>
      <w:hyperlink r:id="rId231" w:history="1">
        <w:r w:rsidRPr="00B65F4A">
          <w:rPr>
            <w:rStyle w:val="Hyperlink"/>
            <w:rtl/>
          </w:rPr>
          <w:t xml:space="preserve">التوصية ITU-T H.872 "الاستماع الآمن في ألعاب الفيديو والرياضات </w:t>
        </w:r>
        <w:r w:rsidRPr="00B65F4A">
          <w:rPr>
            <w:rStyle w:val="Hyperlink"/>
            <w:rtl/>
          </w:rPr>
          <w:lastRenderedPageBreak/>
          <w:t>الإلكترونية"</w:t>
        </w:r>
      </w:hyperlink>
      <w:r w:rsidRPr="00B65F4A">
        <w:rPr>
          <w:rtl/>
        </w:rPr>
        <w:t>.</w:t>
      </w:r>
      <w:r w:rsidRPr="00A76789">
        <w:rPr>
          <w:rtl/>
        </w:rPr>
        <w:t xml:space="preserve"> واستند التعاون لإعداد التوصية H.872 إلى نجاح التعاون بين الاتحاد ومنظمة الصحة العالمية بشأن الاستماع الآمن باستخدام الأجهزة، وخاصة مشغلات الموسيقى، الذي أثمر عن </w:t>
      </w:r>
      <w:hyperlink r:id="rId232" w:history="1">
        <w:r w:rsidRPr="00B65F4A">
          <w:rPr>
            <w:rStyle w:val="Hyperlink"/>
            <w:rtl/>
          </w:rPr>
          <w:t>التوصية ITU-T H.870 "المبادئ التوجيهية لأجهزة/أنظمة الاستماع الآمن"</w:t>
        </w:r>
      </w:hyperlink>
      <w:r w:rsidRPr="00A76789">
        <w:rPr>
          <w:rtl/>
        </w:rPr>
        <w:t xml:space="preserve"> و</w:t>
      </w:r>
      <w:hyperlink r:id="rId233" w:anchor="/ar" w:history="1">
        <w:r w:rsidRPr="00B65F4A">
          <w:rPr>
            <w:rStyle w:val="Hyperlink"/>
            <w:rtl/>
          </w:rPr>
          <w:t>مجموعة أدوات التنفيذ</w:t>
        </w:r>
      </w:hyperlink>
      <w:r w:rsidRPr="00A76789">
        <w:rPr>
          <w:rtl/>
        </w:rPr>
        <w:t xml:space="preserve"> المرتبطة بها. ويسهم هذا العمل في </w:t>
      </w:r>
      <w:hyperlink r:id="rId234" w:history="1">
        <w:r w:rsidRPr="00B65F4A">
          <w:rPr>
            <w:rStyle w:val="Hyperlink"/>
            <w:rtl/>
          </w:rPr>
          <w:t>مبادرة منظمة الصحة العالمية "الاستماع الآمن"</w:t>
        </w:r>
      </w:hyperlink>
      <w:r w:rsidRPr="00A76789">
        <w:rPr>
          <w:rtl/>
        </w:rPr>
        <w:t>. اطلع أيضاً على</w:t>
      </w:r>
      <w:r w:rsidRPr="00A76789">
        <w:rPr>
          <w:u w:val="single"/>
          <w:rtl/>
        </w:rPr>
        <w:t xml:space="preserve"> </w:t>
      </w:r>
      <w:hyperlink r:id="rId235" w:history="1">
        <w:r w:rsidRPr="00B65F4A">
          <w:rPr>
            <w:rStyle w:val="Hyperlink"/>
            <w:rtl/>
          </w:rPr>
          <w:t>جميع ورش العمل بشأن الاستماع الآمن</w:t>
        </w:r>
      </w:hyperlink>
      <w:r w:rsidRPr="00A76789">
        <w:rPr>
          <w:rtl/>
        </w:rPr>
        <w:t xml:space="preserve"> التي يشترك في تنظيمها الاتحاد ومنظمة الصحة العالمية.</w:t>
      </w:r>
    </w:p>
    <w:p w14:paraId="1C7BA39B" w14:textId="77777777" w:rsidR="004D1D9B" w:rsidRPr="00A76789" w:rsidRDefault="004D1D9B" w:rsidP="00B65F4A">
      <w:r w:rsidRPr="00A76789">
        <w:rPr>
          <w:rtl/>
        </w:rPr>
        <w:t xml:space="preserve">وتحدد </w:t>
      </w:r>
      <w:hyperlink r:id="rId236" w:history="1">
        <w:r w:rsidRPr="00B65F4A">
          <w:rPr>
            <w:rStyle w:val="Hyperlink"/>
            <w:rtl/>
          </w:rPr>
          <w:t>التوصية ITU-T F.780.2 "إمكانية النفاذ إلى خدمات الرعاية الصحية عن ب</w:t>
        </w:r>
        <w:r w:rsidRPr="00B65F4A">
          <w:rPr>
            <w:rStyle w:val="Hyperlink"/>
            <w:rFonts w:hint="cs"/>
            <w:rtl/>
          </w:rPr>
          <w:t>ُ</w:t>
        </w:r>
        <w:r w:rsidRPr="00B65F4A">
          <w:rPr>
            <w:rStyle w:val="Hyperlink"/>
            <w:rtl/>
          </w:rPr>
          <w:t>عد"</w:t>
        </w:r>
      </w:hyperlink>
      <w:r w:rsidRPr="00A76789">
        <w:rPr>
          <w:rtl/>
        </w:rPr>
        <w:t xml:space="preserve">، التي اعتمدت في مارس 2022، بالتعاون مع منظمة الصحة العالمية، متطلبات إمكانية النفاذ للميزات التقنية التي يتعين أن تستخدمها الحكومات ومقدمو الرعاية الصحية ومصنعو منصات الرعاية الصحية عن بعد. وتم تقديم المعيار في يونيو 2022 في حدث مشترك بين الاتحاد ومنظمة الصحة العالمية عقد على هامش الدورة الخامسة عشرة لمؤتمر الدول الأطراف في اتفاقية حقوق الأشخاص ذوي الإعاقة. ونشرت </w:t>
      </w:r>
      <w:hyperlink r:id="rId237" w:history="1">
        <w:r w:rsidRPr="00B65F4A">
          <w:rPr>
            <w:rStyle w:val="Hyperlink"/>
            <w:rtl/>
          </w:rPr>
          <w:t>مجموعة أدوات جديدة مشتركة بين الاتحاد ومنظمة الصحة العالمية لتنفيذ</w:t>
        </w:r>
      </w:hyperlink>
      <w:r w:rsidRPr="00B65F4A">
        <w:rPr>
          <w:rtl/>
        </w:rPr>
        <w:t xml:space="preserve"> </w:t>
      </w:r>
      <w:r w:rsidRPr="00A76789">
        <w:rPr>
          <w:rtl/>
        </w:rPr>
        <w:t>المعيار في سبتمبر 2024.</w:t>
      </w:r>
    </w:p>
    <w:p w14:paraId="4E402CE0" w14:textId="77777777" w:rsidR="004D1D9B" w:rsidRPr="00A76789" w:rsidRDefault="004D1D9B" w:rsidP="00B65F4A">
      <w:pPr>
        <w:pStyle w:val="Heading2"/>
      </w:pPr>
      <w:bookmarkStart w:id="139" w:name="_5.9_CTO_and"/>
      <w:bookmarkStart w:id="140" w:name="_Toc156392419"/>
      <w:bookmarkStart w:id="141" w:name="_Toc179219761"/>
      <w:bookmarkStart w:id="142" w:name="_Toc179221071"/>
      <w:bookmarkStart w:id="143" w:name="_Toc179733613"/>
      <w:bookmarkEnd w:id="139"/>
      <w:r>
        <w:t>9.5</w:t>
      </w:r>
      <w:r w:rsidRPr="00A76789">
        <w:rPr>
          <w:rtl/>
        </w:rPr>
        <w:tab/>
        <w:t>اجتماعات كبار مسؤولي التكن</w:t>
      </w:r>
      <w:bookmarkStart w:id="144" w:name="FiveNine"/>
      <w:bookmarkEnd w:id="144"/>
      <w:r w:rsidRPr="00A76789">
        <w:rPr>
          <w:rtl/>
        </w:rPr>
        <w:t>ولوجيا وكبار المسؤولين التنفيذيين</w:t>
      </w:r>
      <w:bookmarkEnd w:id="140"/>
      <w:bookmarkEnd w:id="141"/>
      <w:bookmarkEnd w:id="142"/>
      <w:bookmarkEnd w:id="143"/>
    </w:p>
    <w:p w14:paraId="0F0676BA" w14:textId="77777777" w:rsidR="004D1D9B" w:rsidRPr="00A76789" w:rsidRDefault="004D1D9B" w:rsidP="00A76789">
      <w:pPr>
        <w:rPr>
          <w:rtl/>
        </w:rPr>
      </w:pPr>
      <w:r w:rsidRPr="00A76789">
        <w:rPr>
          <w:rtl/>
        </w:rPr>
        <w:t>تجمع</w:t>
      </w:r>
      <w:r w:rsidRPr="00A76789">
        <w:rPr>
          <w:cs/>
        </w:rPr>
        <w:t>‎</w:t>
      </w:r>
      <w:r w:rsidRPr="00A76789">
        <w:rPr>
          <w:rtl/>
        </w:rPr>
        <w:t xml:space="preserve"> </w:t>
      </w:r>
      <w:hyperlink r:id="rId238" w:history="1">
        <w:r w:rsidRPr="00970ADA">
          <w:rPr>
            <w:rStyle w:val="Hyperlink"/>
            <w:rtl/>
          </w:rPr>
          <w:t>اجتماعات كبار مسؤولي التكنولوجيا وكبار المسؤولين التنفيذيين</w:t>
        </w:r>
      </w:hyperlink>
      <w:r w:rsidRPr="00A76789">
        <w:rPr>
          <w:rtl/>
        </w:rPr>
        <w:t xml:space="preserve"> بين المسؤولين التنفيذيين رفيعي المستوى من دوائر </w:t>
      </w:r>
      <w:r w:rsidRPr="00A76789">
        <w:rPr>
          <w:cs/>
        </w:rPr>
        <w:t>‎</w:t>
      </w:r>
      <w:r w:rsidRPr="00A76789">
        <w:rPr>
          <w:rtl/>
        </w:rPr>
        <w:t>الصناعة والإدارة العليا لمكتب تقييس الاتصالات لتبادل الآراء بشأن أولويات الصناعة وأنشطة التقييس ذات الصلة.</w:t>
      </w:r>
      <w:r w:rsidRPr="00A76789">
        <w:rPr>
          <w:cs/>
        </w:rPr>
        <w:t>‎</w:t>
      </w:r>
    </w:p>
    <w:p w14:paraId="06057FE3" w14:textId="77777777" w:rsidR="004D1D9B" w:rsidRPr="00A76789" w:rsidRDefault="004D1D9B" w:rsidP="00A76789">
      <w:r w:rsidRPr="00A76789">
        <w:rPr>
          <w:rtl/>
        </w:rPr>
        <w:t xml:space="preserve">وعقدت آخر </w:t>
      </w:r>
      <w:hyperlink r:id="rId239" w:history="1">
        <w:r w:rsidRPr="00970ADA">
          <w:rPr>
            <w:rStyle w:val="Hyperlink"/>
            <w:rtl/>
          </w:rPr>
          <w:t>مائدة مستديرة للمسؤولين التنفيذيين</w:t>
        </w:r>
      </w:hyperlink>
      <w:r w:rsidRPr="00A76789">
        <w:rPr>
          <w:rtl/>
        </w:rPr>
        <w:t xml:space="preserve"> في ديسمبر 2023 في قمة القادة التي نظمتها مجلة </w:t>
      </w:r>
      <w:proofErr w:type="spellStart"/>
      <w:r w:rsidRPr="00A76789">
        <w:rPr>
          <w:rtl/>
        </w:rPr>
        <w:t>Telecom</w:t>
      </w:r>
      <w:proofErr w:type="spellEnd"/>
      <w:r w:rsidRPr="00A76789">
        <w:rPr>
          <w:rtl/>
        </w:rPr>
        <w:t xml:space="preserve"> </w:t>
      </w:r>
      <w:proofErr w:type="spellStart"/>
      <w:r w:rsidRPr="00A76789">
        <w:rPr>
          <w:rtl/>
        </w:rPr>
        <w:t>Review</w:t>
      </w:r>
      <w:proofErr w:type="spellEnd"/>
      <w:r w:rsidRPr="00A76789">
        <w:rPr>
          <w:rtl/>
        </w:rPr>
        <w:t xml:space="preserve"> في</w:t>
      </w:r>
      <w:r>
        <w:rPr>
          <w:rFonts w:hint="cs"/>
          <w:rtl/>
        </w:rPr>
        <w:t> </w:t>
      </w:r>
      <w:r w:rsidRPr="00A76789">
        <w:rPr>
          <w:rtl/>
        </w:rPr>
        <w:t xml:space="preserve">دبي، الإمارات العربية المتحدة، باستضافة من مجلة </w:t>
      </w:r>
      <w:proofErr w:type="spellStart"/>
      <w:r w:rsidRPr="00A76789">
        <w:rPr>
          <w:rtl/>
        </w:rPr>
        <w:t>Telecom</w:t>
      </w:r>
      <w:proofErr w:type="spellEnd"/>
      <w:r w:rsidRPr="00A76789">
        <w:rPr>
          <w:rtl/>
        </w:rPr>
        <w:t xml:space="preserve"> </w:t>
      </w:r>
      <w:proofErr w:type="spellStart"/>
      <w:r w:rsidRPr="00A76789">
        <w:rPr>
          <w:rtl/>
        </w:rPr>
        <w:t>Review</w:t>
      </w:r>
      <w:proofErr w:type="spellEnd"/>
      <w:r w:rsidRPr="00A76789">
        <w:rPr>
          <w:rtl/>
        </w:rPr>
        <w:t xml:space="preserve"> وبدعم من هيئة تنظيم الاتصالات والحكومة الرقمية في</w:t>
      </w:r>
      <w:r>
        <w:rPr>
          <w:rFonts w:hint="cs"/>
          <w:rtl/>
        </w:rPr>
        <w:t> </w:t>
      </w:r>
      <w:r w:rsidRPr="00A76789">
        <w:rPr>
          <w:rtl/>
        </w:rPr>
        <w:t xml:space="preserve">الإمارات العربية المتحدة، وشركات </w:t>
      </w:r>
      <w:r w:rsidRPr="00A76789">
        <w:t>du</w:t>
      </w:r>
      <w:r w:rsidRPr="00A76789">
        <w:rPr>
          <w:rtl/>
        </w:rPr>
        <w:t xml:space="preserve"> و</w:t>
      </w:r>
      <w:r w:rsidRPr="00A76789">
        <w:t>Huawei</w:t>
      </w:r>
      <w:r w:rsidRPr="00A76789">
        <w:rPr>
          <w:rtl/>
        </w:rPr>
        <w:t xml:space="preserve"> و</w:t>
      </w:r>
      <w:r w:rsidRPr="00A76789">
        <w:t>TELUS</w:t>
      </w:r>
      <w:r w:rsidRPr="00A76789">
        <w:rPr>
          <w:rtl/>
        </w:rPr>
        <w:t>.</w:t>
      </w:r>
    </w:p>
    <w:p w14:paraId="1C07D16D" w14:textId="77777777" w:rsidR="004D1D9B" w:rsidRPr="00A76789" w:rsidRDefault="004D1D9B" w:rsidP="00A76789">
      <w:r w:rsidRPr="00A76789">
        <w:rPr>
          <w:rtl/>
        </w:rPr>
        <w:t xml:space="preserve">وناقش كبار المسؤولين التنفيذيين دعم الاتصالات المتنقلة الدولية-2030 المطلوبة من الشبكات البصرية والذكاء الاصطناعي والاتصالات الدلالية. كما تبادلوا وجهات نظرهم بشأن معالجة الفجوة الرقمية، والشبكات غير الأرضية، والتنقل الذكي (مثل الاتصالات من مركبة إلى كل شيء ومتطلباتها التنظيمية)، والاتصالات عبر خطوط الطاقة الكهربائية، والاستجابة للكوارث، وتكنولوجيا الرؤية الآلية، وسلسلة الكتل، والتخفيف من الاحتيال، وتكنولوجيا المعلومات الكمومية. انظر </w:t>
      </w:r>
      <w:hyperlink r:id="rId240" w:history="1">
        <w:r w:rsidRPr="00970ADA">
          <w:rPr>
            <w:rStyle w:val="Hyperlink"/>
            <w:rtl/>
          </w:rPr>
          <w:t>بيان</w:t>
        </w:r>
      </w:hyperlink>
      <w:r w:rsidRPr="00970ADA">
        <w:rPr>
          <w:rtl/>
        </w:rPr>
        <w:t xml:space="preserve"> </w:t>
      </w:r>
      <w:r w:rsidRPr="00A76789">
        <w:rPr>
          <w:rtl/>
        </w:rPr>
        <w:t>الاجتماع.</w:t>
      </w:r>
    </w:p>
    <w:p w14:paraId="72FA11A5" w14:textId="77777777" w:rsidR="004D1D9B" w:rsidRPr="00A76789" w:rsidRDefault="004D1D9B" w:rsidP="00A76789">
      <w:r w:rsidRPr="00A76789">
        <w:rPr>
          <w:rtl/>
        </w:rPr>
        <w:t xml:space="preserve">وعقد </w:t>
      </w:r>
      <w:hyperlink r:id="rId241" w:history="1">
        <w:r w:rsidRPr="00970ADA">
          <w:rPr>
            <w:rStyle w:val="Hyperlink"/>
            <w:rtl/>
          </w:rPr>
          <w:t>اجتماع المسؤولين التنفيذيين</w:t>
        </w:r>
      </w:hyperlink>
      <w:r w:rsidRPr="00A76789">
        <w:rPr>
          <w:rtl/>
        </w:rPr>
        <w:t xml:space="preserve"> في ديسمبر 2022 في قمة القادة التي نظمتها مجلة </w:t>
      </w:r>
      <w:proofErr w:type="spellStart"/>
      <w:r w:rsidRPr="00A76789">
        <w:rPr>
          <w:rtl/>
        </w:rPr>
        <w:t>Telecom</w:t>
      </w:r>
      <w:proofErr w:type="spellEnd"/>
      <w:r w:rsidRPr="00A76789">
        <w:rPr>
          <w:rtl/>
        </w:rPr>
        <w:t xml:space="preserve"> </w:t>
      </w:r>
      <w:proofErr w:type="spellStart"/>
      <w:r w:rsidRPr="00A76789">
        <w:rPr>
          <w:rtl/>
        </w:rPr>
        <w:t>Review</w:t>
      </w:r>
      <w:proofErr w:type="spellEnd"/>
      <w:r w:rsidRPr="00A76789">
        <w:rPr>
          <w:rtl/>
        </w:rPr>
        <w:t xml:space="preserve"> في دبي، الإمارات العربية المتحدة، باستضافة من مجلة </w:t>
      </w:r>
      <w:proofErr w:type="spellStart"/>
      <w:r w:rsidRPr="00A76789">
        <w:rPr>
          <w:rtl/>
        </w:rPr>
        <w:t>Telecom</w:t>
      </w:r>
      <w:proofErr w:type="spellEnd"/>
      <w:r w:rsidRPr="00A76789">
        <w:rPr>
          <w:rtl/>
        </w:rPr>
        <w:t xml:space="preserve"> </w:t>
      </w:r>
      <w:proofErr w:type="spellStart"/>
      <w:r w:rsidRPr="00A76789">
        <w:rPr>
          <w:rtl/>
        </w:rPr>
        <w:t>Review</w:t>
      </w:r>
      <w:proofErr w:type="spellEnd"/>
      <w:r w:rsidRPr="00A76789">
        <w:rPr>
          <w:rtl/>
        </w:rPr>
        <w:t xml:space="preserve"> وبدعم من هيئة تنظيم الاتصالات والحكومة الرقمية في الإمارات العربية المتحدة، وشركات </w:t>
      </w:r>
      <w:r w:rsidRPr="00A76789">
        <w:t>TELUS</w:t>
      </w:r>
      <w:r w:rsidRPr="00A76789">
        <w:rPr>
          <w:rtl/>
        </w:rPr>
        <w:t xml:space="preserve"> و</w:t>
      </w:r>
      <w:r w:rsidRPr="00A76789">
        <w:t>IBM</w:t>
      </w:r>
      <w:r w:rsidRPr="00A76789">
        <w:rPr>
          <w:rtl/>
        </w:rPr>
        <w:t xml:space="preserve"> و</w:t>
      </w:r>
      <w:r w:rsidRPr="00A76789">
        <w:t>Huawei</w:t>
      </w:r>
      <w:r w:rsidRPr="00A76789">
        <w:rPr>
          <w:rtl/>
        </w:rPr>
        <w:t>.</w:t>
      </w:r>
    </w:p>
    <w:p w14:paraId="7E83D8FB" w14:textId="77777777" w:rsidR="004D1D9B" w:rsidRDefault="004D1D9B" w:rsidP="00A76789">
      <w:pPr>
        <w:rPr>
          <w:rtl/>
        </w:rPr>
      </w:pPr>
      <w:r w:rsidRPr="00A76789">
        <w:rPr>
          <w:rtl/>
        </w:rPr>
        <w:t xml:space="preserve">وناقش كبار المسؤولين التنفيذيين أولويات الصناعة في مجالات الذكاء الاصطناعي وتعلم الآلة والاستدامة البيئية والإبلاغ عن الاستدامة وتكنولوجيا الميتافيرس وتكنولوجيا المعلومات الكمومية والاتصالات المتنقلة الدولية-2020 وما بعدها. وتبادل المسؤولون التنفيذيون أيضاً وجهات النظر بشأن سبل دعم التآزر المتزايد بين دوائر الصناعة والهيئات الأكاديمية والاستفادة منه في تطوير تكنولوجيا المعلومات والاتصالات وتطبيقها، ولا سيما في مجال الذكاء الاصطناعي وتعلم الآلة. انظر </w:t>
      </w:r>
      <w:hyperlink r:id="rId242" w:history="1">
        <w:r w:rsidRPr="00970ADA">
          <w:rPr>
            <w:rStyle w:val="Hyperlink"/>
            <w:rtl/>
          </w:rPr>
          <w:t>بيان</w:t>
        </w:r>
      </w:hyperlink>
      <w:r w:rsidRPr="00970ADA">
        <w:rPr>
          <w:rtl/>
        </w:rPr>
        <w:t xml:space="preserve"> </w:t>
      </w:r>
      <w:r w:rsidRPr="00A76789">
        <w:rPr>
          <w:rtl/>
        </w:rPr>
        <w:t>الاجتماع.</w:t>
      </w:r>
    </w:p>
    <w:p w14:paraId="232800B5" w14:textId="77777777" w:rsidR="004D1D9B" w:rsidRPr="00A76789" w:rsidRDefault="004D1D9B" w:rsidP="00970ADA">
      <w:pPr>
        <w:pStyle w:val="Heading1"/>
        <w:rPr>
          <w:rtl/>
        </w:rPr>
      </w:pPr>
      <w:bookmarkStart w:id="145" w:name="_4_Academia"/>
      <w:bookmarkStart w:id="146" w:name="_6_Academia"/>
      <w:bookmarkStart w:id="147" w:name="_Toc179219762"/>
      <w:bookmarkStart w:id="148" w:name="_Toc179221072"/>
      <w:bookmarkStart w:id="149" w:name="_Toc179733614"/>
      <w:bookmarkEnd w:id="118"/>
      <w:bookmarkEnd w:id="126"/>
      <w:bookmarkEnd w:id="127"/>
      <w:bookmarkEnd w:id="145"/>
      <w:bookmarkEnd w:id="146"/>
      <w:r w:rsidRPr="00A76789">
        <w:rPr>
          <w:rtl/>
        </w:rPr>
        <w:t>6</w:t>
      </w:r>
      <w:r w:rsidRPr="00A76789">
        <w:rPr>
          <w:rtl/>
        </w:rPr>
        <w:tab/>
        <w:t xml:space="preserve">الهيئات </w:t>
      </w:r>
      <w:bookmarkStart w:id="150" w:name="Six"/>
      <w:bookmarkEnd w:id="150"/>
      <w:r w:rsidRPr="00A76789">
        <w:rPr>
          <w:rtl/>
        </w:rPr>
        <w:t>الأكاديمية</w:t>
      </w:r>
      <w:bookmarkEnd w:id="147"/>
      <w:bookmarkEnd w:id="148"/>
      <w:bookmarkEnd w:id="149"/>
    </w:p>
    <w:p w14:paraId="50AFEC68" w14:textId="77777777" w:rsidR="004D1D9B" w:rsidRPr="00A76789" w:rsidRDefault="004D1D9B" w:rsidP="00A76789">
      <w:r w:rsidRPr="00A76789">
        <w:rPr>
          <w:rtl/>
        </w:rPr>
        <w:t>وتمثل ‏</w:t>
      </w:r>
      <w:hyperlink r:id="rId243" w:anchor="/ar" w:history="1">
        <w:r w:rsidRPr="00970ADA">
          <w:rPr>
            <w:rStyle w:val="Hyperlink"/>
            <w:rtl/>
          </w:rPr>
          <w:t>عضوية الهيئات الأكاديمية في الاتحاد</w:t>
        </w:r>
      </w:hyperlink>
      <w:r w:rsidRPr="00A76789">
        <w:rPr>
          <w:rtl/>
        </w:rPr>
        <w:t xml:space="preserve">، </w:t>
      </w:r>
      <w:r w:rsidRPr="00970ADA">
        <w:rPr>
          <w:rtl/>
        </w:rPr>
        <w:t>و</w:t>
      </w:r>
      <w:hyperlink r:id="rId244" w:history="1">
        <w:r w:rsidRPr="00970ADA">
          <w:rPr>
            <w:rStyle w:val="Hyperlink"/>
            <w:rtl/>
          </w:rPr>
          <w:t>جريدة الاتحاد بشأن التكنولوجيات المستقبلية والمتطورة</w:t>
        </w:r>
      </w:hyperlink>
      <w:r w:rsidRPr="00A76789">
        <w:rPr>
          <w:rtl/>
        </w:rPr>
        <w:t xml:space="preserve">، </w:t>
      </w:r>
      <w:r w:rsidRPr="00A76789">
        <w:rPr>
          <w:cs/>
        </w:rPr>
        <w:t>‎</w:t>
      </w:r>
      <w:r w:rsidRPr="00970ADA">
        <w:rPr>
          <w:rtl/>
        </w:rPr>
        <w:t>و</w:t>
      </w:r>
      <w:hyperlink r:id="rId245" w:history="1">
        <w:r w:rsidRPr="00970ADA">
          <w:rPr>
            <w:rStyle w:val="Hyperlink"/>
            <w:rtl/>
          </w:rPr>
          <w:t xml:space="preserve">مؤتمرات </w:t>
        </w:r>
        <w:proofErr w:type="spellStart"/>
        <w:r w:rsidRPr="00970ADA">
          <w:rPr>
            <w:rStyle w:val="Hyperlink"/>
            <w:rtl/>
          </w:rPr>
          <w:t>كاليدوسكوب</w:t>
        </w:r>
        <w:proofErr w:type="spellEnd"/>
        <w:r w:rsidRPr="00970ADA">
          <w:rPr>
            <w:rStyle w:val="Hyperlink"/>
            <w:rtl/>
          </w:rPr>
          <w:t xml:space="preserve"> التي ينظمها الاتحاد</w:t>
        </w:r>
      </w:hyperlink>
      <w:r w:rsidRPr="00A76789">
        <w:rPr>
          <w:rtl/>
        </w:rPr>
        <w:t>، سبلاً رئيسية للهيئات الأكاديمية للمشاركة في أعمال الاتحاد</w:t>
      </w:r>
      <w:r w:rsidRPr="00A76789">
        <w:t>.</w:t>
      </w:r>
    </w:p>
    <w:p w14:paraId="080D24A8" w14:textId="77777777" w:rsidR="004D1D9B" w:rsidRPr="00A76789" w:rsidRDefault="004D1D9B" w:rsidP="00970ADA">
      <w:pPr>
        <w:pStyle w:val="Heading2"/>
        <w:rPr>
          <w:rtl/>
        </w:rPr>
      </w:pPr>
      <w:bookmarkStart w:id="151" w:name="_6.1_ITU_Journal"/>
      <w:bookmarkStart w:id="152" w:name="_Toc179219763"/>
      <w:bookmarkStart w:id="153" w:name="_Toc179221073"/>
      <w:bookmarkStart w:id="154" w:name="_Toc179733615"/>
      <w:bookmarkEnd w:id="151"/>
      <w:r>
        <w:rPr>
          <w:rFonts w:hint="cs"/>
          <w:rtl/>
        </w:rPr>
        <w:t>1.6</w:t>
      </w:r>
      <w:r w:rsidRPr="00A76789">
        <w:rPr>
          <w:rtl/>
        </w:rPr>
        <w:tab/>
        <w:t>الجر</w:t>
      </w:r>
      <w:bookmarkStart w:id="155" w:name="SixOne"/>
      <w:bookmarkEnd w:id="155"/>
      <w:r w:rsidRPr="00A76789">
        <w:rPr>
          <w:rtl/>
        </w:rPr>
        <w:t>يدة</w:t>
      </w:r>
      <w:bookmarkEnd w:id="152"/>
      <w:bookmarkEnd w:id="153"/>
      <w:bookmarkEnd w:id="154"/>
    </w:p>
    <w:p w14:paraId="7B43F075" w14:textId="77777777" w:rsidR="004D1D9B" w:rsidRPr="00A76789" w:rsidRDefault="004D1D9B" w:rsidP="00A76789">
      <w:r w:rsidRPr="00A76789">
        <w:rPr>
          <w:rtl/>
        </w:rPr>
        <w:t>توفر</w:t>
      </w:r>
      <w:r w:rsidRPr="00A76789">
        <w:rPr>
          <w:u w:val="single"/>
          <w:rtl/>
        </w:rPr>
        <w:t xml:space="preserve"> </w:t>
      </w:r>
      <w:hyperlink r:id="rId246" w:history="1">
        <w:r w:rsidRPr="00970ADA">
          <w:rPr>
            <w:rStyle w:val="Hyperlink"/>
            <w:rtl/>
          </w:rPr>
          <w:t>جريدة الاتحاد بشأن التكنولوجيات المستقبلية والناشئة (ITU J-FET)</w:t>
        </w:r>
      </w:hyperlink>
      <w:r>
        <w:rPr>
          <w:rFonts w:hint="cs"/>
          <w:rtl/>
        </w:rPr>
        <w:t xml:space="preserve"> -</w:t>
      </w:r>
      <w:r w:rsidRPr="00A76789">
        <w:rPr>
          <w:rtl/>
        </w:rPr>
        <w:t xml:space="preserve"> تغطية شاملة للاتصالات والربط الشبكي - وهي متاحة مجاناً للقراء والمؤلفين على السواء. وترحب المجلة الإلكترونية بالأبحاث المقدمة بخصوص جميع المواضيع ذات الصلة، على مدار العام.</w:t>
      </w:r>
    </w:p>
    <w:p w14:paraId="786CB7E1" w14:textId="77777777" w:rsidR="004D1D9B" w:rsidRPr="00A76789" w:rsidRDefault="004D1D9B" w:rsidP="00970ADA">
      <w:r w:rsidRPr="00A76789">
        <w:rPr>
          <w:rtl/>
        </w:rPr>
        <w:t xml:space="preserve">ومُنحت شهادة تقدير لرئيس تحرير جريدة الاتحاد، </w:t>
      </w:r>
      <w:hyperlink r:id="rId247" w:history="1">
        <w:proofErr w:type="spellStart"/>
        <w:r w:rsidRPr="00970ADA">
          <w:rPr>
            <w:rStyle w:val="Hyperlink"/>
            <w:rtl/>
          </w:rPr>
          <w:t>Ian</w:t>
        </w:r>
        <w:proofErr w:type="spellEnd"/>
        <w:r w:rsidRPr="00970ADA">
          <w:rPr>
            <w:rStyle w:val="Hyperlink"/>
            <w:rtl/>
          </w:rPr>
          <w:t xml:space="preserve"> F. </w:t>
        </w:r>
        <w:proofErr w:type="spellStart"/>
        <w:r w:rsidRPr="00970ADA">
          <w:rPr>
            <w:rStyle w:val="Hyperlink"/>
            <w:rtl/>
          </w:rPr>
          <w:t>Akyildiz</w:t>
        </w:r>
        <w:proofErr w:type="spellEnd"/>
      </w:hyperlink>
      <w:r w:rsidRPr="00A76789">
        <w:rPr>
          <w:rtl/>
        </w:rPr>
        <w:t xml:space="preserve">، أستاذ كرسي كين </w:t>
      </w:r>
      <w:proofErr w:type="spellStart"/>
      <w:r w:rsidRPr="00A76789">
        <w:rPr>
          <w:rtl/>
        </w:rPr>
        <w:t>بايرز</w:t>
      </w:r>
      <w:proofErr w:type="spellEnd"/>
      <w:r w:rsidRPr="00A76789">
        <w:rPr>
          <w:rtl/>
        </w:rPr>
        <w:t xml:space="preserve"> الفخري في الاتصالات في معهد جورجيا للتكنولوجيا، في مؤتمر المندوبين المفوضين لعام 2022 تقديراً "‏لالتزامه وإسهامه البارز في مجلة الاتحاد، بصفته رئيس تحرير مؤسس، مما ضمن نشر نتائج مؤثرة لدفع عجلة العلم".‎</w:t>
      </w:r>
    </w:p>
    <w:p w14:paraId="7DD72AD8" w14:textId="77777777" w:rsidR="004D1D9B" w:rsidRPr="00A76789" w:rsidRDefault="004D1D9B" w:rsidP="00A76789">
      <w:bookmarkStart w:id="156" w:name="_Hlk172568621"/>
      <w:r w:rsidRPr="00A76789">
        <w:rPr>
          <w:rtl/>
        </w:rPr>
        <w:t xml:space="preserve">وتتضمن الجريدة أيضاً </w:t>
      </w:r>
      <w:hyperlink r:id="rId248" w:history="1">
        <w:r w:rsidRPr="00970ADA">
          <w:rPr>
            <w:rStyle w:val="Hyperlink"/>
            <w:rtl/>
          </w:rPr>
          <w:t>مناقشات لحلقات دراسية إلكترونية مسجلة</w:t>
        </w:r>
      </w:hyperlink>
      <w:r w:rsidRPr="00970ADA">
        <w:rPr>
          <w:rtl/>
        </w:rPr>
        <w:t xml:space="preserve"> </w:t>
      </w:r>
      <w:r w:rsidRPr="00A76789">
        <w:rPr>
          <w:rtl/>
        </w:rPr>
        <w:t>مع الباحثين وقادة الصناعة.</w:t>
      </w:r>
    </w:p>
    <w:bookmarkEnd w:id="156"/>
    <w:p w14:paraId="4293A744" w14:textId="77777777" w:rsidR="004D1D9B" w:rsidRPr="00A76789" w:rsidRDefault="004D1D9B" w:rsidP="00A76789">
      <w:r w:rsidRPr="00A76789">
        <w:rPr>
          <w:rtl/>
        </w:rPr>
        <w:t>الأعداد الفصلية المنشورة في عام 2024:</w:t>
      </w:r>
    </w:p>
    <w:p w14:paraId="3584ACDA" w14:textId="77777777" w:rsidR="004D1D9B" w:rsidRPr="00A76789" w:rsidRDefault="004D1D9B" w:rsidP="00970ADA">
      <w:pPr>
        <w:pStyle w:val="enumlev1"/>
      </w:pPr>
      <w:bookmarkStart w:id="157" w:name="_Hlk172568722"/>
      <w:r>
        <w:rPr>
          <w:rFonts w:hint="cs"/>
          <w:rtl/>
        </w:rPr>
        <w:t>-</w:t>
      </w:r>
      <w:r>
        <w:rPr>
          <w:rtl/>
        </w:rPr>
        <w:tab/>
      </w:r>
      <w:r w:rsidRPr="00A76789">
        <w:rPr>
          <w:rtl/>
        </w:rPr>
        <w:t>يستكشف المجلد 5، العدد 3 التكنولوجيات الذكية للشبكات المستقبلية والأنظمة الموزعة.</w:t>
      </w:r>
    </w:p>
    <w:p w14:paraId="3DE7F62C" w14:textId="77777777" w:rsidR="004D1D9B" w:rsidRPr="00A76789" w:rsidRDefault="004D1D9B" w:rsidP="00970ADA">
      <w:pPr>
        <w:pStyle w:val="enumlev1"/>
      </w:pPr>
      <w:r>
        <w:rPr>
          <w:rFonts w:hint="cs"/>
          <w:rtl/>
        </w:rPr>
        <w:lastRenderedPageBreak/>
        <w:t>-</w:t>
      </w:r>
      <w:r>
        <w:rPr>
          <w:rtl/>
        </w:rPr>
        <w:tab/>
      </w:r>
      <w:r w:rsidRPr="00A76789">
        <w:rPr>
          <w:rtl/>
        </w:rPr>
        <w:t>يستكشف المجلد 5، العدد 2، مستقبل الاتصالات الساتلية في ضوء التحول النموذجي من الخدمات الساتلية التقليدية المستقرة بالنسبة إلى الأرض إلى الشبكات الفضائية متعددة الطبقات.</w:t>
      </w:r>
    </w:p>
    <w:p w14:paraId="06DBBAB3" w14:textId="77777777" w:rsidR="004D1D9B" w:rsidRDefault="004D1D9B" w:rsidP="00970ADA">
      <w:pPr>
        <w:pStyle w:val="enumlev1"/>
      </w:pPr>
      <w:bookmarkStart w:id="158" w:name="_Hlk172568741"/>
      <w:bookmarkEnd w:id="157"/>
      <w:r>
        <w:rPr>
          <w:rFonts w:hint="cs"/>
          <w:rtl/>
        </w:rPr>
        <w:t>-</w:t>
      </w:r>
      <w:r>
        <w:rPr>
          <w:rtl/>
        </w:rPr>
        <w:tab/>
      </w:r>
      <w:r w:rsidRPr="00A76789">
        <w:rPr>
          <w:rtl/>
        </w:rPr>
        <w:t>يستكشف المجلد 5، العدد 1، الابتكارات التي تمكّن الشبكات من تحقيق أداء عال وكفاءة في استهلاك الطاقة وأمان، مع تقديم خدمات لمجموعة متنوعة من الأجهزة.</w:t>
      </w:r>
    </w:p>
    <w:p w14:paraId="369607CC" w14:textId="77777777" w:rsidR="004D1D9B" w:rsidRPr="00A76789" w:rsidRDefault="004D1D9B" w:rsidP="00A76789">
      <w:r w:rsidRPr="00A76789">
        <w:rPr>
          <w:rtl/>
        </w:rPr>
        <w:t>الأعداد الفصلية المنشورة في عام 2023:</w:t>
      </w:r>
    </w:p>
    <w:p w14:paraId="34B5DB60" w14:textId="77777777" w:rsidR="004D1D9B" w:rsidRPr="00A76789" w:rsidRDefault="004D1D9B" w:rsidP="00970ADA">
      <w:pPr>
        <w:pStyle w:val="enumlev1"/>
      </w:pPr>
      <w:r>
        <w:rPr>
          <w:rFonts w:hint="cs"/>
          <w:rtl/>
        </w:rPr>
        <w:t>-</w:t>
      </w:r>
      <w:r>
        <w:rPr>
          <w:rtl/>
        </w:rPr>
        <w:tab/>
      </w:r>
      <w:r w:rsidRPr="00A76789">
        <w:rPr>
          <w:rtl/>
        </w:rPr>
        <w:t>يستكشف المجلد 4، العدد 4، الابتكارات المتعلقة بالميتافيرس، والذكاء الاصطناعي لتحقيق إمكانية النفاذ، والاتصالات من مركبة إلى كل شيء، وحوسبة الحافة، والتوصيل الشبكي الساتلي في المدارات الأرضية المنخفضة.</w:t>
      </w:r>
    </w:p>
    <w:p w14:paraId="3FADC98B" w14:textId="77777777" w:rsidR="004D1D9B" w:rsidRPr="00A76789" w:rsidRDefault="004D1D9B" w:rsidP="00970ADA">
      <w:pPr>
        <w:pStyle w:val="enumlev1"/>
      </w:pPr>
      <w:r>
        <w:rPr>
          <w:rFonts w:hint="cs"/>
          <w:rtl/>
        </w:rPr>
        <w:t>-</w:t>
      </w:r>
      <w:r>
        <w:rPr>
          <w:rtl/>
        </w:rPr>
        <w:tab/>
      </w:r>
      <w:r w:rsidRPr="00A76789">
        <w:rPr>
          <w:rtl/>
        </w:rPr>
        <w:t>يستكشف المجلد 4، العدد 3 أتمتة الشبكات والدينامية الناتجة عنها وهي مفتاح للجيل الخامس (5G) وما بعده. كما يقدم رؤى بشأن الحلول التي تم تطويرها كجزء من تحدي الذكاء الاصطناعي/تعلم الآلة في الجيل الخامس (5G).</w:t>
      </w:r>
    </w:p>
    <w:p w14:paraId="0919A0E8" w14:textId="77777777" w:rsidR="004D1D9B" w:rsidRPr="00A76789" w:rsidRDefault="004D1D9B" w:rsidP="00970ADA">
      <w:pPr>
        <w:pStyle w:val="enumlev1"/>
      </w:pPr>
      <w:r>
        <w:rPr>
          <w:rFonts w:hint="cs"/>
          <w:rtl/>
        </w:rPr>
        <w:t>-</w:t>
      </w:r>
      <w:r>
        <w:rPr>
          <w:rtl/>
        </w:rPr>
        <w:tab/>
      </w:r>
      <w:r w:rsidRPr="00A76789">
        <w:rPr>
          <w:rtl/>
        </w:rPr>
        <w:t>يستكشف المجلد 4، العدد 2 تنسيق الشبكة وأمنها فيما يتعلق بشبكات الجيل الخامس وما بعدها، ويشارك رؤى حول التطورات في ذكاء الشبكة والأتمتة التي تساعد على تلبية متطلبات الخدمة سريعة التطور.</w:t>
      </w:r>
    </w:p>
    <w:p w14:paraId="373E9BBB" w14:textId="77777777" w:rsidR="004D1D9B" w:rsidRDefault="004D1D9B" w:rsidP="00970ADA">
      <w:pPr>
        <w:pStyle w:val="enumlev1"/>
      </w:pPr>
      <w:r>
        <w:rPr>
          <w:rFonts w:hint="cs"/>
          <w:rtl/>
        </w:rPr>
        <w:t>-</w:t>
      </w:r>
      <w:r>
        <w:rPr>
          <w:rtl/>
        </w:rPr>
        <w:tab/>
      </w:r>
      <w:r w:rsidRPr="00A76789">
        <w:rPr>
          <w:rtl/>
        </w:rPr>
        <w:t xml:space="preserve">يستكشف المجلد 4، العدد 1 حلول الشبكات المبتكرة للخدمات المستقبلية والأسطح الذكية واتصالات النطاق العريض من </w:t>
      </w:r>
      <w:proofErr w:type="spellStart"/>
      <w:r w:rsidRPr="00A76789">
        <w:rPr>
          <w:rtl/>
        </w:rPr>
        <w:t>جيجاهرتز</w:t>
      </w:r>
      <w:proofErr w:type="spellEnd"/>
      <w:r w:rsidRPr="00A76789">
        <w:rPr>
          <w:rtl/>
        </w:rPr>
        <w:t xml:space="preserve"> إلى </w:t>
      </w:r>
      <w:proofErr w:type="spellStart"/>
      <w:r w:rsidRPr="00A76789">
        <w:rPr>
          <w:rtl/>
        </w:rPr>
        <w:t>تيراهرتز</w:t>
      </w:r>
      <w:proofErr w:type="spellEnd"/>
      <w:r w:rsidRPr="00A76789">
        <w:rPr>
          <w:rtl/>
        </w:rPr>
        <w:t xml:space="preserve"> </w:t>
      </w:r>
      <w:r>
        <w:rPr>
          <w:rFonts w:hint="cs"/>
          <w:rtl/>
        </w:rPr>
        <w:t>(</w:t>
      </w:r>
      <w:r w:rsidRPr="00A76789">
        <w:t>GHz</w:t>
      </w:r>
      <w:r w:rsidRPr="00A76789">
        <w:rPr>
          <w:rtl/>
        </w:rPr>
        <w:t xml:space="preserve"> إلى </w:t>
      </w:r>
      <w:r w:rsidRPr="00A76789">
        <w:t>THz</w:t>
      </w:r>
      <w:r w:rsidRPr="00A76789">
        <w:rPr>
          <w:rtl/>
        </w:rPr>
        <w:t>) لشبكات الجيل السادس (6G) غير الأرضية.</w:t>
      </w:r>
    </w:p>
    <w:p w14:paraId="77E9184B" w14:textId="77777777" w:rsidR="004D1D9B" w:rsidRPr="00A76789" w:rsidRDefault="004D1D9B" w:rsidP="00A76789">
      <w:r w:rsidRPr="00A76789">
        <w:rPr>
          <w:rtl/>
        </w:rPr>
        <w:t>الأعداد الفصلية المنشورة في عام 2023:</w:t>
      </w:r>
    </w:p>
    <w:p w14:paraId="4455DA66" w14:textId="77777777" w:rsidR="004D1D9B" w:rsidRPr="00A76789" w:rsidRDefault="004D1D9B" w:rsidP="00970ADA">
      <w:pPr>
        <w:pStyle w:val="enumlev1"/>
      </w:pPr>
      <w:r>
        <w:rPr>
          <w:rFonts w:hint="cs"/>
          <w:rtl/>
        </w:rPr>
        <w:t>-</w:t>
      </w:r>
      <w:r>
        <w:rPr>
          <w:rtl/>
        </w:rPr>
        <w:tab/>
      </w:r>
      <w:r w:rsidRPr="00A76789">
        <w:rPr>
          <w:rtl/>
        </w:rPr>
        <w:t>يستكشف المجلد 3 الاستمرارية الرقمية وشبكات الجيل التالي، والشبكات ما بعد عام 2030، وإدارة الشبكة المستقلة والتحكم فيها من أجل تطبيقات الجيل السادس (</w:t>
      </w:r>
      <w:r>
        <w:t>6G</w:t>
      </w:r>
      <w:r w:rsidRPr="00A76789">
        <w:rPr>
          <w:rtl/>
        </w:rPr>
        <w:t>) الحرجة زمنياً.</w:t>
      </w:r>
    </w:p>
    <w:p w14:paraId="2CA85D4A" w14:textId="77777777" w:rsidR="004D1D9B" w:rsidRPr="00A76789" w:rsidRDefault="004D1D9B" w:rsidP="00970ADA">
      <w:pPr>
        <w:pStyle w:val="enumlev1"/>
      </w:pPr>
      <w:r>
        <w:rPr>
          <w:rFonts w:hint="cs"/>
          <w:rtl/>
        </w:rPr>
        <w:t>-</w:t>
      </w:r>
      <w:r>
        <w:rPr>
          <w:rtl/>
        </w:rPr>
        <w:tab/>
      </w:r>
      <w:r w:rsidRPr="00A76789">
        <w:rPr>
          <w:rtl/>
        </w:rPr>
        <w:t>كما يستكشف مواضيع بدءاً من الاتصالات ثلاثية الأبعاد والتوائم الرقمية وحوسبة الحافة إلى التحديات البحثية المتزايدة في الاتصالات اللاسلكية المرتبطة بالواقع الموسَّع.</w:t>
      </w:r>
    </w:p>
    <w:p w14:paraId="520F9861" w14:textId="77777777" w:rsidR="004D1D9B" w:rsidRPr="00A76789" w:rsidRDefault="004D1D9B" w:rsidP="00970ADA">
      <w:pPr>
        <w:pStyle w:val="enumlev1"/>
      </w:pPr>
      <w:r>
        <w:rPr>
          <w:rFonts w:hint="cs"/>
          <w:rtl/>
        </w:rPr>
        <w:t>-</w:t>
      </w:r>
      <w:r>
        <w:rPr>
          <w:rtl/>
        </w:rPr>
        <w:tab/>
      </w:r>
      <w:r w:rsidRPr="00A76789">
        <w:rPr>
          <w:rtl/>
        </w:rPr>
        <w:t>ويتناول، علاوة على ذلك، حلول الذكاء الاصطناعي وتعلم الآلة لشبكات الجيل الخامس وشبكات المستقبل، والاتجاهات والتطبيقات الناشئة المتوقع أن تشكل شبكات المستقبل، وابتكارات شبكات المركبات لدعم التنقل الذكي والآمن.</w:t>
      </w:r>
    </w:p>
    <w:p w14:paraId="3B55996E" w14:textId="77777777" w:rsidR="004D1D9B" w:rsidRPr="00A76789" w:rsidRDefault="004D1D9B" w:rsidP="00970ADA">
      <w:bookmarkStart w:id="159" w:name="_Hlk120564161"/>
      <w:bookmarkEnd w:id="158"/>
      <w:r w:rsidRPr="00A76789">
        <w:rPr>
          <w:rtl/>
        </w:rPr>
        <w:t>ومن المقرر أن تتناول الأعداد القادمة من الجريدة ما يلي:</w:t>
      </w:r>
    </w:p>
    <w:p w14:paraId="5DEBE2C8" w14:textId="77777777" w:rsidR="004D1D9B" w:rsidRPr="00A76789" w:rsidRDefault="004D1D9B" w:rsidP="00970ADA">
      <w:pPr>
        <w:pStyle w:val="enumlev1"/>
      </w:pPr>
      <w:r>
        <w:rPr>
          <w:rFonts w:hint="cs"/>
          <w:rtl/>
        </w:rPr>
        <w:t>-</w:t>
      </w:r>
      <w:r>
        <w:rPr>
          <w:rtl/>
        </w:rPr>
        <w:tab/>
      </w:r>
      <w:r w:rsidRPr="00A76789">
        <w:rPr>
          <w:rtl/>
        </w:rPr>
        <w:t>حلول الذكاء الاصطناعي وتعلم الآلة لشبكات الجيل الخامس وشبكات المستقبل</w:t>
      </w:r>
    </w:p>
    <w:p w14:paraId="3D67F9FC" w14:textId="77777777" w:rsidR="004D1D9B" w:rsidRPr="00A76789" w:rsidRDefault="004D1D9B" w:rsidP="00970ADA">
      <w:pPr>
        <w:pStyle w:val="enumlev1"/>
      </w:pPr>
      <w:r>
        <w:rPr>
          <w:rFonts w:hint="cs"/>
          <w:rtl/>
        </w:rPr>
        <w:t>-</w:t>
      </w:r>
      <w:r>
        <w:rPr>
          <w:rtl/>
        </w:rPr>
        <w:tab/>
      </w:r>
      <w:r w:rsidRPr="00A76789">
        <w:rPr>
          <w:rtl/>
        </w:rPr>
        <w:t>‏الذكاء الاصطناعي الجغرافي المكاني لتعزيز أهداف التنمية المستدامة للأمم المتحدة‎</w:t>
      </w:r>
    </w:p>
    <w:p w14:paraId="58EDFE87" w14:textId="77777777" w:rsidR="004D1D9B" w:rsidRPr="00A76789" w:rsidRDefault="004D1D9B" w:rsidP="00970ADA">
      <w:pPr>
        <w:pStyle w:val="enumlev1"/>
      </w:pPr>
      <w:r>
        <w:rPr>
          <w:rFonts w:hint="cs"/>
          <w:rtl/>
        </w:rPr>
        <w:t>-</w:t>
      </w:r>
      <w:r>
        <w:rPr>
          <w:rtl/>
        </w:rPr>
        <w:tab/>
      </w:r>
      <w:r w:rsidRPr="00A76789">
        <w:rPr>
          <w:rtl/>
        </w:rPr>
        <w:t>حوسبة الحافة والاتصالات المتسمة بالكفاءة من حيث استهلاك الطاقة والمستدامة بيئياً من أجل الذكاء الاصطناعي</w:t>
      </w:r>
    </w:p>
    <w:p w14:paraId="3D4A73E9" w14:textId="77777777" w:rsidR="004D1D9B" w:rsidRPr="00A76789" w:rsidRDefault="004D1D9B" w:rsidP="00970ADA">
      <w:pPr>
        <w:pStyle w:val="enumlev1"/>
      </w:pPr>
      <w:r w:rsidRPr="00A76789">
        <w:rPr>
          <w:rtl/>
        </w:rPr>
        <w:t>تحديات الخصوصية والأمن في مجال الذكاء الاصطناعي التوليدي</w:t>
      </w:r>
    </w:p>
    <w:p w14:paraId="6C4D7694" w14:textId="77777777" w:rsidR="004D1D9B" w:rsidRPr="00A76789" w:rsidRDefault="004D1D9B" w:rsidP="00970ADA">
      <w:pPr>
        <w:pStyle w:val="Heading2"/>
      </w:pPr>
      <w:bookmarkStart w:id="160" w:name="_6.2_ITU_Kaleidoscope"/>
      <w:bookmarkStart w:id="161" w:name="_Toc179219764"/>
      <w:bookmarkStart w:id="162" w:name="_Toc179221074"/>
      <w:bookmarkStart w:id="163" w:name="_Toc179733616"/>
      <w:bookmarkEnd w:id="159"/>
      <w:bookmarkEnd w:id="160"/>
      <w:r>
        <w:t>2.6</w:t>
      </w:r>
      <w:r w:rsidRPr="00A76789">
        <w:rPr>
          <w:rtl/>
        </w:rPr>
        <w:tab/>
        <w:t>مؤتمر</w:t>
      </w:r>
      <w:bookmarkStart w:id="164" w:name="SixTwo"/>
      <w:bookmarkEnd w:id="164"/>
      <w:r w:rsidRPr="00A76789">
        <w:rPr>
          <w:rtl/>
        </w:rPr>
        <w:t xml:space="preserve">ات </w:t>
      </w:r>
      <w:proofErr w:type="spellStart"/>
      <w:r w:rsidRPr="00A76789">
        <w:rPr>
          <w:rtl/>
        </w:rPr>
        <w:t>كاليدوسكوب</w:t>
      </w:r>
      <w:proofErr w:type="spellEnd"/>
      <w:r w:rsidRPr="00A76789">
        <w:rPr>
          <w:rtl/>
        </w:rPr>
        <w:t xml:space="preserve"> الأكاديمية</w:t>
      </w:r>
      <w:bookmarkEnd w:id="161"/>
      <w:bookmarkEnd w:id="162"/>
      <w:bookmarkEnd w:id="163"/>
    </w:p>
    <w:p w14:paraId="72CAE9CC" w14:textId="4CBA908B" w:rsidR="004D1D9B" w:rsidRPr="00A76789" w:rsidRDefault="004D1D9B" w:rsidP="00970ADA">
      <w:pPr>
        <w:rPr>
          <w:rtl/>
        </w:rPr>
      </w:pPr>
      <w:r w:rsidRPr="00A76789">
        <w:rPr>
          <w:rtl/>
        </w:rPr>
        <w:t xml:space="preserve">إن سلسلة </w:t>
      </w:r>
      <w:hyperlink r:id="rId249" w:history="1">
        <w:proofErr w:type="spellStart"/>
        <w:r w:rsidRPr="00970ADA">
          <w:rPr>
            <w:rStyle w:val="Hyperlink"/>
            <w:rtl/>
          </w:rPr>
          <w:t>كاليدوسكوب</w:t>
        </w:r>
        <w:proofErr w:type="spellEnd"/>
        <w:r w:rsidRPr="00970ADA">
          <w:rPr>
            <w:rStyle w:val="Hyperlink"/>
            <w:rtl/>
          </w:rPr>
          <w:t xml:space="preserve"> الاتحاد</w:t>
        </w:r>
      </w:hyperlink>
      <w:r w:rsidRPr="00A76789">
        <w:rPr>
          <w:rtl/>
        </w:rPr>
        <w:t xml:space="preserve"> من المؤتمرات الأكاديمية التي خضعت لاستعراض الأقران - والتي ‏نُظمت مع رعاية تقنية من معهد مهندسي الكهرباء والإلكترونيات</w:t>
      </w:r>
      <w:r>
        <w:rPr>
          <w:rFonts w:hint="cs"/>
          <w:rtl/>
        </w:rPr>
        <w:t xml:space="preserve"> </w:t>
      </w:r>
      <w:r w:rsidRPr="00A76789">
        <w:t>(IEEE</w:t>
      </w:r>
      <w:r>
        <w:t>)</w:t>
      </w:r>
      <w:r>
        <w:rPr>
          <w:rFonts w:hint="cs"/>
          <w:rtl/>
        </w:rPr>
        <w:t xml:space="preserve"> </w:t>
      </w:r>
      <w:r w:rsidRPr="00A76789">
        <w:rPr>
          <w:rtl/>
        </w:rPr>
        <w:t>وجمعية الاتصالات بمعهد ‏مهندسي الكهرباء والإلكترونيات - تدعو إلى إجراء بحوث أصلية بشأن مواضيع ذات صلة استراتيجية ‏متزايدة بقطاع تقييس الاتصالات.</w:t>
      </w:r>
    </w:p>
    <w:p w14:paraId="6D7835D0" w14:textId="77777777" w:rsidR="004D1D9B" w:rsidRPr="00A76789" w:rsidRDefault="004D1D9B" w:rsidP="00970ADA">
      <w:pPr>
        <w:rPr>
          <w:rtl/>
        </w:rPr>
      </w:pPr>
      <w:r w:rsidRPr="00A76789">
        <w:rPr>
          <w:rtl/>
        </w:rPr>
        <w:t xml:space="preserve">واستكشفت </w:t>
      </w:r>
      <w:hyperlink r:id="rId250" w:history="1">
        <w:r w:rsidRPr="00970ADA">
          <w:rPr>
            <w:rStyle w:val="Hyperlink"/>
            <w:rtl/>
          </w:rPr>
          <w:t>الدورة الرابعة عشرة</w:t>
        </w:r>
      </w:hyperlink>
      <w:r w:rsidRPr="00A76789">
        <w:rPr>
          <w:rtl/>
        </w:rPr>
        <w:t xml:space="preserve"> - تحت عنوان "الواقع الموسع - كيفية تعزيز جودة التجربة وقابلية ‏التشغيل البيني" - الابتكار المطلوب لجعل الميتافيرس حقيقة واقعة. وعقد المؤتمر في أكرا، غانا، في ‏الفترة من 7 إلى 9 ديسمبر 2022، واستضافته هيئة الاتصالات الوطنية في غانا.‏</w:t>
      </w:r>
    </w:p>
    <w:p w14:paraId="37B54C66" w14:textId="77777777" w:rsidR="004D1D9B" w:rsidRPr="00A76789" w:rsidRDefault="004D1D9B" w:rsidP="00A76789">
      <w:pPr>
        <w:rPr>
          <w:rtl/>
        </w:rPr>
      </w:pPr>
      <w:r w:rsidRPr="00A76789">
        <w:rPr>
          <w:rtl/>
        </w:rPr>
        <w:t xml:space="preserve">وستعقد الدورة الخامسة عشرة من مؤتمر </w:t>
      </w:r>
      <w:proofErr w:type="spellStart"/>
      <w:r w:rsidRPr="00A76789">
        <w:rPr>
          <w:rtl/>
        </w:rPr>
        <w:t>كاليدوسكوب</w:t>
      </w:r>
      <w:proofErr w:type="spellEnd"/>
      <w:r w:rsidRPr="00A76789">
        <w:rPr>
          <w:rtl/>
        </w:rPr>
        <w:t xml:space="preserve"> في الفترة 21-23 أكتوبر 2024 بالتزامن مع الجمعية</w:t>
      </w:r>
      <w:r>
        <w:rPr>
          <w:rFonts w:hint="cs"/>
          <w:rtl/>
        </w:rPr>
        <w:t> </w:t>
      </w:r>
      <w:r w:rsidRPr="00A76789">
        <w:t>WTSA</w:t>
      </w:r>
      <w:r>
        <w:noBreakHyphen/>
      </w:r>
      <w:r w:rsidRPr="00A76789">
        <w:t>24</w:t>
      </w:r>
      <w:r>
        <w:rPr>
          <w:rFonts w:hint="cs"/>
          <w:rtl/>
        </w:rPr>
        <w:t xml:space="preserve">. </w:t>
      </w:r>
      <w:hyperlink r:id="rId251" w:history="1">
        <w:r w:rsidRPr="00970ADA">
          <w:rPr>
            <w:rStyle w:val="Hyperlink"/>
            <w:rtl/>
          </w:rPr>
          <w:t>المؤتمر الأكاديمي متعدد الجوانب (</w:t>
        </w:r>
        <w:proofErr w:type="spellStart"/>
        <w:r w:rsidRPr="00970ADA">
          <w:rPr>
            <w:rStyle w:val="Hyperlink"/>
            <w:rtl/>
          </w:rPr>
          <w:t>كاليدوسكوب</w:t>
        </w:r>
        <w:proofErr w:type="spellEnd"/>
        <w:r w:rsidRPr="00970ADA">
          <w:rPr>
            <w:rStyle w:val="Hyperlink"/>
            <w:rtl/>
          </w:rPr>
          <w:t>) للاتحاد لعام 2024‏</w:t>
        </w:r>
        <w:r w:rsidRPr="00970ADA">
          <w:rPr>
            <w:rStyle w:val="Hyperlink"/>
            <w:cs/>
          </w:rPr>
          <w:t>‎</w:t>
        </w:r>
        <w:r w:rsidRPr="00970ADA">
          <w:rPr>
            <w:rStyle w:val="Hyperlink"/>
          </w:rPr>
          <w:t>:</w:t>
        </w:r>
        <w:r w:rsidRPr="00970ADA">
          <w:rPr>
            <w:rStyle w:val="Hyperlink"/>
            <w:cs/>
          </w:rPr>
          <w:t>‎</w:t>
        </w:r>
        <w:r w:rsidRPr="00970ADA">
          <w:rPr>
            <w:rStyle w:val="Hyperlink"/>
            <w:rtl/>
          </w:rPr>
          <w:t>‏ الابتكار والتحول الرقمي ‏من أجل عالم مستدام</w:t>
        </w:r>
      </w:hyperlink>
      <w:r w:rsidRPr="00A76789">
        <w:rPr>
          <w:rtl/>
        </w:rPr>
        <w:t xml:space="preserve"> سيركز على كيفية إسهام المعايير الدولية في تحقيق أهداف التنمية المستدامة. ‏وتلقى المؤتمر أكثر من 140 مساهمة.‏</w:t>
      </w:r>
    </w:p>
    <w:p w14:paraId="4140A4D2" w14:textId="77777777" w:rsidR="004D1D9B" w:rsidRPr="00A76789" w:rsidRDefault="004D1D9B" w:rsidP="00A76789">
      <w:pPr>
        <w:rPr>
          <w:rtl/>
        </w:rPr>
      </w:pPr>
      <w:r w:rsidRPr="00A76789">
        <w:rPr>
          <w:rtl/>
        </w:rPr>
        <w:t xml:space="preserve">وسيحظى مؤلفو أفضل ثلاث ورقات بتقدير خاص وسيتقاسمون جائزة مالية بقيمة </w:t>
      </w:r>
      <w:r>
        <w:t>6 000</w:t>
      </w:r>
      <w:r w:rsidRPr="00A76789">
        <w:rPr>
          <w:rtl/>
        </w:rPr>
        <w:t xml:space="preserve"> فرنك سويسري. ‏</w:t>
      </w:r>
      <w:r>
        <w:rPr>
          <w:rFonts w:hint="cs"/>
          <w:rtl/>
        </w:rPr>
        <w:t>وسيحصل</w:t>
      </w:r>
      <w:r w:rsidRPr="00A76789">
        <w:rPr>
          <w:rtl/>
        </w:rPr>
        <w:t xml:space="preserve"> المؤلفون الذين تصل أعمارهم إلى</w:t>
      </w:r>
      <w:r w:rsidRPr="00A76789">
        <w:t xml:space="preserve"> </w:t>
      </w:r>
      <w:r w:rsidRPr="00A76789">
        <w:rPr>
          <w:cs/>
        </w:rPr>
        <w:t>‎</w:t>
      </w:r>
      <w:r w:rsidRPr="00A76789">
        <w:t xml:space="preserve">30 </w:t>
      </w:r>
      <w:r w:rsidRPr="00A76789">
        <w:rPr>
          <w:rtl/>
        </w:rPr>
        <w:t>‏عاماً والذين يقدمون ورقات مقبولة في المؤتمر على ‏شهادة تقدير المؤلف الشاب</w:t>
      </w:r>
      <w:r w:rsidRPr="00A76789">
        <w:t>.</w:t>
      </w:r>
      <w:r w:rsidRPr="00A76789">
        <w:rPr>
          <w:cs/>
        </w:rPr>
        <w:t>‎</w:t>
      </w:r>
    </w:p>
    <w:p w14:paraId="67FFD5DE" w14:textId="77777777" w:rsidR="004D1D9B" w:rsidRPr="00A76789" w:rsidRDefault="004D1D9B" w:rsidP="00A76789">
      <w:pPr>
        <w:rPr>
          <w:rtl/>
        </w:rPr>
      </w:pPr>
      <w:r w:rsidRPr="00A76789">
        <w:rPr>
          <w:rtl/>
        </w:rPr>
        <w:t>وسيتضمن المؤتمر عروضاً تقديمية من مؤلفي الورقات المقبولة، وخطابات رئيسية، ومعرضاً، وجلسات ‏خاصة حول "الشباب والتوحيد القياسي" و"نحو توصيل الثلاثة مليارات المتبقية".‏</w:t>
      </w:r>
    </w:p>
    <w:p w14:paraId="5CBC8DB9" w14:textId="77777777" w:rsidR="004D1D9B" w:rsidRPr="00A76789" w:rsidRDefault="004D1D9B" w:rsidP="00A76789">
      <w:pPr>
        <w:rPr>
          <w:rtl/>
        </w:rPr>
      </w:pPr>
      <w:r w:rsidRPr="00A76789">
        <w:rPr>
          <w:rtl/>
        </w:rPr>
        <w:lastRenderedPageBreak/>
        <w:t xml:space="preserve">وستُنشر جميع الورقات المقبولة والمقدمة في </w:t>
      </w:r>
      <w:r w:rsidRPr="00970ADA">
        <w:rPr>
          <w:i/>
          <w:iCs/>
          <w:rtl/>
        </w:rPr>
        <w:t xml:space="preserve">مداولات مؤتمر </w:t>
      </w:r>
      <w:proofErr w:type="spellStart"/>
      <w:r w:rsidRPr="00970ADA">
        <w:rPr>
          <w:i/>
          <w:iCs/>
          <w:rtl/>
        </w:rPr>
        <w:t>كاليدوسكوب</w:t>
      </w:r>
      <w:proofErr w:type="spellEnd"/>
      <w:r w:rsidRPr="00A76789">
        <w:rPr>
          <w:rtl/>
        </w:rPr>
        <w:t xml:space="preserve"> وفي المكتبة الرقمية ‏</w:t>
      </w:r>
      <w:r w:rsidRPr="00A76789">
        <w:t xml:space="preserve">IEEE </w:t>
      </w:r>
      <w:r w:rsidRPr="00970ADA">
        <w:rPr>
          <w:i/>
          <w:iCs/>
          <w:cs/>
        </w:rPr>
        <w:t>‎</w:t>
      </w:r>
      <w:proofErr w:type="spellStart"/>
      <w:r w:rsidRPr="00970ADA">
        <w:rPr>
          <w:i/>
          <w:iCs/>
        </w:rPr>
        <w:t>XPlore</w:t>
      </w:r>
      <w:proofErr w:type="spellEnd"/>
      <w:r w:rsidRPr="00A76789">
        <w:rPr>
          <w:rtl/>
        </w:rPr>
        <w:t>‏. ويمكن أيضاً نشر الأوراق البارزة في مجلة معايير الاتصالات ‏</w:t>
      </w:r>
      <w:r w:rsidRPr="00A76789">
        <w:t>IEEE</w:t>
      </w:r>
      <w:r w:rsidRPr="00A76789">
        <w:rPr>
          <w:rtl/>
        </w:rPr>
        <w:t>‏ والمجلات الدولية الأخرى.‏</w:t>
      </w:r>
    </w:p>
    <w:p w14:paraId="4895D783" w14:textId="77777777" w:rsidR="004D1D9B" w:rsidRPr="00A76789" w:rsidRDefault="004D1D9B" w:rsidP="00970ADA">
      <w:pPr>
        <w:pStyle w:val="Heading1"/>
        <w:rPr>
          <w:rtl/>
        </w:rPr>
      </w:pPr>
      <w:bookmarkStart w:id="165" w:name="_Toc179733617"/>
      <w:r w:rsidRPr="00A76789">
        <w:rPr>
          <w:rtl/>
        </w:rPr>
        <w:t>‏7‏</w:t>
      </w:r>
      <w:r w:rsidRPr="00A76789">
        <w:tab/>
      </w:r>
      <w:r w:rsidRPr="00A76789">
        <w:rPr>
          <w:rtl/>
        </w:rPr>
        <w:t>برنامج الم</w:t>
      </w:r>
      <w:bookmarkStart w:id="166" w:name="Seven"/>
      <w:bookmarkEnd w:id="166"/>
      <w:r w:rsidRPr="00A76789">
        <w:rPr>
          <w:rtl/>
        </w:rPr>
        <w:t>طابقة وقابلية التشغيل البيني</w:t>
      </w:r>
      <w:bookmarkEnd w:id="165"/>
    </w:p>
    <w:p w14:paraId="3779863F" w14:textId="77777777" w:rsidR="004D1D9B" w:rsidRPr="00A76789" w:rsidRDefault="004D1D9B" w:rsidP="00A76789">
      <w:pPr>
        <w:rPr>
          <w:rtl/>
        </w:rPr>
      </w:pPr>
      <w:r w:rsidRPr="00A76789">
        <w:rPr>
          <w:rtl/>
        </w:rPr>
        <w:t xml:space="preserve">يهدف </w:t>
      </w:r>
      <w:hyperlink r:id="rId252" w:history="1">
        <w:r w:rsidRPr="00970ADA">
          <w:rPr>
            <w:rStyle w:val="Hyperlink"/>
            <w:rtl/>
          </w:rPr>
          <w:t>برنامج الاتحاد بشأن المطابقة وقابلية التشغيل البيني</w:t>
        </w:r>
        <w:r w:rsidRPr="00970ADA">
          <w:rPr>
            <w:rStyle w:val="Hyperlink"/>
            <w:rFonts w:hint="cs"/>
            <w:rtl/>
          </w:rPr>
          <w:t> </w:t>
        </w:r>
        <w:r w:rsidRPr="00970ADA">
          <w:rPr>
            <w:rStyle w:val="Hyperlink"/>
          </w:rPr>
          <w:t>(C&amp;I)</w:t>
        </w:r>
      </w:hyperlink>
      <w:r w:rsidRPr="00A76789">
        <w:rPr>
          <w:rtl/>
        </w:rPr>
        <w:t xml:space="preserve"> إلى تعزيز المطابقة وقابلية التشغيل البيني ‏لشبكات ومنتجات تكنولوجيا المعلومات والاتصالات العاملة طبقاً لتوصيات الاتحاد أو بعض عناصرها، ‏وإلى التماس مدخلات لتحسين جودة توصيات الاتحاد وتقليص الفجوة الرقمية والفجوة </w:t>
      </w:r>
      <w:proofErr w:type="spellStart"/>
      <w:r w:rsidRPr="00A76789">
        <w:rPr>
          <w:rtl/>
        </w:rPr>
        <w:t>التقييسية</w:t>
      </w:r>
      <w:proofErr w:type="spellEnd"/>
      <w:r w:rsidRPr="00A76789">
        <w:rPr>
          <w:rtl/>
        </w:rPr>
        <w:t xml:space="preserve"> من خلال ‏مساعدة البلدان النامية في بناء القدرات المتعلقة بالموارد البشرية والبنية التحتية.‏</w:t>
      </w:r>
    </w:p>
    <w:p w14:paraId="4C1FE791" w14:textId="77777777" w:rsidR="004D1D9B" w:rsidRDefault="004D1D9B" w:rsidP="00A76789">
      <w:pPr>
        <w:rPr>
          <w:rtl/>
        </w:rPr>
      </w:pPr>
      <w:r w:rsidRPr="00A76789">
        <w:rPr>
          <w:rtl/>
        </w:rPr>
        <w:t>وتمكنت مختبرات الاختبار من الحصول على اعتراف رسمي من الاتحاد بكفاءتها في اختبار مطابقة ‏المنتجات لتوصيات قطاع تقييس الاتصالات (</w:t>
      </w:r>
      <w:hyperlink r:id="rId253" w:history="1">
        <w:r w:rsidRPr="00970ADA">
          <w:rPr>
            <w:rStyle w:val="Hyperlink"/>
            <w:rtl/>
          </w:rPr>
          <w:t>الرسالة المعممة 368 لمكتب تقييس الاتصالات</w:t>
        </w:r>
      </w:hyperlink>
      <w:r w:rsidRPr="00A76789">
        <w:rPr>
          <w:rtl/>
        </w:rPr>
        <w:t>) منذ ‏ديسمبر 2021.‏</w:t>
      </w:r>
    </w:p>
    <w:p w14:paraId="7F0386DB" w14:textId="77777777" w:rsidR="004D1D9B" w:rsidRDefault="004D1D9B" w:rsidP="00970ADA">
      <w:pPr>
        <w:rPr>
          <w:rtl/>
        </w:rPr>
      </w:pPr>
      <w:r w:rsidRPr="00A76789">
        <w:rPr>
          <w:rtl/>
        </w:rPr>
        <w:t xml:space="preserve">واعتباراً من سبتمبر 2024، كان هناك 14 مختبر اختبار مسجلاً في </w:t>
      </w:r>
      <w:hyperlink r:id="rId254" w:history="1">
        <w:r w:rsidRPr="00970ADA">
          <w:rPr>
            <w:rStyle w:val="Hyperlink"/>
            <w:rtl/>
          </w:rPr>
          <w:t>قاعدة بيانات مختبرات الاختبار ‏للاتحاد</w:t>
        </w:r>
      </w:hyperlink>
      <w:r w:rsidRPr="00A76789">
        <w:rPr>
          <w:rtl/>
        </w:rPr>
        <w:t xml:space="preserve"> للمرافق المعترف بها من قبل الاتحاد. وصدرت الإعلانات أيضاً عبر النشرات التشغيلية للاتحاد </w:t>
      </w:r>
      <w:hyperlink r:id="rId255" w:history="1">
        <w:r w:rsidRPr="00970ADA">
          <w:rPr>
            <w:rStyle w:val="Hyperlink"/>
            <w:lang w:val="en-GB"/>
          </w:rPr>
          <w:t>OB.1253</w:t>
        </w:r>
      </w:hyperlink>
      <w:r>
        <w:rPr>
          <w:rFonts w:hint="cs"/>
          <w:rtl/>
          <w:lang w:val="en-GB"/>
        </w:rPr>
        <w:t xml:space="preserve"> و</w:t>
      </w:r>
      <w:hyperlink r:id="rId256" w:history="1">
        <w:r w:rsidRPr="00970ADA">
          <w:rPr>
            <w:rStyle w:val="Hyperlink"/>
            <w:lang w:val="en-GB"/>
          </w:rPr>
          <w:t>OB.1256</w:t>
        </w:r>
      </w:hyperlink>
      <w:r>
        <w:rPr>
          <w:rFonts w:hint="cs"/>
          <w:rtl/>
          <w:lang w:val="en-GB"/>
        </w:rPr>
        <w:t xml:space="preserve"> و</w:t>
      </w:r>
      <w:hyperlink r:id="rId257" w:history="1">
        <w:r w:rsidRPr="00970ADA">
          <w:rPr>
            <w:rStyle w:val="Hyperlink"/>
            <w:lang w:val="en-GB"/>
          </w:rPr>
          <w:t>OB.1263</w:t>
        </w:r>
      </w:hyperlink>
      <w:r>
        <w:rPr>
          <w:rFonts w:hint="cs"/>
          <w:rtl/>
          <w:lang w:val="en-GB"/>
        </w:rPr>
        <w:t xml:space="preserve"> و</w:t>
      </w:r>
      <w:hyperlink r:id="rId258" w:history="1">
        <w:r w:rsidRPr="00970ADA">
          <w:rPr>
            <w:rStyle w:val="Hyperlink"/>
            <w:lang w:val="en-GB"/>
          </w:rPr>
          <w:t>OB.1266</w:t>
        </w:r>
      </w:hyperlink>
      <w:r>
        <w:rPr>
          <w:rFonts w:hint="cs"/>
          <w:rtl/>
          <w:lang w:val="en-GB"/>
        </w:rPr>
        <w:t xml:space="preserve"> و</w:t>
      </w:r>
      <w:hyperlink r:id="rId259" w:history="1">
        <w:r w:rsidRPr="00970ADA">
          <w:rPr>
            <w:rStyle w:val="Hyperlink"/>
            <w:lang w:val="en-GB"/>
          </w:rPr>
          <w:t>OB.1283</w:t>
        </w:r>
      </w:hyperlink>
      <w:r>
        <w:rPr>
          <w:rFonts w:hint="cs"/>
          <w:rtl/>
          <w:lang w:val="en-GB"/>
        </w:rPr>
        <w:t xml:space="preserve"> و</w:t>
      </w:r>
      <w:hyperlink r:id="rId260" w:history="1">
        <w:r w:rsidRPr="00970ADA">
          <w:rPr>
            <w:rStyle w:val="Hyperlink"/>
            <w:lang w:val="en-GB"/>
          </w:rPr>
          <w:t>OB.1286</w:t>
        </w:r>
      </w:hyperlink>
      <w:r>
        <w:rPr>
          <w:rFonts w:hint="cs"/>
          <w:rtl/>
          <w:lang w:val="en-GB"/>
        </w:rPr>
        <w:t xml:space="preserve"> و</w:t>
      </w:r>
      <w:hyperlink r:id="rId261" w:history="1">
        <w:r w:rsidRPr="00970ADA">
          <w:rPr>
            <w:rStyle w:val="Hyperlink"/>
            <w:lang w:val="en-GB"/>
          </w:rPr>
          <w:t>OB.1293</w:t>
        </w:r>
      </w:hyperlink>
      <w:r w:rsidRPr="00A76789">
        <w:rPr>
          <w:rtl/>
        </w:rPr>
        <w:t>.</w:t>
      </w:r>
    </w:p>
    <w:p w14:paraId="45596FF3" w14:textId="77777777" w:rsidR="004D1D9B" w:rsidRDefault="004D1D9B" w:rsidP="00A76789">
      <w:pPr>
        <w:rPr>
          <w:rtl/>
        </w:rPr>
      </w:pPr>
      <w:r w:rsidRPr="00A76789">
        <w:rPr>
          <w:rtl/>
        </w:rPr>
        <w:t>وحدد قطاع تقييس الاتصالات المعايير الرئيسية و</w:t>
      </w:r>
      <w:hyperlink r:id="rId262" w:history="1">
        <w:r w:rsidRPr="007D1BD7">
          <w:rPr>
            <w:rStyle w:val="Hyperlink"/>
            <w:rtl/>
          </w:rPr>
          <w:t>إجراءات الاعتراف</w:t>
        </w:r>
      </w:hyperlink>
      <w:r w:rsidRPr="00A76789">
        <w:rPr>
          <w:rtl/>
        </w:rPr>
        <w:t xml:space="preserve"> لمختبرات الاختبار </w:t>
      </w:r>
      <w:r w:rsidRPr="00970ADA">
        <w:rPr>
          <w:rtl/>
        </w:rPr>
        <w:t>و</w:t>
      </w:r>
      <w:hyperlink r:id="rId263" w:history="1">
        <w:r w:rsidRPr="007D1BD7">
          <w:rPr>
            <w:rStyle w:val="Hyperlink"/>
            <w:rtl/>
          </w:rPr>
          <w:t>تعيين الخبراء ‏التقنيين في قطاع تقييس الاتصالات</w:t>
        </w:r>
      </w:hyperlink>
      <w:r w:rsidRPr="00A76789">
        <w:rPr>
          <w:rtl/>
        </w:rPr>
        <w:t xml:space="preserve">. ويمكن الاطلاع على قائمة الخبراء التقنيين </w:t>
      </w:r>
      <w:hyperlink r:id="rId264" w:history="1">
        <w:r w:rsidRPr="007D1BD7">
          <w:rPr>
            <w:rStyle w:val="Hyperlink"/>
            <w:rtl/>
          </w:rPr>
          <w:t>هنا</w:t>
        </w:r>
      </w:hyperlink>
      <w:r w:rsidRPr="00A76789">
        <w:rPr>
          <w:rtl/>
        </w:rPr>
        <w:t xml:space="preserve"> (أكتوبر 2023).‏</w:t>
      </w:r>
    </w:p>
    <w:p w14:paraId="1328A8CD" w14:textId="77777777" w:rsidR="004D1D9B" w:rsidRPr="007D1BD7" w:rsidRDefault="004D1D9B" w:rsidP="00A76789">
      <w:pPr>
        <w:rPr>
          <w:spacing w:val="2"/>
          <w:rtl/>
        </w:rPr>
      </w:pPr>
      <w:r w:rsidRPr="007D1BD7">
        <w:rPr>
          <w:spacing w:val="2"/>
          <w:rtl/>
        </w:rPr>
        <w:t xml:space="preserve">وتسهّل </w:t>
      </w:r>
      <w:hyperlink r:id="rId265" w:history="1">
        <w:r w:rsidRPr="007D1BD7">
          <w:rPr>
            <w:rStyle w:val="Hyperlink"/>
            <w:spacing w:val="2"/>
            <w:rtl/>
          </w:rPr>
          <w:t>مذكرة تفاهم</w:t>
        </w:r>
      </w:hyperlink>
      <w:r w:rsidRPr="007D1BD7">
        <w:rPr>
          <w:spacing w:val="2"/>
          <w:rtl/>
        </w:rPr>
        <w:t xml:space="preserve"> سابقة بين قطاع تقييس الاتصالات وهيئة التعاون الدولي لاعتماد المختبرات ‏</w:t>
      </w:r>
      <w:r w:rsidRPr="007D1BD7">
        <w:rPr>
          <w:spacing w:val="2"/>
          <w:cs/>
        </w:rPr>
        <w:t>‎</w:t>
      </w:r>
      <w:r w:rsidRPr="007D1BD7">
        <w:rPr>
          <w:spacing w:val="2"/>
        </w:rPr>
        <w:t>(ILAC)</w:t>
      </w:r>
      <w:r w:rsidRPr="007D1BD7">
        <w:rPr>
          <w:rFonts w:hint="cs"/>
          <w:spacing w:val="2"/>
          <w:rtl/>
          <w:lang w:bidi="ar-EG"/>
        </w:rPr>
        <w:t xml:space="preserve"> </w:t>
      </w:r>
      <w:r w:rsidRPr="007D1BD7">
        <w:rPr>
          <w:spacing w:val="2"/>
        </w:rPr>
        <w:t xml:space="preserve"> </w:t>
      </w:r>
      <w:r w:rsidRPr="007D1BD7">
        <w:rPr>
          <w:spacing w:val="2"/>
          <w:rtl/>
        </w:rPr>
        <w:t>‏والمنتدى الدولي للاعتماد</w:t>
      </w:r>
      <w:r w:rsidRPr="007D1BD7">
        <w:rPr>
          <w:rFonts w:hint="cs"/>
          <w:spacing w:val="2"/>
          <w:rtl/>
        </w:rPr>
        <w:t xml:space="preserve"> </w:t>
      </w:r>
      <w:r w:rsidRPr="007D1BD7">
        <w:rPr>
          <w:spacing w:val="2"/>
        </w:rPr>
        <w:t>(IAF)</w:t>
      </w:r>
      <w:r w:rsidRPr="007D1BD7">
        <w:rPr>
          <w:rFonts w:hint="cs"/>
          <w:spacing w:val="2"/>
          <w:rtl/>
          <w:lang w:bidi="ar-EG"/>
        </w:rPr>
        <w:t xml:space="preserve"> </w:t>
      </w:r>
      <w:r w:rsidRPr="007D1BD7">
        <w:rPr>
          <w:spacing w:val="2"/>
        </w:rPr>
        <w:t xml:space="preserve"> </w:t>
      </w:r>
      <w:r w:rsidRPr="007D1BD7">
        <w:rPr>
          <w:spacing w:val="2"/>
          <w:rtl/>
        </w:rPr>
        <w:t xml:space="preserve">اعتراف الاتحاد بالمختبرات المعتمدة من قبل الموقعين </w:t>
      </w:r>
      <w:hyperlink r:id="rId266" w:history="1">
        <w:r w:rsidRPr="007D1BD7">
          <w:rPr>
            <w:rStyle w:val="Hyperlink"/>
            <w:spacing w:val="2"/>
            <w:rtl/>
          </w:rPr>
          <w:t>على ترتيب ‏الاعتراف المتبادل لهيئة التعاون الدولي لاعتماد المختبرات</w:t>
        </w:r>
      </w:hyperlink>
      <w:r w:rsidRPr="007D1BD7">
        <w:rPr>
          <w:spacing w:val="2"/>
          <w:rtl/>
        </w:rPr>
        <w:t xml:space="preserve">. وبالإضافة إلى ذلك، وضعت هيئة التعاون ‏الدولي لاعتماد المختبرات إجراء التقييم الخاص بها لشرح تشغيل الهيكل (انظر </w:t>
      </w:r>
      <w:hyperlink r:id="rId267" w:history="1">
        <w:r w:rsidRPr="007D1BD7">
          <w:rPr>
            <w:rStyle w:val="Hyperlink"/>
            <w:spacing w:val="2"/>
            <w:rtl/>
          </w:rPr>
          <w:t>هنا</w:t>
        </w:r>
      </w:hyperlink>
      <w:r w:rsidRPr="007D1BD7">
        <w:rPr>
          <w:spacing w:val="2"/>
          <w:rtl/>
        </w:rPr>
        <w:t xml:space="preserve">). ويمكن الاطلاع ‏على المعلومات التفصيلية عن الشراكة بين الاتحاد وهيئة التعاون الدولي لاعتماد المختبرات </w:t>
      </w:r>
      <w:hyperlink r:id="rId268" w:history="1">
        <w:r w:rsidRPr="007D1BD7">
          <w:rPr>
            <w:rStyle w:val="Hyperlink"/>
            <w:spacing w:val="2"/>
            <w:rtl/>
          </w:rPr>
          <w:t>هنا</w:t>
        </w:r>
      </w:hyperlink>
      <w:r w:rsidRPr="007D1BD7">
        <w:rPr>
          <w:spacing w:val="2"/>
          <w:rtl/>
        </w:rPr>
        <w:t>.‏</w:t>
      </w:r>
    </w:p>
    <w:p w14:paraId="19E08D0D" w14:textId="77777777" w:rsidR="004D1D9B" w:rsidRPr="00A76789" w:rsidRDefault="004D1D9B" w:rsidP="007D1BD7">
      <w:pPr>
        <w:rPr>
          <w:rtl/>
        </w:rPr>
      </w:pPr>
      <w:r w:rsidRPr="00A76789">
        <w:rPr>
          <w:rtl/>
        </w:rPr>
        <w:t xml:space="preserve">وتدعى مختبرات الاختبار إلى التقدم بطلب للحصول على اعتراف الاتحاد باستخدام </w:t>
      </w:r>
      <w:hyperlink r:id="rId269" w:history="1">
        <w:r w:rsidRPr="007D1BD7">
          <w:rPr>
            <w:rStyle w:val="Hyperlink"/>
            <w:rtl/>
          </w:rPr>
          <w:t>استمارة الطلب</w:t>
        </w:r>
      </w:hyperlink>
      <w:r w:rsidRPr="00A76789">
        <w:rPr>
          <w:rtl/>
        </w:rPr>
        <w:t xml:space="preserve"> هذه. ‏ويُعلن عن المختبرات التي نجحت في طلباتها في </w:t>
      </w:r>
      <w:hyperlink r:id="rId270" w:history="1">
        <w:r w:rsidRPr="007D1BD7">
          <w:rPr>
            <w:rStyle w:val="Hyperlink"/>
            <w:rtl/>
          </w:rPr>
          <w:t>النشرة التشغيلية للاتحاد</w:t>
        </w:r>
      </w:hyperlink>
      <w:r w:rsidRPr="00A76789">
        <w:rPr>
          <w:rtl/>
        </w:rPr>
        <w:t xml:space="preserve">. وتدعم </w:t>
      </w:r>
      <w:hyperlink r:id="rId271" w:history="1">
        <w:r w:rsidRPr="007D1BD7">
          <w:rPr>
            <w:rStyle w:val="Hyperlink"/>
            <w:rtl/>
          </w:rPr>
          <w:t>لجنة التوجيه المعنية ‏بتقييم المطابقة التابعة لقطاع تقييس الاتصالات</w:t>
        </w:r>
      </w:hyperlink>
      <w:r w:rsidRPr="00A76789">
        <w:rPr>
          <w:rtl/>
        </w:rPr>
        <w:t xml:space="preserve"> إجراء الاعتراف.‏</w:t>
      </w:r>
    </w:p>
    <w:p w14:paraId="568FF7A0" w14:textId="77777777" w:rsidR="004D1D9B" w:rsidRPr="00A76789" w:rsidRDefault="004D1D9B" w:rsidP="00A76789">
      <w:pPr>
        <w:rPr>
          <w:rtl/>
        </w:rPr>
      </w:pPr>
      <w:r w:rsidRPr="00A76789">
        <w:rPr>
          <w:rtl/>
        </w:rPr>
        <w:t>ويمكن للشركات أن تتقدم بطلب لإدراج منتجاتها - المنتجات التي تم اختبارها وفقاً لتوصيات قطاع ‏تقييس الاتصالات المطبقة باستخدام مواصفات أو إجراءات اختبار قطاع تقييس الاتصالات التي ‏اعتمدها منظمة وضع المعايير أو منتدى مؤهل وفقاً للتوصية</w:t>
      </w:r>
      <w:r w:rsidRPr="00A76789">
        <w:t xml:space="preserve"> ITU-T A.5</w:t>
      </w:r>
      <w:r>
        <w:rPr>
          <w:rFonts w:hint="cs"/>
          <w:rtl/>
        </w:rPr>
        <w:t xml:space="preserve"> - </w:t>
      </w:r>
      <w:r w:rsidRPr="00A76789">
        <w:rPr>
          <w:rtl/>
        </w:rPr>
        <w:t xml:space="preserve">في قاعدة بيانات مطابقة ‏المنتجات الخاصة بالاتحاد باستخدام </w:t>
      </w:r>
      <w:hyperlink r:id="rId272" w:history="1">
        <w:r w:rsidRPr="007D1BD7">
          <w:rPr>
            <w:rStyle w:val="Hyperlink"/>
            <w:rtl/>
          </w:rPr>
          <w:t>استمارة الطلب</w:t>
        </w:r>
      </w:hyperlink>
      <w:r w:rsidRPr="00A76789">
        <w:rPr>
          <w:rtl/>
        </w:rPr>
        <w:t xml:space="preserve"> هذه. وجميع المعايير الخاصة بملء قاعدة البيانات ‏مدرجة </w:t>
      </w:r>
      <w:hyperlink r:id="rId273" w:history="1">
        <w:r w:rsidRPr="007D1BD7">
          <w:rPr>
            <w:rStyle w:val="Hyperlink"/>
            <w:rtl/>
          </w:rPr>
          <w:t>هنا</w:t>
        </w:r>
      </w:hyperlink>
      <w:r w:rsidRPr="00A76789">
        <w:rPr>
          <w:rtl/>
        </w:rPr>
        <w:t>.‏</w:t>
      </w:r>
    </w:p>
    <w:p w14:paraId="6C1B8F09" w14:textId="77777777" w:rsidR="004D1D9B" w:rsidRDefault="004D1D9B" w:rsidP="00A76789">
      <w:pPr>
        <w:rPr>
          <w:rtl/>
        </w:rPr>
      </w:pPr>
      <w:r w:rsidRPr="00A76789">
        <w:rPr>
          <w:rtl/>
        </w:rPr>
        <w:t xml:space="preserve">وقامت لجنة الدراسات 11 بتحديث </w:t>
      </w:r>
      <w:hyperlink r:id="rId274" w:history="1">
        <w:r w:rsidRPr="007D1BD7">
          <w:rPr>
            <w:rStyle w:val="Hyperlink"/>
            <w:rtl/>
          </w:rPr>
          <w:t>خطة عملها بشأن المطابقة وقابلية التشغيل البيني</w:t>
        </w:r>
      </w:hyperlink>
      <w:r w:rsidRPr="00A76789">
        <w:rPr>
          <w:rtl/>
        </w:rPr>
        <w:t>، مشيرة إلى أن ‏الجدول المرجعي، الذي يشكل جزءاً من خطة العمل، يوفر إرشادات لملء قاعدة بيانات منتجات ‏المطابقة للاتحاد، وخاصة بالنسبة لمنتجات تكنولوجيا المعلومات والاتصالات التي تم اختبارها وفقاً ‏لتوصيات قطاع تقييس الاتصالات باستخدام مواصفات الاختبار التي وضعتها منظمات وضع المعايير ‏غير قطاع تقييس الاتصالات. ويحتفظ مكتب تقييس الاتصالات بالجدول المرجعي وقائمة المشاريع ‏التجريبية لتقييم المطابقة مقابل توصيات قطاع تقييس الاتصالات استناداً إلى المدخلات الواردة. وسجل ‏الاتحاد الجهاز الطرفي</w:t>
      </w:r>
      <w:r>
        <w:rPr>
          <w:rFonts w:hint="cs"/>
          <w:rtl/>
        </w:rPr>
        <w:t> </w:t>
      </w:r>
      <w:r w:rsidRPr="00A76789">
        <w:t>GPON ONT</w:t>
      </w:r>
      <w:r>
        <w:rPr>
          <w:rFonts w:hint="cs"/>
          <w:rtl/>
          <w:lang w:bidi="ar-EG"/>
        </w:rPr>
        <w:t xml:space="preserve"> </w:t>
      </w:r>
      <w:r w:rsidRPr="00A76789">
        <w:rPr>
          <w:rtl/>
        </w:rPr>
        <w:t>(فئة: معدات الألياف الضوئية) في قاعدة بيانات مطابقة المنتج ‏‏</w:t>
      </w:r>
      <w:r w:rsidRPr="00A76789">
        <w:t>(</w:t>
      </w:r>
      <w:hyperlink r:id="rId275" w:history="1">
        <w:r w:rsidRPr="00C57224">
          <w:rPr>
            <w:rStyle w:val="Hyperlink"/>
          </w:rPr>
          <w:t>https://itu.int/go/tcdb</w:t>
        </w:r>
      </w:hyperlink>
      <w:r w:rsidRPr="00A76789">
        <w:t>)</w:t>
      </w:r>
      <w:r w:rsidRPr="00A76789">
        <w:rPr>
          <w:rtl/>
        </w:rPr>
        <w:t>، والذي تم اختباره من قبل مختبر اختبار معتمد.‏</w:t>
      </w:r>
    </w:p>
    <w:p w14:paraId="784B4B45" w14:textId="77777777" w:rsidR="004D1D9B" w:rsidRPr="00A76789" w:rsidRDefault="004D1D9B" w:rsidP="00A76789">
      <w:pPr>
        <w:rPr>
          <w:rtl/>
        </w:rPr>
      </w:pPr>
      <w:r w:rsidRPr="00A76789">
        <w:rPr>
          <w:rtl/>
        </w:rPr>
        <w:t>ونظام الاعتراف بمختبرات الاختبار هو أحدث مبادرة في إطار برنامج الاتحاد للمطابقة وقابلية التشغيل ‏البيني. وتواصل لجان دراسات قطاع تقييس الاتصالات وضع توصيات لقطاع تقييس الاتصالات تحدد ‏متطلبات الاختبار ومجموعات الاختبار. وإلى جانب تقييمات المطابقة، ينظم البرنامج أحداثاً لاختبار ‏قابلية التشغيل البيني، ويوفر بناء القدرات، ويقدم المساعدة التقنية في إنشاء مراكز الاختبار.‏</w:t>
      </w:r>
    </w:p>
    <w:p w14:paraId="7B9391C5" w14:textId="77777777" w:rsidR="004D1D9B" w:rsidRDefault="004D1D9B" w:rsidP="00A76789">
      <w:pPr>
        <w:rPr>
          <w:rtl/>
        </w:rPr>
      </w:pPr>
      <w:r w:rsidRPr="00A76789">
        <w:rPr>
          <w:rtl/>
        </w:rPr>
        <w:t xml:space="preserve">واستجابة لطلبات أعضاء الاتحاد، نظم الاتحاد </w:t>
      </w:r>
      <w:hyperlink r:id="rId276" w:history="1">
        <w:r w:rsidRPr="007D1BD7">
          <w:rPr>
            <w:rStyle w:val="Hyperlink"/>
            <w:rtl/>
          </w:rPr>
          <w:t>برنامجاً تعليمياً بشأن إجراءات الاعتراف بمختبرات ‏الاختبار</w:t>
        </w:r>
      </w:hyperlink>
      <w:r w:rsidRPr="00A76789">
        <w:rPr>
          <w:rtl/>
        </w:rPr>
        <w:t xml:space="preserve"> في أكتوبر 2023. انظر أيضاً </w:t>
      </w:r>
      <w:hyperlink r:id="rId277" w:history="1">
        <w:r w:rsidRPr="007D1BD7">
          <w:rPr>
            <w:rStyle w:val="Hyperlink"/>
            <w:rtl/>
          </w:rPr>
          <w:t>المبادئ التوجيهية الفيديوية</w:t>
        </w:r>
      </w:hyperlink>
      <w:r w:rsidRPr="00A76789">
        <w:rPr>
          <w:rtl/>
        </w:rPr>
        <w:t xml:space="preserve"> بشأن </w:t>
      </w:r>
      <w:hyperlink r:id="rId278" w:history="1">
        <w:r w:rsidRPr="007D1BD7">
          <w:rPr>
            <w:rStyle w:val="Hyperlink"/>
            <w:rtl/>
          </w:rPr>
          <w:t>قاعدة بيانات مختبرات الاختبار ‏للاتحاد</w:t>
        </w:r>
      </w:hyperlink>
      <w:r w:rsidRPr="00A76789">
        <w:rPr>
          <w:rtl/>
        </w:rPr>
        <w:t xml:space="preserve"> </w:t>
      </w:r>
      <w:r w:rsidRPr="007D1BD7">
        <w:rPr>
          <w:rtl/>
        </w:rPr>
        <w:t>و</w:t>
      </w:r>
      <w:hyperlink r:id="rId279" w:history="1">
        <w:r w:rsidRPr="007D1BD7">
          <w:rPr>
            <w:rStyle w:val="Hyperlink"/>
            <w:rtl/>
          </w:rPr>
          <w:t>قاعدة بيانات الاتحاد لمطابقة المنتجات</w:t>
        </w:r>
      </w:hyperlink>
      <w:r w:rsidRPr="007D1BD7">
        <w:rPr>
          <w:rtl/>
        </w:rPr>
        <w:t xml:space="preserve"> </w:t>
      </w:r>
      <w:r w:rsidRPr="00A76789">
        <w:rPr>
          <w:rtl/>
        </w:rPr>
        <w:t xml:space="preserve">على </w:t>
      </w:r>
      <w:hyperlink r:id="rId280" w:history="1">
        <w:r w:rsidRPr="007D1BD7">
          <w:rPr>
            <w:rStyle w:val="Hyperlink"/>
            <w:rtl/>
          </w:rPr>
          <w:t>بوابة الاتحاد للمطابقة وقابلية التشغيل البيني</w:t>
        </w:r>
      </w:hyperlink>
      <w:r w:rsidRPr="00A76789">
        <w:rPr>
          <w:rtl/>
        </w:rPr>
        <w:t>.</w:t>
      </w:r>
    </w:p>
    <w:p w14:paraId="38617638" w14:textId="77777777" w:rsidR="001010FD" w:rsidRPr="00822509" w:rsidRDefault="001010FD" w:rsidP="00981706">
      <w:pPr>
        <w:pStyle w:val="Heading1"/>
      </w:pPr>
      <w:bookmarkStart w:id="167" w:name="_Toc179733618"/>
      <w:r>
        <w:rPr>
          <w:rFonts w:hint="cs"/>
          <w:rtl/>
        </w:rPr>
        <w:lastRenderedPageBreak/>
        <w:t>8</w:t>
      </w:r>
      <w:r w:rsidRPr="00822509">
        <w:tab/>
      </w:r>
      <w:r w:rsidRPr="00981706">
        <w:rPr>
          <w:rtl/>
          <w:lang w:bidi="ar-SA"/>
        </w:rPr>
        <w:t>العضو</w:t>
      </w:r>
      <w:bookmarkStart w:id="168" w:name="Eight"/>
      <w:bookmarkEnd w:id="168"/>
      <w:r w:rsidRPr="00981706">
        <w:rPr>
          <w:rtl/>
          <w:lang w:bidi="ar-SA"/>
        </w:rPr>
        <w:t>ية</w:t>
      </w:r>
      <w:bookmarkEnd w:id="167"/>
    </w:p>
    <w:p w14:paraId="0E0126FA" w14:textId="77777777" w:rsidR="001010FD" w:rsidRPr="00981706" w:rsidRDefault="001010FD" w:rsidP="00981706">
      <w:pPr>
        <w:rPr>
          <w:lang w:val="ar-SA" w:bidi="ar-EG"/>
        </w:rPr>
      </w:pPr>
      <w:r w:rsidRPr="00981706">
        <w:rPr>
          <w:rtl/>
        </w:rPr>
        <w:t xml:space="preserve">يضم قطاع تقييس الاتصالات 268 عضو قطاع و234 منتسباً إلى القطاع. ويبلغ عدد الأعضاء من الهيئات الأكاديمية المنضمة إلى الاتحاد الآن 172 عضواً. ويشارك 76 من المنتسبين إلى قطاع تقييس الاتصالات في إطار هيكل الرسوم المخفضة للشركات الصغيرة والمتوسطة </w:t>
      </w:r>
      <w:r w:rsidRPr="00981706">
        <w:rPr>
          <w:lang w:val="en-GB" w:bidi="ar-EG"/>
        </w:rPr>
        <w:t>(SME</w:t>
      </w:r>
      <w:r w:rsidRPr="00981706">
        <w:rPr>
          <w:lang w:bidi="ar-EG"/>
        </w:rPr>
        <w:t>)</w:t>
      </w:r>
      <w:r w:rsidRPr="00981706">
        <w:rPr>
          <w:rtl/>
        </w:rPr>
        <w:t xml:space="preserve"> الذي دخل حيز النفاذ في 31 يناير 2020.</w:t>
      </w:r>
    </w:p>
    <w:p w14:paraId="5D40F61F" w14:textId="77777777" w:rsidR="001010FD" w:rsidRPr="00981706" w:rsidRDefault="001010FD" w:rsidP="0025036E">
      <w:pPr>
        <w:pStyle w:val="Headingb"/>
        <w:rPr>
          <w:lang w:val="ar-SA"/>
        </w:rPr>
      </w:pPr>
      <w:r w:rsidRPr="00981706">
        <w:rPr>
          <w:rtl/>
        </w:rPr>
        <w:t>أعضاء القطاع الجدد المرحَّب بهم منذ يناير 2022:</w:t>
      </w:r>
    </w:p>
    <w:p w14:paraId="202EF109" w14:textId="77777777" w:rsidR="001010FD" w:rsidRPr="00981706" w:rsidRDefault="001010FD" w:rsidP="00B20D58">
      <w:pPr>
        <w:rPr>
          <w:lang w:val="ar-SA" w:bidi="ar-EG"/>
        </w:rPr>
      </w:pPr>
      <w:r w:rsidRPr="00981706">
        <w:rPr>
          <w:rtl/>
        </w:rPr>
        <w:t>شركة </w:t>
      </w:r>
      <w:proofErr w:type="spellStart"/>
      <w:r w:rsidRPr="00981706">
        <w:rPr>
          <w:rtl/>
        </w:rPr>
        <w:t>Globe</w:t>
      </w:r>
      <w:proofErr w:type="spellEnd"/>
      <w:r w:rsidRPr="00981706">
        <w:rPr>
          <w:rtl/>
        </w:rPr>
        <w:t xml:space="preserve"> </w:t>
      </w:r>
      <w:proofErr w:type="spellStart"/>
      <w:r w:rsidRPr="00981706">
        <w:rPr>
          <w:rtl/>
        </w:rPr>
        <w:t>Telecom</w:t>
      </w:r>
      <w:proofErr w:type="spellEnd"/>
      <w:r w:rsidRPr="00981706">
        <w:rPr>
          <w:rtl/>
        </w:rPr>
        <w:t xml:space="preserve">, </w:t>
      </w:r>
      <w:proofErr w:type="spellStart"/>
      <w:r w:rsidRPr="00981706">
        <w:rPr>
          <w:rtl/>
        </w:rPr>
        <w:t>Inc</w:t>
      </w:r>
      <w:proofErr w:type="spellEnd"/>
      <w:r w:rsidRPr="00981706">
        <w:rPr>
          <w:rtl/>
        </w:rPr>
        <w:t>.؛ شركة </w:t>
      </w:r>
      <w:proofErr w:type="spellStart"/>
      <w:r w:rsidRPr="00981706">
        <w:rPr>
          <w:rtl/>
        </w:rPr>
        <w:t>Powertel</w:t>
      </w:r>
      <w:proofErr w:type="spellEnd"/>
      <w:r w:rsidRPr="00981706">
        <w:rPr>
          <w:rtl/>
        </w:rPr>
        <w:t xml:space="preserve"> </w:t>
      </w:r>
      <w:proofErr w:type="spellStart"/>
      <w:r w:rsidRPr="00981706">
        <w:rPr>
          <w:rtl/>
        </w:rPr>
        <w:t>Communications</w:t>
      </w:r>
      <w:proofErr w:type="spellEnd"/>
      <w:r w:rsidRPr="00981706">
        <w:rPr>
          <w:rtl/>
        </w:rPr>
        <w:t xml:space="preserve"> (PVT) </w:t>
      </w:r>
      <w:proofErr w:type="spellStart"/>
      <w:r w:rsidRPr="00981706">
        <w:rPr>
          <w:rtl/>
        </w:rPr>
        <w:t>Ltd</w:t>
      </w:r>
      <w:proofErr w:type="spellEnd"/>
      <w:r w:rsidRPr="00981706">
        <w:rPr>
          <w:rtl/>
        </w:rPr>
        <w:t xml:space="preserve">.؛ شركة الإمارات للاتصالات المتكاملة </w:t>
      </w:r>
      <w:r w:rsidRPr="00981706">
        <w:rPr>
          <w:lang w:val="en-GB" w:bidi="ar-EG"/>
        </w:rPr>
        <w:t>PJSC</w:t>
      </w:r>
      <w:r w:rsidRPr="00981706">
        <w:rPr>
          <w:rtl/>
        </w:rPr>
        <w:t>؛ شركة ليبيا القابضة للبريد والاتصالات وتقنية المعلومات (</w:t>
      </w:r>
      <w:r w:rsidRPr="00981706">
        <w:rPr>
          <w:lang w:val="en-GB" w:bidi="ar-EG"/>
        </w:rPr>
        <w:t>LPTIC</w:t>
      </w:r>
      <w:r w:rsidRPr="00981706">
        <w:rPr>
          <w:rtl/>
        </w:rPr>
        <w:t>)؛ شركة </w:t>
      </w:r>
      <w:proofErr w:type="spellStart"/>
      <w:r w:rsidRPr="00981706">
        <w:rPr>
          <w:rtl/>
        </w:rPr>
        <w:t>Google</w:t>
      </w:r>
      <w:proofErr w:type="spellEnd"/>
      <w:r w:rsidRPr="00981706">
        <w:rPr>
          <w:rtl/>
        </w:rPr>
        <w:t xml:space="preserve"> </w:t>
      </w:r>
      <w:proofErr w:type="spellStart"/>
      <w:r w:rsidRPr="00981706">
        <w:rPr>
          <w:rtl/>
        </w:rPr>
        <w:t>Inc</w:t>
      </w:r>
      <w:proofErr w:type="spellEnd"/>
      <w:r w:rsidRPr="00981706">
        <w:rPr>
          <w:rtl/>
        </w:rPr>
        <w:t>.؛ شركة </w:t>
      </w:r>
      <w:proofErr w:type="spellStart"/>
      <w:r w:rsidRPr="00981706">
        <w:rPr>
          <w:rtl/>
        </w:rPr>
        <w:t>Meta</w:t>
      </w:r>
      <w:proofErr w:type="spellEnd"/>
      <w:r w:rsidRPr="00981706">
        <w:rPr>
          <w:rtl/>
        </w:rPr>
        <w:t xml:space="preserve"> </w:t>
      </w:r>
      <w:proofErr w:type="spellStart"/>
      <w:r w:rsidRPr="00981706">
        <w:rPr>
          <w:rtl/>
        </w:rPr>
        <w:t>Platforms</w:t>
      </w:r>
      <w:proofErr w:type="spellEnd"/>
      <w:r w:rsidRPr="00981706">
        <w:rPr>
          <w:rtl/>
        </w:rPr>
        <w:t xml:space="preserve">, </w:t>
      </w:r>
      <w:proofErr w:type="spellStart"/>
      <w:r w:rsidRPr="00981706">
        <w:rPr>
          <w:rtl/>
        </w:rPr>
        <w:t>Inc</w:t>
      </w:r>
      <w:proofErr w:type="spellEnd"/>
      <w:r w:rsidRPr="00981706">
        <w:rPr>
          <w:rtl/>
        </w:rPr>
        <w:t>.؛ شركة</w:t>
      </w:r>
      <w:r>
        <w:rPr>
          <w:rFonts w:hint="cs"/>
          <w:rtl/>
        </w:rPr>
        <w:t> </w:t>
      </w:r>
      <w:proofErr w:type="spellStart"/>
      <w:r w:rsidRPr="00981706">
        <w:rPr>
          <w:rtl/>
        </w:rPr>
        <w:t>Vecima</w:t>
      </w:r>
      <w:proofErr w:type="spellEnd"/>
      <w:r w:rsidRPr="00981706">
        <w:rPr>
          <w:rtl/>
        </w:rPr>
        <w:t xml:space="preserve"> </w:t>
      </w:r>
      <w:proofErr w:type="spellStart"/>
      <w:r w:rsidRPr="00981706">
        <w:rPr>
          <w:rtl/>
        </w:rPr>
        <w:t>Networks</w:t>
      </w:r>
      <w:proofErr w:type="spellEnd"/>
      <w:r w:rsidRPr="00981706">
        <w:rPr>
          <w:rtl/>
        </w:rPr>
        <w:t xml:space="preserve"> </w:t>
      </w:r>
      <w:proofErr w:type="spellStart"/>
      <w:r w:rsidRPr="00981706">
        <w:rPr>
          <w:rtl/>
        </w:rPr>
        <w:t>Inc</w:t>
      </w:r>
      <w:proofErr w:type="spellEnd"/>
      <w:r w:rsidRPr="00981706">
        <w:rPr>
          <w:rtl/>
        </w:rPr>
        <w:t>.؛ شركة </w:t>
      </w:r>
      <w:proofErr w:type="spellStart"/>
      <w:r w:rsidRPr="00981706">
        <w:rPr>
          <w:rtl/>
        </w:rPr>
        <w:t>China</w:t>
      </w:r>
      <w:proofErr w:type="spellEnd"/>
      <w:r w:rsidRPr="00981706">
        <w:rPr>
          <w:rtl/>
        </w:rPr>
        <w:t xml:space="preserve"> </w:t>
      </w:r>
      <w:proofErr w:type="spellStart"/>
      <w:r w:rsidRPr="00981706">
        <w:rPr>
          <w:rtl/>
        </w:rPr>
        <w:t>Tower</w:t>
      </w:r>
      <w:proofErr w:type="spellEnd"/>
      <w:r w:rsidRPr="00981706">
        <w:rPr>
          <w:rtl/>
        </w:rPr>
        <w:t xml:space="preserve"> </w:t>
      </w:r>
      <w:proofErr w:type="spellStart"/>
      <w:r w:rsidRPr="00981706">
        <w:rPr>
          <w:rtl/>
        </w:rPr>
        <w:t>Corporation</w:t>
      </w:r>
      <w:proofErr w:type="spellEnd"/>
      <w:r w:rsidRPr="00981706">
        <w:rPr>
          <w:rtl/>
        </w:rPr>
        <w:t xml:space="preserve"> </w:t>
      </w:r>
      <w:proofErr w:type="spellStart"/>
      <w:r w:rsidRPr="00981706">
        <w:rPr>
          <w:rtl/>
        </w:rPr>
        <w:t>Limited</w:t>
      </w:r>
      <w:proofErr w:type="spellEnd"/>
      <w:r w:rsidRPr="00981706">
        <w:rPr>
          <w:rtl/>
        </w:rPr>
        <w:t xml:space="preserve">؛ شركة </w:t>
      </w:r>
      <w:proofErr w:type="spellStart"/>
      <w:r w:rsidRPr="00981706">
        <w:rPr>
          <w:lang w:val="en-GB" w:bidi="ar-EG"/>
        </w:rPr>
        <w:t>CableLabs</w:t>
      </w:r>
      <w:proofErr w:type="spellEnd"/>
      <w:r w:rsidRPr="00981706">
        <w:rPr>
          <w:rtl/>
        </w:rPr>
        <w:t>؛ المنظمة العربية للتربية والثقافة والعلوم (</w:t>
      </w:r>
      <w:r w:rsidRPr="00981706">
        <w:rPr>
          <w:lang w:val="en-GB" w:bidi="ar-EG"/>
        </w:rPr>
        <w:t>ALESCO</w:t>
      </w:r>
      <w:r w:rsidRPr="00981706">
        <w:rPr>
          <w:rtl/>
        </w:rPr>
        <w:t>)؛ شبكة المدن الذكية المفتوحة والنشيطة (</w:t>
      </w:r>
      <w:r w:rsidRPr="00981706">
        <w:rPr>
          <w:lang w:val="en-GB" w:bidi="ar-EG"/>
        </w:rPr>
        <w:t>OASC</w:t>
      </w:r>
      <w:r w:rsidRPr="00981706">
        <w:rPr>
          <w:rtl/>
        </w:rPr>
        <w:t>)؛ رابطة منظمي الاتصالات في الجنوب الإفريقي (</w:t>
      </w:r>
      <w:r w:rsidRPr="00981706">
        <w:rPr>
          <w:lang w:val="en-GB" w:bidi="ar-EG"/>
        </w:rPr>
        <w:t>CRASA</w:t>
      </w:r>
      <w:r w:rsidRPr="00981706">
        <w:rPr>
          <w:rtl/>
        </w:rPr>
        <w:t xml:space="preserve">)؛ شركة DITO </w:t>
      </w:r>
      <w:proofErr w:type="spellStart"/>
      <w:r w:rsidRPr="00981706">
        <w:rPr>
          <w:rtl/>
        </w:rPr>
        <w:t>Telecommunity</w:t>
      </w:r>
      <w:proofErr w:type="spellEnd"/>
      <w:r w:rsidRPr="00981706">
        <w:rPr>
          <w:rtl/>
        </w:rPr>
        <w:t>؛ منظمة التعاون الرقمي (</w:t>
      </w:r>
      <w:r w:rsidRPr="00981706">
        <w:rPr>
          <w:lang w:val="en-GB" w:bidi="ar-EG"/>
        </w:rPr>
        <w:t>DCO</w:t>
      </w:r>
      <w:r w:rsidRPr="00981706">
        <w:rPr>
          <w:rtl/>
        </w:rPr>
        <w:t xml:space="preserve">)؛ شركة </w:t>
      </w:r>
      <w:proofErr w:type="spellStart"/>
      <w:r w:rsidRPr="00981706">
        <w:rPr>
          <w:rtl/>
        </w:rPr>
        <w:t>Guangdong</w:t>
      </w:r>
      <w:proofErr w:type="spellEnd"/>
      <w:r w:rsidRPr="00981706">
        <w:rPr>
          <w:rtl/>
        </w:rPr>
        <w:t xml:space="preserve"> OPPO </w:t>
      </w:r>
      <w:proofErr w:type="spellStart"/>
      <w:r w:rsidRPr="00981706">
        <w:rPr>
          <w:rtl/>
        </w:rPr>
        <w:t>Mobile</w:t>
      </w:r>
      <w:proofErr w:type="spellEnd"/>
      <w:r w:rsidRPr="00981706">
        <w:rPr>
          <w:rtl/>
        </w:rPr>
        <w:t xml:space="preserve"> </w:t>
      </w:r>
      <w:proofErr w:type="spellStart"/>
      <w:r w:rsidRPr="00981706">
        <w:rPr>
          <w:rtl/>
        </w:rPr>
        <w:t>Telecommunications</w:t>
      </w:r>
      <w:proofErr w:type="spellEnd"/>
      <w:r w:rsidRPr="00981706">
        <w:rPr>
          <w:rtl/>
        </w:rPr>
        <w:t xml:space="preserve"> </w:t>
      </w:r>
      <w:proofErr w:type="spellStart"/>
      <w:r w:rsidRPr="00981706">
        <w:rPr>
          <w:rtl/>
        </w:rPr>
        <w:t>Corp</w:t>
      </w:r>
      <w:proofErr w:type="spellEnd"/>
      <w:r w:rsidRPr="00981706">
        <w:rPr>
          <w:rtl/>
        </w:rPr>
        <w:t xml:space="preserve">., </w:t>
      </w:r>
      <w:proofErr w:type="spellStart"/>
      <w:r w:rsidRPr="00981706">
        <w:rPr>
          <w:rtl/>
        </w:rPr>
        <w:t>Ltd</w:t>
      </w:r>
      <w:proofErr w:type="spellEnd"/>
      <w:r w:rsidRPr="00981706">
        <w:rPr>
          <w:rtl/>
        </w:rPr>
        <w:t xml:space="preserve">.؛ شركة </w:t>
      </w:r>
      <w:proofErr w:type="spellStart"/>
      <w:r w:rsidRPr="00981706">
        <w:rPr>
          <w:rtl/>
        </w:rPr>
        <w:t>State</w:t>
      </w:r>
      <w:proofErr w:type="spellEnd"/>
      <w:r w:rsidRPr="00981706">
        <w:rPr>
          <w:rtl/>
        </w:rPr>
        <w:t xml:space="preserve"> </w:t>
      </w:r>
      <w:proofErr w:type="spellStart"/>
      <w:r w:rsidRPr="00981706">
        <w:rPr>
          <w:rtl/>
        </w:rPr>
        <w:t>Grid</w:t>
      </w:r>
      <w:proofErr w:type="spellEnd"/>
      <w:r w:rsidRPr="00981706">
        <w:rPr>
          <w:rtl/>
        </w:rPr>
        <w:t xml:space="preserve"> (الصين)؛ الرابطة الفرنسية لتسمية ميادين الإنترنت (</w:t>
      </w:r>
      <w:proofErr w:type="spellStart"/>
      <w:r w:rsidRPr="00981706">
        <w:rPr>
          <w:lang w:val="en-GB" w:bidi="ar-EG"/>
        </w:rPr>
        <w:t>Afnic</w:t>
      </w:r>
      <w:proofErr w:type="spellEnd"/>
      <w:r w:rsidRPr="00981706">
        <w:rPr>
          <w:rtl/>
        </w:rPr>
        <w:t xml:space="preserve">)؛ شركة </w:t>
      </w:r>
      <w:proofErr w:type="spellStart"/>
      <w:r w:rsidRPr="00981706">
        <w:rPr>
          <w:rtl/>
        </w:rPr>
        <w:t>China</w:t>
      </w:r>
      <w:proofErr w:type="spellEnd"/>
      <w:r w:rsidRPr="00981706">
        <w:rPr>
          <w:rtl/>
        </w:rPr>
        <w:t xml:space="preserve"> </w:t>
      </w:r>
      <w:proofErr w:type="spellStart"/>
      <w:r w:rsidRPr="00981706">
        <w:rPr>
          <w:rtl/>
        </w:rPr>
        <w:t>Satellite</w:t>
      </w:r>
      <w:proofErr w:type="spellEnd"/>
      <w:r w:rsidRPr="00981706">
        <w:rPr>
          <w:rtl/>
        </w:rPr>
        <w:t xml:space="preserve"> </w:t>
      </w:r>
      <w:proofErr w:type="spellStart"/>
      <w:r w:rsidRPr="00981706">
        <w:rPr>
          <w:rtl/>
        </w:rPr>
        <w:t>Network</w:t>
      </w:r>
      <w:proofErr w:type="spellEnd"/>
      <w:r w:rsidRPr="00981706">
        <w:rPr>
          <w:rtl/>
        </w:rPr>
        <w:t xml:space="preserve"> </w:t>
      </w:r>
      <w:proofErr w:type="spellStart"/>
      <w:r w:rsidRPr="00981706">
        <w:rPr>
          <w:rtl/>
        </w:rPr>
        <w:t>Group</w:t>
      </w:r>
      <w:proofErr w:type="spellEnd"/>
      <w:r w:rsidRPr="00981706">
        <w:rPr>
          <w:rtl/>
        </w:rPr>
        <w:t xml:space="preserve"> </w:t>
      </w:r>
      <w:proofErr w:type="spellStart"/>
      <w:r w:rsidRPr="00981706">
        <w:rPr>
          <w:rtl/>
        </w:rPr>
        <w:t>Co</w:t>
      </w:r>
      <w:proofErr w:type="spellEnd"/>
      <w:r w:rsidRPr="00981706">
        <w:rPr>
          <w:rtl/>
        </w:rPr>
        <w:t xml:space="preserve">., </w:t>
      </w:r>
      <w:proofErr w:type="spellStart"/>
      <w:r w:rsidRPr="00981706">
        <w:rPr>
          <w:rtl/>
        </w:rPr>
        <w:t>Ltd</w:t>
      </w:r>
      <w:proofErr w:type="spellEnd"/>
      <w:r w:rsidRPr="00981706">
        <w:rPr>
          <w:rtl/>
        </w:rPr>
        <w:t>؛ الاتحاد العالمي للمنظمات الهندسية (</w:t>
      </w:r>
      <w:r w:rsidRPr="00981706">
        <w:rPr>
          <w:lang w:val="en-GB" w:bidi="ar-EG"/>
        </w:rPr>
        <w:t>WFEO</w:t>
      </w:r>
      <w:r w:rsidRPr="00981706">
        <w:rPr>
          <w:rtl/>
        </w:rPr>
        <w:t xml:space="preserve">)؛ شركة </w:t>
      </w:r>
      <w:proofErr w:type="spellStart"/>
      <w:r w:rsidRPr="00981706">
        <w:rPr>
          <w:rtl/>
        </w:rPr>
        <w:t>Ant</w:t>
      </w:r>
      <w:proofErr w:type="spellEnd"/>
      <w:r w:rsidRPr="00981706">
        <w:rPr>
          <w:rtl/>
        </w:rPr>
        <w:t xml:space="preserve"> </w:t>
      </w:r>
      <w:proofErr w:type="spellStart"/>
      <w:r w:rsidRPr="00981706">
        <w:rPr>
          <w:rtl/>
        </w:rPr>
        <w:t>Group</w:t>
      </w:r>
      <w:proofErr w:type="spellEnd"/>
      <w:r w:rsidRPr="00981706">
        <w:rPr>
          <w:rtl/>
        </w:rPr>
        <w:t xml:space="preserve"> </w:t>
      </w:r>
      <w:proofErr w:type="spellStart"/>
      <w:r w:rsidRPr="00981706">
        <w:rPr>
          <w:rtl/>
        </w:rPr>
        <w:t>Co</w:t>
      </w:r>
      <w:proofErr w:type="spellEnd"/>
      <w:r w:rsidRPr="00981706">
        <w:rPr>
          <w:rtl/>
        </w:rPr>
        <w:t xml:space="preserve">., </w:t>
      </w:r>
      <w:proofErr w:type="spellStart"/>
      <w:r w:rsidRPr="00981706">
        <w:rPr>
          <w:rtl/>
        </w:rPr>
        <w:t>Ltd</w:t>
      </w:r>
      <w:proofErr w:type="spellEnd"/>
      <w:r w:rsidRPr="00981706">
        <w:rPr>
          <w:rtl/>
        </w:rPr>
        <w:t xml:space="preserve">.؛ شركة </w:t>
      </w:r>
      <w:proofErr w:type="spellStart"/>
      <w:r w:rsidRPr="00981706">
        <w:rPr>
          <w:rtl/>
        </w:rPr>
        <w:t>Frontier</w:t>
      </w:r>
      <w:proofErr w:type="spellEnd"/>
      <w:r w:rsidRPr="00981706">
        <w:rPr>
          <w:rtl/>
        </w:rPr>
        <w:t xml:space="preserve"> </w:t>
      </w:r>
      <w:proofErr w:type="spellStart"/>
      <w:r w:rsidRPr="00981706">
        <w:rPr>
          <w:rtl/>
        </w:rPr>
        <w:t>Communication</w:t>
      </w:r>
      <w:proofErr w:type="spellEnd"/>
      <w:r w:rsidRPr="00981706">
        <w:rPr>
          <w:rtl/>
        </w:rPr>
        <w:t xml:space="preserve">؛ شركة </w:t>
      </w:r>
      <w:proofErr w:type="spellStart"/>
      <w:r w:rsidRPr="00981706">
        <w:rPr>
          <w:rtl/>
        </w:rPr>
        <w:t>World's</w:t>
      </w:r>
      <w:proofErr w:type="spellEnd"/>
      <w:r w:rsidRPr="00981706">
        <w:rPr>
          <w:rtl/>
        </w:rPr>
        <w:t xml:space="preserve"> </w:t>
      </w:r>
      <w:proofErr w:type="spellStart"/>
      <w:r w:rsidRPr="00981706">
        <w:rPr>
          <w:rtl/>
        </w:rPr>
        <w:t>Global</w:t>
      </w:r>
      <w:proofErr w:type="spellEnd"/>
      <w:r w:rsidRPr="00981706">
        <w:rPr>
          <w:rtl/>
        </w:rPr>
        <w:t xml:space="preserve"> </w:t>
      </w:r>
      <w:proofErr w:type="spellStart"/>
      <w:r w:rsidRPr="00981706">
        <w:rPr>
          <w:rtl/>
        </w:rPr>
        <w:t>Telecom</w:t>
      </w:r>
      <w:proofErr w:type="spellEnd"/>
      <w:r w:rsidRPr="00981706">
        <w:rPr>
          <w:rtl/>
        </w:rPr>
        <w:t xml:space="preserve"> S.A. (WGT)؛ التحالف البيئي بشأن المعايير (</w:t>
      </w:r>
      <w:r w:rsidRPr="00981706">
        <w:rPr>
          <w:lang w:val="en-GB" w:bidi="ar-EG"/>
        </w:rPr>
        <w:t>ECOS</w:t>
      </w:r>
      <w:r w:rsidRPr="00981706">
        <w:rPr>
          <w:rtl/>
        </w:rPr>
        <w:t>)؛ شبكة البحرين (</w:t>
      </w:r>
      <w:r w:rsidRPr="00B20D58">
        <w:rPr>
          <w:lang w:val="en-GB"/>
        </w:rPr>
        <w:t>BNET</w:t>
      </w:r>
      <w:r w:rsidRPr="00981706">
        <w:rPr>
          <w:rtl/>
        </w:rPr>
        <w:t xml:space="preserve">)؛ شركة </w:t>
      </w:r>
      <w:proofErr w:type="spellStart"/>
      <w:r w:rsidRPr="00981706">
        <w:rPr>
          <w:rtl/>
        </w:rPr>
        <w:t>Broadcom</w:t>
      </w:r>
      <w:proofErr w:type="spellEnd"/>
      <w:r w:rsidRPr="00981706">
        <w:rPr>
          <w:rtl/>
        </w:rPr>
        <w:t xml:space="preserve"> </w:t>
      </w:r>
      <w:proofErr w:type="spellStart"/>
      <w:r w:rsidRPr="00981706">
        <w:rPr>
          <w:rtl/>
        </w:rPr>
        <w:t>Europe</w:t>
      </w:r>
      <w:proofErr w:type="spellEnd"/>
      <w:r w:rsidRPr="00981706">
        <w:rPr>
          <w:rtl/>
        </w:rPr>
        <w:t xml:space="preserve"> </w:t>
      </w:r>
      <w:proofErr w:type="spellStart"/>
      <w:r w:rsidRPr="00981706">
        <w:rPr>
          <w:rtl/>
        </w:rPr>
        <w:t>Ltd</w:t>
      </w:r>
      <w:proofErr w:type="spellEnd"/>
      <w:r w:rsidRPr="00981706">
        <w:rPr>
          <w:rtl/>
        </w:rPr>
        <w:t>؛ التحالف الأوروبي للشركات الصغيرة والمتوسطة الرقمية؛ شركة </w:t>
      </w:r>
      <w:proofErr w:type="spellStart"/>
      <w:r w:rsidRPr="00981706">
        <w:rPr>
          <w:lang w:val="en-GB" w:bidi="ar-EG"/>
        </w:rPr>
        <w:t>Somtel</w:t>
      </w:r>
      <w:proofErr w:type="spellEnd"/>
      <w:r w:rsidRPr="00981706">
        <w:rPr>
          <w:rtl/>
        </w:rPr>
        <w:t>؛ المنظمة العالمية للمدن الذكية المستدامة (</w:t>
      </w:r>
      <w:proofErr w:type="spellStart"/>
      <w:r w:rsidRPr="00981706">
        <w:rPr>
          <w:lang w:val="en-GB" w:bidi="ar-EG"/>
        </w:rPr>
        <w:t>WeGo</w:t>
      </w:r>
      <w:proofErr w:type="spellEnd"/>
      <w:r w:rsidRPr="00981706">
        <w:rPr>
          <w:rtl/>
        </w:rPr>
        <w:t>)؛ شركة </w:t>
      </w:r>
      <w:proofErr w:type="spellStart"/>
      <w:r w:rsidRPr="00981706">
        <w:rPr>
          <w:rtl/>
        </w:rPr>
        <w:t>Chongqing</w:t>
      </w:r>
      <w:proofErr w:type="spellEnd"/>
      <w:r w:rsidRPr="00981706">
        <w:rPr>
          <w:rtl/>
        </w:rPr>
        <w:t xml:space="preserve"> </w:t>
      </w:r>
      <w:proofErr w:type="spellStart"/>
      <w:r w:rsidRPr="00981706">
        <w:rPr>
          <w:rtl/>
        </w:rPr>
        <w:t>Changan</w:t>
      </w:r>
      <w:proofErr w:type="spellEnd"/>
      <w:r w:rsidRPr="00981706">
        <w:rPr>
          <w:rtl/>
        </w:rPr>
        <w:t xml:space="preserve"> </w:t>
      </w:r>
      <w:proofErr w:type="spellStart"/>
      <w:r w:rsidRPr="00981706">
        <w:rPr>
          <w:rtl/>
        </w:rPr>
        <w:t>Automobile</w:t>
      </w:r>
      <w:proofErr w:type="spellEnd"/>
      <w:r w:rsidRPr="00981706">
        <w:rPr>
          <w:rtl/>
        </w:rPr>
        <w:t xml:space="preserve"> </w:t>
      </w:r>
      <w:proofErr w:type="spellStart"/>
      <w:r w:rsidRPr="00981706">
        <w:rPr>
          <w:rtl/>
        </w:rPr>
        <w:t>Co</w:t>
      </w:r>
      <w:proofErr w:type="spellEnd"/>
      <w:r w:rsidRPr="00981706">
        <w:rPr>
          <w:rtl/>
        </w:rPr>
        <w:t xml:space="preserve">., </w:t>
      </w:r>
      <w:proofErr w:type="spellStart"/>
      <w:r w:rsidRPr="00981706">
        <w:rPr>
          <w:rtl/>
        </w:rPr>
        <w:t>Ltd</w:t>
      </w:r>
      <w:proofErr w:type="spellEnd"/>
      <w:r w:rsidRPr="00981706">
        <w:rPr>
          <w:rtl/>
        </w:rPr>
        <w:t>.</w:t>
      </w:r>
    </w:p>
    <w:p w14:paraId="43E19DB7" w14:textId="77777777" w:rsidR="001010FD" w:rsidRPr="00981706" w:rsidRDefault="001010FD" w:rsidP="0025036E">
      <w:pPr>
        <w:pStyle w:val="Headingb"/>
        <w:rPr>
          <w:lang w:val="ar-SA"/>
        </w:rPr>
      </w:pPr>
      <w:r w:rsidRPr="00981706">
        <w:rPr>
          <w:rtl/>
        </w:rPr>
        <w:t>المنتسبون إلى القطاع الجدد المرحَّب بهم منذ يناير 2022:</w:t>
      </w:r>
    </w:p>
    <w:p w14:paraId="416C5F34" w14:textId="77777777" w:rsidR="001010FD" w:rsidRPr="00981706" w:rsidRDefault="001010FD" w:rsidP="00981706">
      <w:pPr>
        <w:rPr>
          <w:spacing w:val="-4"/>
          <w:lang w:val="ar-SA" w:bidi="ar-EG"/>
        </w:rPr>
      </w:pPr>
      <w:r w:rsidRPr="00981706">
        <w:rPr>
          <w:spacing w:val="-4"/>
          <w:rtl/>
        </w:rPr>
        <w:t>شركة </w:t>
      </w:r>
      <w:proofErr w:type="spellStart"/>
      <w:r w:rsidRPr="00981706">
        <w:rPr>
          <w:spacing w:val="-4"/>
          <w:rtl/>
        </w:rPr>
        <w:t>aql</w:t>
      </w:r>
      <w:proofErr w:type="spellEnd"/>
      <w:r w:rsidRPr="00981706">
        <w:rPr>
          <w:spacing w:val="-4"/>
          <w:rtl/>
        </w:rPr>
        <w:t xml:space="preserve"> (</w:t>
      </w:r>
      <w:proofErr w:type="spellStart"/>
      <w:r w:rsidRPr="00981706">
        <w:rPr>
          <w:spacing w:val="-4"/>
          <w:rtl/>
        </w:rPr>
        <w:t>numbering</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2)؛ شركة </w:t>
      </w:r>
      <w:proofErr w:type="spellStart"/>
      <w:r w:rsidRPr="00981706">
        <w:rPr>
          <w:spacing w:val="-4"/>
          <w:rtl/>
        </w:rPr>
        <w:t>Onomondo</w:t>
      </w:r>
      <w:proofErr w:type="spellEnd"/>
      <w:r w:rsidRPr="00981706">
        <w:rPr>
          <w:spacing w:val="-4"/>
          <w:rtl/>
        </w:rPr>
        <w:t xml:space="preserve"> </w:t>
      </w:r>
      <w:proofErr w:type="spellStart"/>
      <w:r w:rsidRPr="00981706">
        <w:rPr>
          <w:spacing w:val="-4"/>
          <w:rtl/>
        </w:rPr>
        <w:t>ApS</w:t>
      </w:r>
      <w:proofErr w:type="spellEnd"/>
      <w:r w:rsidRPr="00981706">
        <w:rPr>
          <w:spacing w:val="-4"/>
          <w:rtl/>
        </w:rPr>
        <w:t xml:space="preserve"> (لجنة الدراسات 2)؛</w:t>
      </w:r>
      <w:r w:rsidRPr="00A91B7E">
        <w:rPr>
          <w:rFonts w:hint="cs"/>
          <w:spacing w:val="-4"/>
          <w:rtl/>
        </w:rPr>
        <w:t xml:space="preserve"> شركة </w:t>
      </w:r>
      <w:r w:rsidRPr="00981706">
        <w:rPr>
          <w:spacing w:val="-4"/>
          <w:rtl/>
        </w:rPr>
        <w:t>LLC Bureau-1440 (لجنة الدراسات 2)؛</w:t>
      </w:r>
      <w:r w:rsidRPr="00A91B7E">
        <w:rPr>
          <w:rFonts w:hint="cs"/>
          <w:spacing w:val="-4"/>
          <w:rtl/>
        </w:rPr>
        <w:t xml:space="preserve"> شركة</w:t>
      </w:r>
      <w:r w:rsidRPr="00981706">
        <w:rPr>
          <w:spacing w:val="-4"/>
          <w:rtl/>
        </w:rPr>
        <w:t xml:space="preserve"> </w:t>
      </w:r>
      <w:proofErr w:type="spellStart"/>
      <w:r w:rsidRPr="00981706">
        <w:rPr>
          <w:spacing w:val="-4"/>
          <w:rtl/>
        </w:rPr>
        <w:t>Telnyx</w:t>
      </w:r>
      <w:proofErr w:type="spellEnd"/>
      <w:r w:rsidRPr="00981706">
        <w:rPr>
          <w:spacing w:val="-4"/>
          <w:rtl/>
        </w:rPr>
        <w:t xml:space="preserve"> LLC (لجنة الدراسات 2)؛</w:t>
      </w:r>
      <w:r w:rsidRPr="00A91B7E">
        <w:rPr>
          <w:rFonts w:hint="cs"/>
          <w:spacing w:val="-4"/>
          <w:rtl/>
        </w:rPr>
        <w:t xml:space="preserve"> شركة</w:t>
      </w:r>
      <w:r w:rsidRPr="00981706">
        <w:rPr>
          <w:spacing w:val="-4"/>
          <w:rtl/>
        </w:rPr>
        <w:t xml:space="preserve"> </w:t>
      </w:r>
      <w:proofErr w:type="spellStart"/>
      <w:r w:rsidRPr="00981706">
        <w:rPr>
          <w:spacing w:val="-4"/>
          <w:rtl/>
        </w:rPr>
        <w:t>Globalmatix</w:t>
      </w:r>
      <w:proofErr w:type="spellEnd"/>
      <w:r w:rsidRPr="00981706">
        <w:rPr>
          <w:spacing w:val="-4"/>
          <w:rtl/>
        </w:rPr>
        <w:t xml:space="preserve"> AG (لجنة الدراسات 2)؛</w:t>
      </w:r>
      <w:r w:rsidRPr="00A91B7E">
        <w:rPr>
          <w:rFonts w:hint="cs"/>
          <w:spacing w:val="-4"/>
          <w:rtl/>
        </w:rPr>
        <w:t xml:space="preserve"> شركة</w:t>
      </w:r>
      <w:r w:rsidRPr="00981706">
        <w:rPr>
          <w:spacing w:val="-4"/>
          <w:rtl/>
        </w:rPr>
        <w:t xml:space="preserve"> </w:t>
      </w:r>
      <w:proofErr w:type="spellStart"/>
      <w:r w:rsidRPr="00981706">
        <w:rPr>
          <w:spacing w:val="-4"/>
          <w:rtl/>
        </w:rPr>
        <w:t>Skylo</w:t>
      </w:r>
      <w:proofErr w:type="spellEnd"/>
      <w:r w:rsidRPr="00981706">
        <w:rPr>
          <w:spacing w:val="-4"/>
          <w:rtl/>
        </w:rPr>
        <w:t xml:space="preserve"> </w:t>
      </w:r>
      <w:proofErr w:type="spellStart"/>
      <w:r w:rsidRPr="00981706">
        <w:rPr>
          <w:spacing w:val="-4"/>
          <w:rtl/>
        </w:rPr>
        <w:t>Technologies</w:t>
      </w:r>
      <w:proofErr w:type="spellEnd"/>
      <w:r w:rsidRPr="00981706">
        <w:rPr>
          <w:spacing w:val="-4"/>
          <w:rtl/>
        </w:rPr>
        <w:t xml:space="preserve">, </w:t>
      </w:r>
      <w:proofErr w:type="spellStart"/>
      <w:r w:rsidRPr="00981706">
        <w:rPr>
          <w:spacing w:val="-4"/>
          <w:rtl/>
        </w:rPr>
        <w:t>Inc</w:t>
      </w:r>
      <w:proofErr w:type="spellEnd"/>
      <w:r w:rsidRPr="00981706">
        <w:rPr>
          <w:spacing w:val="-4"/>
          <w:rtl/>
        </w:rPr>
        <w:t>. (لجنة الدراسات 2)؛ شركة</w:t>
      </w:r>
      <w:r w:rsidRPr="00A91B7E">
        <w:rPr>
          <w:spacing w:val="-4"/>
          <w:rtl/>
        </w:rPr>
        <w:t xml:space="preserve"> </w:t>
      </w:r>
      <w:proofErr w:type="spellStart"/>
      <w:r w:rsidRPr="00981706">
        <w:rPr>
          <w:spacing w:val="-4"/>
          <w:rtl/>
        </w:rPr>
        <w:t>Satelio</w:t>
      </w:r>
      <w:proofErr w:type="spellEnd"/>
      <w:r w:rsidRPr="00981706">
        <w:rPr>
          <w:spacing w:val="-4"/>
          <w:rtl/>
        </w:rPr>
        <w:t xml:space="preserve"> </w:t>
      </w:r>
      <w:proofErr w:type="spellStart"/>
      <w:r w:rsidRPr="00981706">
        <w:rPr>
          <w:spacing w:val="-4"/>
          <w:rtl/>
        </w:rPr>
        <w:t>IoT</w:t>
      </w:r>
      <w:proofErr w:type="spellEnd"/>
      <w:r w:rsidRPr="00981706">
        <w:rPr>
          <w:spacing w:val="-4"/>
          <w:rtl/>
        </w:rPr>
        <w:t xml:space="preserve"> Services, S.L (لجنة الدراسات 2)؛ شركة</w:t>
      </w:r>
      <w:r w:rsidRPr="00A91B7E">
        <w:rPr>
          <w:spacing w:val="-4"/>
          <w:rtl/>
        </w:rPr>
        <w:t xml:space="preserve"> </w:t>
      </w:r>
      <w:r w:rsidRPr="00981706">
        <w:rPr>
          <w:spacing w:val="-4"/>
          <w:rtl/>
        </w:rPr>
        <w:t xml:space="preserve">KORE </w:t>
      </w:r>
      <w:proofErr w:type="spellStart"/>
      <w:r w:rsidRPr="00981706">
        <w:rPr>
          <w:spacing w:val="-4"/>
          <w:rtl/>
        </w:rPr>
        <w:t>Wireless</w:t>
      </w:r>
      <w:proofErr w:type="spellEnd"/>
      <w:r w:rsidRPr="00981706">
        <w:rPr>
          <w:spacing w:val="-4"/>
          <w:rtl/>
        </w:rPr>
        <w:t xml:space="preserve"> </w:t>
      </w:r>
      <w:proofErr w:type="spellStart"/>
      <w:r w:rsidRPr="00981706">
        <w:rPr>
          <w:spacing w:val="-4"/>
          <w:rtl/>
        </w:rPr>
        <w:t>Inc</w:t>
      </w:r>
      <w:proofErr w:type="spellEnd"/>
      <w:r w:rsidRPr="00981706">
        <w:rPr>
          <w:spacing w:val="-4"/>
          <w:rtl/>
        </w:rPr>
        <w:t xml:space="preserve">. (لجنة الدراسات 2)؛ شركة AB </w:t>
      </w:r>
      <w:proofErr w:type="spellStart"/>
      <w:r w:rsidRPr="00981706">
        <w:rPr>
          <w:spacing w:val="-4"/>
          <w:rtl/>
        </w:rPr>
        <w:t>Handshake</w:t>
      </w:r>
      <w:proofErr w:type="spellEnd"/>
      <w:r w:rsidRPr="00981706">
        <w:rPr>
          <w:spacing w:val="-4"/>
          <w:rtl/>
        </w:rPr>
        <w:t xml:space="preserve"> (لجنة الدراسات 2)؛ شركة BBIX </w:t>
      </w:r>
      <w:proofErr w:type="spellStart"/>
      <w:r w:rsidRPr="00981706">
        <w:rPr>
          <w:spacing w:val="-4"/>
          <w:rtl/>
        </w:rPr>
        <w:t>Singapore</w:t>
      </w:r>
      <w:proofErr w:type="spellEnd"/>
      <w:r w:rsidRPr="00981706">
        <w:rPr>
          <w:spacing w:val="-4"/>
          <w:rtl/>
        </w:rPr>
        <w:t xml:space="preserve"> </w:t>
      </w:r>
      <w:proofErr w:type="spellStart"/>
      <w:r w:rsidRPr="00981706">
        <w:rPr>
          <w:spacing w:val="-4"/>
          <w:rtl/>
        </w:rPr>
        <w:t>Pte</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2)؛ شركة </w:t>
      </w:r>
      <w:proofErr w:type="spellStart"/>
      <w:r w:rsidRPr="00981706">
        <w:rPr>
          <w:spacing w:val="-4"/>
          <w:rtl/>
        </w:rPr>
        <w:t>Stacuity</w:t>
      </w:r>
      <w:proofErr w:type="spellEnd"/>
      <w:r w:rsidRPr="00981706">
        <w:rPr>
          <w:spacing w:val="-4"/>
          <w:rtl/>
        </w:rPr>
        <w:t xml:space="preserve"> </w:t>
      </w:r>
      <w:proofErr w:type="spellStart"/>
      <w:r w:rsidRPr="00981706">
        <w:rPr>
          <w:spacing w:val="-4"/>
          <w:rtl/>
        </w:rPr>
        <w:t>Limited</w:t>
      </w:r>
      <w:proofErr w:type="spellEnd"/>
      <w:r w:rsidRPr="00981706">
        <w:rPr>
          <w:spacing w:val="-4"/>
          <w:rtl/>
        </w:rPr>
        <w:t xml:space="preserve"> (لجنة الدراسات 2)؛ شركة</w:t>
      </w:r>
      <w:r w:rsidRPr="00A91B7E">
        <w:rPr>
          <w:spacing w:val="-4"/>
          <w:rtl/>
        </w:rPr>
        <w:t xml:space="preserve"> </w:t>
      </w:r>
      <w:r w:rsidRPr="00981706">
        <w:rPr>
          <w:spacing w:val="-4"/>
          <w:rtl/>
        </w:rPr>
        <w:t xml:space="preserve">NTT </w:t>
      </w:r>
      <w:proofErr w:type="spellStart"/>
      <w:r w:rsidRPr="00981706">
        <w:rPr>
          <w:spacing w:val="-4"/>
          <w:rtl/>
        </w:rPr>
        <w:t>Ltd</w:t>
      </w:r>
      <w:proofErr w:type="spellEnd"/>
      <w:r w:rsidRPr="00981706">
        <w:rPr>
          <w:spacing w:val="-4"/>
          <w:rtl/>
        </w:rPr>
        <w:t xml:space="preserve">. </w:t>
      </w:r>
      <w:proofErr w:type="spellStart"/>
      <w:r w:rsidRPr="00981706">
        <w:rPr>
          <w:spacing w:val="-4"/>
          <w:rtl/>
        </w:rPr>
        <w:t>Group</w:t>
      </w:r>
      <w:proofErr w:type="spellEnd"/>
      <w:r w:rsidRPr="00981706">
        <w:rPr>
          <w:spacing w:val="-4"/>
          <w:rtl/>
        </w:rPr>
        <w:t xml:space="preserve"> Services </w:t>
      </w:r>
      <w:proofErr w:type="spellStart"/>
      <w:r w:rsidRPr="00981706">
        <w:rPr>
          <w:spacing w:val="-4"/>
          <w:rtl/>
        </w:rPr>
        <w:t>Limited</w:t>
      </w:r>
      <w:proofErr w:type="spellEnd"/>
      <w:r w:rsidRPr="00981706">
        <w:rPr>
          <w:spacing w:val="-4"/>
          <w:rtl/>
        </w:rPr>
        <w:t xml:space="preserve"> (لجنة الدراسات 2)؛ شركة</w:t>
      </w:r>
      <w:r w:rsidRPr="00A91B7E">
        <w:rPr>
          <w:spacing w:val="-4"/>
          <w:rtl/>
        </w:rPr>
        <w:t xml:space="preserve"> </w:t>
      </w:r>
      <w:r w:rsidRPr="00981706">
        <w:rPr>
          <w:spacing w:val="-4"/>
          <w:rtl/>
        </w:rPr>
        <w:t xml:space="preserve">RGTN </w:t>
      </w:r>
      <w:proofErr w:type="spellStart"/>
      <w:r w:rsidRPr="00981706">
        <w:rPr>
          <w:spacing w:val="-4"/>
          <w:rtl/>
        </w:rPr>
        <w:t>Wholesale</w:t>
      </w:r>
      <w:proofErr w:type="spellEnd"/>
      <w:r w:rsidRPr="00981706">
        <w:rPr>
          <w:spacing w:val="-4"/>
          <w:rtl/>
        </w:rPr>
        <w:t xml:space="preserve"> B.V. (لجنة الدراسات 2)؛ شركة</w:t>
      </w:r>
      <w:r w:rsidRPr="00A91B7E">
        <w:rPr>
          <w:spacing w:val="-4"/>
          <w:rtl/>
        </w:rPr>
        <w:t xml:space="preserve"> </w:t>
      </w:r>
      <w:proofErr w:type="spellStart"/>
      <w:r w:rsidRPr="00981706">
        <w:rPr>
          <w:spacing w:val="-4"/>
          <w:rtl/>
        </w:rPr>
        <w:t>GibFibre</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2)؛ شركة</w:t>
      </w:r>
      <w:r w:rsidRPr="00A91B7E">
        <w:rPr>
          <w:spacing w:val="-4"/>
          <w:rtl/>
        </w:rPr>
        <w:t xml:space="preserve"> </w:t>
      </w:r>
      <w:proofErr w:type="spellStart"/>
      <w:r w:rsidRPr="00981706">
        <w:rPr>
          <w:spacing w:val="-4"/>
          <w:rtl/>
        </w:rPr>
        <w:t>Bloxtel</w:t>
      </w:r>
      <w:proofErr w:type="spellEnd"/>
      <w:r w:rsidRPr="00981706">
        <w:rPr>
          <w:spacing w:val="-4"/>
          <w:rtl/>
        </w:rPr>
        <w:t xml:space="preserve"> </w:t>
      </w:r>
      <w:proofErr w:type="spellStart"/>
      <w:r w:rsidRPr="00981706">
        <w:rPr>
          <w:spacing w:val="-4"/>
          <w:rtl/>
        </w:rPr>
        <w:t>Inc</w:t>
      </w:r>
      <w:proofErr w:type="spellEnd"/>
      <w:r w:rsidRPr="00981706">
        <w:rPr>
          <w:spacing w:val="-4"/>
          <w:rtl/>
        </w:rPr>
        <w:t>. (لجنة الدراسات 2)؛ شركة</w:t>
      </w:r>
      <w:r w:rsidRPr="00A91B7E">
        <w:rPr>
          <w:spacing w:val="-4"/>
          <w:rtl/>
        </w:rPr>
        <w:t xml:space="preserve"> </w:t>
      </w:r>
      <w:proofErr w:type="spellStart"/>
      <w:r w:rsidRPr="00981706">
        <w:rPr>
          <w:spacing w:val="-4"/>
          <w:rtl/>
        </w:rPr>
        <w:t>Deer</w:t>
      </w:r>
      <w:proofErr w:type="spellEnd"/>
      <w:r w:rsidRPr="00981706">
        <w:rPr>
          <w:spacing w:val="-4"/>
          <w:rtl/>
        </w:rPr>
        <w:t xml:space="preserve"> </w:t>
      </w:r>
      <w:proofErr w:type="spellStart"/>
      <w:r w:rsidRPr="00981706">
        <w:rPr>
          <w:spacing w:val="-4"/>
          <w:rtl/>
        </w:rPr>
        <w:t>Management</w:t>
      </w:r>
      <w:proofErr w:type="spellEnd"/>
      <w:r w:rsidRPr="00981706">
        <w:rPr>
          <w:spacing w:val="-4"/>
          <w:rtl/>
        </w:rPr>
        <w:t xml:space="preserve"> </w:t>
      </w:r>
      <w:proofErr w:type="spellStart"/>
      <w:r w:rsidRPr="00981706">
        <w:rPr>
          <w:spacing w:val="-4"/>
          <w:rtl/>
        </w:rPr>
        <w:t>Systems</w:t>
      </w:r>
      <w:proofErr w:type="spellEnd"/>
      <w:r w:rsidRPr="00981706">
        <w:rPr>
          <w:spacing w:val="-4"/>
          <w:rtl/>
        </w:rPr>
        <w:t xml:space="preserve"> DBA </w:t>
      </w:r>
      <w:proofErr w:type="spellStart"/>
      <w:r w:rsidRPr="00981706">
        <w:rPr>
          <w:spacing w:val="-4"/>
          <w:rtl/>
        </w:rPr>
        <w:t>Tactacam</w:t>
      </w:r>
      <w:proofErr w:type="spellEnd"/>
      <w:r w:rsidRPr="00981706">
        <w:rPr>
          <w:spacing w:val="-4"/>
          <w:rtl/>
        </w:rPr>
        <w:t xml:space="preserve"> (لجنة الدراسات 2)؛ شركة</w:t>
      </w:r>
      <w:r w:rsidRPr="00A91B7E">
        <w:rPr>
          <w:spacing w:val="-4"/>
          <w:rtl/>
        </w:rPr>
        <w:t xml:space="preserve"> </w:t>
      </w:r>
      <w:proofErr w:type="spellStart"/>
      <w:r w:rsidRPr="00981706">
        <w:rPr>
          <w:spacing w:val="-4"/>
          <w:rtl/>
        </w:rPr>
        <w:t>iONLINE</w:t>
      </w:r>
      <w:proofErr w:type="spellEnd"/>
      <w:r w:rsidRPr="00981706">
        <w:rPr>
          <w:spacing w:val="-4"/>
          <w:rtl/>
        </w:rPr>
        <w:t xml:space="preserve"> </w:t>
      </w:r>
      <w:proofErr w:type="spellStart"/>
      <w:r w:rsidRPr="00981706">
        <w:rPr>
          <w:spacing w:val="-4"/>
          <w:rtl/>
        </w:rPr>
        <w:t>Internet</w:t>
      </w:r>
      <w:proofErr w:type="spellEnd"/>
      <w:r w:rsidRPr="00981706">
        <w:rPr>
          <w:spacing w:val="-4"/>
          <w:rtl/>
        </w:rPr>
        <w:t xml:space="preserve"> </w:t>
      </w:r>
      <w:proofErr w:type="spellStart"/>
      <w:r w:rsidRPr="00981706">
        <w:rPr>
          <w:spacing w:val="-4"/>
          <w:rtl/>
        </w:rPr>
        <w:t>solutions</w:t>
      </w:r>
      <w:proofErr w:type="spellEnd"/>
      <w:r w:rsidRPr="00981706">
        <w:rPr>
          <w:spacing w:val="-4"/>
          <w:rtl/>
        </w:rPr>
        <w:t xml:space="preserve"> </w:t>
      </w:r>
      <w:proofErr w:type="spellStart"/>
      <w:r w:rsidRPr="00981706">
        <w:rPr>
          <w:spacing w:val="-4"/>
          <w:rtl/>
        </w:rPr>
        <w:t>provider</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2)؛ شركة</w:t>
      </w:r>
      <w:r w:rsidRPr="00A91B7E">
        <w:rPr>
          <w:spacing w:val="-4"/>
          <w:rtl/>
        </w:rPr>
        <w:t xml:space="preserve"> </w:t>
      </w:r>
      <w:proofErr w:type="spellStart"/>
      <w:r w:rsidRPr="00981706">
        <w:rPr>
          <w:spacing w:val="-4"/>
          <w:rtl/>
        </w:rPr>
        <w:t>ESim</w:t>
      </w:r>
      <w:proofErr w:type="spellEnd"/>
      <w:r w:rsidRPr="00981706">
        <w:rPr>
          <w:spacing w:val="-4"/>
          <w:rtl/>
        </w:rPr>
        <w:t xml:space="preserve"> </w:t>
      </w:r>
      <w:proofErr w:type="spellStart"/>
      <w:r w:rsidRPr="00981706">
        <w:rPr>
          <w:spacing w:val="-4"/>
          <w:rtl/>
        </w:rPr>
        <w:t>Go</w:t>
      </w:r>
      <w:proofErr w:type="spellEnd"/>
      <w:r w:rsidRPr="00981706">
        <w:rPr>
          <w:spacing w:val="-4"/>
          <w:rtl/>
        </w:rPr>
        <w:t xml:space="preserve"> </w:t>
      </w:r>
      <w:proofErr w:type="spellStart"/>
      <w:r w:rsidRPr="00981706">
        <w:rPr>
          <w:spacing w:val="-4"/>
          <w:rtl/>
        </w:rPr>
        <w:t>Limited</w:t>
      </w:r>
      <w:proofErr w:type="spellEnd"/>
      <w:r w:rsidRPr="00981706">
        <w:rPr>
          <w:spacing w:val="-4"/>
          <w:rtl/>
        </w:rPr>
        <w:t xml:space="preserve"> (لجنة الدراسات 2)؛ شركة</w:t>
      </w:r>
      <w:r w:rsidRPr="00A91B7E">
        <w:rPr>
          <w:spacing w:val="-4"/>
          <w:rtl/>
        </w:rPr>
        <w:t xml:space="preserve"> </w:t>
      </w:r>
      <w:proofErr w:type="spellStart"/>
      <w:r w:rsidRPr="00981706">
        <w:rPr>
          <w:spacing w:val="-4"/>
          <w:rtl/>
        </w:rPr>
        <w:t>Simwood</w:t>
      </w:r>
      <w:proofErr w:type="spellEnd"/>
      <w:r w:rsidRPr="00981706">
        <w:rPr>
          <w:spacing w:val="-4"/>
          <w:rtl/>
        </w:rPr>
        <w:t xml:space="preserve"> </w:t>
      </w:r>
      <w:proofErr w:type="spellStart"/>
      <w:r w:rsidRPr="00981706">
        <w:rPr>
          <w:spacing w:val="-4"/>
          <w:rtl/>
        </w:rPr>
        <w:t>Group</w:t>
      </w:r>
      <w:proofErr w:type="spellEnd"/>
      <w:r w:rsidRPr="00981706">
        <w:rPr>
          <w:spacing w:val="-4"/>
          <w:rtl/>
        </w:rPr>
        <w:t xml:space="preserve"> </w:t>
      </w:r>
      <w:proofErr w:type="spellStart"/>
      <w:r w:rsidRPr="00981706">
        <w:rPr>
          <w:spacing w:val="-4"/>
          <w:rtl/>
        </w:rPr>
        <w:t>Plc</w:t>
      </w:r>
      <w:proofErr w:type="spellEnd"/>
      <w:r w:rsidRPr="00981706">
        <w:rPr>
          <w:spacing w:val="-4"/>
          <w:rtl/>
        </w:rPr>
        <w:t xml:space="preserve"> (لجنة الدراسات 2)؛ شركة</w:t>
      </w:r>
      <w:r w:rsidRPr="00A91B7E">
        <w:rPr>
          <w:spacing w:val="-4"/>
          <w:rtl/>
        </w:rPr>
        <w:t xml:space="preserve"> </w:t>
      </w:r>
      <w:proofErr w:type="spellStart"/>
      <w:r w:rsidRPr="00981706">
        <w:rPr>
          <w:spacing w:val="-4"/>
          <w:rtl/>
        </w:rPr>
        <w:t>Datora</w:t>
      </w:r>
      <w:proofErr w:type="spellEnd"/>
      <w:r w:rsidRPr="00981706">
        <w:rPr>
          <w:spacing w:val="-4"/>
          <w:rtl/>
        </w:rPr>
        <w:t xml:space="preserve"> </w:t>
      </w:r>
      <w:proofErr w:type="spellStart"/>
      <w:r w:rsidRPr="00981706">
        <w:rPr>
          <w:spacing w:val="-4"/>
          <w:rtl/>
        </w:rPr>
        <w:t>Mobile</w:t>
      </w:r>
      <w:proofErr w:type="spellEnd"/>
      <w:r w:rsidRPr="00981706">
        <w:rPr>
          <w:spacing w:val="-4"/>
          <w:rtl/>
        </w:rPr>
        <w:t xml:space="preserve"> </w:t>
      </w:r>
      <w:proofErr w:type="spellStart"/>
      <w:r w:rsidRPr="00981706">
        <w:rPr>
          <w:spacing w:val="-4"/>
          <w:rtl/>
        </w:rPr>
        <w:t>Telecomunicações</w:t>
      </w:r>
      <w:proofErr w:type="spellEnd"/>
      <w:r w:rsidRPr="00981706">
        <w:rPr>
          <w:spacing w:val="-4"/>
          <w:rtl/>
        </w:rPr>
        <w:t xml:space="preserve"> SA (لجنة الدراسات 2)؛ شركة</w:t>
      </w:r>
      <w:r w:rsidRPr="00A91B7E">
        <w:rPr>
          <w:spacing w:val="-4"/>
          <w:rtl/>
        </w:rPr>
        <w:t xml:space="preserve"> </w:t>
      </w:r>
      <w:proofErr w:type="spellStart"/>
      <w:r w:rsidRPr="00981706">
        <w:rPr>
          <w:spacing w:val="-4"/>
          <w:rtl/>
        </w:rPr>
        <w:t>Wireless</w:t>
      </w:r>
      <w:proofErr w:type="spellEnd"/>
      <w:r w:rsidRPr="00981706">
        <w:rPr>
          <w:spacing w:val="-4"/>
          <w:rtl/>
        </w:rPr>
        <w:t xml:space="preserve"> </w:t>
      </w:r>
      <w:proofErr w:type="spellStart"/>
      <w:r w:rsidRPr="00981706">
        <w:rPr>
          <w:spacing w:val="-4"/>
          <w:rtl/>
        </w:rPr>
        <w:t>Maritime</w:t>
      </w:r>
      <w:proofErr w:type="spellEnd"/>
      <w:r w:rsidRPr="00981706">
        <w:rPr>
          <w:spacing w:val="-4"/>
          <w:rtl/>
        </w:rPr>
        <w:t xml:space="preserve"> Services (WMS) (لجنة الدراسات</w:t>
      </w:r>
      <w:r w:rsidRPr="00A91B7E">
        <w:rPr>
          <w:rFonts w:hint="cs"/>
          <w:spacing w:val="-4"/>
          <w:rtl/>
        </w:rPr>
        <w:t> </w:t>
      </w:r>
      <w:r w:rsidRPr="00981706">
        <w:rPr>
          <w:spacing w:val="-4"/>
          <w:rtl/>
        </w:rPr>
        <w:t xml:space="preserve">2)؛ شركة 3G </w:t>
      </w:r>
      <w:proofErr w:type="spellStart"/>
      <w:r w:rsidRPr="00981706">
        <w:rPr>
          <w:spacing w:val="-4"/>
          <w:rtl/>
        </w:rPr>
        <w:t>Telecommunications</w:t>
      </w:r>
      <w:proofErr w:type="spellEnd"/>
      <w:r w:rsidRPr="00981706">
        <w:rPr>
          <w:spacing w:val="-4"/>
          <w:rtl/>
        </w:rPr>
        <w:t xml:space="preserve"> </w:t>
      </w:r>
      <w:proofErr w:type="spellStart"/>
      <w:r w:rsidRPr="00981706">
        <w:rPr>
          <w:spacing w:val="-4"/>
          <w:rtl/>
        </w:rPr>
        <w:t>Limited</w:t>
      </w:r>
      <w:proofErr w:type="spellEnd"/>
      <w:r w:rsidRPr="00981706">
        <w:rPr>
          <w:spacing w:val="-4"/>
          <w:rtl/>
        </w:rPr>
        <w:t xml:space="preserve"> (لجنة الدراسات 2)؛ شركة</w:t>
      </w:r>
      <w:r w:rsidRPr="00A91B7E">
        <w:rPr>
          <w:spacing w:val="-4"/>
          <w:rtl/>
        </w:rPr>
        <w:t xml:space="preserve"> </w:t>
      </w:r>
      <w:proofErr w:type="spellStart"/>
      <w:r w:rsidRPr="00981706">
        <w:rPr>
          <w:spacing w:val="-4"/>
          <w:rtl/>
        </w:rPr>
        <w:t>Beamlink</w:t>
      </w:r>
      <w:proofErr w:type="spellEnd"/>
      <w:r w:rsidRPr="00981706">
        <w:rPr>
          <w:spacing w:val="-4"/>
          <w:rtl/>
        </w:rPr>
        <w:t xml:space="preserve">, </w:t>
      </w:r>
      <w:proofErr w:type="spellStart"/>
      <w:r w:rsidRPr="00981706">
        <w:rPr>
          <w:spacing w:val="-4"/>
          <w:rtl/>
        </w:rPr>
        <w:t>Inc</w:t>
      </w:r>
      <w:proofErr w:type="spellEnd"/>
      <w:r w:rsidRPr="00981706">
        <w:rPr>
          <w:spacing w:val="-4"/>
          <w:rtl/>
        </w:rPr>
        <w:t xml:space="preserve">. (لجنة الدراسات 2)؛ شركة </w:t>
      </w:r>
      <w:proofErr w:type="spellStart"/>
      <w:r w:rsidRPr="00981706">
        <w:rPr>
          <w:spacing w:val="-4"/>
          <w:rtl/>
        </w:rPr>
        <w:t>Telikom</w:t>
      </w:r>
      <w:proofErr w:type="spellEnd"/>
      <w:r w:rsidRPr="00981706">
        <w:rPr>
          <w:spacing w:val="-4"/>
          <w:rtl/>
        </w:rPr>
        <w:t xml:space="preserve"> </w:t>
      </w:r>
      <w:proofErr w:type="spellStart"/>
      <w:r w:rsidRPr="00981706">
        <w:rPr>
          <w:spacing w:val="-4"/>
          <w:rtl/>
        </w:rPr>
        <w:t>Nauru</w:t>
      </w:r>
      <w:proofErr w:type="spellEnd"/>
      <w:r w:rsidRPr="00981706">
        <w:rPr>
          <w:spacing w:val="-4"/>
          <w:rtl/>
        </w:rPr>
        <w:t xml:space="preserve"> (لجنة الدراسات 2)؛ شركة</w:t>
      </w:r>
      <w:r w:rsidRPr="00A91B7E">
        <w:rPr>
          <w:spacing w:val="-4"/>
          <w:rtl/>
        </w:rPr>
        <w:t xml:space="preserve"> </w:t>
      </w:r>
      <w:proofErr w:type="spellStart"/>
      <w:r w:rsidRPr="00981706">
        <w:rPr>
          <w:spacing w:val="-4"/>
          <w:rtl/>
        </w:rPr>
        <w:t>Worldcell</w:t>
      </w:r>
      <w:proofErr w:type="spellEnd"/>
      <w:r w:rsidRPr="00981706">
        <w:rPr>
          <w:spacing w:val="-4"/>
          <w:rtl/>
        </w:rPr>
        <w:t xml:space="preserve"> </w:t>
      </w:r>
      <w:proofErr w:type="spellStart"/>
      <w:r w:rsidRPr="00981706">
        <w:rPr>
          <w:spacing w:val="-4"/>
          <w:rtl/>
        </w:rPr>
        <w:t>Solutions</w:t>
      </w:r>
      <w:proofErr w:type="spellEnd"/>
      <w:r w:rsidRPr="00981706">
        <w:rPr>
          <w:spacing w:val="-4"/>
          <w:rtl/>
        </w:rPr>
        <w:t xml:space="preserve"> LLC (لجنة الدراسات 2)؛ شركة</w:t>
      </w:r>
      <w:r w:rsidRPr="00A91B7E">
        <w:rPr>
          <w:spacing w:val="-4"/>
          <w:rtl/>
        </w:rPr>
        <w:t xml:space="preserve"> </w:t>
      </w:r>
      <w:proofErr w:type="spellStart"/>
      <w:r w:rsidRPr="00981706">
        <w:rPr>
          <w:spacing w:val="-4"/>
          <w:rtl/>
        </w:rPr>
        <w:t>Lynk</w:t>
      </w:r>
      <w:proofErr w:type="spellEnd"/>
      <w:r w:rsidRPr="00981706">
        <w:rPr>
          <w:spacing w:val="-4"/>
          <w:rtl/>
        </w:rPr>
        <w:t xml:space="preserve"> </w:t>
      </w:r>
      <w:proofErr w:type="spellStart"/>
      <w:r w:rsidRPr="00981706">
        <w:rPr>
          <w:spacing w:val="-4"/>
          <w:rtl/>
        </w:rPr>
        <w:t>Global</w:t>
      </w:r>
      <w:proofErr w:type="spellEnd"/>
      <w:r w:rsidRPr="00981706">
        <w:rPr>
          <w:spacing w:val="-4"/>
          <w:rtl/>
        </w:rPr>
        <w:t xml:space="preserve">, </w:t>
      </w:r>
      <w:proofErr w:type="spellStart"/>
      <w:r w:rsidRPr="00981706">
        <w:rPr>
          <w:spacing w:val="-4"/>
          <w:rtl/>
        </w:rPr>
        <w:t>Inc</w:t>
      </w:r>
      <w:proofErr w:type="spellEnd"/>
      <w:r w:rsidRPr="00981706">
        <w:rPr>
          <w:spacing w:val="-4"/>
          <w:rtl/>
        </w:rPr>
        <w:t xml:space="preserve"> (لجنة الدراسات 2)؛ شركة</w:t>
      </w:r>
      <w:r w:rsidRPr="00A91B7E">
        <w:rPr>
          <w:spacing w:val="-4"/>
          <w:rtl/>
        </w:rPr>
        <w:t xml:space="preserve"> </w:t>
      </w:r>
      <w:r w:rsidRPr="00981706">
        <w:rPr>
          <w:spacing w:val="-4"/>
          <w:rtl/>
        </w:rPr>
        <w:t xml:space="preserve">OQ </w:t>
      </w:r>
      <w:proofErr w:type="spellStart"/>
      <w:r w:rsidRPr="00981706">
        <w:rPr>
          <w:spacing w:val="-4"/>
          <w:rtl/>
        </w:rPr>
        <w:t>Technology</w:t>
      </w:r>
      <w:proofErr w:type="spellEnd"/>
      <w:r w:rsidRPr="00981706">
        <w:rPr>
          <w:spacing w:val="-4"/>
          <w:rtl/>
        </w:rPr>
        <w:t xml:space="preserve"> (لجنة الدراسات 2)؛ شركة</w:t>
      </w:r>
      <w:r w:rsidRPr="00A91B7E">
        <w:rPr>
          <w:spacing w:val="-4"/>
          <w:rtl/>
        </w:rPr>
        <w:t xml:space="preserve"> </w:t>
      </w:r>
      <w:r w:rsidRPr="00981706">
        <w:rPr>
          <w:spacing w:val="-4"/>
          <w:rtl/>
        </w:rPr>
        <w:t>IXT AS (لجنة الدراسات 2)؛ شركة</w:t>
      </w:r>
      <w:r w:rsidRPr="00A91B7E">
        <w:rPr>
          <w:spacing w:val="-4"/>
          <w:rtl/>
        </w:rPr>
        <w:t xml:space="preserve"> </w:t>
      </w:r>
      <w:proofErr w:type="spellStart"/>
      <w:r w:rsidRPr="00981706">
        <w:rPr>
          <w:spacing w:val="-4"/>
          <w:rtl/>
        </w:rPr>
        <w:t>Rapid.Space</w:t>
      </w:r>
      <w:proofErr w:type="spellEnd"/>
      <w:r w:rsidRPr="00981706">
        <w:rPr>
          <w:spacing w:val="-4"/>
          <w:rtl/>
        </w:rPr>
        <w:t xml:space="preserve"> </w:t>
      </w:r>
      <w:proofErr w:type="spellStart"/>
      <w:r w:rsidRPr="00981706">
        <w:rPr>
          <w:spacing w:val="-4"/>
          <w:rtl/>
        </w:rPr>
        <w:t>International</w:t>
      </w:r>
      <w:proofErr w:type="spellEnd"/>
      <w:r w:rsidRPr="00981706">
        <w:rPr>
          <w:spacing w:val="-4"/>
          <w:rtl/>
        </w:rPr>
        <w:t xml:space="preserve"> (لجنة الدراسات 2)؛ شركة </w:t>
      </w:r>
      <w:proofErr w:type="spellStart"/>
      <w:r w:rsidRPr="00981706">
        <w:rPr>
          <w:spacing w:val="-4"/>
          <w:rtl/>
        </w:rPr>
        <w:t>GlobalCell</w:t>
      </w:r>
      <w:proofErr w:type="spellEnd"/>
      <w:r w:rsidRPr="00981706">
        <w:rPr>
          <w:spacing w:val="-4"/>
          <w:rtl/>
        </w:rPr>
        <w:t xml:space="preserve"> LLC (لجنة الدراسات 2)؛ IMSI.AI (لجنة الدراسات 2)؛ شركة</w:t>
      </w:r>
      <w:r w:rsidRPr="00A91B7E">
        <w:rPr>
          <w:spacing w:val="-4"/>
          <w:rtl/>
        </w:rPr>
        <w:t xml:space="preserve"> </w:t>
      </w:r>
      <w:r w:rsidRPr="00981706">
        <w:rPr>
          <w:spacing w:val="-4"/>
          <w:lang w:val="en-GB" w:bidi="ar-EG"/>
        </w:rPr>
        <w:t>Mozilla</w:t>
      </w:r>
      <w:r w:rsidRPr="00A91B7E">
        <w:rPr>
          <w:rFonts w:hint="cs"/>
          <w:spacing w:val="-4"/>
          <w:rtl/>
          <w:lang w:val="en-GB" w:bidi="ar-EG"/>
        </w:rPr>
        <w:t xml:space="preserve"> </w:t>
      </w:r>
      <w:r w:rsidRPr="00981706">
        <w:rPr>
          <w:spacing w:val="-4"/>
          <w:rtl/>
        </w:rPr>
        <w:t>(لجنة الدراسات 3)؛ شركة</w:t>
      </w:r>
      <w:r w:rsidRPr="00A91B7E">
        <w:rPr>
          <w:spacing w:val="-4"/>
          <w:rtl/>
        </w:rPr>
        <w:t xml:space="preserve"> </w:t>
      </w:r>
      <w:proofErr w:type="spellStart"/>
      <w:r w:rsidRPr="00981706">
        <w:rPr>
          <w:spacing w:val="-4"/>
          <w:rtl/>
        </w:rPr>
        <w:t>China</w:t>
      </w:r>
      <w:proofErr w:type="spellEnd"/>
      <w:r w:rsidRPr="00981706">
        <w:rPr>
          <w:spacing w:val="-4"/>
          <w:rtl/>
        </w:rPr>
        <w:t xml:space="preserve"> </w:t>
      </w:r>
      <w:proofErr w:type="spellStart"/>
      <w:r w:rsidRPr="00981706">
        <w:rPr>
          <w:spacing w:val="-4"/>
          <w:rtl/>
        </w:rPr>
        <w:t>Energy</w:t>
      </w:r>
      <w:proofErr w:type="spellEnd"/>
      <w:r w:rsidRPr="00981706">
        <w:rPr>
          <w:spacing w:val="-4"/>
          <w:rtl/>
        </w:rPr>
        <w:t xml:space="preserve"> </w:t>
      </w:r>
      <w:proofErr w:type="spellStart"/>
      <w:r w:rsidRPr="00981706">
        <w:rPr>
          <w:spacing w:val="-4"/>
          <w:rtl/>
        </w:rPr>
        <w:t>Materials</w:t>
      </w:r>
      <w:proofErr w:type="spellEnd"/>
      <w:r w:rsidRPr="00981706">
        <w:rPr>
          <w:spacing w:val="-4"/>
          <w:rtl/>
        </w:rPr>
        <w:t xml:space="preserve"> </w:t>
      </w:r>
      <w:proofErr w:type="spellStart"/>
      <w:r w:rsidRPr="00981706">
        <w:rPr>
          <w:spacing w:val="-4"/>
          <w:rtl/>
        </w:rPr>
        <w:t>Company</w:t>
      </w:r>
      <w:proofErr w:type="spellEnd"/>
      <w:r w:rsidRPr="00981706">
        <w:rPr>
          <w:spacing w:val="-4"/>
          <w:rtl/>
        </w:rPr>
        <w:t xml:space="preserve"> </w:t>
      </w:r>
      <w:proofErr w:type="spellStart"/>
      <w:r w:rsidRPr="00981706">
        <w:rPr>
          <w:spacing w:val="-4"/>
          <w:rtl/>
        </w:rPr>
        <w:t>Limited</w:t>
      </w:r>
      <w:proofErr w:type="spellEnd"/>
      <w:r w:rsidRPr="00981706">
        <w:rPr>
          <w:spacing w:val="-4"/>
          <w:rtl/>
        </w:rPr>
        <w:t xml:space="preserve"> (لجنة الدراسات 5)؛ شركة</w:t>
      </w:r>
      <w:r w:rsidRPr="00A91B7E">
        <w:rPr>
          <w:spacing w:val="-4"/>
          <w:rtl/>
        </w:rPr>
        <w:t xml:space="preserve"> </w:t>
      </w:r>
      <w:proofErr w:type="spellStart"/>
      <w:r w:rsidRPr="00981706">
        <w:rPr>
          <w:spacing w:val="-4"/>
          <w:rtl/>
        </w:rPr>
        <w:t>Mukti</w:t>
      </w:r>
      <w:proofErr w:type="spellEnd"/>
      <w:r w:rsidRPr="00981706">
        <w:rPr>
          <w:spacing w:val="-4"/>
          <w:rtl/>
        </w:rPr>
        <w:t xml:space="preserve"> </w:t>
      </w:r>
      <w:proofErr w:type="spellStart"/>
      <w:r w:rsidRPr="00981706">
        <w:rPr>
          <w:spacing w:val="-4"/>
          <w:rtl/>
        </w:rPr>
        <w:t>Mandiri</w:t>
      </w:r>
      <w:proofErr w:type="spellEnd"/>
      <w:r w:rsidRPr="00981706">
        <w:rPr>
          <w:spacing w:val="-4"/>
          <w:rtl/>
        </w:rPr>
        <w:t xml:space="preserve"> </w:t>
      </w:r>
      <w:proofErr w:type="spellStart"/>
      <w:r w:rsidRPr="00981706">
        <w:rPr>
          <w:spacing w:val="-4"/>
          <w:rtl/>
        </w:rPr>
        <w:t>Lestari</w:t>
      </w:r>
      <w:proofErr w:type="spellEnd"/>
      <w:r w:rsidRPr="00981706">
        <w:rPr>
          <w:spacing w:val="-4"/>
          <w:rtl/>
        </w:rPr>
        <w:t xml:space="preserve"> (لجنة الدراسات 5)؛ شركة </w:t>
      </w:r>
      <w:proofErr w:type="spellStart"/>
      <w:r w:rsidRPr="00981706">
        <w:rPr>
          <w:spacing w:val="-4"/>
          <w:lang w:val="en-GB" w:bidi="ar-EG"/>
        </w:rPr>
        <w:t>Resilio</w:t>
      </w:r>
      <w:proofErr w:type="spellEnd"/>
      <w:r w:rsidRPr="00A91B7E">
        <w:rPr>
          <w:rFonts w:hint="cs"/>
          <w:spacing w:val="-4"/>
          <w:rtl/>
          <w:lang w:val="en-GB" w:bidi="ar-EG"/>
        </w:rPr>
        <w:t xml:space="preserve"> </w:t>
      </w:r>
      <w:r w:rsidRPr="00981706">
        <w:rPr>
          <w:spacing w:val="-4"/>
          <w:rtl/>
        </w:rPr>
        <w:t xml:space="preserve">(لجنة الدراسات 5)؛ شركة </w:t>
      </w:r>
      <w:proofErr w:type="spellStart"/>
      <w:r w:rsidRPr="00981706">
        <w:rPr>
          <w:spacing w:val="-4"/>
          <w:rtl/>
        </w:rPr>
        <w:t>Shuangdeng</w:t>
      </w:r>
      <w:proofErr w:type="spellEnd"/>
      <w:r w:rsidRPr="00981706">
        <w:rPr>
          <w:spacing w:val="-4"/>
          <w:rtl/>
        </w:rPr>
        <w:t xml:space="preserve"> </w:t>
      </w:r>
      <w:proofErr w:type="spellStart"/>
      <w:r w:rsidRPr="00981706">
        <w:rPr>
          <w:spacing w:val="-4"/>
          <w:rtl/>
        </w:rPr>
        <w:t>Group</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w:t>
      </w:r>
      <w:proofErr w:type="spellStart"/>
      <w:r w:rsidRPr="00981706">
        <w:rPr>
          <w:spacing w:val="-4"/>
          <w:rtl/>
        </w:rPr>
        <w:t>Chinashoto</w:t>
      </w:r>
      <w:proofErr w:type="spellEnd"/>
      <w:r w:rsidRPr="00981706">
        <w:rPr>
          <w:spacing w:val="-4"/>
          <w:rtl/>
        </w:rPr>
        <w:t>) (لجنة الدراسات</w:t>
      </w:r>
      <w:r w:rsidRPr="00A91B7E">
        <w:rPr>
          <w:rFonts w:hint="cs"/>
          <w:spacing w:val="-4"/>
          <w:rtl/>
        </w:rPr>
        <w:t> </w:t>
      </w:r>
      <w:r w:rsidRPr="00981706">
        <w:rPr>
          <w:spacing w:val="-4"/>
          <w:rtl/>
        </w:rPr>
        <w:t>5)؛ شركة</w:t>
      </w:r>
      <w:r w:rsidRPr="00A91B7E">
        <w:rPr>
          <w:spacing w:val="-4"/>
          <w:rtl/>
        </w:rPr>
        <w:t xml:space="preserve"> </w:t>
      </w:r>
      <w:proofErr w:type="spellStart"/>
      <w:r w:rsidRPr="00981706">
        <w:rPr>
          <w:spacing w:val="-4"/>
          <w:lang w:val="en-GB" w:bidi="ar-EG"/>
        </w:rPr>
        <w:t>InMobiles</w:t>
      </w:r>
      <w:proofErr w:type="spellEnd"/>
      <w:r w:rsidRPr="00A91B7E">
        <w:rPr>
          <w:rFonts w:hint="cs"/>
          <w:spacing w:val="-4"/>
          <w:rtl/>
          <w:lang w:val="en-GB" w:bidi="ar-EG"/>
        </w:rPr>
        <w:t xml:space="preserve"> </w:t>
      </w:r>
      <w:r w:rsidRPr="00981706">
        <w:rPr>
          <w:spacing w:val="-4"/>
          <w:rtl/>
        </w:rPr>
        <w:t>(لجنة الدراسات 11)؛ شركة</w:t>
      </w:r>
      <w:r w:rsidRPr="00A91B7E">
        <w:rPr>
          <w:spacing w:val="-4"/>
          <w:rtl/>
        </w:rPr>
        <w:t xml:space="preserve"> </w:t>
      </w:r>
      <w:proofErr w:type="spellStart"/>
      <w:r w:rsidRPr="00981706">
        <w:rPr>
          <w:spacing w:val="-4"/>
          <w:rtl/>
        </w:rPr>
        <w:t>Potin</w:t>
      </w:r>
      <w:proofErr w:type="spellEnd"/>
      <w:r w:rsidRPr="00981706">
        <w:rPr>
          <w:spacing w:val="-4"/>
          <w:rtl/>
        </w:rPr>
        <w:t xml:space="preserve"> (</w:t>
      </w:r>
      <w:proofErr w:type="spellStart"/>
      <w:r w:rsidRPr="00981706">
        <w:rPr>
          <w:spacing w:val="-4"/>
          <w:rtl/>
        </w:rPr>
        <w:t>Beijing</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w:t>
      </w:r>
      <w:proofErr w:type="spellStart"/>
      <w:r w:rsidRPr="00981706">
        <w:rPr>
          <w:spacing w:val="-4"/>
          <w:rtl/>
        </w:rPr>
        <w:t>Ltd</w:t>
      </w:r>
      <w:proofErr w:type="spellEnd"/>
      <w:r w:rsidRPr="00981706">
        <w:rPr>
          <w:spacing w:val="-4"/>
          <w:rtl/>
        </w:rPr>
        <w:t xml:space="preserve"> (لجنة الدراسات 11)؛ شركة</w:t>
      </w:r>
      <w:r w:rsidRPr="00A91B7E">
        <w:rPr>
          <w:spacing w:val="-4"/>
          <w:rtl/>
        </w:rPr>
        <w:t xml:space="preserve"> </w:t>
      </w:r>
      <w:proofErr w:type="spellStart"/>
      <w:r w:rsidRPr="00981706">
        <w:rPr>
          <w:spacing w:val="-4"/>
          <w:rtl/>
        </w:rPr>
        <w:t>Case</w:t>
      </w:r>
      <w:proofErr w:type="spellEnd"/>
      <w:r w:rsidRPr="00981706">
        <w:rPr>
          <w:spacing w:val="-4"/>
          <w:rtl/>
        </w:rPr>
        <w:t xml:space="preserve"> </w:t>
      </w:r>
      <w:proofErr w:type="spellStart"/>
      <w:r w:rsidRPr="00981706">
        <w:rPr>
          <w:spacing w:val="-4"/>
          <w:rtl/>
        </w:rPr>
        <w:t>On</w:t>
      </w:r>
      <w:proofErr w:type="spellEnd"/>
      <w:r w:rsidRPr="00981706">
        <w:rPr>
          <w:spacing w:val="-4"/>
          <w:rtl/>
        </w:rPr>
        <w:t xml:space="preserve"> IT (لجنة الدراسات 12)؛ شركة</w:t>
      </w:r>
      <w:r w:rsidRPr="00A91B7E">
        <w:rPr>
          <w:spacing w:val="-4"/>
          <w:rtl/>
        </w:rPr>
        <w:t xml:space="preserve"> </w:t>
      </w:r>
      <w:proofErr w:type="spellStart"/>
      <w:r w:rsidRPr="00981706">
        <w:rPr>
          <w:spacing w:val="-4"/>
          <w:rtl/>
        </w:rPr>
        <w:t>Cerence</w:t>
      </w:r>
      <w:proofErr w:type="spellEnd"/>
      <w:r w:rsidRPr="00981706">
        <w:rPr>
          <w:spacing w:val="-4"/>
          <w:rtl/>
        </w:rPr>
        <w:t xml:space="preserve"> </w:t>
      </w:r>
      <w:proofErr w:type="spellStart"/>
      <w:r w:rsidRPr="00981706">
        <w:rPr>
          <w:spacing w:val="-4"/>
          <w:rtl/>
        </w:rPr>
        <w:t>GmbH</w:t>
      </w:r>
      <w:proofErr w:type="spellEnd"/>
      <w:r w:rsidRPr="00981706">
        <w:rPr>
          <w:spacing w:val="-4"/>
          <w:rtl/>
        </w:rPr>
        <w:t xml:space="preserve"> (لجنة الدراسات 12)؛ مجموعة </w:t>
      </w:r>
      <w:r w:rsidRPr="00981706">
        <w:rPr>
          <w:spacing w:val="-4"/>
          <w:lang w:val="en-GB" w:bidi="ar-EG"/>
        </w:rPr>
        <w:t>EFTS</w:t>
      </w:r>
      <w:r w:rsidRPr="00A91B7E">
        <w:rPr>
          <w:rFonts w:hint="cs"/>
          <w:spacing w:val="-4"/>
          <w:rtl/>
          <w:lang w:val="en-GB" w:bidi="ar-EG"/>
        </w:rPr>
        <w:t xml:space="preserve"> </w:t>
      </w:r>
      <w:r w:rsidRPr="00981706">
        <w:rPr>
          <w:spacing w:val="-4"/>
          <w:rtl/>
        </w:rPr>
        <w:t xml:space="preserve">(لجنة الدراسات 12)؛ شركة MTN </w:t>
      </w:r>
      <w:proofErr w:type="spellStart"/>
      <w:r w:rsidRPr="00981706">
        <w:rPr>
          <w:spacing w:val="-4"/>
          <w:rtl/>
        </w:rPr>
        <w:t>Group</w:t>
      </w:r>
      <w:proofErr w:type="spellEnd"/>
      <w:r w:rsidRPr="00981706">
        <w:rPr>
          <w:spacing w:val="-4"/>
          <w:rtl/>
        </w:rPr>
        <w:t xml:space="preserve"> </w:t>
      </w:r>
      <w:proofErr w:type="spellStart"/>
      <w:r w:rsidRPr="00981706">
        <w:rPr>
          <w:spacing w:val="-4"/>
          <w:rtl/>
        </w:rPr>
        <w:t>Management</w:t>
      </w:r>
      <w:proofErr w:type="spellEnd"/>
      <w:r w:rsidRPr="00981706">
        <w:rPr>
          <w:spacing w:val="-4"/>
          <w:rtl/>
        </w:rPr>
        <w:t xml:space="preserve"> Services (</w:t>
      </w:r>
      <w:proofErr w:type="spellStart"/>
      <w:r w:rsidRPr="00981706">
        <w:rPr>
          <w:spacing w:val="-4"/>
          <w:rtl/>
        </w:rPr>
        <w:t>Pty</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12)؛ شركة </w:t>
      </w:r>
      <w:proofErr w:type="spellStart"/>
      <w:r w:rsidRPr="00981706">
        <w:rPr>
          <w:spacing w:val="-4"/>
          <w:rtl/>
        </w:rPr>
        <w:t>Beijing</w:t>
      </w:r>
      <w:proofErr w:type="spellEnd"/>
      <w:r w:rsidRPr="00981706">
        <w:rPr>
          <w:spacing w:val="-4"/>
          <w:rtl/>
        </w:rPr>
        <w:t xml:space="preserve"> </w:t>
      </w:r>
      <w:proofErr w:type="spellStart"/>
      <w:r w:rsidRPr="00981706">
        <w:rPr>
          <w:spacing w:val="-4"/>
          <w:rtl/>
        </w:rPr>
        <w:t>BizSeer</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13)؛ معهد الابتكار التكنولوجي (</w:t>
      </w:r>
      <w:r w:rsidRPr="00981706">
        <w:rPr>
          <w:spacing w:val="-4"/>
          <w:lang w:val="en-GB" w:bidi="ar-EG"/>
        </w:rPr>
        <w:t>TII</w:t>
      </w:r>
      <w:r w:rsidRPr="00981706">
        <w:rPr>
          <w:spacing w:val="-4"/>
          <w:rtl/>
        </w:rPr>
        <w:t xml:space="preserve">) (لجنة الدراسات 13)؛ مؤسسة </w:t>
      </w:r>
      <w:r w:rsidRPr="00981706">
        <w:rPr>
          <w:spacing w:val="-4"/>
          <w:lang w:val="en-GB" w:bidi="ar-EG"/>
        </w:rPr>
        <w:t>B-COM</w:t>
      </w:r>
      <w:r w:rsidRPr="00A91B7E">
        <w:rPr>
          <w:rFonts w:hint="cs"/>
          <w:spacing w:val="-4"/>
          <w:rtl/>
          <w:lang w:val="en-GB" w:bidi="ar-EG"/>
        </w:rPr>
        <w:t xml:space="preserve"> </w:t>
      </w:r>
      <w:r w:rsidRPr="00981706">
        <w:rPr>
          <w:spacing w:val="-4"/>
          <w:rtl/>
        </w:rPr>
        <w:t>(لجنة الدراسات 13)؛ مؤسسة</w:t>
      </w:r>
      <w:r w:rsidRPr="00A91B7E">
        <w:rPr>
          <w:spacing w:val="-4"/>
          <w:rtl/>
        </w:rPr>
        <w:t xml:space="preserve"> </w:t>
      </w:r>
      <w:r w:rsidRPr="00981706">
        <w:rPr>
          <w:spacing w:val="-4"/>
          <w:rtl/>
        </w:rPr>
        <w:t xml:space="preserve">DNS </w:t>
      </w:r>
      <w:proofErr w:type="spellStart"/>
      <w:r w:rsidRPr="00981706">
        <w:rPr>
          <w:spacing w:val="-4"/>
          <w:rtl/>
        </w:rPr>
        <w:t>Research</w:t>
      </w:r>
      <w:proofErr w:type="spellEnd"/>
      <w:r w:rsidRPr="00981706">
        <w:rPr>
          <w:spacing w:val="-4"/>
          <w:rtl/>
        </w:rPr>
        <w:t xml:space="preserve"> </w:t>
      </w:r>
      <w:proofErr w:type="spellStart"/>
      <w:r w:rsidRPr="00981706">
        <w:rPr>
          <w:spacing w:val="-4"/>
          <w:rtl/>
        </w:rPr>
        <w:t>Federation</w:t>
      </w:r>
      <w:proofErr w:type="spellEnd"/>
      <w:r w:rsidRPr="00981706">
        <w:rPr>
          <w:spacing w:val="-4"/>
          <w:rtl/>
        </w:rPr>
        <w:t xml:space="preserve"> (لجنة الدراسات 13)؛</w:t>
      </w:r>
      <w:r w:rsidRPr="00A91B7E">
        <w:rPr>
          <w:rFonts w:hint="cs"/>
          <w:spacing w:val="-4"/>
          <w:rtl/>
        </w:rPr>
        <w:t xml:space="preserve"> شركة</w:t>
      </w:r>
      <w:r w:rsidRPr="00981706">
        <w:rPr>
          <w:spacing w:val="-4"/>
          <w:rtl/>
        </w:rPr>
        <w:t xml:space="preserve"> </w:t>
      </w:r>
      <w:proofErr w:type="spellStart"/>
      <w:r w:rsidRPr="00981706">
        <w:rPr>
          <w:spacing w:val="-4"/>
          <w:rtl/>
        </w:rPr>
        <w:t>Associação</w:t>
      </w:r>
      <w:proofErr w:type="spellEnd"/>
      <w:r w:rsidRPr="00981706">
        <w:rPr>
          <w:spacing w:val="-4"/>
          <w:rtl/>
        </w:rPr>
        <w:t xml:space="preserve"> </w:t>
      </w:r>
      <w:proofErr w:type="spellStart"/>
      <w:r w:rsidRPr="00981706">
        <w:rPr>
          <w:spacing w:val="-4"/>
          <w:rtl/>
        </w:rPr>
        <w:t>Data</w:t>
      </w:r>
      <w:proofErr w:type="spellEnd"/>
      <w:r w:rsidRPr="00981706">
        <w:rPr>
          <w:spacing w:val="-4"/>
          <w:rtl/>
        </w:rPr>
        <w:t xml:space="preserve"> </w:t>
      </w:r>
      <w:proofErr w:type="spellStart"/>
      <w:r w:rsidRPr="00981706">
        <w:rPr>
          <w:spacing w:val="-4"/>
          <w:rtl/>
        </w:rPr>
        <w:t>Privacy</w:t>
      </w:r>
      <w:proofErr w:type="spellEnd"/>
      <w:r w:rsidRPr="00981706">
        <w:rPr>
          <w:spacing w:val="-4"/>
          <w:rtl/>
        </w:rPr>
        <w:t xml:space="preserve"> </w:t>
      </w:r>
      <w:proofErr w:type="spellStart"/>
      <w:r w:rsidRPr="00981706">
        <w:rPr>
          <w:spacing w:val="-4"/>
          <w:rtl/>
        </w:rPr>
        <w:t>Brasil</w:t>
      </w:r>
      <w:proofErr w:type="spellEnd"/>
      <w:r w:rsidRPr="00981706">
        <w:rPr>
          <w:spacing w:val="-4"/>
          <w:rtl/>
        </w:rPr>
        <w:t xml:space="preserve"> </w:t>
      </w:r>
      <w:proofErr w:type="spellStart"/>
      <w:r w:rsidRPr="00981706">
        <w:rPr>
          <w:spacing w:val="-4"/>
          <w:rtl/>
        </w:rPr>
        <w:t>de</w:t>
      </w:r>
      <w:proofErr w:type="spellEnd"/>
      <w:r w:rsidRPr="00981706">
        <w:rPr>
          <w:spacing w:val="-4"/>
          <w:rtl/>
        </w:rPr>
        <w:t xml:space="preserve"> </w:t>
      </w:r>
      <w:proofErr w:type="spellStart"/>
      <w:r w:rsidRPr="00981706">
        <w:rPr>
          <w:spacing w:val="-4"/>
          <w:rtl/>
        </w:rPr>
        <w:t>Pesquisa</w:t>
      </w:r>
      <w:proofErr w:type="spellEnd"/>
      <w:r w:rsidRPr="00981706">
        <w:rPr>
          <w:spacing w:val="-4"/>
          <w:rtl/>
        </w:rPr>
        <w:t xml:space="preserve"> (لجنة الدراسات 13)؛ شركة</w:t>
      </w:r>
      <w:r w:rsidRPr="00A91B7E">
        <w:rPr>
          <w:spacing w:val="-4"/>
          <w:rtl/>
        </w:rPr>
        <w:t xml:space="preserve"> </w:t>
      </w:r>
      <w:r w:rsidRPr="00981706">
        <w:rPr>
          <w:spacing w:val="-4"/>
          <w:rtl/>
        </w:rPr>
        <w:t xml:space="preserve">CGN </w:t>
      </w:r>
      <w:proofErr w:type="spellStart"/>
      <w:r w:rsidRPr="00981706">
        <w:rPr>
          <w:spacing w:val="-4"/>
          <w:rtl/>
        </w:rPr>
        <w:t>Intelligent</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Shenzhen</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13)؛ شركة</w:t>
      </w:r>
      <w:r w:rsidRPr="00A91B7E">
        <w:rPr>
          <w:spacing w:val="-4"/>
          <w:rtl/>
        </w:rPr>
        <w:t xml:space="preserve"> </w:t>
      </w:r>
      <w:proofErr w:type="spellStart"/>
      <w:r w:rsidRPr="00981706">
        <w:rPr>
          <w:spacing w:val="-4"/>
          <w:rtl/>
        </w:rPr>
        <w:t>Inspur</w:t>
      </w:r>
      <w:proofErr w:type="spellEnd"/>
      <w:r w:rsidRPr="00981706">
        <w:rPr>
          <w:spacing w:val="-4"/>
          <w:rtl/>
        </w:rPr>
        <w:t xml:space="preserve"> </w:t>
      </w:r>
      <w:proofErr w:type="spellStart"/>
      <w:r w:rsidRPr="00981706">
        <w:rPr>
          <w:spacing w:val="-4"/>
          <w:rtl/>
        </w:rPr>
        <w:t>Communication</w:t>
      </w:r>
      <w:proofErr w:type="spellEnd"/>
      <w:r w:rsidRPr="00981706">
        <w:rPr>
          <w:spacing w:val="-4"/>
          <w:rtl/>
        </w:rPr>
        <w:t xml:space="preserve"> </w:t>
      </w:r>
      <w:proofErr w:type="spellStart"/>
      <w:r w:rsidRPr="00981706">
        <w:rPr>
          <w:spacing w:val="-4"/>
          <w:rtl/>
        </w:rPr>
        <w:t>Information</w:t>
      </w:r>
      <w:proofErr w:type="spellEnd"/>
      <w:r w:rsidRPr="00981706">
        <w:rPr>
          <w:spacing w:val="-4"/>
          <w:rtl/>
        </w:rPr>
        <w:t xml:space="preserve"> </w:t>
      </w:r>
      <w:proofErr w:type="spellStart"/>
      <w:r w:rsidRPr="00981706">
        <w:rPr>
          <w:spacing w:val="-4"/>
          <w:rtl/>
        </w:rPr>
        <w:t>Systems</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13)؛ شركة</w:t>
      </w:r>
      <w:r w:rsidRPr="00A91B7E">
        <w:rPr>
          <w:spacing w:val="-4"/>
          <w:rtl/>
        </w:rPr>
        <w:t xml:space="preserve"> </w:t>
      </w:r>
      <w:proofErr w:type="spellStart"/>
      <w:r w:rsidRPr="00981706">
        <w:rPr>
          <w:spacing w:val="-4"/>
          <w:rtl/>
        </w:rPr>
        <w:t>Net</w:t>
      </w:r>
      <w:proofErr w:type="spellEnd"/>
      <w:r w:rsidRPr="00981706">
        <w:rPr>
          <w:spacing w:val="-4"/>
          <w:rtl/>
        </w:rPr>
        <w:t xml:space="preserve"> </w:t>
      </w:r>
      <w:proofErr w:type="spellStart"/>
      <w:r w:rsidRPr="00981706">
        <w:rPr>
          <w:spacing w:val="-4"/>
          <w:rtl/>
        </w:rPr>
        <w:t>Insight</w:t>
      </w:r>
      <w:proofErr w:type="spellEnd"/>
      <w:r w:rsidRPr="00981706">
        <w:rPr>
          <w:spacing w:val="-4"/>
          <w:rtl/>
        </w:rPr>
        <w:t xml:space="preserve"> AB (لجنة الدراسات 15)؛ شركة</w:t>
      </w:r>
      <w:r w:rsidRPr="00A91B7E">
        <w:rPr>
          <w:spacing w:val="-4"/>
          <w:rtl/>
        </w:rPr>
        <w:t xml:space="preserve"> </w:t>
      </w:r>
      <w:proofErr w:type="spellStart"/>
      <w:r w:rsidRPr="00981706">
        <w:rPr>
          <w:spacing w:val="-4"/>
          <w:rtl/>
        </w:rPr>
        <w:t>Skyworks</w:t>
      </w:r>
      <w:proofErr w:type="spellEnd"/>
      <w:r w:rsidRPr="00981706">
        <w:rPr>
          <w:spacing w:val="-4"/>
          <w:rtl/>
        </w:rPr>
        <w:t xml:space="preserve"> </w:t>
      </w:r>
      <w:proofErr w:type="spellStart"/>
      <w:r w:rsidRPr="00981706">
        <w:rPr>
          <w:spacing w:val="-4"/>
          <w:rtl/>
        </w:rPr>
        <w:t>Solutions</w:t>
      </w:r>
      <w:proofErr w:type="spellEnd"/>
      <w:r w:rsidRPr="00981706">
        <w:rPr>
          <w:spacing w:val="-4"/>
          <w:rtl/>
        </w:rPr>
        <w:t xml:space="preserve">, </w:t>
      </w:r>
      <w:proofErr w:type="spellStart"/>
      <w:r w:rsidRPr="00981706">
        <w:rPr>
          <w:spacing w:val="-4"/>
          <w:rtl/>
        </w:rPr>
        <w:t>Inc</w:t>
      </w:r>
      <w:proofErr w:type="spellEnd"/>
      <w:r w:rsidRPr="00981706">
        <w:rPr>
          <w:spacing w:val="-4"/>
          <w:rtl/>
        </w:rPr>
        <w:t xml:space="preserve"> (لجنة الدراسات 15)؛ شركة </w:t>
      </w:r>
      <w:proofErr w:type="spellStart"/>
      <w:r w:rsidRPr="00981706">
        <w:rPr>
          <w:spacing w:val="-4"/>
          <w:rtl/>
        </w:rPr>
        <w:t>Sino-Telecom</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Inc</w:t>
      </w:r>
      <w:proofErr w:type="spellEnd"/>
      <w:r w:rsidRPr="00981706">
        <w:rPr>
          <w:spacing w:val="-4"/>
          <w:rtl/>
        </w:rPr>
        <w:t>. (لجنة الدراسات 15)؛ شركة</w:t>
      </w:r>
      <w:r w:rsidRPr="00A91B7E">
        <w:rPr>
          <w:spacing w:val="-4"/>
          <w:rtl/>
        </w:rPr>
        <w:t xml:space="preserve"> </w:t>
      </w:r>
      <w:r w:rsidRPr="00981706">
        <w:rPr>
          <w:spacing w:val="-4"/>
          <w:rtl/>
        </w:rPr>
        <w:t xml:space="preserve">HMN </w:t>
      </w:r>
      <w:proofErr w:type="spellStart"/>
      <w:r w:rsidRPr="00981706">
        <w:rPr>
          <w:spacing w:val="-4"/>
          <w:rtl/>
        </w:rPr>
        <w:t>Technologies</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15)؛ شركة </w:t>
      </w:r>
      <w:proofErr w:type="spellStart"/>
      <w:r w:rsidRPr="00981706">
        <w:rPr>
          <w:spacing w:val="-4"/>
          <w:rtl/>
        </w:rPr>
        <w:t>Senko</w:t>
      </w:r>
      <w:proofErr w:type="spellEnd"/>
      <w:r w:rsidRPr="00981706">
        <w:rPr>
          <w:spacing w:val="-4"/>
          <w:rtl/>
        </w:rPr>
        <w:t xml:space="preserve"> </w:t>
      </w:r>
      <w:proofErr w:type="spellStart"/>
      <w:r w:rsidRPr="00981706">
        <w:rPr>
          <w:spacing w:val="-4"/>
          <w:rtl/>
        </w:rPr>
        <w:t>Advanced</w:t>
      </w:r>
      <w:proofErr w:type="spellEnd"/>
      <w:r w:rsidRPr="00981706">
        <w:rPr>
          <w:spacing w:val="-4"/>
          <w:rtl/>
        </w:rPr>
        <w:t xml:space="preserve"> </w:t>
      </w:r>
      <w:proofErr w:type="spellStart"/>
      <w:r w:rsidRPr="00981706">
        <w:rPr>
          <w:spacing w:val="-4"/>
          <w:rtl/>
        </w:rPr>
        <w:t>Components</w:t>
      </w:r>
      <w:proofErr w:type="spellEnd"/>
      <w:r w:rsidRPr="00981706">
        <w:rPr>
          <w:spacing w:val="-4"/>
          <w:rtl/>
        </w:rPr>
        <w:t xml:space="preserve"> (</w:t>
      </w:r>
      <w:proofErr w:type="spellStart"/>
      <w:r w:rsidRPr="00981706">
        <w:rPr>
          <w:spacing w:val="-4"/>
          <w:rtl/>
        </w:rPr>
        <w:t>Euro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15)؛ شركة </w:t>
      </w:r>
      <w:proofErr w:type="spellStart"/>
      <w:r w:rsidRPr="00981706">
        <w:rPr>
          <w:spacing w:val="-4"/>
          <w:rtl/>
        </w:rPr>
        <w:t>InnoLight</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Suzhou</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15)؛ شركة</w:t>
      </w:r>
      <w:r w:rsidRPr="00A91B7E">
        <w:rPr>
          <w:spacing w:val="-4"/>
          <w:rtl/>
        </w:rPr>
        <w:t xml:space="preserve"> </w:t>
      </w:r>
      <w:proofErr w:type="spellStart"/>
      <w:r w:rsidRPr="00981706">
        <w:rPr>
          <w:spacing w:val="-4"/>
          <w:lang w:val="en-GB" w:bidi="ar-EG"/>
        </w:rPr>
        <w:t>Retym</w:t>
      </w:r>
      <w:proofErr w:type="spellEnd"/>
      <w:r w:rsidRPr="00A91B7E">
        <w:rPr>
          <w:rFonts w:hint="cs"/>
          <w:spacing w:val="-4"/>
          <w:rtl/>
          <w:lang w:val="en-GB" w:bidi="ar-EG"/>
        </w:rPr>
        <w:t xml:space="preserve"> </w:t>
      </w:r>
      <w:r w:rsidRPr="00981706">
        <w:rPr>
          <w:spacing w:val="-4"/>
          <w:rtl/>
        </w:rPr>
        <w:t>(لجنة الدراسات 15)؛ شركة</w:t>
      </w:r>
      <w:r w:rsidRPr="00A91B7E">
        <w:rPr>
          <w:spacing w:val="-4"/>
          <w:rtl/>
        </w:rPr>
        <w:t xml:space="preserve"> </w:t>
      </w:r>
      <w:r w:rsidRPr="00981706">
        <w:rPr>
          <w:spacing w:val="-4"/>
          <w:rtl/>
        </w:rPr>
        <w:t xml:space="preserve">NOS </w:t>
      </w:r>
      <w:proofErr w:type="spellStart"/>
      <w:r w:rsidRPr="00981706">
        <w:rPr>
          <w:spacing w:val="-4"/>
          <w:rtl/>
        </w:rPr>
        <w:t>Technology</w:t>
      </w:r>
      <w:proofErr w:type="spellEnd"/>
      <w:r w:rsidRPr="00981706">
        <w:rPr>
          <w:spacing w:val="-4"/>
          <w:rtl/>
        </w:rPr>
        <w:t xml:space="preserve"> SA (لجنة الدراسات 15)؛ شركة </w:t>
      </w:r>
      <w:proofErr w:type="spellStart"/>
      <w:r w:rsidRPr="00981706">
        <w:rPr>
          <w:spacing w:val="-4"/>
          <w:rtl/>
        </w:rPr>
        <w:t>Open</w:t>
      </w:r>
      <w:proofErr w:type="spellEnd"/>
      <w:r w:rsidRPr="00981706">
        <w:rPr>
          <w:spacing w:val="-4"/>
          <w:rtl/>
        </w:rPr>
        <w:t xml:space="preserve"> </w:t>
      </w:r>
      <w:proofErr w:type="spellStart"/>
      <w:r w:rsidRPr="00981706">
        <w:rPr>
          <w:spacing w:val="-4"/>
          <w:rtl/>
        </w:rPr>
        <w:t>Fiber</w:t>
      </w:r>
      <w:proofErr w:type="spellEnd"/>
      <w:r w:rsidRPr="00981706">
        <w:rPr>
          <w:spacing w:val="-4"/>
          <w:rtl/>
        </w:rPr>
        <w:t xml:space="preserve"> </w:t>
      </w:r>
      <w:proofErr w:type="spellStart"/>
      <w:r w:rsidRPr="00981706">
        <w:rPr>
          <w:spacing w:val="-4"/>
          <w:rtl/>
        </w:rPr>
        <w:t>S.p.a</w:t>
      </w:r>
      <w:proofErr w:type="spellEnd"/>
      <w:r w:rsidRPr="00981706">
        <w:rPr>
          <w:spacing w:val="-4"/>
          <w:rtl/>
        </w:rPr>
        <w:t>. (لجنة الدراسات 15)؛ شركة</w:t>
      </w:r>
      <w:r w:rsidRPr="00A91B7E">
        <w:rPr>
          <w:spacing w:val="-4"/>
          <w:rtl/>
        </w:rPr>
        <w:t xml:space="preserve"> </w:t>
      </w:r>
      <w:proofErr w:type="spellStart"/>
      <w:r w:rsidRPr="00981706">
        <w:rPr>
          <w:spacing w:val="-4"/>
          <w:rtl/>
        </w:rPr>
        <w:t>Alphawave</w:t>
      </w:r>
      <w:proofErr w:type="spellEnd"/>
      <w:r w:rsidRPr="00981706">
        <w:rPr>
          <w:spacing w:val="-4"/>
          <w:rtl/>
        </w:rPr>
        <w:t xml:space="preserve"> IP </w:t>
      </w:r>
      <w:proofErr w:type="spellStart"/>
      <w:r w:rsidRPr="00981706">
        <w:rPr>
          <w:spacing w:val="-4"/>
          <w:rtl/>
        </w:rPr>
        <w:t>Inc</w:t>
      </w:r>
      <w:proofErr w:type="spellEnd"/>
      <w:r w:rsidRPr="00981706">
        <w:rPr>
          <w:spacing w:val="-4"/>
          <w:rtl/>
        </w:rPr>
        <w:t xml:space="preserve"> (لجنة الدراسات 15)؛ شركة </w:t>
      </w:r>
      <w:r w:rsidRPr="00981706">
        <w:rPr>
          <w:spacing w:val="-4"/>
          <w:lang w:val="en-GB" w:bidi="ar-EG"/>
        </w:rPr>
        <w:t>CommScope</w:t>
      </w:r>
      <w:r w:rsidRPr="00A91B7E">
        <w:rPr>
          <w:rFonts w:hint="cs"/>
          <w:spacing w:val="-4"/>
          <w:rtl/>
          <w:lang w:val="en-GB" w:bidi="ar-EG"/>
        </w:rPr>
        <w:t xml:space="preserve"> </w:t>
      </w:r>
      <w:r w:rsidRPr="00981706">
        <w:rPr>
          <w:spacing w:val="-4"/>
          <w:rtl/>
        </w:rPr>
        <w:t>(لجنة الدراسات 15)؛ شركة</w:t>
      </w:r>
      <w:r w:rsidRPr="00A91B7E">
        <w:rPr>
          <w:spacing w:val="-4"/>
          <w:rtl/>
        </w:rPr>
        <w:t xml:space="preserve"> </w:t>
      </w:r>
      <w:r w:rsidRPr="00981706">
        <w:rPr>
          <w:spacing w:val="-4"/>
          <w:rtl/>
        </w:rPr>
        <w:t xml:space="preserve">LUSTER </w:t>
      </w:r>
      <w:proofErr w:type="spellStart"/>
      <w:r w:rsidRPr="00981706">
        <w:rPr>
          <w:spacing w:val="-4"/>
          <w:rtl/>
        </w:rPr>
        <w:t>LightTech</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16)؛ رابطة التصوير الصناعي اليابانية (لجنة الدراسات</w:t>
      </w:r>
      <w:r w:rsidRPr="00A91B7E">
        <w:rPr>
          <w:rFonts w:hint="cs"/>
          <w:spacing w:val="-4"/>
          <w:rtl/>
        </w:rPr>
        <w:t> </w:t>
      </w:r>
      <w:r w:rsidRPr="00981706">
        <w:rPr>
          <w:spacing w:val="-4"/>
          <w:rtl/>
        </w:rPr>
        <w:t xml:space="preserve">16)؛ شركة </w:t>
      </w:r>
      <w:proofErr w:type="spellStart"/>
      <w:r w:rsidRPr="00981706">
        <w:rPr>
          <w:spacing w:val="-4"/>
          <w:rtl/>
        </w:rPr>
        <w:t>Infervision</w:t>
      </w:r>
      <w:proofErr w:type="spellEnd"/>
      <w:r w:rsidRPr="00981706">
        <w:rPr>
          <w:spacing w:val="-4"/>
          <w:rtl/>
        </w:rPr>
        <w:t xml:space="preserve"> Medical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16)؛ شركة </w:t>
      </w:r>
      <w:proofErr w:type="spellStart"/>
      <w:r w:rsidRPr="00981706">
        <w:rPr>
          <w:spacing w:val="-4"/>
          <w:rtl/>
        </w:rPr>
        <w:t>Guodian</w:t>
      </w:r>
      <w:proofErr w:type="spellEnd"/>
      <w:r w:rsidRPr="00981706">
        <w:rPr>
          <w:spacing w:val="-4"/>
          <w:rtl/>
        </w:rPr>
        <w:t xml:space="preserve"> </w:t>
      </w:r>
      <w:proofErr w:type="spellStart"/>
      <w:r w:rsidRPr="00981706">
        <w:rPr>
          <w:spacing w:val="-4"/>
          <w:rtl/>
        </w:rPr>
        <w:t>Nanjing</w:t>
      </w:r>
      <w:proofErr w:type="spellEnd"/>
      <w:r w:rsidRPr="00981706">
        <w:rPr>
          <w:spacing w:val="-4"/>
          <w:rtl/>
        </w:rPr>
        <w:t xml:space="preserve"> </w:t>
      </w:r>
      <w:proofErr w:type="spellStart"/>
      <w:r w:rsidRPr="00981706">
        <w:rPr>
          <w:spacing w:val="-4"/>
          <w:rtl/>
        </w:rPr>
        <w:t>Automation</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16)؛ شركة </w:t>
      </w:r>
      <w:proofErr w:type="spellStart"/>
      <w:r w:rsidRPr="00981706">
        <w:rPr>
          <w:spacing w:val="-4"/>
          <w:rtl/>
        </w:rPr>
        <w:t>Hangzhou</w:t>
      </w:r>
      <w:proofErr w:type="spellEnd"/>
      <w:r w:rsidRPr="00981706">
        <w:rPr>
          <w:spacing w:val="-4"/>
          <w:rtl/>
        </w:rPr>
        <w:t xml:space="preserve"> </w:t>
      </w:r>
      <w:proofErr w:type="spellStart"/>
      <w:r w:rsidRPr="00981706">
        <w:rPr>
          <w:spacing w:val="-4"/>
          <w:rtl/>
        </w:rPr>
        <w:t>HarmonyCloud</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16)؛ شركة AI </w:t>
      </w:r>
      <w:proofErr w:type="spellStart"/>
      <w:r w:rsidRPr="00981706">
        <w:rPr>
          <w:spacing w:val="-4"/>
          <w:rtl/>
        </w:rPr>
        <w:t>Speech</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16)؛ شركة </w:t>
      </w:r>
      <w:proofErr w:type="spellStart"/>
      <w:r w:rsidRPr="00981706">
        <w:rPr>
          <w:spacing w:val="-4"/>
          <w:rtl/>
        </w:rPr>
        <w:t>Sichuan</w:t>
      </w:r>
      <w:proofErr w:type="spellEnd"/>
      <w:r w:rsidRPr="00981706">
        <w:rPr>
          <w:spacing w:val="-4"/>
          <w:rtl/>
        </w:rPr>
        <w:t xml:space="preserve"> </w:t>
      </w:r>
      <w:proofErr w:type="spellStart"/>
      <w:r w:rsidRPr="00981706">
        <w:rPr>
          <w:spacing w:val="-4"/>
          <w:rtl/>
        </w:rPr>
        <w:t>Newstrong</w:t>
      </w:r>
      <w:proofErr w:type="spellEnd"/>
      <w:r w:rsidRPr="00981706">
        <w:rPr>
          <w:spacing w:val="-4"/>
          <w:rtl/>
        </w:rPr>
        <w:t xml:space="preserve"> UHD </w:t>
      </w:r>
      <w:proofErr w:type="spellStart"/>
      <w:r w:rsidRPr="00981706">
        <w:rPr>
          <w:spacing w:val="-4"/>
          <w:rtl/>
        </w:rPr>
        <w:t>Video</w:t>
      </w:r>
      <w:proofErr w:type="spellEnd"/>
      <w:r w:rsidRPr="00981706">
        <w:rPr>
          <w:spacing w:val="-4"/>
          <w:rtl/>
        </w:rPr>
        <w:t xml:space="preserve"> </w:t>
      </w:r>
      <w:proofErr w:type="spellStart"/>
      <w:r w:rsidRPr="00981706">
        <w:rPr>
          <w:spacing w:val="-4"/>
          <w:rtl/>
        </w:rPr>
        <w:t>Technology</w:t>
      </w:r>
      <w:proofErr w:type="spellEnd"/>
      <w:r w:rsidRPr="00981706">
        <w:rPr>
          <w:spacing w:val="-4"/>
          <w:rtl/>
        </w:rPr>
        <w:t xml:space="preserve"> </w:t>
      </w:r>
      <w:proofErr w:type="spellStart"/>
      <w:r w:rsidRPr="00981706">
        <w:rPr>
          <w:spacing w:val="-4"/>
          <w:rtl/>
        </w:rPr>
        <w:t>Co</w:t>
      </w:r>
      <w:proofErr w:type="spellEnd"/>
      <w:r w:rsidRPr="00981706">
        <w:rPr>
          <w:spacing w:val="-4"/>
          <w:rtl/>
        </w:rPr>
        <w:t>.,</w:t>
      </w:r>
      <w:proofErr w:type="spellStart"/>
      <w:r w:rsidRPr="00981706">
        <w:rPr>
          <w:spacing w:val="-4"/>
          <w:rtl/>
        </w:rPr>
        <w:t>Ltd</w:t>
      </w:r>
      <w:proofErr w:type="spellEnd"/>
      <w:r w:rsidRPr="00981706">
        <w:rPr>
          <w:spacing w:val="-4"/>
          <w:rtl/>
        </w:rPr>
        <w:t xml:space="preserve">. (لجنة </w:t>
      </w:r>
      <w:r w:rsidRPr="00981706">
        <w:rPr>
          <w:spacing w:val="-4"/>
          <w:rtl/>
        </w:rPr>
        <w:lastRenderedPageBreak/>
        <w:t>الدراسات</w:t>
      </w:r>
      <w:r>
        <w:rPr>
          <w:rFonts w:hint="cs"/>
          <w:spacing w:val="-4"/>
          <w:rtl/>
        </w:rPr>
        <w:t> </w:t>
      </w:r>
      <w:r w:rsidRPr="00981706">
        <w:rPr>
          <w:spacing w:val="-4"/>
          <w:rtl/>
        </w:rPr>
        <w:t xml:space="preserve">16)؛ مبادرة </w:t>
      </w:r>
      <w:proofErr w:type="spellStart"/>
      <w:r w:rsidRPr="00981706">
        <w:rPr>
          <w:spacing w:val="-4"/>
          <w:lang w:val="en-GB" w:bidi="ar-EG"/>
        </w:rPr>
        <w:t>TOTHOMweb</w:t>
      </w:r>
      <w:proofErr w:type="spellEnd"/>
      <w:r w:rsidRPr="00A91B7E">
        <w:rPr>
          <w:rFonts w:hint="cs"/>
          <w:spacing w:val="-4"/>
          <w:rtl/>
          <w:lang w:val="en-GB" w:bidi="ar-EG"/>
        </w:rPr>
        <w:t xml:space="preserve"> </w:t>
      </w:r>
      <w:r w:rsidRPr="00981706">
        <w:rPr>
          <w:spacing w:val="-4"/>
          <w:rtl/>
        </w:rPr>
        <w:t>(لجنة الدراسات 16)؛ شركة</w:t>
      </w:r>
      <w:r w:rsidRPr="00A91B7E">
        <w:rPr>
          <w:spacing w:val="-4"/>
          <w:rtl/>
        </w:rPr>
        <w:t xml:space="preserve"> </w:t>
      </w:r>
      <w:proofErr w:type="spellStart"/>
      <w:r w:rsidRPr="00981706">
        <w:rPr>
          <w:spacing w:val="-4"/>
          <w:rtl/>
        </w:rPr>
        <w:t>Shanghai</w:t>
      </w:r>
      <w:proofErr w:type="spellEnd"/>
      <w:r w:rsidRPr="00981706">
        <w:rPr>
          <w:spacing w:val="-4"/>
          <w:rtl/>
        </w:rPr>
        <w:t xml:space="preserve"> </w:t>
      </w:r>
      <w:proofErr w:type="spellStart"/>
      <w:r w:rsidRPr="00981706">
        <w:rPr>
          <w:spacing w:val="-4"/>
          <w:rtl/>
        </w:rPr>
        <w:t>Data</w:t>
      </w:r>
      <w:proofErr w:type="spellEnd"/>
      <w:r w:rsidRPr="00981706">
        <w:rPr>
          <w:spacing w:val="-4"/>
          <w:rtl/>
        </w:rPr>
        <w:t xml:space="preserve"> </w:t>
      </w:r>
      <w:proofErr w:type="spellStart"/>
      <w:r w:rsidRPr="00981706">
        <w:rPr>
          <w:spacing w:val="-4"/>
          <w:rtl/>
        </w:rPr>
        <w:t>Exchange</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(لجنة الدراسات 16)؛ مؤسسة</w:t>
      </w:r>
      <w:r w:rsidRPr="00A91B7E">
        <w:rPr>
          <w:spacing w:val="-4"/>
          <w:rtl/>
        </w:rPr>
        <w:t xml:space="preserve"> </w:t>
      </w:r>
      <w:proofErr w:type="spellStart"/>
      <w:r w:rsidRPr="00981706">
        <w:rPr>
          <w:spacing w:val="-4"/>
          <w:rtl/>
        </w:rPr>
        <w:t>Koninklijke</w:t>
      </w:r>
      <w:proofErr w:type="spellEnd"/>
      <w:r w:rsidRPr="00981706">
        <w:rPr>
          <w:spacing w:val="-4"/>
          <w:rtl/>
        </w:rPr>
        <w:t xml:space="preserve"> </w:t>
      </w:r>
      <w:proofErr w:type="spellStart"/>
      <w:r w:rsidRPr="00981706">
        <w:rPr>
          <w:spacing w:val="-4"/>
          <w:rtl/>
        </w:rPr>
        <w:t>Philips</w:t>
      </w:r>
      <w:proofErr w:type="spellEnd"/>
      <w:r w:rsidRPr="00981706">
        <w:rPr>
          <w:spacing w:val="-4"/>
          <w:rtl/>
        </w:rPr>
        <w:t xml:space="preserve"> N.V. (لجنة الدراسات 16)؛ شركة</w:t>
      </w:r>
      <w:r w:rsidRPr="00A91B7E">
        <w:rPr>
          <w:spacing w:val="-4"/>
          <w:rtl/>
        </w:rPr>
        <w:t xml:space="preserve"> </w:t>
      </w:r>
      <w:r w:rsidRPr="00981706">
        <w:rPr>
          <w:spacing w:val="-4"/>
          <w:rtl/>
        </w:rPr>
        <w:t xml:space="preserve">FNS (M) </w:t>
      </w:r>
      <w:proofErr w:type="spellStart"/>
      <w:r w:rsidRPr="00981706">
        <w:rPr>
          <w:spacing w:val="-4"/>
          <w:rtl/>
        </w:rPr>
        <w:t>Sdn</w:t>
      </w:r>
      <w:proofErr w:type="spellEnd"/>
      <w:r w:rsidRPr="00981706">
        <w:rPr>
          <w:spacing w:val="-4"/>
          <w:rtl/>
        </w:rPr>
        <w:t xml:space="preserve"> </w:t>
      </w:r>
      <w:proofErr w:type="spellStart"/>
      <w:r w:rsidRPr="00981706">
        <w:rPr>
          <w:spacing w:val="-4"/>
          <w:rtl/>
        </w:rPr>
        <w:t>Bhd</w:t>
      </w:r>
      <w:proofErr w:type="spellEnd"/>
      <w:r w:rsidRPr="00981706">
        <w:rPr>
          <w:spacing w:val="-4"/>
          <w:rtl/>
        </w:rPr>
        <w:t xml:space="preserve"> (لجنة الدراسات 17)؛ شركة </w:t>
      </w:r>
      <w:proofErr w:type="spellStart"/>
      <w:r w:rsidRPr="00981706">
        <w:rPr>
          <w:spacing w:val="-4"/>
          <w:rtl/>
        </w:rPr>
        <w:t>Radical</w:t>
      </w:r>
      <w:proofErr w:type="spellEnd"/>
      <w:r w:rsidRPr="00981706">
        <w:rPr>
          <w:spacing w:val="-4"/>
          <w:rtl/>
        </w:rPr>
        <w:t xml:space="preserve"> </w:t>
      </w:r>
      <w:proofErr w:type="spellStart"/>
      <w:r w:rsidRPr="00981706">
        <w:rPr>
          <w:spacing w:val="-4"/>
          <w:rtl/>
        </w:rPr>
        <w:t>Alternativas</w:t>
      </w:r>
      <w:proofErr w:type="spellEnd"/>
      <w:r w:rsidRPr="00981706">
        <w:rPr>
          <w:spacing w:val="-4"/>
          <w:rtl/>
        </w:rPr>
        <w:t xml:space="preserve"> </w:t>
      </w:r>
      <w:proofErr w:type="spellStart"/>
      <w:r w:rsidRPr="00981706">
        <w:rPr>
          <w:spacing w:val="-4"/>
          <w:rtl/>
        </w:rPr>
        <w:t>de</w:t>
      </w:r>
      <w:proofErr w:type="spellEnd"/>
      <w:r w:rsidRPr="00981706">
        <w:rPr>
          <w:spacing w:val="-4"/>
          <w:rtl/>
        </w:rPr>
        <w:t xml:space="preserve"> </w:t>
      </w:r>
      <w:proofErr w:type="spellStart"/>
      <w:r w:rsidRPr="00981706">
        <w:rPr>
          <w:spacing w:val="-4"/>
          <w:rtl/>
        </w:rPr>
        <w:t>Avanzada</w:t>
      </w:r>
      <w:proofErr w:type="spellEnd"/>
      <w:r w:rsidRPr="00981706">
        <w:rPr>
          <w:spacing w:val="-4"/>
          <w:rtl/>
        </w:rPr>
        <w:t xml:space="preserve"> </w:t>
      </w:r>
      <w:proofErr w:type="spellStart"/>
      <w:r w:rsidRPr="00981706">
        <w:rPr>
          <w:spacing w:val="-4"/>
          <w:rtl/>
        </w:rPr>
        <w:t>Altradicalavan</w:t>
      </w:r>
      <w:proofErr w:type="spellEnd"/>
      <w:r w:rsidRPr="00981706">
        <w:rPr>
          <w:spacing w:val="-4"/>
          <w:rtl/>
        </w:rPr>
        <w:t xml:space="preserve"> </w:t>
      </w:r>
      <w:proofErr w:type="spellStart"/>
      <w:r w:rsidRPr="00981706">
        <w:rPr>
          <w:spacing w:val="-4"/>
          <w:rtl/>
        </w:rPr>
        <w:t>Cia</w:t>
      </w:r>
      <w:proofErr w:type="spellEnd"/>
      <w:r w:rsidRPr="00981706">
        <w:rPr>
          <w:spacing w:val="-4"/>
          <w:rtl/>
        </w:rPr>
        <w:t xml:space="preserve"> </w:t>
      </w:r>
      <w:proofErr w:type="spellStart"/>
      <w:r w:rsidRPr="00981706">
        <w:rPr>
          <w:spacing w:val="-4"/>
          <w:rtl/>
        </w:rPr>
        <w:t>Ltda</w:t>
      </w:r>
      <w:proofErr w:type="spellEnd"/>
      <w:r w:rsidRPr="00981706">
        <w:rPr>
          <w:spacing w:val="-4"/>
          <w:rtl/>
        </w:rPr>
        <w:t xml:space="preserve"> (لجنة الدراسات 17)؛ شركة </w:t>
      </w:r>
      <w:proofErr w:type="spellStart"/>
      <w:r w:rsidRPr="00981706">
        <w:rPr>
          <w:spacing w:val="-4"/>
          <w:rtl/>
        </w:rPr>
        <w:t>TuringSign</w:t>
      </w:r>
      <w:proofErr w:type="spellEnd"/>
      <w:r w:rsidRPr="00981706">
        <w:rPr>
          <w:spacing w:val="-4"/>
          <w:rtl/>
        </w:rPr>
        <w:t xml:space="preserve"> </w:t>
      </w:r>
      <w:proofErr w:type="spellStart"/>
      <w:r w:rsidRPr="00981706">
        <w:rPr>
          <w:spacing w:val="-4"/>
          <w:rtl/>
        </w:rPr>
        <w:t>Global</w:t>
      </w:r>
      <w:proofErr w:type="spellEnd"/>
      <w:r w:rsidRPr="00981706">
        <w:rPr>
          <w:spacing w:val="-4"/>
          <w:rtl/>
        </w:rPr>
        <w:t xml:space="preserve"> SA (لجنة الدراسات</w:t>
      </w:r>
      <w:r>
        <w:rPr>
          <w:rFonts w:hint="cs"/>
          <w:spacing w:val="-4"/>
          <w:rtl/>
        </w:rPr>
        <w:t> </w:t>
      </w:r>
      <w:r w:rsidRPr="00981706">
        <w:rPr>
          <w:spacing w:val="-4"/>
          <w:rtl/>
        </w:rPr>
        <w:t>17)؛ شركة</w:t>
      </w:r>
      <w:r w:rsidRPr="00A91B7E">
        <w:rPr>
          <w:spacing w:val="-4"/>
          <w:rtl/>
        </w:rPr>
        <w:t xml:space="preserve"> </w:t>
      </w:r>
      <w:r w:rsidRPr="00981706">
        <w:rPr>
          <w:spacing w:val="-4"/>
          <w:rtl/>
        </w:rPr>
        <w:t xml:space="preserve">HMN </w:t>
      </w:r>
      <w:proofErr w:type="spellStart"/>
      <w:r w:rsidRPr="00981706">
        <w:rPr>
          <w:spacing w:val="-4"/>
          <w:rtl/>
        </w:rPr>
        <w:t>Smart</w:t>
      </w:r>
      <w:proofErr w:type="spellEnd"/>
      <w:r w:rsidRPr="00981706">
        <w:rPr>
          <w:spacing w:val="-4"/>
          <w:rtl/>
        </w:rPr>
        <w:t xml:space="preserve"> </w:t>
      </w:r>
      <w:proofErr w:type="spellStart"/>
      <w:r w:rsidRPr="00981706">
        <w:rPr>
          <w:spacing w:val="-4"/>
          <w:rtl/>
        </w:rPr>
        <w:t>Co</w:t>
      </w:r>
      <w:proofErr w:type="spellEnd"/>
      <w:r w:rsidRPr="00981706">
        <w:rPr>
          <w:spacing w:val="-4"/>
          <w:rtl/>
        </w:rPr>
        <w:t xml:space="preserve">., </w:t>
      </w:r>
      <w:proofErr w:type="spellStart"/>
      <w:r w:rsidRPr="00981706">
        <w:rPr>
          <w:spacing w:val="-4"/>
          <w:rtl/>
        </w:rPr>
        <w:t>Ltd</w:t>
      </w:r>
      <w:proofErr w:type="spellEnd"/>
      <w:r w:rsidRPr="00981706">
        <w:rPr>
          <w:spacing w:val="-4"/>
          <w:rtl/>
        </w:rPr>
        <w:t xml:space="preserve"> (لجنة الدراسات 20).</w:t>
      </w:r>
    </w:p>
    <w:p w14:paraId="758D330A" w14:textId="77777777" w:rsidR="001010FD" w:rsidRPr="00981706" w:rsidRDefault="001010FD" w:rsidP="008A3C14">
      <w:pPr>
        <w:pStyle w:val="Headingb"/>
        <w:rPr>
          <w:lang w:val="ar-SA"/>
        </w:rPr>
      </w:pPr>
      <w:r w:rsidRPr="00981706">
        <w:rPr>
          <w:rtl/>
        </w:rPr>
        <w:t>الهيئات الأكاديمية الجديدة المرحَّب بها منذ يناير 2022:</w:t>
      </w:r>
    </w:p>
    <w:p w14:paraId="44EC0F14" w14:textId="77777777" w:rsidR="001010FD" w:rsidRPr="00981706" w:rsidRDefault="001010FD" w:rsidP="00981706">
      <w:pPr>
        <w:rPr>
          <w:spacing w:val="-4"/>
          <w:lang w:val="ar-SA" w:bidi="ar-EG"/>
        </w:rPr>
      </w:pPr>
      <w:r w:rsidRPr="00981706">
        <w:rPr>
          <w:spacing w:val="-4"/>
          <w:rtl/>
        </w:rPr>
        <w:t xml:space="preserve">جامعة كيونغ هي؛ جامعة </w:t>
      </w:r>
      <w:proofErr w:type="spellStart"/>
      <w:r w:rsidRPr="00981706">
        <w:rPr>
          <w:spacing w:val="-4"/>
          <w:rtl/>
        </w:rPr>
        <w:t>بيهانغ</w:t>
      </w:r>
      <w:proofErr w:type="spellEnd"/>
      <w:r w:rsidRPr="00981706">
        <w:rPr>
          <w:spacing w:val="-4"/>
          <w:rtl/>
        </w:rPr>
        <w:t xml:space="preserve">؛ </w:t>
      </w:r>
      <w:proofErr w:type="spellStart"/>
      <w:r w:rsidRPr="00981706">
        <w:rPr>
          <w:spacing w:val="-4"/>
          <w:rtl/>
        </w:rPr>
        <w:t>Universidad</w:t>
      </w:r>
      <w:proofErr w:type="spellEnd"/>
      <w:r w:rsidRPr="00981706">
        <w:rPr>
          <w:spacing w:val="-4"/>
          <w:rtl/>
        </w:rPr>
        <w:t xml:space="preserve"> </w:t>
      </w:r>
      <w:proofErr w:type="spellStart"/>
      <w:r w:rsidRPr="00981706">
        <w:rPr>
          <w:spacing w:val="-4"/>
          <w:rtl/>
        </w:rPr>
        <w:t>Nacional</w:t>
      </w:r>
      <w:proofErr w:type="spellEnd"/>
      <w:r w:rsidRPr="00981706">
        <w:rPr>
          <w:spacing w:val="-4"/>
          <w:rtl/>
        </w:rPr>
        <w:t xml:space="preserve"> </w:t>
      </w:r>
      <w:proofErr w:type="spellStart"/>
      <w:r w:rsidRPr="00981706">
        <w:rPr>
          <w:spacing w:val="-4"/>
          <w:rtl/>
        </w:rPr>
        <w:t>de</w:t>
      </w:r>
      <w:proofErr w:type="spellEnd"/>
      <w:r w:rsidRPr="00981706">
        <w:rPr>
          <w:spacing w:val="-4"/>
          <w:rtl/>
        </w:rPr>
        <w:t xml:space="preserve"> </w:t>
      </w:r>
      <w:proofErr w:type="spellStart"/>
      <w:r w:rsidRPr="00981706">
        <w:rPr>
          <w:spacing w:val="-4"/>
          <w:rtl/>
        </w:rPr>
        <w:t>Córdoba</w:t>
      </w:r>
      <w:proofErr w:type="spellEnd"/>
      <w:r w:rsidRPr="00981706">
        <w:rPr>
          <w:spacing w:val="-4"/>
          <w:rtl/>
        </w:rPr>
        <w:t xml:space="preserve">؛ </w:t>
      </w:r>
      <w:proofErr w:type="spellStart"/>
      <w:r w:rsidRPr="00981706">
        <w:rPr>
          <w:spacing w:val="-4"/>
          <w:rtl/>
        </w:rPr>
        <w:t>Politecnico</w:t>
      </w:r>
      <w:proofErr w:type="spellEnd"/>
      <w:r w:rsidRPr="00981706">
        <w:rPr>
          <w:spacing w:val="-4"/>
          <w:rtl/>
        </w:rPr>
        <w:t xml:space="preserve"> di </w:t>
      </w:r>
      <w:proofErr w:type="spellStart"/>
      <w:r w:rsidRPr="00981706">
        <w:rPr>
          <w:spacing w:val="-4"/>
          <w:rtl/>
        </w:rPr>
        <w:t>Milano</w:t>
      </w:r>
      <w:proofErr w:type="spellEnd"/>
      <w:r w:rsidRPr="00981706">
        <w:rPr>
          <w:spacing w:val="-4"/>
          <w:rtl/>
        </w:rPr>
        <w:t xml:space="preserve"> </w:t>
      </w:r>
      <w:proofErr w:type="spellStart"/>
      <w:r w:rsidRPr="00981706">
        <w:rPr>
          <w:spacing w:val="-4"/>
          <w:rtl/>
        </w:rPr>
        <w:t>Dipartimento</w:t>
      </w:r>
      <w:proofErr w:type="spellEnd"/>
      <w:r w:rsidRPr="00981706">
        <w:rPr>
          <w:spacing w:val="-4"/>
          <w:rtl/>
        </w:rPr>
        <w:t xml:space="preserve"> di </w:t>
      </w:r>
      <w:proofErr w:type="spellStart"/>
      <w:r w:rsidRPr="00981706">
        <w:rPr>
          <w:spacing w:val="-4"/>
          <w:rtl/>
        </w:rPr>
        <w:t>Elettronica</w:t>
      </w:r>
      <w:proofErr w:type="spellEnd"/>
      <w:r w:rsidRPr="00981706">
        <w:rPr>
          <w:spacing w:val="-4"/>
          <w:rtl/>
        </w:rPr>
        <w:t xml:space="preserve">, </w:t>
      </w:r>
      <w:proofErr w:type="spellStart"/>
      <w:r w:rsidRPr="00981706">
        <w:rPr>
          <w:spacing w:val="-4"/>
          <w:rtl/>
        </w:rPr>
        <w:t>Informazion</w:t>
      </w:r>
      <w:proofErr w:type="spellEnd"/>
      <w:r w:rsidRPr="00981706">
        <w:rPr>
          <w:spacing w:val="-4"/>
          <w:rtl/>
        </w:rPr>
        <w:t xml:space="preserve"> e </w:t>
      </w:r>
      <w:proofErr w:type="spellStart"/>
      <w:r w:rsidRPr="00981706">
        <w:rPr>
          <w:spacing w:val="-4"/>
          <w:rtl/>
        </w:rPr>
        <w:t>Biongegneria</w:t>
      </w:r>
      <w:proofErr w:type="spellEnd"/>
      <w:r w:rsidRPr="00981706">
        <w:rPr>
          <w:spacing w:val="-4"/>
          <w:rtl/>
        </w:rPr>
        <w:t xml:space="preserve">؛ </w:t>
      </w:r>
      <w:proofErr w:type="spellStart"/>
      <w:r w:rsidRPr="00981706">
        <w:rPr>
          <w:spacing w:val="-4"/>
          <w:rtl/>
        </w:rPr>
        <w:t>Universitat</w:t>
      </w:r>
      <w:proofErr w:type="spellEnd"/>
      <w:r w:rsidRPr="00981706">
        <w:rPr>
          <w:spacing w:val="-4"/>
          <w:rtl/>
        </w:rPr>
        <w:t xml:space="preserve"> </w:t>
      </w:r>
      <w:proofErr w:type="spellStart"/>
      <w:r w:rsidRPr="00981706">
        <w:rPr>
          <w:spacing w:val="-4"/>
          <w:rtl/>
        </w:rPr>
        <w:t>Autònoma</w:t>
      </w:r>
      <w:proofErr w:type="spellEnd"/>
      <w:r w:rsidRPr="00981706">
        <w:rPr>
          <w:spacing w:val="-4"/>
          <w:rtl/>
        </w:rPr>
        <w:t xml:space="preserve"> </w:t>
      </w:r>
      <w:proofErr w:type="spellStart"/>
      <w:r w:rsidRPr="00981706">
        <w:rPr>
          <w:spacing w:val="-4"/>
          <w:rtl/>
        </w:rPr>
        <w:t>de</w:t>
      </w:r>
      <w:proofErr w:type="spellEnd"/>
      <w:r w:rsidRPr="00981706">
        <w:rPr>
          <w:spacing w:val="-4"/>
          <w:rtl/>
        </w:rPr>
        <w:t xml:space="preserve"> </w:t>
      </w:r>
      <w:proofErr w:type="spellStart"/>
      <w:r w:rsidRPr="00981706">
        <w:rPr>
          <w:spacing w:val="-4"/>
          <w:rtl/>
        </w:rPr>
        <w:t>Barcelona</w:t>
      </w:r>
      <w:proofErr w:type="spellEnd"/>
      <w:r w:rsidRPr="00981706">
        <w:rPr>
          <w:spacing w:val="-4"/>
          <w:rtl/>
        </w:rPr>
        <w:t>؛ جامعة تيلكوم؛ جامعة</w:t>
      </w:r>
      <w:r w:rsidRPr="00092C68">
        <w:rPr>
          <w:spacing w:val="-4"/>
          <w:rtl/>
        </w:rPr>
        <w:t xml:space="preserve"> </w:t>
      </w:r>
      <w:r w:rsidRPr="00981706">
        <w:rPr>
          <w:spacing w:val="-4"/>
          <w:rtl/>
        </w:rPr>
        <w:t xml:space="preserve">غلاسكو؛ جامعة </w:t>
      </w:r>
      <w:proofErr w:type="spellStart"/>
      <w:r w:rsidRPr="00981706">
        <w:rPr>
          <w:spacing w:val="-4"/>
          <w:rtl/>
        </w:rPr>
        <w:t>توهوكو</w:t>
      </w:r>
      <w:proofErr w:type="spellEnd"/>
      <w:r w:rsidRPr="00981706">
        <w:rPr>
          <w:spacing w:val="-4"/>
          <w:rtl/>
        </w:rPr>
        <w:t xml:space="preserve">/معهد بحوث الاتصالات الكهربائية؛ جامعة بنسلفانيا؛ جامعة </w:t>
      </w:r>
      <w:proofErr w:type="spellStart"/>
      <w:r w:rsidRPr="00981706">
        <w:rPr>
          <w:spacing w:val="-4"/>
          <w:rtl/>
        </w:rPr>
        <w:t>دايجون</w:t>
      </w:r>
      <w:proofErr w:type="spellEnd"/>
      <w:r w:rsidRPr="00981706">
        <w:rPr>
          <w:spacing w:val="-4"/>
          <w:rtl/>
        </w:rPr>
        <w:t xml:space="preserve">؛ المعهد الوطني للاتصالات؛ مؤسسة </w:t>
      </w:r>
      <w:r w:rsidRPr="00981706">
        <w:rPr>
          <w:spacing w:val="-4"/>
          <w:lang w:val="en-GB" w:bidi="ar-EG"/>
        </w:rPr>
        <w:t>MITRE</w:t>
      </w:r>
      <w:r w:rsidRPr="00981706">
        <w:rPr>
          <w:spacing w:val="-4"/>
          <w:rtl/>
        </w:rPr>
        <w:t xml:space="preserve">؛ مركز التكنولوجيا والهندسة لاستخدام الفضاء، أكاديمية الصين للعلوم؛ مختبر بينغ </w:t>
      </w:r>
      <w:proofErr w:type="spellStart"/>
      <w:r w:rsidRPr="00981706">
        <w:rPr>
          <w:spacing w:val="-4"/>
          <w:rtl/>
        </w:rPr>
        <w:t>تشنغ</w:t>
      </w:r>
      <w:proofErr w:type="spellEnd"/>
      <w:r w:rsidRPr="00981706">
        <w:rPr>
          <w:spacing w:val="-4"/>
          <w:rtl/>
        </w:rPr>
        <w:t xml:space="preserve">؛ جامعة شاندونغ؛ جامعة رنمين الصينية؛ جامعة </w:t>
      </w:r>
      <w:proofErr w:type="spellStart"/>
      <w:r w:rsidRPr="00981706">
        <w:rPr>
          <w:spacing w:val="-4"/>
          <w:rtl/>
        </w:rPr>
        <w:t>شيامن</w:t>
      </w:r>
      <w:proofErr w:type="spellEnd"/>
      <w:r w:rsidRPr="00981706">
        <w:rPr>
          <w:spacing w:val="-4"/>
          <w:rtl/>
        </w:rPr>
        <w:t xml:space="preserve">؛ جامعة </w:t>
      </w:r>
      <w:proofErr w:type="spellStart"/>
      <w:r w:rsidRPr="00981706">
        <w:rPr>
          <w:spacing w:val="-4"/>
          <w:rtl/>
        </w:rPr>
        <w:t>شيان</w:t>
      </w:r>
      <w:proofErr w:type="spellEnd"/>
      <w:r w:rsidRPr="00981706">
        <w:rPr>
          <w:spacing w:val="-4"/>
          <w:rtl/>
        </w:rPr>
        <w:t xml:space="preserve"> </w:t>
      </w:r>
      <w:proofErr w:type="spellStart"/>
      <w:r w:rsidRPr="00981706">
        <w:rPr>
          <w:spacing w:val="-4"/>
          <w:rtl/>
        </w:rPr>
        <w:t>جياوتونغ</w:t>
      </w:r>
      <w:proofErr w:type="spellEnd"/>
      <w:r w:rsidRPr="00981706">
        <w:rPr>
          <w:spacing w:val="-4"/>
          <w:rtl/>
        </w:rPr>
        <w:t xml:space="preserve">؛ مختبرات </w:t>
      </w:r>
      <w:proofErr w:type="spellStart"/>
      <w:r w:rsidRPr="00981706">
        <w:rPr>
          <w:spacing w:val="-4"/>
          <w:rtl/>
        </w:rPr>
        <w:t>Purple</w:t>
      </w:r>
      <w:proofErr w:type="spellEnd"/>
      <w:r w:rsidRPr="00981706">
        <w:rPr>
          <w:spacing w:val="-4"/>
          <w:rtl/>
        </w:rPr>
        <w:t xml:space="preserve"> </w:t>
      </w:r>
      <w:proofErr w:type="spellStart"/>
      <w:r w:rsidRPr="00981706">
        <w:rPr>
          <w:spacing w:val="-4"/>
          <w:rtl/>
        </w:rPr>
        <w:t>Mountain</w:t>
      </w:r>
      <w:proofErr w:type="spellEnd"/>
      <w:r w:rsidRPr="00981706">
        <w:rPr>
          <w:spacing w:val="-4"/>
          <w:rtl/>
        </w:rPr>
        <w:t xml:space="preserve">؛ معهد </w:t>
      </w:r>
      <w:proofErr w:type="spellStart"/>
      <w:r w:rsidRPr="00981706">
        <w:rPr>
          <w:spacing w:val="-4"/>
          <w:rtl/>
        </w:rPr>
        <w:t>بليكينج</w:t>
      </w:r>
      <w:proofErr w:type="spellEnd"/>
      <w:r w:rsidRPr="00981706">
        <w:rPr>
          <w:spacing w:val="-4"/>
          <w:rtl/>
        </w:rPr>
        <w:t xml:space="preserve"> للتكنولوجيا؛ جامعة كوريا؛ معهد </w:t>
      </w:r>
      <w:proofErr w:type="spellStart"/>
      <w:r w:rsidRPr="00981706">
        <w:rPr>
          <w:spacing w:val="-4"/>
          <w:rtl/>
        </w:rPr>
        <w:t>كاشيبور</w:t>
      </w:r>
      <w:proofErr w:type="spellEnd"/>
      <w:r w:rsidRPr="00981706">
        <w:rPr>
          <w:spacing w:val="-4"/>
          <w:rtl/>
        </w:rPr>
        <w:t xml:space="preserve"> الهندي للإدارة؛ معهد بيجين للتكنولوجيا؛ ‏ معهد ‎BRICS ‏لشبكات المستقبل، فرع الصين؛ جامعة بيجين </w:t>
      </w:r>
      <w:proofErr w:type="spellStart"/>
      <w:r w:rsidRPr="00981706">
        <w:rPr>
          <w:spacing w:val="-4"/>
          <w:rtl/>
        </w:rPr>
        <w:t>جياوتونغ</w:t>
      </w:r>
      <w:proofErr w:type="spellEnd"/>
      <w:r w:rsidRPr="00981706">
        <w:rPr>
          <w:spacing w:val="-4"/>
          <w:rtl/>
        </w:rPr>
        <w:t xml:space="preserve">؛ </w:t>
      </w:r>
      <w:proofErr w:type="spellStart"/>
      <w:r w:rsidRPr="00981706">
        <w:rPr>
          <w:spacing w:val="-4"/>
          <w:rtl/>
        </w:rPr>
        <w:t>Universiti</w:t>
      </w:r>
      <w:proofErr w:type="spellEnd"/>
      <w:r w:rsidRPr="00981706">
        <w:rPr>
          <w:spacing w:val="-4"/>
          <w:rtl/>
        </w:rPr>
        <w:t xml:space="preserve"> </w:t>
      </w:r>
      <w:proofErr w:type="spellStart"/>
      <w:r w:rsidRPr="00981706">
        <w:rPr>
          <w:spacing w:val="-4"/>
          <w:rtl/>
        </w:rPr>
        <w:t>Teknologi</w:t>
      </w:r>
      <w:proofErr w:type="spellEnd"/>
      <w:r w:rsidRPr="00981706">
        <w:rPr>
          <w:spacing w:val="-4"/>
          <w:rtl/>
        </w:rPr>
        <w:t xml:space="preserve"> MARA (</w:t>
      </w:r>
      <w:proofErr w:type="spellStart"/>
      <w:r w:rsidRPr="00981706">
        <w:rPr>
          <w:spacing w:val="-4"/>
          <w:rtl/>
        </w:rPr>
        <w:t>UiTM</w:t>
      </w:r>
      <w:proofErr w:type="spellEnd"/>
      <w:r w:rsidRPr="00981706">
        <w:rPr>
          <w:spacing w:val="-4"/>
          <w:rtl/>
        </w:rPr>
        <w:t>)؛ الجامعة الأمريكية في البحرين؛ معهد العملات الرقمية التابع لبنك الصين الشعبي؛ المعهد الوطني للبحث والتطوير في مجال المعلوماتية (</w:t>
      </w:r>
      <w:r w:rsidRPr="00981706">
        <w:rPr>
          <w:spacing w:val="-4"/>
          <w:lang w:val="en-GB" w:bidi="ar-EG"/>
        </w:rPr>
        <w:t>ICI</w:t>
      </w:r>
      <w:r w:rsidRPr="00981706">
        <w:rPr>
          <w:spacing w:val="-4"/>
          <w:rtl/>
        </w:rPr>
        <w:t>)، بوخارست؛ جامعة الصين لعلوم الأرض (</w:t>
      </w:r>
      <w:proofErr w:type="spellStart"/>
      <w:r w:rsidRPr="00981706">
        <w:rPr>
          <w:spacing w:val="-4"/>
          <w:rtl/>
        </w:rPr>
        <w:t>ووهان</w:t>
      </w:r>
      <w:proofErr w:type="spellEnd"/>
      <w:r w:rsidRPr="00981706">
        <w:rPr>
          <w:spacing w:val="-4"/>
          <w:rtl/>
        </w:rPr>
        <w:t xml:space="preserve">)؛ </w:t>
      </w:r>
      <w:proofErr w:type="spellStart"/>
      <w:r w:rsidRPr="00981706">
        <w:rPr>
          <w:spacing w:val="-4"/>
          <w:rtl/>
        </w:rPr>
        <w:t>Cave</w:t>
      </w:r>
      <w:proofErr w:type="spellEnd"/>
      <w:r w:rsidRPr="00981706">
        <w:rPr>
          <w:spacing w:val="-4"/>
          <w:rtl/>
        </w:rPr>
        <w:t xml:space="preserve"> </w:t>
      </w:r>
      <w:proofErr w:type="spellStart"/>
      <w:r w:rsidRPr="00981706">
        <w:rPr>
          <w:spacing w:val="-4"/>
          <w:rtl/>
        </w:rPr>
        <w:t>Hill</w:t>
      </w:r>
      <w:proofErr w:type="spellEnd"/>
      <w:r w:rsidRPr="00981706">
        <w:rPr>
          <w:spacing w:val="-4"/>
          <w:rtl/>
        </w:rPr>
        <w:t xml:space="preserve"> </w:t>
      </w:r>
      <w:proofErr w:type="spellStart"/>
      <w:r w:rsidRPr="00981706">
        <w:rPr>
          <w:spacing w:val="-4"/>
          <w:rtl/>
        </w:rPr>
        <w:t>School</w:t>
      </w:r>
      <w:proofErr w:type="spellEnd"/>
      <w:r w:rsidRPr="00981706">
        <w:rPr>
          <w:spacing w:val="-4"/>
          <w:rtl/>
        </w:rPr>
        <w:t xml:space="preserve"> </w:t>
      </w:r>
      <w:proofErr w:type="spellStart"/>
      <w:r w:rsidRPr="00981706">
        <w:rPr>
          <w:spacing w:val="-4"/>
          <w:rtl/>
        </w:rPr>
        <w:t>of</w:t>
      </w:r>
      <w:proofErr w:type="spellEnd"/>
      <w:r w:rsidRPr="00981706">
        <w:rPr>
          <w:spacing w:val="-4"/>
          <w:rtl/>
        </w:rPr>
        <w:t xml:space="preserve"> </w:t>
      </w:r>
      <w:proofErr w:type="spellStart"/>
      <w:r w:rsidRPr="00981706">
        <w:rPr>
          <w:spacing w:val="-4"/>
          <w:rtl/>
        </w:rPr>
        <w:t>Business</w:t>
      </w:r>
      <w:proofErr w:type="spellEnd"/>
      <w:r w:rsidRPr="00981706">
        <w:rPr>
          <w:spacing w:val="-4"/>
          <w:rtl/>
        </w:rPr>
        <w:t xml:space="preserve"> </w:t>
      </w:r>
      <w:proofErr w:type="spellStart"/>
      <w:r w:rsidRPr="00981706">
        <w:rPr>
          <w:spacing w:val="-4"/>
          <w:rtl/>
        </w:rPr>
        <w:t>Inc</w:t>
      </w:r>
      <w:proofErr w:type="spellEnd"/>
      <w:r w:rsidRPr="00981706">
        <w:rPr>
          <w:spacing w:val="-4"/>
          <w:rtl/>
        </w:rPr>
        <w:t xml:space="preserve">.، جامعة جزر الهند الغربية؛ أكاديمية الابتكار الرقمي؛ جامعة </w:t>
      </w:r>
      <w:proofErr w:type="spellStart"/>
      <w:r w:rsidRPr="00981706">
        <w:rPr>
          <w:spacing w:val="-4"/>
          <w:rtl/>
        </w:rPr>
        <w:t>بايلور</w:t>
      </w:r>
      <w:proofErr w:type="spellEnd"/>
      <w:r w:rsidRPr="00981706">
        <w:rPr>
          <w:spacing w:val="-4"/>
          <w:rtl/>
        </w:rPr>
        <w:t xml:space="preserve">؛ معهد الاتصالات والمعلومات الفضائية العالمية؛ معهد </w:t>
      </w:r>
      <w:proofErr w:type="spellStart"/>
      <w:r w:rsidRPr="00981706">
        <w:rPr>
          <w:spacing w:val="-4"/>
          <w:rtl/>
        </w:rPr>
        <w:t>فيسفيسفارايا</w:t>
      </w:r>
      <w:proofErr w:type="spellEnd"/>
      <w:r w:rsidRPr="00981706">
        <w:rPr>
          <w:spacing w:val="-4"/>
          <w:rtl/>
        </w:rPr>
        <w:t xml:space="preserve"> الوطني للتكنولوجيا (</w:t>
      </w:r>
      <w:r w:rsidRPr="00981706">
        <w:rPr>
          <w:spacing w:val="-4"/>
          <w:lang w:val="en-GB" w:bidi="ar-EG"/>
        </w:rPr>
        <w:t>VNIT</w:t>
      </w:r>
      <w:r w:rsidRPr="00981706">
        <w:rPr>
          <w:spacing w:val="-4"/>
          <w:rtl/>
        </w:rPr>
        <w:t xml:space="preserve">)، </w:t>
      </w:r>
      <w:proofErr w:type="spellStart"/>
      <w:r w:rsidRPr="00981706">
        <w:rPr>
          <w:spacing w:val="-4"/>
          <w:rtl/>
        </w:rPr>
        <w:t>ناغبور</w:t>
      </w:r>
      <w:proofErr w:type="spellEnd"/>
      <w:r w:rsidRPr="00981706">
        <w:rPr>
          <w:spacing w:val="-4"/>
          <w:rtl/>
        </w:rPr>
        <w:t xml:space="preserve">؛ المعهد الصيني للاتصالات؛ كلية السياحة في </w:t>
      </w:r>
      <w:proofErr w:type="spellStart"/>
      <w:r w:rsidRPr="00981706">
        <w:rPr>
          <w:spacing w:val="-4"/>
          <w:rtl/>
        </w:rPr>
        <w:t>جيجيانغ</w:t>
      </w:r>
      <w:proofErr w:type="spellEnd"/>
      <w:r w:rsidRPr="00981706">
        <w:rPr>
          <w:spacing w:val="-4"/>
          <w:rtl/>
        </w:rPr>
        <w:t xml:space="preserve">؛ معهد </w:t>
      </w:r>
      <w:proofErr w:type="spellStart"/>
      <w:r w:rsidRPr="00981706">
        <w:rPr>
          <w:spacing w:val="-4"/>
          <w:lang w:val="en-GB" w:bidi="ar-EG"/>
        </w:rPr>
        <w:t>Guoxin</w:t>
      </w:r>
      <w:proofErr w:type="spellEnd"/>
      <w:r w:rsidRPr="00981706">
        <w:rPr>
          <w:spacing w:val="-4"/>
          <w:rtl/>
        </w:rPr>
        <w:t xml:space="preserve"> لبحوث تكنولوجيا التحول الرقمي، بيجين؛ جامعة </w:t>
      </w:r>
      <w:proofErr w:type="spellStart"/>
      <w:r w:rsidRPr="00981706">
        <w:rPr>
          <w:spacing w:val="-4"/>
          <w:rtl/>
        </w:rPr>
        <w:t>سانجيانغ</w:t>
      </w:r>
      <w:proofErr w:type="spellEnd"/>
      <w:r w:rsidRPr="00981706">
        <w:rPr>
          <w:spacing w:val="-4"/>
          <w:rtl/>
        </w:rPr>
        <w:t>؛ المعهد الأوروبي لسياسات الفضاء (</w:t>
      </w:r>
      <w:r w:rsidRPr="00981706">
        <w:rPr>
          <w:spacing w:val="-4"/>
          <w:lang w:val="en-GB" w:bidi="ar-EG"/>
        </w:rPr>
        <w:t>ESPI</w:t>
      </w:r>
      <w:r w:rsidRPr="00981706">
        <w:rPr>
          <w:spacing w:val="-4"/>
          <w:rtl/>
        </w:rPr>
        <w:t>)؛ جامعة بنغلاديش للمهنيين (</w:t>
      </w:r>
      <w:r w:rsidRPr="00981706">
        <w:rPr>
          <w:spacing w:val="-4"/>
          <w:lang w:val="en-GB" w:bidi="ar-EG"/>
        </w:rPr>
        <w:t>BUP</w:t>
      </w:r>
      <w:r w:rsidRPr="00981706">
        <w:rPr>
          <w:spacing w:val="-4"/>
          <w:rtl/>
        </w:rPr>
        <w:t xml:space="preserve">)؛ جامعة </w:t>
      </w:r>
      <w:proofErr w:type="spellStart"/>
      <w:r w:rsidRPr="00981706">
        <w:rPr>
          <w:spacing w:val="-4"/>
          <w:rtl/>
        </w:rPr>
        <w:t>سانشون</w:t>
      </w:r>
      <w:proofErr w:type="spellEnd"/>
      <w:r w:rsidRPr="00981706">
        <w:rPr>
          <w:spacing w:val="-4"/>
          <w:rtl/>
        </w:rPr>
        <w:t xml:space="preserve"> الوطنية؛ </w:t>
      </w:r>
      <w:proofErr w:type="spellStart"/>
      <w:r w:rsidRPr="00981706">
        <w:rPr>
          <w:spacing w:val="-4"/>
          <w:rtl/>
        </w:rPr>
        <w:t>Universidad</w:t>
      </w:r>
      <w:proofErr w:type="spellEnd"/>
      <w:r w:rsidRPr="00981706">
        <w:rPr>
          <w:spacing w:val="-4"/>
          <w:rtl/>
        </w:rPr>
        <w:t xml:space="preserve"> </w:t>
      </w:r>
      <w:proofErr w:type="spellStart"/>
      <w:r w:rsidRPr="00981706">
        <w:rPr>
          <w:spacing w:val="-4"/>
          <w:rtl/>
        </w:rPr>
        <w:t>de</w:t>
      </w:r>
      <w:proofErr w:type="spellEnd"/>
      <w:r w:rsidRPr="00981706">
        <w:rPr>
          <w:spacing w:val="-4"/>
          <w:rtl/>
        </w:rPr>
        <w:t xml:space="preserve"> </w:t>
      </w:r>
      <w:proofErr w:type="spellStart"/>
      <w:r w:rsidRPr="00981706">
        <w:rPr>
          <w:spacing w:val="-4"/>
          <w:rtl/>
        </w:rPr>
        <w:t>Málaga</w:t>
      </w:r>
      <w:proofErr w:type="spellEnd"/>
      <w:r w:rsidRPr="00981706">
        <w:rPr>
          <w:spacing w:val="-4"/>
          <w:rtl/>
        </w:rPr>
        <w:t xml:space="preserve">؛ معهد </w:t>
      </w:r>
      <w:proofErr w:type="spellStart"/>
      <w:r w:rsidRPr="00981706">
        <w:rPr>
          <w:spacing w:val="-4"/>
          <w:rtl/>
        </w:rPr>
        <w:t>إندورالهندي</w:t>
      </w:r>
      <w:proofErr w:type="spellEnd"/>
      <w:r w:rsidRPr="00981706">
        <w:rPr>
          <w:spacing w:val="-4"/>
          <w:rtl/>
        </w:rPr>
        <w:t xml:space="preserve"> للإدارة؛ جامعة فودان؛ معهد التدريب التابع لغرفة التجارة في ليما؛ المعهد الآسيوي للتكنولوجيا؛ جامعة </w:t>
      </w:r>
      <w:proofErr w:type="spellStart"/>
      <w:r w:rsidRPr="00981706">
        <w:rPr>
          <w:spacing w:val="-4"/>
          <w:rtl/>
        </w:rPr>
        <w:t>رزاكوف</w:t>
      </w:r>
      <w:proofErr w:type="spellEnd"/>
      <w:r w:rsidRPr="00981706">
        <w:rPr>
          <w:spacing w:val="-4"/>
          <w:rtl/>
        </w:rPr>
        <w:t xml:space="preserve"> التقنية الحكومية في قيرغيزستان؛ جامعة </w:t>
      </w:r>
      <w:proofErr w:type="spellStart"/>
      <w:r w:rsidRPr="00981706">
        <w:rPr>
          <w:spacing w:val="-4"/>
          <w:rtl/>
        </w:rPr>
        <w:t>راشتريا</w:t>
      </w:r>
      <w:proofErr w:type="spellEnd"/>
      <w:r w:rsidRPr="00981706">
        <w:rPr>
          <w:spacing w:val="-4"/>
          <w:rtl/>
        </w:rPr>
        <w:t xml:space="preserve"> </w:t>
      </w:r>
      <w:proofErr w:type="spellStart"/>
      <w:r w:rsidRPr="00981706">
        <w:rPr>
          <w:spacing w:val="-4"/>
          <w:rtl/>
        </w:rPr>
        <w:t>راكشا</w:t>
      </w:r>
      <w:proofErr w:type="spellEnd"/>
      <w:r w:rsidRPr="00981706">
        <w:rPr>
          <w:spacing w:val="-4"/>
          <w:rtl/>
        </w:rPr>
        <w:t>.</w:t>
      </w:r>
    </w:p>
    <w:p w14:paraId="2F0B4344" w14:textId="77777777" w:rsidR="001010FD" w:rsidRPr="00981706" w:rsidRDefault="001010FD" w:rsidP="008A3C14">
      <w:pPr>
        <w:pStyle w:val="Headingb"/>
        <w:rPr>
          <w:lang w:val="ar-SA"/>
        </w:rPr>
      </w:pPr>
      <w:r w:rsidRPr="00981706">
        <w:rPr>
          <w:rtl/>
        </w:rPr>
        <w:t>العدد الإجمالي لأعضاء قطاع تقييس الاتصالات والمنتسبين إليه والهيئات الأكاديمية المنضمة إليه</w:t>
      </w:r>
    </w:p>
    <w:p w14:paraId="5E2048BD" w14:textId="77777777" w:rsidR="001010FD" w:rsidRPr="00981706" w:rsidRDefault="001010FD" w:rsidP="00981706">
      <w:pPr>
        <w:rPr>
          <w:lang w:val="ar-SA" w:bidi="ar-EG"/>
        </w:rPr>
      </w:pPr>
      <w:r w:rsidRPr="00981706">
        <w:rPr>
          <w:rtl/>
        </w:rPr>
        <w:t>يوضح الجدول والشكل التاليان تطور عضوية قطاع تقييس الاتصالات منذ عام 2012.</w:t>
      </w:r>
    </w:p>
    <w:p w14:paraId="17936DFA" w14:textId="77777777" w:rsidR="001010FD" w:rsidRPr="00981706" w:rsidRDefault="001010FD" w:rsidP="001010FD">
      <w:pPr>
        <w:pStyle w:val="Tabletitle"/>
        <w:spacing w:before="240"/>
        <w:rPr>
          <w:lang w:val="ar-SA" w:bidi="ar-EG"/>
        </w:rPr>
      </w:pPr>
      <w:bookmarkStart w:id="169" w:name="_Toc179232461"/>
      <w:bookmarkStart w:id="170" w:name="_Toc179733681"/>
      <w:r w:rsidRPr="00981706">
        <w:rPr>
          <w:rtl/>
        </w:rPr>
        <w:t>الجدول 2 - تطور عضوية قطاع تقييس الاتصالات منذ عام 2012</w:t>
      </w:r>
      <w:bookmarkEnd w:id="169"/>
      <w:bookmarkEnd w:id="170"/>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0"/>
        <w:gridCol w:w="648"/>
        <w:gridCol w:w="648"/>
        <w:gridCol w:w="648"/>
        <w:gridCol w:w="648"/>
        <w:gridCol w:w="648"/>
        <w:gridCol w:w="648"/>
        <w:gridCol w:w="648"/>
        <w:gridCol w:w="648"/>
        <w:gridCol w:w="648"/>
        <w:gridCol w:w="648"/>
        <w:gridCol w:w="648"/>
        <w:gridCol w:w="648"/>
        <w:gridCol w:w="648"/>
      </w:tblGrid>
      <w:tr w:rsidR="001010FD" w:rsidRPr="00981706" w14:paraId="117574EB" w14:textId="77777777" w:rsidTr="0043274B">
        <w:trPr>
          <w:tblHeader/>
          <w:jc w:val="center"/>
        </w:trPr>
        <w:tc>
          <w:tcPr>
            <w:tcW w:w="845" w:type="pct"/>
            <w:tcBorders>
              <w:top w:val="nil"/>
              <w:left w:val="nil"/>
              <w:bottom w:val="single" w:sz="12" w:space="0" w:color="auto"/>
              <w:right w:val="single" w:sz="12" w:space="0" w:color="auto"/>
            </w:tcBorders>
            <w:shd w:val="clear" w:color="auto" w:fill="auto"/>
            <w:hideMark/>
          </w:tcPr>
          <w:p w14:paraId="0DEED834" w14:textId="77777777" w:rsidR="001010FD" w:rsidRPr="00981706" w:rsidRDefault="001010FD" w:rsidP="0043274B">
            <w:pPr>
              <w:pStyle w:val="Tablehead"/>
              <w:rPr>
                <w:lang w:val="en-GB"/>
              </w:rPr>
            </w:pPr>
          </w:p>
        </w:tc>
        <w:tc>
          <w:tcPr>
            <w:tcW w:w="335" w:type="pct"/>
            <w:tcBorders>
              <w:top w:val="single" w:sz="12" w:space="0" w:color="auto"/>
              <w:left w:val="single" w:sz="12" w:space="0" w:color="auto"/>
              <w:bottom w:val="single" w:sz="12" w:space="0" w:color="auto"/>
            </w:tcBorders>
            <w:shd w:val="clear" w:color="auto" w:fill="auto"/>
            <w:hideMark/>
          </w:tcPr>
          <w:p w14:paraId="1EE90834" w14:textId="77777777" w:rsidR="001010FD" w:rsidRPr="00981706" w:rsidRDefault="001010FD" w:rsidP="00321CB1">
            <w:pPr>
              <w:pStyle w:val="Tablehead"/>
              <w:rPr>
                <w:lang w:val="ar-SA"/>
              </w:rPr>
            </w:pPr>
            <w:r w:rsidRPr="00981706">
              <w:rPr>
                <w:rtl/>
                <w:lang w:bidi="ar-SA"/>
              </w:rPr>
              <w:t>2012</w:t>
            </w:r>
          </w:p>
        </w:tc>
        <w:tc>
          <w:tcPr>
            <w:tcW w:w="318" w:type="pct"/>
            <w:tcBorders>
              <w:top w:val="single" w:sz="12" w:space="0" w:color="auto"/>
              <w:bottom w:val="single" w:sz="12" w:space="0" w:color="auto"/>
            </w:tcBorders>
            <w:shd w:val="clear" w:color="auto" w:fill="auto"/>
            <w:hideMark/>
          </w:tcPr>
          <w:p w14:paraId="6CEC670A" w14:textId="77777777" w:rsidR="001010FD" w:rsidRPr="00981706" w:rsidRDefault="001010FD" w:rsidP="00321CB1">
            <w:pPr>
              <w:pStyle w:val="Tablehead"/>
              <w:rPr>
                <w:lang w:val="ar-SA"/>
              </w:rPr>
            </w:pPr>
            <w:r w:rsidRPr="00981706">
              <w:rPr>
                <w:rtl/>
                <w:lang w:bidi="ar-SA"/>
              </w:rPr>
              <w:t>2013</w:t>
            </w:r>
          </w:p>
        </w:tc>
        <w:tc>
          <w:tcPr>
            <w:tcW w:w="318" w:type="pct"/>
            <w:tcBorders>
              <w:top w:val="single" w:sz="12" w:space="0" w:color="auto"/>
              <w:bottom w:val="single" w:sz="12" w:space="0" w:color="auto"/>
            </w:tcBorders>
            <w:shd w:val="clear" w:color="auto" w:fill="auto"/>
            <w:hideMark/>
          </w:tcPr>
          <w:p w14:paraId="4439D4A8" w14:textId="77777777" w:rsidR="001010FD" w:rsidRPr="00981706" w:rsidRDefault="001010FD" w:rsidP="00321CB1">
            <w:pPr>
              <w:pStyle w:val="Tablehead"/>
              <w:rPr>
                <w:lang w:val="ar-SA"/>
              </w:rPr>
            </w:pPr>
            <w:r w:rsidRPr="00981706">
              <w:rPr>
                <w:rtl/>
                <w:lang w:bidi="ar-SA"/>
              </w:rPr>
              <w:t>2014</w:t>
            </w:r>
          </w:p>
        </w:tc>
        <w:tc>
          <w:tcPr>
            <w:tcW w:w="318" w:type="pct"/>
            <w:tcBorders>
              <w:top w:val="single" w:sz="12" w:space="0" w:color="auto"/>
              <w:bottom w:val="single" w:sz="12" w:space="0" w:color="auto"/>
            </w:tcBorders>
            <w:shd w:val="clear" w:color="auto" w:fill="auto"/>
            <w:hideMark/>
          </w:tcPr>
          <w:p w14:paraId="79A00BC4" w14:textId="77777777" w:rsidR="001010FD" w:rsidRPr="00981706" w:rsidRDefault="001010FD" w:rsidP="00321CB1">
            <w:pPr>
              <w:pStyle w:val="Tablehead"/>
              <w:rPr>
                <w:lang w:val="ar-SA"/>
              </w:rPr>
            </w:pPr>
            <w:r w:rsidRPr="00981706">
              <w:rPr>
                <w:rtl/>
                <w:lang w:bidi="ar-SA"/>
              </w:rPr>
              <w:t>2015</w:t>
            </w:r>
          </w:p>
        </w:tc>
        <w:tc>
          <w:tcPr>
            <w:tcW w:w="318" w:type="pct"/>
            <w:tcBorders>
              <w:top w:val="single" w:sz="12" w:space="0" w:color="auto"/>
              <w:bottom w:val="single" w:sz="12" w:space="0" w:color="auto"/>
            </w:tcBorders>
            <w:shd w:val="clear" w:color="auto" w:fill="auto"/>
            <w:hideMark/>
          </w:tcPr>
          <w:p w14:paraId="0BF05D23" w14:textId="77777777" w:rsidR="001010FD" w:rsidRPr="00981706" w:rsidRDefault="001010FD" w:rsidP="00321CB1">
            <w:pPr>
              <w:pStyle w:val="Tablehead"/>
              <w:rPr>
                <w:lang w:val="ar-SA"/>
              </w:rPr>
            </w:pPr>
            <w:r w:rsidRPr="00981706">
              <w:rPr>
                <w:rtl/>
                <w:lang w:bidi="ar-SA"/>
              </w:rPr>
              <w:t>2016</w:t>
            </w:r>
          </w:p>
        </w:tc>
        <w:tc>
          <w:tcPr>
            <w:tcW w:w="318" w:type="pct"/>
            <w:tcBorders>
              <w:top w:val="single" w:sz="12" w:space="0" w:color="auto"/>
              <w:bottom w:val="single" w:sz="12" w:space="0" w:color="auto"/>
            </w:tcBorders>
            <w:shd w:val="clear" w:color="auto" w:fill="auto"/>
            <w:hideMark/>
          </w:tcPr>
          <w:p w14:paraId="1F31AFCE" w14:textId="77777777" w:rsidR="001010FD" w:rsidRPr="00981706" w:rsidRDefault="001010FD" w:rsidP="00321CB1">
            <w:pPr>
              <w:pStyle w:val="Tablehead"/>
              <w:rPr>
                <w:lang w:val="ar-SA"/>
              </w:rPr>
            </w:pPr>
            <w:r w:rsidRPr="00981706">
              <w:rPr>
                <w:rtl/>
                <w:lang w:bidi="ar-SA"/>
              </w:rPr>
              <w:t>2017</w:t>
            </w:r>
          </w:p>
        </w:tc>
        <w:tc>
          <w:tcPr>
            <w:tcW w:w="318" w:type="pct"/>
            <w:tcBorders>
              <w:top w:val="single" w:sz="12" w:space="0" w:color="auto"/>
              <w:bottom w:val="single" w:sz="12" w:space="0" w:color="auto"/>
            </w:tcBorders>
            <w:shd w:val="clear" w:color="auto" w:fill="auto"/>
            <w:hideMark/>
          </w:tcPr>
          <w:p w14:paraId="50322C21" w14:textId="77777777" w:rsidR="001010FD" w:rsidRPr="00981706" w:rsidRDefault="001010FD" w:rsidP="00321CB1">
            <w:pPr>
              <w:pStyle w:val="Tablehead"/>
              <w:rPr>
                <w:lang w:val="ar-SA"/>
              </w:rPr>
            </w:pPr>
            <w:r w:rsidRPr="00981706">
              <w:rPr>
                <w:rtl/>
                <w:lang w:bidi="ar-SA"/>
              </w:rPr>
              <w:t>2018</w:t>
            </w:r>
          </w:p>
        </w:tc>
        <w:tc>
          <w:tcPr>
            <w:tcW w:w="318" w:type="pct"/>
            <w:tcBorders>
              <w:top w:val="single" w:sz="12" w:space="0" w:color="auto"/>
              <w:bottom w:val="single" w:sz="12" w:space="0" w:color="auto"/>
            </w:tcBorders>
            <w:shd w:val="clear" w:color="auto" w:fill="auto"/>
            <w:hideMark/>
          </w:tcPr>
          <w:p w14:paraId="2FD3D3F8" w14:textId="77777777" w:rsidR="001010FD" w:rsidRPr="00981706" w:rsidRDefault="001010FD" w:rsidP="00321CB1">
            <w:pPr>
              <w:pStyle w:val="Tablehead"/>
              <w:rPr>
                <w:lang w:val="ar-SA"/>
              </w:rPr>
            </w:pPr>
            <w:r w:rsidRPr="00981706">
              <w:rPr>
                <w:rtl/>
                <w:lang w:bidi="ar-SA"/>
              </w:rPr>
              <w:t>2019</w:t>
            </w:r>
          </w:p>
        </w:tc>
        <w:tc>
          <w:tcPr>
            <w:tcW w:w="318" w:type="pct"/>
            <w:tcBorders>
              <w:top w:val="single" w:sz="12" w:space="0" w:color="auto"/>
              <w:bottom w:val="single" w:sz="12" w:space="0" w:color="auto"/>
            </w:tcBorders>
            <w:shd w:val="clear" w:color="auto" w:fill="auto"/>
            <w:hideMark/>
          </w:tcPr>
          <w:p w14:paraId="6C778CBC" w14:textId="77777777" w:rsidR="001010FD" w:rsidRPr="00981706" w:rsidRDefault="001010FD" w:rsidP="00321CB1">
            <w:pPr>
              <w:pStyle w:val="Tablehead"/>
              <w:rPr>
                <w:lang w:val="ar-SA"/>
              </w:rPr>
            </w:pPr>
            <w:r w:rsidRPr="00981706">
              <w:rPr>
                <w:rtl/>
                <w:lang w:bidi="ar-SA"/>
              </w:rPr>
              <w:t>2020</w:t>
            </w:r>
          </w:p>
        </w:tc>
        <w:tc>
          <w:tcPr>
            <w:tcW w:w="318" w:type="pct"/>
            <w:tcBorders>
              <w:top w:val="single" w:sz="12" w:space="0" w:color="auto"/>
              <w:bottom w:val="single" w:sz="12" w:space="0" w:color="auto"/>
            </w:tcBorders>
            <w:shd w:val="clear" w:color="auto" w:fill="auto"/>
            <w:hideMark/>
          </w:tcPr>
          <w:p w14:paraId="415EF89D" w14:textId="77777777" w:rsidR="001010FD" w:rsidRPr="00981706" w:rsidRDefault="001010FD" w:rsidP="00321CB1">
            <w:pPr>
              <w:pStyle w:val="Tablehead"/>
              <w:rPr>
                <w:lang w:val="ar-SA"/>
              </w:rPr>
            </w:pPr>
            <w:r w:rsidRPr="00981706">
              <w:rPr>
                <w:rtl/>
                <w:lang w:bidi="ar-SA"/>
              </w:rPr>
              <w:t>2021</w:t>
            </w:r>
          </w:p>
        </w:tc>
        <w:tc>
          <w:tcPr>
            <w:tcW w:w="318" w:type="pct"/>
            <w:tcBorders>
              <w:top w:val="single" w:sz="12" w:space="0" w:color="auto"/>
              <w:bottom w:val="single" w:sz="12" w:space="0" w:color="auto"/>
            </w:tcBorders>
            <w:shd w:val="clear" w:color="auto" w:fill="auto"/>
            <w:hideMark/>
          </w:tcPr>
          <w:p w14:paraId="737483A9" w14:textId="77777777" w:rsidR="001010FD" w:rsidRPr="00981706" w:rsidRDefault="001010FD" w:rsidP="00321CB1">
            <w:pPr>
              <w:pStyle w:val="Tablehead"/>
              <w:rPr>
                <w:lang w:val="ar-SA"/>
              </w:rPr>
            </w:pPr>
            <w:r w:rsidRPr="00981706">
              <w:rPr>
                <w:rtl/>
                <w:lang w:bidi="ar-SA"/>
              </w:rPr>
              <w:t>2022</w:t>
            </w:r>
          </w:p>
        </w:tc>
        <w:tc>
          <w:tcPr>
            <w:tcW w:w="318" w:type="pct"/>
            <w:tcBorders>
              <w:top w:val="single" w:sz="12" w:space="0" w:color="auto"/>
              <w:bottom w:val="single" w:sz="12" w:space="0" w:color="auto"/>
            </w:tcBorders>
            <w:shd w:val="clear" w:color="auto" w:fill="auto"/>
          </w:tcPr>
          <w:p w14:paraId="57EBE86C" w14:textId="77777777" w:rsidR="001010FD" w:rsidRPr="00981706" w:rsidRDefault="001010FD" w:rsidP="00321CB1">
            <w:pPr>
              <w:pStyle w:val="Tablehead"/>
              <w:rPr>
                <w:lang w:val="ar-SA"/>
              </w:rPr>
            </w:pPr>
            <w:r w:rsidRPr="00981706">
              <w:rPr>
                <w:rtl/>
                <w:lang w:bidi="ar-SA"/>
              </w:rPr>
              <w:t>2023</w:t>
            </w:r>
          </w:p>
        </w:tc>
        <w:tc>
          <w:tcPr>
            <w:tcW w:w="318" w:type="pct"/>
            <w:tcBorders>
              <w:top w:val="single" w:sz="12" w:space="0" w:color="auto"/>
              <w:bottom w:val="single" w:sz="12" w:space="0" w:color="auto"/>
            </w:tcBorders>
            <w:shd w:val="clear" w:color="auto" w:fill="auto"/>
          </w:tcPr>
          <w:p w14:paraId="10406528" w14:textId="77777777" w:rsidR="001010FD" w:rsidRPr="00981706" w:rsidRDefault="001010FD" w:rsidP="00321CB1">
            <w:pPr>
              <w:pStyle w:val="Tablehead"/>
              <w:rPr>
                <w:lang w:val="ar-SA"/>
              </w:rPr>
            </w:pPr>
            <w:r w:rsidRPr="00981706">
              <w:rPr>
                <w:rtl/>
                <w:lang w:bidi="ar-SA"/>
              </w:rPr>
              <w:t>2024</w:t>
            </w:r>
          </w:p>
        </w:tc>
      </w:tr>
      <w:tr w:rsidR="001010FD" w:rsidRPr="00981706" w14:paraId="4BB4A017" w14:textId="77777777" w:rsidTr="0043274B">
        <w:trPr>
          <w:jc w:val="center"/>
        </w:trPr>
        <w:tc>
          <w:tcPr>
            <w:tcW w:w="845" w:type="pct"/>
            <w:tcBorders>
              <w:top w:val="single" w:sz="12" w:space="0" w:color="auto"/>
            </w:tcBorders>
            <w:shd w:val="clear" w:color="auto" w:fill="auto"/>
            <w:hideMark/>
          </w:tcPr>
          <w:p w14:paraId="6213167D" w14:textId="77777777" w:rsidR="001010FD" w:rsidRPr="00981706" w:rsidRDefault="001010FD" w:rsidP="00E270CB">
            <w:pPr>
              <w:pStyle w:val="Tabletext"/>
              <w:rPr>
                <w:lang w:val="ar-SA" w:bidi="ar-EG"/>
              </w:rPr>
            </w:pPr>
            <w:r w:rsidRPr="00981706">
              <w:rPr>
                <w:rtl/>
              </w:rPr>
              <w:t>أعضاء القطاع</w:t>
            </w:r>
          </w:p>
        </w:tc>
        <w:tc>
          <w:tcPr>
            <w:tcW w:w="335" w:type="pct"/>
            <w:tcBorders>
              <w:top w:val="single" w:sz="12" w:space="0" w:color="auto"/>
            </w:tcBorders>
            <w:shd w:val="clear" w:color="auto" w:fill="auto"/>
            <w:hideMark/>
          </w:tcPr>
          <w:p w14:paraId="11529F51" w14:textId="77777777" w:rsidR="001010FD" w:rsidRPr="008C0D36" w:rsidRDefault="001010FD" w:rsidP="00321CB1">
            <w:pPr>
              <w:pStyle w:val="Tabletext"/>
              <w:jc w:val="center"/>
              <w:rPr>
                <w:lang w:val="ar-SA" w:bidi="ar-EG"/>
              </w:rPr>
            </w:pPr>
            <w:r w:rsidRPr="008C0D36">
              <w:rPr>
                <w:rtl/>
              </w:rPr>
              <w:t>262</w:t>
            </w:r>
          </w:p>
        </w:tc>
        <w:tc>
          <w:tcPr>
            <w:tcW w:w="318" w:type="pct"/>
            <w:tcBorders>
              <w:top w:val="single" w:sz="12" w:space="0" w:color="auto"/>
            </w:tcBorders>
            <w:shd w:val="clear" w:color="auto" w:fill="auto"/>
            <w:hideMark/>
          </w:tcPr>
          <w:p w14:paraId="29B69B1A" w14:textId="77777777" w:rsidR="001010FD" w:rsidRPr="008C0D36" w:rsidRDefault="001010FD" w:rsidP="00321CB1">
            <w:pPr>
              <w:pStyle w:val="Tabletext"/>
              <w:jc w:val="center"/>
              <w:rPr>
                <w:lang w:val="ar-SA" w:bidi="ar-EG"/>
              </w:rPr>
            </w:pPr>
            <w:r w:rsidRPr="008C0D36">
              <w:rPr>
                <w:rtl/>
              </w:rPr>
              <w:t>269</w:t>
            </w:r>
          </w:p>
        </w:tc>
        <w:tc>
          <w:tcPr>
            <w:tcW w:w="318" w:type="pct"/>
            <w:tcBorders>
              <w:top w:val="single" w:sz="12" w:space="0" w:color="auto"/>
            </w:tcBorders>
            <w:shd w:val="clear" w:color="auto" w:fill="auto"/>
            <w:hideMark/>
          </w:tcPr>
          <w:p w14:paraId="5D690285" w14:textId="77777777" w:rsidR="001010FD" w:rsidRPr="008C0D36" w:rsidRDefault="001010FD" w:rsidP="00321CB1">
            <w:pPr>
              <w:pStyle w:val="Tabletext"/>
              <w:jc w:val="center"/>
              <w:rPr>
                <w:lang w:val="ar-SA" w:bidi="ar-EG"/>
              </w:rPr>
            </w:pPr>
            <w:r w:rsidRPr="008C0D36">
              <w:rPr>
                <w:rtl/>
              </w:rPr>
              <w:t>266</w:t>
            </w:r>
          </w:p>
        </w:tc>
        <w:tc>
          <w:tcPr>
            <w:tcW w:w="318" w:type="pct"/>
            <w:tcBorders>
              <w:top w:val="single" w:sz="12" w:space="0" w:color="auto"/>
            </w:tcBorders>
            <w:shd w:val="clear" w:color="auto" w:fill="auto"/>
            <w:hideMark/>
          </w:tcPr>
          <w:p w14:paraId="20928C7F" w14:textId="77777777" w:rsidR="001010FD" w:rsidRPr="008C0D36" w:rsidRDefault="001010FD" w:rsidP="00321CB1">
            <w:pPr>
              <w:pStyle w:val="Tabletext"/>
              <w:jc w:val="center"/>
              <w:rPr>
                <w:lang w:val="ar-SA" w:bidi="ar-EG"/>
              </w:rPr>
            </w:pPr>
            <w:r w:rsidRPr="008C0D36">
              <w:rPr>
                <w:rtl/>
              </w:rPr>
              <w:t>261</w:t>
            </w:r>
          </w:p>
        </w:tc>
        <w:tc>
          <w:tcPr>
            <w:tcW w:w="318" w:type="pct"/>
            <w:tcBorders>
              <w:top w:val="single" w:sz="12" w:space="0" w:color="auto"/>
            </w:tcBorders>
            <w:shd w:val="clear" w:color="auto" w:fill="auto"/>
            <w:hideMark/>
          </w:tcPr>
          <w:p w14:paraId="3124B85B" w14:textId="77777777" w:rsidR="001010FD" w:rsidRPr="008C0D36" w:rsidRDefault="001010FD" w:rsidP="00321CB1">
            <w:pPr>
              <w:pStyle w:val="Tabletext"/>
              <w:jc w:val="center"/>
              <w:rPr>
                <w:lang w:val="ar-SA" w:bidi="ar-EG"/>
              </w:rPr>
            </w:pPr>
            <w:r w:rsidRPr="008C0D36">
              <w:rPr>
                <w:rtl/>
              </w:rPr>
              <w:t>250</w:t>
            </w:r>
          </w:p>
        </w:tc>
        <w:tc>
          <w:tcPr>
            <w:tcW w:w="318" w:type="pct"/>
            <w:tcBorders>
              <w:top w:val="single" w:sz="12" w:space="0" w:color="auto"/>
            </w:tcBorders>
            <w:shd w:val="clear" w:color="auto" w:fill="auto"/>
            <w:hideMark/>
          </w:tcPr>
          <w:p w14:paraId="68C15B30" w14:textId="77777777" w:rsidR="001010FD" w:rsidRPr="008C0D36" w:rsidRDefault="001010FD" w:rsidP="00321CB1">
            <w:pPr>
              <w:pStyle w:val="Tabletext"/>
              <w:jc w:val="center"/>
              <w:rPr>
                <w:lang w:val="ar-SA" w:bidi="ar-EG"/>
              </w:rPr>
            </w:pPr>
            <w:r w:rsidRPr="008C0D36">
              <w:rPr>
                <w:rtl/>
              </w:rPr>
              <w:t>255</w:t>
            </w:r>
          </w:p>
        </w:tc>
        <w:tc>
          <w:tcPr>
            <w:tcW w:w="318" w:type="pct"/>
            <w:tcBorders>
              <w:top w:val="single" w:sz="12" w:space="0" w:color="auto"/>
            </w:tcBorders>
            <w:shd w:val="clear" w:color="auto" w:fill="auto"/>
            <w:hideMark/>
          </w:tcPr>
          <w:p w14:paraId="5CD4425D" w14:textId="77777777" w:rsidR="001010FD" w:rsidRPr="008C0D36" w:rsidRDefault="001010FD" w:rsidP="00321CB1">
            <w:pPr>
              <w:pStyle w:val="Tabletext"/>
              <w:jc w:val="center"/>
              <w:rPr>
                <w:lang w:val="ar-SA" w:bidi="ar-EG"/>
              </w:rPr>
            </w:pPr>
            <w:r w:rsidRPr="008C0D36">
              <w:rPr>
                <w:rtl/>
              </w:rPr>
              <w:t>255</w:t>
            </w:r>
          </w:p>
        </w:tc>
        <w:tc>
          <w:tcPr>
            <w:tcW w:w="318" w:type="pct"/>
            <w:tcBorders>
              <w:top w:val="single" w:sz="12" w:space="0" w:color="auto"/>
            </w:tcBorders>
            <w:shd w:val="clear" w:color="auto" w:fill="auto"/>
            <w:hideMark/>
          </w:tcPr>
          <w:p w14:paraId="5602C246" w14:textId="77777777" w:rsidR="001010FD" w:rsidRPr="008C0D36" w:rsidRDefault="001010FD" w:rsidP="00321CB1">
            <w:pPr>
              <w:pStyle w:val="Tabletext"/>
              <w:jc w:val="center"/>
              <w:rPr>
                <w:lang w:val="ar-SA" w:bidi="ar-EG"/>
              </w:rPr>
            </w:pPr>
            <w:r w:rsidRPr="008C0D36">
              <w:rPr>
                <w:rtl/>
              </w:rPr>
              <w:t>265</w:t>
            </w:r>
          </w:p>
        </w:tc>
        <w:tc>
          <w:tcPr>
            <w:tcW w:w="318" w:type="pct"/>
            <w:tcBorders>
              <w:top w:val="single" w:sz="12" w:space="0" w:color="auto"/>
            </w:tcBorders>
            <w:shd w:val="clear" w:color="auto" w:fill="auto"/>
            <w:hideMark/>
          </w:tcPr>
          <w:p w14:paraId="42E3E520" w14:textId="77777777" w:rsidR="001010FD" w:rsidRPr="008C0D36" w:rsidRDefault="001010FD" w:rsidP="00321CB1">
            <w:pPr>
              <w:pStyle w:val="Tabletext"/>
              <w:jc w:val="center"/>
              <w:rPr>
                <w:lang w:val="ar-SA" w:bidi="ar-EG"/>
              </w:rPr>
            </w:pPr>
            <w:r w:rsidRPr="008C0D36">
              <w:rPr>
                <w:rtl/>
              </w:rPr>
              <w:t>275</w:t>
            </w:r>
          </w:p>
        </w:tc>
        <w:tc>
          <w:tcPr>
            <w:tcW w:w="318" w:type="pct"/>
            <w:tcBorders>
              <w:top w:val="single" w:sz="12" w:space="0" w:color="auto"/>
            </w:tcBorders>
            <w:shd w:val="clear" w:color="auto" w:fill="auto"/>
            <w:hideMark/>
          </w:tcPr>
          <w:p w14:paraId="3BD9D378" w14:textId="77777777" w:rsidR="001010FD" w:rsidRPr="008C0D36" w:rsidRDefault="001010FD" w:rsidP="00321CB1">
            <w:pPr>
              <w:pStyle w:val="Tabletext"/>
              <w:jc w:val="center"/>
              <w:rPr>
                <w:lang w:val="ar-SA" w:bidi="ar-EG"/>
              </w:rPr>
            </w:pPr>
            <w:r w:rsidRPr="008C0D36">
              <w:rPr>
                <w:rtl/>
              </w:rPr>
              <w:t>269</w:t>
            </w:r>
          </w:p>
        </w:tc>
        <w:tc>
          <w:tcPr>
            <w:tcW w:w="318" w:type="pct"/>
            <w:tcBorders>
              <w:top w:val="single" w:sz="12" w:space="0" w:color="auto"/>
            </w:tcBorders>
            <w:shd w:val="clear" w:color="auto" w:fill="auto"/>
            <w:hideMark/>
          </w:tcPr>
          <w:p w14:paraId="2E926A14" w14:textId="77777777" w:rsidR="001010FD" w:rsidRPr="008C0D36" w:rsidRDefault="001010FD" w:rsidP="00321CB1">
            <w:pPr>
              <w:pStyle w:val="Tabletext"/>
              <w:jc w:val="center"/>
              <w:rPr>
                <w:lang w:val="ar-SA" w:bidi="ar-EG"/>
              </w:rPr>
            </w:pPr>
            <w:r w:rsidRPr="008C0D36">
              <w:rPr>
                <w:rtl/>
              </w:rPr>
              <w:t>263</w:t>
            </w:r>
          </w:p>
        </w:tc>
        <w:tc>
          <w:tcPr>
            <w:tcW w:w="318" w:type="pct"/>
            <w:tcBorders>
              <w:top w:val="single" w:sz="12" w:space="0" w:color="auto"/>
            </w:tcBorders>
            <w:shd w:val="clear" w:color="auto" w:fill="auto"/>
          </w:tcPr>
          <w:p w14:paraId="41FC3FAE" w14:textId="77777777" w:rsidR="001010FD" w:rsidRPr="008C0D36" w:rsidRDefault="001010FD" w:rsidP="00321CB1">
            <w:pPr>
              <w:pStyle w:val="Tabletext"/>
              <w:jc w:val="center"/>
              <w:rPr>
                <w:lang w:val="ar-SA" w:bidi="ar-EG"/>
              </w:rPr>
            </w:pPr>
            <w:r w:rsidRPr="008C0D36">
              <w:rPr>
                <w:rtl/>
              </w:rPr>
              <w:t>270</w:t>
            </w:r>
          </w:p>
        </w:tc>
        <w:tc>
          <w:tcPr>
            <w:tcW w:w="318" w:type="pct"/>
            <w:tcBorders>
              <w:top w:val="single" w:sz="12" w:space="0" w:color="auto"/>
            </w:tcBorders>
            <w:shd w:val="clear" w:color="auto" w:fill="auto"/>
          </w:tcPr>
          <w:p w14:paraId="0523DBD1" w14:textId="77777777" w:rsidR="001010FD" w:rsidRPr="008C0D36" w:rsidRDefault="001010FD" w:rsidP="00321CB1">
            <w:pPr>
              <w:pStyle w:val="Tabletext"/>
              <w:jc w:val="center"/>
              <w:rPr>
                <w:lang w:val="ar-SA" w:bidi="ar-EG"/>
              </w:rPr>
            </w:pPr>
            <w:r w:rsidRPr="008C0D36">
              <w:rPr>
                <w:rtl/>
              </w:rPr>
              <w:t>268</w:t>
            </w:r>
          </w:p>
        </w:tc>
      </w:tr>
      <w:tr w:rsidR="001010FD" w:rsidRPr="00981706" w14:paraId="69DA3721" w14:textId="77777777" w:rsidTr="0043274B">
        <w:trPr>
          <w:jc w:val="center"/>
        </w:trPr>
        <w:tc>
          <w:tcPr>
            <w:tcW w:w="845" w:type="pct"/>
            <w:shd w:val="clear" w:color="auto" w:fill="auto"/>
            <w:hideMark/>
          </w:tcPr>
          <w:p w14:paraId="6B6E70EA" w14:textId="77777777" w:rsidR="001010FD" w:rsidRPr="00981706" w:rsidRDefault="001010FD" w:rsidP="00E270CB">
            <w:pPr>
              <w:pStyle w:val="Tabletext"/>
              <w:rPr>
                <w:lang w:val="ar-SA" w:bidi="ar-EG"/>
              </w:rPr>
            </w:pPr>
            <w:r w:rsidRPr="00981706">
              <w:rPr>
                <w:rtl/>
              </w:rPr>
              <w:t>المنتسبون</w:t>
            </w:r>
          </w:p>
        </w:tc>
        <w:tc>
          <w:tcPr>
            <w:tcW w:w="335" w:type="pct"/>
            <w:shd w:val="clear" w:color="auto" w:fill="auto"/>
            <w:hideMark/>
          </w:tcPr>
          <w:p w14:paraId="06EEA3B1" w14:textId="77777777" w:rsidR="001010FD" w:rsidRPr="008C0D36" w:rsidRDefault="001010FD" w:rsidP="00321CB1">
            <w:pPr>
              <w:pStyle w:val="Tabletext"/>
              <w:jc w:val="center"/>
              <w:rPr>
                <w:lang w:val="ar-SA" w:bidi="ar-EG"/>
              </w:rPr>
            </w:pPr>
            <w:r w:rsidRPr="008C0D36">
              <w:rPr>
                <w:rtl/>
              </w:rPr>
              <w:t>128</w:t>
            </w:r>
          </w:p>
        </w:tc>
        <w:tc>
          <w:tcPr>
            <w:tcW w:w="318" w:type="pct"/>
            <w:shd w:val="clear" w:color="auto" w:fill="auto"/>
            <w:hideMark/>
          </w:tcPr>
          <w:p w14:paraId="0C0A7952" w14:textId="77777777" w:rsidR="001010FD" w:rsidRPr="008C0D36" w:rsidRDefault="001010FD" w:rsidP="00321CB1">
            <w:pPr>
              <w:pStyle w:val="Tabletext"/>
              <w:jc w:val="center"/>
              <w:rPr>
                <w:lang w:val="ar-SA" w:bidi="ar-EG"/>
              </w:rPr>
            </w:pPr>
            <w:r w:rsidRPr="008C0D36">
              <w:rPr>
                <w:rtl/>
              </w:rPr>
              <w:t>130</w:t>
            </w:r>
          </w:p>
        </w:tc>
        <w:tc>
          <w:tcPr>
            <w:tcW w:w="318" w:type="pct"/>
            <w:shd w:val="clear" w:color="auto" w:fill="auto"/>
            <w:hideMark/>
          </w:tcPr>
          <w:p w14:paraId="08DD053A" w14:textId="77777777" w:rsidR="001010FD" w:rsidRPr="008C0D36" w:rsidRDefault="001010FD" w:rsidP="00321CB1">
            <w:pPr>
              <w:pStyle w:val="Tabletext"/>
              <w:jc w:val="center"/>
              <w:rPr>
                <w:lang w:val="ar-SA" w:bidi="ar-EG"/>
              </w:rPr>
            </w:pPr>
            <w:r w:rsidRPr="008C0D36">
              <w:rPr>
                <w:rtl/>
              </w:rPr>
              <w:t>132</w:t>
            </w:r>
          </w:p>
        </w:tc>
        <w:tc>
          <w:tcPr>
            <w:tcW w:w="318" w:type="pct"/>
            <w:shd w:val="clear" w:color="auto" w:fill="auto"/>
            <w:hideMark/>
          </w:tcPr>
          <w:p w14:paraId="221E2BA8" w14:textId="77777777" w:rsidR="001010FD" w:rsidRPr="008C0D36" w:rsidRDefault="001010FD" w:rsidP="00321CB1">
            <w:pPr>
              <w:pStyle w:val="Tabletext"/>
              <w:jc w:val="center"/>
              <w:rPr>
                <w:lang w:val="ar-SA" w:bidi="ar-EG"/>
              </w:rPr>
            </w:pPr>
            <w:r w:rsidRPr="008C0D36">
              <w:rPr>
                <w:rtl/>
              </w:rPr>
              <w:t>131</w:t>
            </w:r>
          </w:p>
        </w:tc>
        <w:tc>
          <w:tcPr>
            <w:tcW w:w="318" w:type="pct"/>
            <w:shd w:val="clear" w:color="auto" w:fill="auto"/>
            <w:hideMark/>
          </w:tcPr>
          <w:p w14:paraId="7A7D9E99" w14:textId="77777777" w:rsidR="001010FD" w:rsidRPr="008C0D36" w:rsidRDefault="001010FD" w:rsidP="00321CB1">
            <w:pPr>
              <w:pStyle w:val="Tabletext"/>
              <w:jc w:val="center"/>
              <w:rPr>
                <w:lang w:val="ar-SA" w:bidi="ar-EG"/>
              </w:rPr>
            </w:pPr>
            <w:r w:rsidRPr="008C0D36">
              <w:rPr>
                <w:rtl/>
              </w:rPr>
              <w:t>127</w:t>
            </w:r>
          </w:p>
        </w:tc>
        <w:tc>
          <w:tcPr>
            <w:tcW w:w="318" w:type="pct"/>
            <w:shd w:val="clear" w:color="auto" w:fill="auto"/>
            <w:hideMark/>
          </w:tcPr>
          <w:p w14:paraId="403A5A3A" w14:textId="77777777" w:rsidR="001010FD" w:rsidRPr="008C0D36" w:rsidRDefault="001010FD" w:rsidP="00321CB1">
            <w:pPr>
              <w:pStyle w:val="Tabletext"/>
              <w:jc w:val="center"/>
              <w:rPr>
                <w:lang w:val="ar-SA" w:bidi="ar-EG"/>
              </w:rPr>
            </w:pPr>
            <w:r w:rsidRPr="008C0D36">
              <w:rPr>
                <w:rtl/>
              </w:rPr>
              <w:t>135</w:t>
            </w:r>
          </w:p>
        </w:tc>
        <w:tc>
          <w:tcPr>
            <w:tcW w:w="318" w:type="pct"/>
            <w:shd w:val="clear" w:color="auto" w:fill="auto"/>
            <w:hideMark/>
          </w:tcPr>
          <w:p w14:paraId="19A44CA6" w14:textId="77777777" w:rsidR="001010FD" w:rsidRPr="008C0D36" w:rsidRDefault="001010FD" w:rsidP="00321CB1">
            <w:pPr>
              <w:pStyle w:val="Tabletext"/>
              <w:jc w:val="center"/>
              <w:rPr>
                <w:lang w:val="ar-SA" w:bidi="ar-EG"/>
              </w:rPr>
            </w:pPr>
            <w:r w:rsidRPr="008C0D36">
              <w:rPr>
                <w:rtl/>
              </w:rPr>
              <w:t>152</w:t>
            </w:r>
          </w:p>
        </w:tc>
        <w:tc>
          <w:tcPr>
            <w:tcW w:w="318" w:type="pct"/>
            <w:shd w:val="clear" w:color="auto" w:fill="auto"/>
            <w:hideMark/>
          </w:tcPr>
          <w:p w14:paraId="4F1D2D28" w14:textId="77777777" w:rsidR="001010FD" w:rsidRPr="008C0D36" w:rsidRDefault="001010FD" w:rsidP="00321CB1">
            <w:pPr>
              <w:pStyle w:val="Tabletext"/>
              <w:jc w:val="center"/>
              <w:rPr>
                <w:lang w:val="ar-SA" w:bidi="ar-EG"/>
              </w:rPr>
            </w:pPr>
            <w:r w:rsidRPr="008C0D36">
              <w:rPr>
                <w:rtl/>
              </w:rPr>
              <w:t>177</w:t>
            </w:r>
          </w:p>
        </w:tc>
        <w:tc>
          <w:tcPr>
            <w:tcW w:w="318" w:type="pct"/>
            <w:shd w:val="clear" w:color="auto" w:fill="auto"/>
            <w:hideMark/>
          </w:tcPr>
          <w:p w14:paraId="2D5A41DB" w14:textId="77777777" w:rsidR="001010FD" w:rsidRPr="008C0D36" w:rsidRDefault="001010FD" w:rsidP="00321CB1">
            <w:pPr>
              <w:pStyle w:val="Tabletext"/>
              <w:jc w:val="center"/>
              <w:rPr>
                <w:lang w:val="ar-SA" w:bidi="ar-EG"/>
              </w:rPr>
            </w:pPr>
            <w:r w:rsidRPr="008C0D36">
              <w:rPr>
                <w:rtl/>
              </w:rPr>
              <w:t>192</w:t>
            </w:r>
          </w:p>
        </w:tc>
        <w:tc>
          <w:tcPr>
            <w:tcW w:w="318" w:type="pct"/>
            <w:shd w:val="clear" w:color="auto" w:fill="auto"/>
            <w:hideMark/>
          </w:tcPr>
          <w:p w14:paraId="7A9D3EBB" w14:textId="77777777" w:rsidR="001010FD" w:rsidRPr="008C0D36" w:rsidRDefault="001010FD" w:rsidP="00321CB1">
            <w:pPr>
              <w:pStyle w:val="Tabletext"/>
              <w:jc w:val="center"/>
              <w:rPr>
                <w:lang w:val="ar-SA" w:bidi="ar-EG"/>
              </w:rPr>
            </w:pPr>
            <w:r w:rsidRPr="008C0D36">
              <w:rPr>
                <w:rtl/>
              </w:rPr>
              <w:t>213</w:t>
            </w:r>
          </w:p>
        </w:tc>
        <w:tc>
          <w:tcPr>
            <w:tcW w:w="318" w:type="pct"/>
            <w:shd w:val="clear" w:color="auto" w:fill="auto"/>
            <w:hideMark/>
          </w:tcPr>
          <w:p w14:paraId="7D7C7368" w14:textId="77777777" w:rsidR="001010FD" w:rsidRPr="008C0D36" w:rsidRDefault="001010FD" w:rsidP="00321CB1">
            <w:pPr>
              <w:pStyle w:val="Tabletext"/>
              <w:jc w:val="center"/>
              <w:rPr>
                <w:lang w:val="ar-SA" w:bidi="ar-EG"/>
              </w:rPr>
            </w:pPr>
            <w:r w:rsidRPr="008C0D36">
              <w:rPr>
                <w:rtl/>
              </w:rPr>
              <w:t>220</w:t>
            </w:r>
          </w:p>
        </w:tc>
        <w:tc>
          <w:tcPr>
            <w:tcW w:w="318" w:type="pct"/>
            <w:shd w:val="clear" w:color="auto" w:fill="auto"/>
          </w:tcPr>
          <w:p w14:paraId="2A645724" w14:textId="77777777" w:rsidR="001010FD" w:rsidRPr="008C0D36" w:rsidRDefault="001010FD" w:rsidP="00321CB1">
            <w:pPr>
              <w:pStyle w:val="Tabletext"/>
              <w:jc w:val="center"/>
              <w:rPr>
                <w:lang w:val="ar-SA" w:bidi="ar-EG"/>
              </w:rPr>
            </w:pPr>
            <w:r w:rsidRPr="008C0D36">
              <w:rPr>
                <w:rtl/>
              </w:rPr>
              <w:t>226</w:t>
            </w:r>
          </w:p>
        </w:tc>
        <w:tc>
          <w:tcPr>
            <w:tcW w:w="318" w:type="pct"/>
            <w:shd w:val="clear" w:color="auto" w:fill="auto"/>
          </w:tcPr>
          <w:p w14:paraId="666FCB61" w14:textId="77777777" w:rsidR="001010FD" w:rsidRPr="008C0D36" w:rsidRDefault="001010FD" w:rsidP="00321CB1">
            <w:pPr>
              <w:pStyle w:val="Tabletext"/>
              <w:jc w:val="center"/>
              <w:rPr>
                <w:lang w:val="ar-SA" w:bidi="ar-EG"/>
              </w:rPr>
            </w:pPr>
            <w:r w:rsidRPr="008C0D36">
              <w:rPr>
                <w:rtl/>
              </w:rPr>
              <w:t>234</w:t>
            </w:r>
          </w:p>
        </w:tc>
      </w:tr>
      <w:tr w:rsidR="001010FD" w:rsidRPr="00981706" w14:paraId="647B95C6" w14:textId="77777777" w:rsidTr="0043274B">
        <w:trPr>
          <w:jc w:val="center"/>
        </w:trPr>
        <w:tc>
          <w:tcPr>
            <w:tcW w:w="845" w:type="pct"/>
            <w:shd w:val="clear" w:color="auto" w:fill="auto"/>
            <w:hideMark/>
          </w:tcPr>
          <w:p w14:paraId="7381E698" w14:textId="77777777" w:rsidR="001010FD" w:rsidRPr="00981706" w:rsidRDefault="001010FD" w:rsidP="00E270CB">
            <w:pPr>
              <w:pStyle w:val="Tabletext"/>
              <w:rPr>
                <w:lang w:val="ar-SA" w:bidi="ar-EG"/>
              </w:rPr>
            </w:pPr>
            <w:r w:rsidRPr="00981706">
              <w:rPr>
                <w:rtl/>
              </w:rPr>
              <w:t>الهيئات الأكاديمية</w:t>
            </w:r>
          </w:p>
        </w:tc>
        <w:tc>
          <w:tcPr>
            <w:tcW w:w="335" w:type="pct"/>
            <w:shd w:val="clear" w:color="auto" w:fill="auto"/>
            <w:hideMark/>
          </w:tcPr>
          <w:p w14:paraId="59784DDA" w14:textId="77777777" w:rsidR="001010FD" w:rsidRPr="008C0D36" w:rsidRDefault="001010FD" w:rsidP="00321CB1">
            <w:pPr>
              <w:pStyle w:val="Tabletext"/>
              <w:jc w:val="center"/>
              <w:rPr>
                <w:lang w:val="ar-SA" w:bidi="ar-EG"/>
              </w:rPr>
            </w:pPr>
            <w:r w:rsidRPr="008C0D36">
              <w:rPr>
                <w:rtl/>
              </w:rPr>
              <w:t>39</w:t>
            </w:r>
          </w:p>
        </w:tc>
        <w:tc>
          <w:tcPr>
            <w:tcW w:w="318" w:type="pct"/>
            <w:shd w:val="clear" w:color="auto" w:fill="auto"/>
            <w:hideMark/>
          </w:tcPr>
          <w:p w14:paraId="774F8F1D" w14:textId="77777777" w:rsidR="001010FD" w:rsidRPr="008C0D36" w:rsidRDefault="001010FD" w:rsidP="00321CB1">
            <w:pPr>
              <w:pStyle w:val="Tabletext"/>
              <w:jc w:val="center"/>
              <w:rPr>
                <w:lang w:val="ar-SA" w:bidi="ar-EG"/>
              </w:rPr>
            </w:pPr>
            <w:r w:rsidRPr="008C0D36">
              <w:rPr>
                <w:rtl/>
              </w:rPr>
              <w:t>56</w:t>
            </w:r>
          </w:p>
        </w:tc>
        <w:tc>
          <w:tcPr>
            <w:tcW w:w="318" w:type="pct"/>
            <w:shd w:val="clear" w:color="auto" w:fill="auto"/>
            <w:hideMark/>
          </w:tcPr>
          <w:p w14:paraId="42325375" w14:textId="77777777" w:rsidR="001010FD" w:rsidRPr="008C0D36" w:rsidRDefault="001010FD" w:rsidP="00321CB1">
            <w:pPr>
              <w:pStyle w:val="Tabletext"/>
              <w:jc w:val="center"/>
              <w:rPr>
                <w:lang w:val="ar-SA" w:bidi="ar-EG"/>
              </w:rPr>
            </w:pPr>
            <w:r w:rsidRPr="008C0D36">
              <w:rPr>
                <w:rtl/>
              </w:rPr>
              <w:t>70</w:t>
            </w:r>
          </w:p>
        </w:tc>
        <w:tc>
          <w:tcPr>
            <w:tcW w:w="318" w:type="pct"/>
            <w:shd w:val="clear" w:color="auto" w:fill="auto"/>
            <w:hideMark/>
          </w:tcPr>
          <w:p w14:paraId="1FB8762A" w14:textId="77777777" w:rsidR="001010FD" w:rsidRPr="008C0D36" w:rsidRDefault="001010FD" w:rsidP="00321CB1">
            <w:pPr>
              <w:pStyle w:val="Tabletext"/>
              <w:jc w:val="center"/>
              <w:rPr>
                <w:lang w:val="ar-SA" w:bidi="ar-EG"/>
              </w:rPr>
            </w:pPr>
            <w:r w:rsidRPr="008C0D36">
              <w:rPr>
                <w:rtl/>
              </w:rPr>
              <w:t>92</w:t>
            </w:r>
          </w:p>
        </w:tc>
        <w:tc>
          <w:tcPr>
            <w:tcW w:w="318" w:type="pct"/>
            <w:shd w:val="clear" w:color="auto" w:fill="auto"/>
            <w:hideMark/>
          </w:tcPr>
          <w:p w14:paraId="0299E7C1" w14:textId="77777777" w:rsidR="001010FD" w:rsidRPr="008C0D36" w:rsidRDefault="001010FD" w:rsidP="00321CB1">
            <w:pPr>
              <w:pStyle w:val="Tabletext"/>
              <w:jc w:val="center"/>
              <w:rPr>
                <w:lang w:val="ar-SA" w:bidi="ar-EG"/>
              </w:rPr>
            </w:pPr>
            <w:r w:rsidRPr="008C0D36">
              <w:rPr>
                <w:rtl/>
              </w:rPr>
              <w:t>103</w:t>
            </w:r>
          </w:p>
        </w:tc>
        <w:tc>
          <w:tcPr>
            <w:tcW w:w="318" w:type="pct"/>
            <w:shd w:val="clear" w:color="auto" w:fill="auto"/>
            <w:hideMark/>
          </w:tcPr>
          <w:p w14:paraId="655C76F5" w14:textId="77777777" w:rsidR="001010FD" w:rsidRPr="008C0D36" w:rsidRDefault="001010FD" w:rsidP="00321CB1">
            <w:pPr>
              <w:pStyle w:val="Tabletext"/>
              <w:jc w:val="center"/>
              <w:rPr>
                <w:lang w:val="ar-SA" w:bidi="ar-EG"/>
              </w:rPr>
            </w:pPr>
            <w:r w:rsidRPr="008C0D36">
              <w:rPr>
                <w:rtl/>
              </w:rPr>
              <w:t>119</w:t>
            </w:r>
          </w:p>
        </w:tc>
        <w:tc>
          <w:tcPr>
            <w:tcW w:w="318" w:type="pct"/>
            <w:shd w:val="clear" w:color="auto" w:fill="auto"/>
            <w:hideMark/>
          </w:tcPr>
          <w:p w14:paraId="274C766A" w14:textId="77777777" w:rsidR="001010FD" w:rsidRPr="008C0D36" w:rsidRDefault="001010FD" w:rsidP="00321CB1">
            <w:pPr>
              <w:pStyle w:val="Tabletext"/>
              <w:jc w:val="center"/>
              <w:rPr>
                <w:lang w:val="ar-SA" w:bidi="ar-EG"/>
              </w:rPr>
            </w:pPr>
            <w:r w:rsidRPr="008C0D36">
              <w:rPr>
                <w:rtl/>
              </w:rPr>
              <w:t>146</w:t>
            </w:r>
          </w:p>
        </w:tc>
        <w:tc>
          <w:tcPr>
            <w:tcW w:w="318" w:type="pct"/>
            <w:shd w:val="clear" w:color="auto" w:fill="auto"/>
            <w:hideMark/>
          </w:tcPr>
          <w:p w14:paraId="3B679015" w14:textId="77777777" w:rsidR="001010FD" w:rsidRPr="008C0D36" w:rsidRDefault="001010FD" w:rsidP="00321CB1">
            <w:pPr>
              <w:pStyle w:val="Tabletext"/>
              <w:jc w:val="center"/>
              <w:rPr>
                <w:lang w:val="ar-SA" w:bidi="ar-EG"/>
              </w:rPr>
            </w:pPr>
            <w:r w:rsidRPr="008C0D36">
              <w:rPr>
                <w:rtl/>
              </w:rPr>
              <w:t>155</w:t>
            </w:r>
          </w:p>
        </w:tc>
        <w:tc>
          <w:tcPr>
            <w:tcW w:w="318" w:type="pct"/>
            <w:shd w:val="clear" w:color="auto" w:fill="auto"/>
            <w:hideMark/>
          </w:tcPr>
          <w:p w14:paraId="0F0F4BBA" w14:textId="77777777" w:rsidR="001010FD" w:rsidRPr="008C0D36" w:rsidRDefault="001010FD" w:rsidP="00321CB1">
            <w:pPr>
              <w:pStyle w:val="Tabletext"/>
              <w:jc w:val="center"/>
              <w:rPr>
                <w:lang w:val="ar-SA" w:bidi="ar-EG"/>
              </w:rPr>
            </w:pPr>
            <w:r w:rsidRPr="008C0D36">
              <w:rPr>
                <w:rtl/>
              </w:rPr>
              <w:t>159</w:t>
            </w:r>
          </w:p>
        </w:tc>
        <w:tc>
          <w:tcPr>
            <w:tcW w:w="318" w:type="pct"/>
            <w:shd w:val="clear" w:color="auto" w:fill="auto"/>
            <w:hideMark/>
          </w:tcPr>
          <w:p w14:paraId="58D8C6BB" w14:textId="77777777" w:rsidR="001010FD" w:rsidRPr="008C0D36" w:rsidRDefault="001010FD" w:rsidP="00321CB1">
            <w:pPr>
              <w:pStyle w:val="Tabletext"/>
              <w:jc w:val="center"/>
              <w:rPr>
                <w:lang w:val="ar-SA" w:bidi="ar-EG"/>
              </w:rPr>
            </w:pPr>
            <w:r w:rsidRPr="008C0D36">
              <w:rPr>
                <w:rtl/>
              </w:rPr>
              <w:t>158</w:t>
            </w:r>
          </w:p>
        </w:tc>
        <w:tc>
          <w:tcPr>
            <w:tcW w:w="318" w:type="pct"/>
            <w:shd w:val="clear" w:color="auto" w:fill="auto"/>
            <w:hideMark/>
          </w:tcPr>
          <w:p w14:paraId="0F4CDB90" w14:textId="77777777" w:rsidR="001010FD" w:rsidRPr="008C0D36" w:rsidRDefault="001010FD" w:rsidP="00321CB1">
            <w:pPr>
              <w:pStyle w:val="Tabletext"/>
              <w:jc w:val="center"/>
              <w:rPr>
                <w:lang w:val="ar-SA" w:bidi="ar-EG"/>
              </w:rPr>
            </w:pPr>
            <w:r w:rsidRPr="008C0D36">
              <w:rPr>
                <w:rtl/>
              </w:rPr>
              <w:t>170</w:t>
            </w:r>
          </w:p>
        </w:tc>
        <w:tc>
          <w:tcPr>
            <w:tcW w:w="318" w:type="pct"/>
            <w:shd w:val="clear" w:color="auto" w:fill="auto"/>
          </w:tcPr>
          <w:p w14:paraId="128FDECF" w14:textId="77777777" w:rsidR="001010FD" w:rsidRPr="008C0D36" w:rsidRDefault="001010FD" w:rsidP="00321CB1">
            <w:pPr>
              <w:pStyle w:val="Tabletext"/>
              <w:jc w:val="center"/>
              <w:rPr>
                <w:lang w:val="ar-SA" w:bidi="ar-EG"/>
              </w:rPr>
            </w:pPr>
            <w:r w:rsidRPr="008C0D36">
              <w:rPr>
                <w:rtl/>
              </w:rPr>
              <w:t>169</w:t>
            </w:r>
          </w:p>
        </w:tc>
        <w:tc>
          <w:tcPr>
            <w:tcW w:w="318" w:type="pct"/>
            <w:shd w:val="clear" w:color="auto" w:fill="auto"/>
          </w:tcPr>
          <w:p w14:paraId="34636738" w14:textId="77777777" w:rsidR="001010FD" w:rsidRPr="008C0D36" w:rsidRDefault="001010FD" w:rsidP="00321CB1">
            <w:pPr>
              <w:pStyle w:val="Tabletext"/>
              <w:jc w:val="center"/>
              <w:rPr>
                <w:lang w:val="ar-SA" w:bidi="ar-EG"/>
              </w:rPr>
            </w:pPr>
            <w:r w:rsidRPr="008C0D36">
              <w:rPr>
                <w:rtl/>
              </w:rPr>
              <w:t>172</w:t>
            </w:r>
          </w:p>
        </w:tc>
      </w:tr>
      <w:tr w:rsidR="001010FD" w:rsidRPr="00981706" w14:paraId="1458BF89" w14:textId="77777777" w:rsidTr="0043274B">
        <w:trPr>
          <w:jc w:val="center"/>
        </w:trPr>
        <w:tc>
          <w:tcPr>
            <w:tcW w:w="845" w:type="pct"/>
            <w:shd w:val="clear" w:color="auto" w:fill="auto"/>
            <w:hideMark/>
          </w:tcPr>
          <w:p w14:paraId="742DC33D" w14:textId="77777777" w:rsidR="001010FD" w:rsidRPr="00981706" w:rsidRDefault="001010FD" w:rsidP="00E270CB">
            <w:pPr>
              <w:pStyle w:val="Tabletext"/>
              <w:rPr>
                <w:lang w:val="ar-SA" w:bidi="ar-EG"/>
              </w:rPr>
            </w:pPr>
            <w:r w:rsidRPr="00981706">
              <w:rPr>
                <w:rtl/>
              </w:rPr>
              <w:t>المجموع</w:t>
            </w:r>
          </w:p>
        </w:tc>
        <w:tc>
          <w:tcPr>
            <w:tcW w:w="335" w:type="pct"/>
            <w:shd w:val="clear" w:color="auto" w:fill="auto"/>
            <w:hideMark/>
          </w:tcPr>
          <w:p w14:paraId="1AA7F419" w14:textId="77777777" w:rsidR="001010FD" w:rsidRPr="008C0D36" w:rsidRDefault="001010FD" w:rsidP="00321CB1">
            <w:pPr>
              <w:pStyle w:val="Tabletext"/>
              <w:jc w:val="center"/>
              <w:rPr>
                <w:lang w:val="ar-SA" w:bidi="ar-EG"/>
              </w:rPr>
            </w:pPr>
            <w:r w:rsidRPr="008C0D36">
              <w:rPr>
                <w:rtl/>
              </w:rPr>
              <w:t>429</w:t>
            </w:r>
          </w:p>
        </w:tc>
        <w:tc>
          <w:tcPr>
            <w:tcW w:w="318" w:type="pct"/>
            <w:shd w:val="clear" w:color="auto" w:fill="auto"/>
            <w:hideMark/>
          </w:tcPr>
          <w:p w14:paraId="384C1D27" w14:textId="77777777" w:rsidR="001010FD" w:rsidRPr="008C0D36" w:rsidRDefault="001010FD" w:rsidP="00321CB1">
            <w:pPr>
              <w:pStyle w:val="Tabletext"/>
              <w:jc w:val="center"/>
              <w:rPr>
                <w:lang w:val="ar-SA" w:bidi="ar-EG"/>
              </w:rPr>
            </w:pPr>
            <w:r w:rsidRPr="008C0D36">
              <w:rPr>
                <w:rtl/>
              </w:rPr>
              <w:t>455</w:t>
            </w:r>
          </w:p>
        </w:tc>
        <w:tc>
          <w:tcPr>
            <w:tcW w:w="318" w:type="pct"/>
            <w:shd w:val="clear" w:color="auto" w:fill="auto"/>
            <w:hideMark/>
          </w:tcPr>
          <w:p w14:paraId="5B07323D" w14:textId="77777777" w:rsidR="001010FD" w:rsidRPr="008C0D36" w:rsidRDefault="001010FD" w:rsidP="00321CB1">
            <w:pPr>
              <w:pStyle w:val="Tabletext"/>
              <w:jc w:val="center"/>
              <w:rPr>
                <w:lang w:val="ar-SA" w:bidi="ar-EG"/>
              </w:rPr>
            </w:pPr>
            <w:r w:rsidRPr="008C0D36">
              <w:rPr>
                <w:rtl/>
              </w:rPr>
              <w:t>468</w:t>
            </w:r>
          </w:p>
        </w:tc>
        <w:tc>
          <w:tcPr>
            <w:tcW w:w="318" w:type="pct"/>
            <w:shd w:val="clear" w:color="auto" w:fill="auto"/>
            <w:hideMark/>
          </w:tcPr>
          <w:p w14:paraId="3E1F3C88" w14:textId="77777777" w:rsidR="001010FD" w:rsidRPr="008C0D36" w:rsidRDefault="001010FD" w:rsidP="00321CB1">
            <w:pPr>
              <w:pStyle w:val="Tabletext"/>
              <w:jc w:val="center"/>
              <w:rPr>
                <w:lang w:val="ar-SA" w:bidi="ar-EG"/>
              </w:rPr>
            </w:pPr>
            <w:r w:rsidRPr="008C0D36">
              <w:rPr>
                <w:rtl/>
              </w:rPr>
              <w:t>484</w:t>
            </w:r>
          </w:p>
        </w:tc>
        <w:tc>
          <w:tcPr>
            <w:tcW w:w="318" w:type="pct"/>
            <w:shd w:val="clear" w:color="auto" w:fill="auto"/>
            <w:hideMark/>
          </w:tcPr>
          <w:p w14:paraId="4F61F63C" w14:textId="77777777" w:rsidR="001010FD" w:rsidRPr="008C0D36" w:rsidRDefault="001010FD" w:rsidP="00321CB1">
            <w:pPr>
              <w:pStyle w:val="Tabletext"/>
              <w:jc w:val="center"/>
              <w:rPr>
                <w:lang w:val="ar-SA" w:bidi="ar-EG"/>
              </w:rPr>
            </w:pPr>
            <w:r w:rsidRPr="008C0D36">
              <w:rPr>
                <w:rtl/>
              </w:rPr>
              <w:t>480</w:t>
            </w:r>
          </w:p>
        </w:tc>
        <w:tc>
          <w:tcPr>
            <w:tcW w:w="318" w:type="pct"/>
            <w:shd w:val="clear" w:color="auto" w:fill="auto"/>
            <w:hideMark/>
          </w:tcPr>
          <w:p w14:paraId="7C304AEA" w14:textId="77777777" w:rsidR="001010FD" w:rsidRPr="008C0D36" w:rsidRDefault="001010FD" w:rsidP="00321CB1">
            <w:pPr>
              <w:pStyle w:val="Tabletext"/>
              <w:jc w:val="center"/>
              <w:rPr>
                <w:lang w:val="ar-SA" w:bidi="ar-EG"/>
              </w:rPr>
            </w:pPr>
            <w:r w:rsidRPr="008C0D36">
              <w:rPr>
                <w:rtl/>
              </w:rPr>
              <w:t>509</w:t>
            </w:r>
          </w:p>
        </w:tc>
        <w:tc>
          <w:tcPr>
            <w:tcW w:w="318" w:type="pct"/>
            <w:shd w:val="clear" w:color="auto" w:fill="auto"/>
            <w:hideMark/>
          </w:tcPr>
          <w:p w14:paraId="63B6DB28" w14:textId="77777777" w:rsidR="001010FD" w:rsidRPr="008C0D36" w:rsidRDefault="001010FD" w:rsidP="00321CB1">
            <w:pPr>
              <w:pStyle w:val="Tabletext"/>
              <w:jc w:val="center"/>
              <w:rPr>
                <w:lang w:val="ar-SA" w:bidi="ar-EG"/>
              </w:rPr>
            </w:pPr>
            <w:r w:rsidRPr="008C0D36">
              <w:rPr>
                <w:rtl/>
              </w:rPr>
              <w:t>553</w:t>
            </w:r>
          </w:p>
        </w:tc>
        <w:tc>
          <w:tcPr>
            <w:tcW w:w="318" w:type="pct"/>
            <w:shd w:val="clear" w:color="auto" w:fill="auto"/>
            <w:hideMark/>
          </w:tcPr>
          <w:p w14:paraId="790279F3" w14:textId="77777777" w:rsidR="001010FD" w:rsidRPr="008C0D36" w:rsidRDefault="001010FD" w:rsidP="00321CB1">
            <w:pPr>
              <w:pStyle w:val="Tabletext"/>
              <w:jc w:val="center"/>
              <w:rPr>
                <w:lang w:val="ar-SA" w:bidi="ar-EG"/>
              </w:rPr>
            </w:pPr>
            <w:r w:rsidRPr="008C0D36">
              <w:rPr>
                <w:rtl/>
              </w:rPr>
              <w:t>597</w:t>
            </w:r>
          </w:p>
        </w:tc>
        <w:tc>
          <w:tcPr>
            <w:tcW w:w="318" w:type="pct"/>
            <w:shd w:val="clear" w:color="auto" w:fill="auto"/>
            <w:hideMark/>
          </w:tcPr>
          <w:p w14:paraId="6F0D591C" w14:textId="77777777" w:rsidR="001010FD" w:rsidRPr="008C0D36" w:rsidRDefault="001010FD" w:rsidP="00321CB1">
            <w:pPr>
              <w:pStyle w:val="Tabletext"/>
              <w:jc w:val="center"/>
              <w:rPr>
                <w:lang w:val="ar-SA" w:bidi="ar-EG"/>
              </w:rPr>
            </w:pPr>
            <w:r w:rsidRPr="008C0D36">
              <w:rPr>
                <w:rtl/>
              </w:rPr>
              <w:t>626</w:t>
            </w:r>
          </w:p>
        </w:tc>
        <w:tc>
          <w:tcPr>
            <w:tcW w:w="318" w:type="pct"/>
            <w:shd w:val="clear" w:color="auto" w:fill="auto"/>
            <w:hideMark/>
          </w:tcPr>
          <w:p w14:paraId="6E206E7F" w14:textId="77777777" w:rsidR="001010FD" w:rsidRPr="008C0D36" w:rsidRDefault="001010FD" w:rsidP="00321CB1">
            <w:pPr>
              <w:pStyle w:val="Tabletext"/>
              <w:jc w:val="center"/>
              <w:rPr>
                <w:lang w:val="ar-SA" w:bidi="ar-EG"/>
              </w:rPr>
            </w:pPr>
            <w:r w:rsidRPr="008C0D36">
              <w:rPr>
                <w:rtl/>
              </w:rPr>
              <w:t>640</w:t>
            </w:r>
          </w:p>
        </w:tc>
        <w:tc>
          <w:tcPr>
            <w:tcW w:w="318" w:type="pct"/>
            <w:shd w:val="clear" w:color="auto" w:fill="auto"/>
            <w:hideMark/>
          </w:tcPr>
          <w:p w14:paraId="6D3BEA8E" w14:textId="77777777" w:rsidR="001010FD" w:rsidRPr="008C0D36" w:rsidRDefault="001010FD" w:rsidP="00321CB1">
            <w:pPr>
              <w:pStyle w:val="Tabletext"/>
              <w:jc w:val="center"/>
              <w:rPr>
                <w:lang w:val="ar-SA" w:bidi="ar-EG"/>
              </w:rPr>
            </w:pPr>
            <w:r w:rsidRPr="008C0D36">
              <w:rPr>
                <w:rtl/>
              </w:rPr>
              <w:t>653</w:t>
            </w:r>
          </w:p>
        </w:tc>
        <w:tc>
          <w:tcPr>
            <w:tcW w:w="318" w:type="pct"/>
            <w:shd w:val="clear" w:color="auto" w:fill="auto"/>
          </w:tcPr>
          <w:p w14:paraId="2EA2437F" w14:textId="77777777" w:rsidR="001010FD" w:rsidRPr="008C0D36" w:rsidRDefault="001010FD" w:rsidP="00321CB1">
            <w:pPr>
              <w:pStyle w:val="Tabletext"/>
              <w:jc w:val="center"/>
              <w:rPr>
                <w:lang w:val="ar-SA" w:bidi="ar-EG"/>
              </w:rPr>
            </w:pPr>
            <w:r w:rsidRPr="008C0D36">
              <w:rPr>
                <w:rtl/>
              </w:rPr>
              <w:t>665</w:t>
            </w:r>
          </w:p>
        </w:tc>
        <w:tc>
          <w:tcPr>
            <w:tcW w:w="318" w:type="pct"/>
            <w:shd w:val="clear" w:color="auto" w:fill="auto"/>
          </w:tcPr>
          <w:p w14:paraId="220426FF" w14:textId="77777777" w:rsidR="001010FD" w:rsidRPr="008C0D36" w:rsidRDefault="001010FD" w:rsidP="00321CB1">
            <w:pPr>
              <w:pStyle w:val="Tabletext"/>
              <w:jc w:val="center"/>
              <w:rPr>
                <w:lang w:val="ar-SA" w:bidi="ar-EG"/>
              </w:rPr>
            </w:pPr>
            <w:r w:rsidRPr="008C0D36">
              <w:rPr>
                <w:rtl/>
              </w:rPr>
              <w:t>674</w:t>
            </w:r>
          </w:p>
        </w:tc>
      </w:tr>
    </w:tbl>
    <w:p w14:paraId="2BB89568" w14:textId="77777777" w:rsidR="001010FD" w:rsidRPr="00981706" w:rsidRDefault="001010FD" w:rsidP="0043274B">
      <w:pPr>
        <w:pStyle w:val="Note"/>
        <w:rPr>
          <w:lang w:val="ar-SA"/>
        </w:rPr>
      </w:pPr>
      <w:r w:rsidRPr="00981706">
        <w:rPr>
          <w:b/>
          <w:bCs/>
          <w:rtl/>
        </w:rPr>
        <w:t>الملاحظة 1</w:t>
      </w:r>
      <w:r>
        <w:rPr>
          <w:rFonts w:hint="cs"/>
          <w:b/>
          <w:bCs/>
          <w:rtl/>
        </w:rPr>
        <w:t xml:space="preserve"> - </w:t>
      </w:r>
      <w:r w:rsidRPr="00981706">
        <w:rPr>
          <w:rtl/>
        </w:rPr>
        <w:t>خضعت بعض الأرقام الواردة في الجدول أعلاه لتغييرات بأثر رجعي.</w:t>
      </w:r>
    </w:p>
    <w:p w14:paraId="634877D1" w14:textId="77777777" w:rsidR="001010FD" w:rsidRPr="00981706" w:rsidRDefault="001010FD" w:rsidP="001010FD">
      <w:pPr>
        <w:pStyle w:val="Figure"/>
        <w:rPr>
          <w:lang w:val="en-GB" w:bidi="ar-EG"/>
        </w:rPr>
      </w:pPr>
      <w:r>
        <w:rPr>
          <w:noProof/>
          <w:lang w:val="en-GB" w:bidi="ar-EG"/>
        </w:rPr>
        <w:lastRenderedPageBreak/>
        <w:drawing>
          <wp:inline distT="0" distB="0" distL="0" distR="0" wp14:anchorId="33E5CB81" wp14:editId="11BCF101">
            <wp:extent cx="5096510" cy="3255645"/>
            <wp:effectExtent l="0" t="0" r="889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096510" cy="3255645"/>
                    </a:xfrm>
                    <a:prstGeom prst="rect">
                      <a:avLst/>
                    </a:prstGeom>
                    <a:noFill/>
                  </pic:spPr>
                </pic:pic>
              </a:graphicData>
            </a:graphic>
          </wp:inline>
        </w:drawing>
      </w:r>
    </w:p>
    <w:p w14:paraId="6E29803D" w14:textId="77777777" w:rsidR="001010FD" w:rsidRPr="00981706" w:rsidRDefault="001010FD" w:rsidP="0043274B">
      <w:pPr>
        <w:pStyle w:val="Figuretitle"/>
        <w:rPr>
          <w:lang w:val="en-GB"/>
        </w:rPr>
      </w:pPr>
      <w:bookmarkStart w:id="171" w:name="_Toc179221087"/>
      <w:bookmarkStart w:id="172" w:name="_Toc179733702"/>
      <w:r w:rsidRPr="00981706">
        <w:rPr>
          <w:rtl/>
        </w:rPr>
        <w:t>الشكل 2 - تطور عضوية قطاع تقييس الاتصالات منذ عام 2012</w:t>
      </w:r>
      <w:bookmarkEnd w:id="171"/>
      <w:bookmarkEnd w:id="172"/>
    </w:p>
    <w:p w14:paraId="492992E7" w14:textId="77777777" w:rsidR="001010FD" w:rsidRPr="00981706" w:rsidRDefault="001010FD" w:rsidP="00256EEF">
      <w:pPr>
        <w:pStyle w:val="Note"/>
        <w:rPr>
          <w:lang w:val="ar-SA"/>
        </w:rPr>
      </w:pPr>
      <w:r w:rsidRPr="00981706">
        <w:rPr>
          <w:b/>
          <w:bCs/>
          <w:rtl/>
        </w:rPr>
        <w:t xml:space="preserve">الملاحظة 2 </w:t>
      </w:r>
      <w:r w:rsidRPr="00981706">
        <w:rPr>
          <w:lang w:val="en-GB"/>
        </w:rPr>
        <w:t>-</w:t>
      </w:r>
      <w:r w:rsidRPr="00981706">
        <w:rPr>
          <w:rtl/>
        </w:rPr>
        <w:t xml:space="preserve"> أنشئت فئة الهيئات الأكاديمية في عام 2011.</w:t>
      </w:r>
    </w:p>
    <w:p w14:paraId="5AF593BD" w14:textId="77777777" w:rsidR="001010FD" w:rsidRPr="00981706" w:rsidRDefault="001010FD" w:rsidP="00256EEF">
      <w:pPr>
        <w:pStyle w:val="Heading1"/>
        <w:rPr>
          <w:lang w:val="ar-SA"/>
        </w:rPr>
      </w:pPr>
      <w:bookmarkStart w:id="173" w:name="_10_Virtual_meetings"/>
      <w:bookmarkStart w:id="174" w:name="_Toc462664274"/>
      <w:bookmarkStart w:id="175" w:name="_Toc480527863"/>
      <w:bookmarkStart w:id="176" w:name="_11_Bridging_the"/>
      <w:bookmarkStart w:id="177" w:name="_12_Bridging_the"/>
      <w:bookmarkStart w:id="178" w:name="_9_Bridging_the"/>
      <w:bookmarkStart w:id="179" w:name="_Toc416161356"/>
      <w:bookmarkStart w:id="180" w:name="_Toc438553979"/>
      <w:bookmarkStart w:id="181" w:name="_Toc453929098"/>
      <w:bookmarkStart w:id="182" w:name="_Toc453932969"/>
      <w:bookmarkStart w:id="183" w:name="_Toc454295875"/>
      <w:bookmarkStart w:id="184" w:name="_Toc480527846"/>
      <w:bookmarkStart w:id="185" w:name="_Toc51042269"/>
      <w:bookmarkStart w:id="186" w:name="_Toc179219767"/>
      <w:bookmarkStart w:id="187" w:name="_Toc179221077"/>
      <w:bookmarkStart w:id="188" w:name="_Toc179733619"/>
      <w:bookmarkStart w:id="189" w:name="_Toc453929120"/>
      <w:bookmarkStart w:id="190" w:name="_Toc453932991"/>
      <w:bookmarkStart w:id="191" w:name="_Toc454295897"/>
      <w:bookmarkStart w:id="192" w:name="_Toc387390042"/>
      <w:bookmarkStart w:id="193" w:name="_Toc416161372"/>
      <w:bookmarkStart w:id="194" w:name="_Toc438553998"/>
      <w:bookmarkEnd w:id="173"/>
      <w:bookmarkEnd w:id="174"/>
      <w:bookmarkEnd w:id="175"/>
      <w:bookmarkEnd w:id="176"/>
      <w:bookmarkEnd w:id="177"/>
      <w:bookmarkEnd w:id="178"/>
      <w:r w:rsidRPr="00981706">
        <w:rPr>
          <w:rtl/>
        </w:rPr>
        <w:t>9</w:t>
      </w:r>
      <w:r w:rsidRPr="00981706">
        <w:rPr>
          <w:rtl/>
        </w:rPr>
        <w:tab/>
        <w:t>سد الف</w:t>
      </w:r>
      <w:bookmarkStart w:id="195" w:name="Nine"/>
      <w:bookmarkEnd w:id="195"/>
      <w:r w:rsidRPr="00981706">
        <w:rPr>
          <w:rtl/>
        </w:rPr>
        <w:t xml:space="preserve">جوة </w:t>
      </w:r>
      <w:proofErr w:type="spellStart"/>
      <w:r w:rsidRPr="00981706">
        <w:rPr>
          <w:rtl/>
        </w:rPr>
        <w:t>التقييسية</w:t>
      </w:r>
      <w:bookmarkEnd w:id="179"/>
      <w:bookmarkEnd w:id="180"/>
      <w:bookmarkEnd w:id="181"/>
      <w:bookmarkEnd w:id="182"/>
      <w:bookmarkEnd w:id="183"/>
      <w:bookmarkEnd w:id="184"/>
      <w:bookmarkEnd w:id="185"/>
      <w:bookmarkEnd w:id="186"/>
      <w:bookmarkEnd w:id="187"/>
      <w:bookmarkEnd w:id="188"/>
      <w:proofErr w:type="spellEnd"/>
    </w:p>
    <w:p w14:paraId="1A31A21D" w14:textId="77777777" w:rsidR="001010FD" w:rsidRPr="00981706" w:rsidRDefault="001010FD" w:rsidP="00981706">
      <w:pPr>
        <w:rPr>
          <w:rtl/>
        </w:rPr>
      </w:pPr>
      <w:r w:rsidRPr="00981706">
        <w:rPr>
          <w:rtl/>
        </w:rPr>
        <w:t xml:space="preserve">يهدف </w:t>
      </w:r>
      <w:hyperlink r:id="rId282" w:anchor="/ar" w:history="1">
        <w:r w:rsidRPr="00981706">
          <w:rPr>
            <w:rStyle w:val="Hyperlink"/>
            <w:rtl/>
          </w:rPr>
          <w:t xml:space="preserve">برنامج سد الفجوة </w:t>
        </w:r>
        <w:proofErr w:type="spellStart"/>
        <w:r w:rsidRPr="00981706">
          <w:rPr>
            <w:rStyle w:val="Hyperlink"/>
            <w:rtl/>
          </w:rPr>
          <w:t>التقييسية</w:t>
        </w:r>
        <w:proofErr w:type="spellEnd"/>
        <w:r w:rsidRPr="00981706">
          <w:rPr>
            <w:rStyle w:val="Hyperlink"/>
            <w:rtl/>
          </w:rPr>
          <w:t xml:space="preserve"> (</w:t>
        </w:r>
        <w:r w:rsidRPr="00981706">
          <w:rPr>
            <w:rStyle w:val="Hyperlink"/>
            <w:lang w:val="en-GB" w:bidi="ar-EG"/>
          </w:rPr>
          <w:t>BSG</w:t>
        </w:r>
        <w:r w:rsidRPr="00981706">
          <w:rPr>
            <w:rStyle w:val="Hyperlink"/>
            <w:rtl/>
          </w:rPr>
          <w:t>) للاتحاد</w:t>
        </w:r>
      </w:hyperlink>
      <w:r w:rsidRPr="00981706">
        <w:rPr>
          <w:rtl/>
        </w:rPr>
        <w:t>، المعاد تصوره مؤخراً، إلى تعزيز قدرة جميع البلدان، ولا سيما البلدان النامية، على المشاركة في وضع وتنفيذ معايير قطاع تقييس الاتصالات.</w:t>
      </w:r>
    </w:p>
    <w:p w14:paraId="7D24EDF3" w14:textId="77777777" w:rsidR="001010FD" w:rsidRPr="00981706" w:rsidRDefault="001010FD" w:rsidP="00981706">
      <w:pPr>
        <w:rPr>
          <w:lang w:val="ar-SA" w:bidi="ar-EG"/>
        </w:rPr>
      </w:pPr>
      <w:r w:rsidRPr="00981706">
        <w:rPr>
          <w:rtl/>
        </w:rPr>
        <w:t xml:space="preserve">وبمراعاة القرار 44 للجمعية العالمية لتقييس الاتصالات، يتضمن برنامج سد الفجوة </w:t>
      </w:r>
      <w:proofErr w:type="spellStart"/>
      <w:r w:rsidRPr="00981706">
        <w:rPr>
          <w:rtl/>
        </w:rPr>
        <w:t>التقييسية</w:t>
      </w:r>
      <w:proofErr w:type="spellEnd"/>
      <w:r w:rsidRPr="00981706">
        <w:rPr>
          <w:rtl/>
        </w:rPr>
        <w:t xml:space="preserve"> الجديد العديد من الركائز منها ركيزتان استراتيجيتان رئيسيتان - </w:t>
      </w:r>
      <w:r w:rsidRPr="00981706">
        <w:rPr>
          <w:i/>
          <w:iCs/>
          <w:rtl/>
        </w:rPr>
        <w:t xml:space="preserve">التطوير </w:t>
      </w:r>
      <w:r w:rsidRPr="00981706">
        <w:rPr>
          <w:rtl/>
        </w:rPr>
        <w:t>و</w:t>
      </w:r>
      <w:r w:rsidRPr="00981706">
        <w:rPr>
          <w:i/>
          <w:iCs/>
          <w:rtl/>
        </w:rPr>
        <w:t>التنفيذ</w:t>
      </w:r>
      <w:r w:rsidRPr="00981706">
        <w:rPr>
          <w:rtl/>
        </w:rPr>
        <w:t xml:space="preserve"> – تدعمهما </w:t>
      </w:r>
      <w:r w:rsidRPr="00981706">
        <w:rPr>
          <w:i/>
          <w:iCs/>
          <w:rtl/>
        </w:rPr>
        <w:t xml:space="preserve">الموارد </w:t>
      </w:r>
      <w:r w:rsidRPr="00981706">
        <w:rPr>
          <w:rtl/>
        </w:rPr>
        <w:t>و</w:t>
      </w:r>
      <w:r w:rsidRPr="00981706">
        <w:rPr>
          <w:i/>
          <w:iCs/>
          <w:rtl/>
        </w:rPr>
        <w:t>الشراكات</w:t>
      </w:r>
      <w:r w:rsidRPr="00981706">
        <w:rPr>
          <w:rtl/>
        </w:rPr>
        <w:t>. وتواصل وزارة الشؤون الداخلية والاتصالات في اليابان تمويل البرنامج.</w:t>
      </w:r>
    </w:p>
    <w:p w14:paraId="0CC9850E" w14:textId="77777777" w:rsidR="001010FD" w:rsidRPr="00981706" w:rsidRDefault="001010FD" w:rsidP="00981706">
      <w:pPr>
        <w:rPr>
          <w:lang w:val="ar-SA" w:bidi="ar-EG"/>
        </w:rPr>
      </w:pPr>
      <w:r w:rsidRPr="00981706">
        <w:rPr>
          <w:b/>
          <w:bCs/>
          <w:i/>
          <w:iCs/>
          <w:rtl/>
        </w:rPr>
        <w:t>التطوير</w:t>
      </w:r>
      <w:r w:rsidRPr="00981706">
        <w:rPr>
          <w:rtl/>
        </w:rPr>
        <w:t>: تركز هذه الركيزة على تعزيز قدرات المندوبين من جميع البلدان، ولا سيما البلدان النامية، على صياغة المعايير. وتشمل الأنشطة المندرجة في إطار هذا الركيزة ما يلي:</w:t>
      </w:r>
    </w:p>
    <w:p w14:paraId="2A0234A4" w14:textId="77777777" w:rsidR="001010FD" w:rsidRPr="00846987" w:rsidRDefault="001010FD" w:rsidP="00256EEF">
      <w:pPr>
        <w:pStyle w:val="enumlev1"/>
        <w:rPr>
          <w:spacing w:val="-2"/>
          <w:lang w:val="ar-SA" w:bidi="ar-EG"/>
        </w:rPr>
      </w:pPr>
      <w:r w:rsidRPr="00846987">
        <w:rPr>
          <w:rFonts w:hint="cs"/>
          <w:spacing w:val="-2"/>
          <w:rtl/>
          <w:lang w:bidi="ar-EG"/>
        </w:rPr>
        <w:t>-</w:t>
      </w:r>
      <w:r w:rsidRPr="00846987">
        <w:rPr>
          <w:spacing w:val="-2"/>
          <w:rtl/>
          <w:lang w:bidi="ar-EG"/>
        </w:rPr>
        <w:tab/>
      </w:r>
      <w:r w:rsidRPr="00846987">
        <w:rPr>
          <w:spacing w:val="-2"/>
          <w:rtl/>
        </w:rPr>
        <w:t>تحليل البيانات القائم على التنسيق والتعاون الوثيقين بين دوائر مكتب تقييس الاتصالات فيما يتعلق بالقرار 71 لمؤتمر المندوبين المفوضين.</w:t>
      </w:r>
    </w:p>
    <w:p w14:paraId="31AA4727"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 xml:space="preserve">الدورات التدريبية الحضورية وعن بُعد بشأن سد الفجوة </w:t>
      </w:r>
      <w:proofErr w:type="spellStart"/>
      <w:r w:rsidRPr="00981706">
        <w:rPr>
          <w:rtl/>
        </w:rPr>
        <w:t>التقييسية</w:t>
      </w:r>
      <w:proofErr w:type="spellEnd"/>
      <w:r w:rsidRPr="00981706">
        <w:rPr>
          <w:rtl/>
        </w:rPr>
        <w:t>، بالتنسيق والتعاون الوثيقين مع لجان الدراسات والأفرقة الإقليمية التابعة لقطاع تقييس الاتصالات وكذلك المكاتب الإقليمية ومكاتب المناطق التابعة للاتحاد (مثل منتديات التنمية الإقليمية).</w:t>
      </w:r>
    </w:p>
    <w:p w14:paraId="6C787942" w14:textId="77777777" w:rsidR="001010FD" w:rsidRPr="00981706" w:rsidRDefault="001010FD" w:rsidP="00256EEF">
      <w:pPr>
        <w:pStyle w:val="enumlev1"/>
        <w:rPr>
          <w:lang w:val="ar-SA" w:bidi="ar-EG"/>
        </w:rPr>
      </w:pPr>
      <w:r>
        <w:rPr>
          <w:rFonts w:hint="cs"/>
          <w:rtl/>
          <w:lang w:bidi="ar-EG"/>
        </w:rPr>
        <w:t>-</w:t>
      </w:r>
      <w:r>
        <w:rPr>
          <w:rtl/>
          <w:lang w:bidi="ar-EG"/>
        </w:rPr>
        <w:tab/>
      </w:r>
      <w:hyperlink r:id="rId283" w:history="1">
        <w:r w:rsidRPr="00846987">
          <w:rPr>
            <w:rStyle w:val="Hyperlink"/>
            <w:rtl/>
          </w:rPr>
          <w:t>المبادئ التوجيهية</w:t>
        </w:r>
      </w:hyperlink>
      <w:r w:rsidRPr="00981706">
        <w:rPr>
          <w:rtl/>
        </w:rPr>
        <w:t xml:space="preserve"> لإنشاء أمانات وطنية للتقييس.</w:t>
      </w:r>
    </w:p>
    <w:p w14:paraId="64D0CDDD"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المِنح، مدعومةً بالتنسيق والتعاون المنهجيين بين مكتب تقييس الاتصالات ومكتب تنمية الاتصالات.</w:t>
      </w:r>
    </w:p>
    <w:p w14:paraId="39767EE9" w14:textId="77777777" w:rsidR="001010FD" w:rsidRPr="00981706" w:rsidRDefault="001010FD" w:rsidP="00846987">
      <w:pPr>
        <w:rPr>
          <w:lang w:val="ar-SA" w:bidi="ar-EG"/>
        </w:rPr>
      </w:pPr>
      <w:r w:rsidRPr="00981706">
        <w:rPr>
          <w:rtl/>
        </w:rPr>
        <w:t xml:space="preserve">وعُقد في فترة الدراسة أكثر من 50 حدثاً لبناء القدرات في مجال سد الفجوة </w:t>
      </w:r>
      <w:proofErr w:type="spellStart"/>
      <w:r w:rsidRPr="00981706">
        <w:rPr>
          <w:rtl/>
        </w:rPr>
        <w:t>التقييسية</w:t>
      </w:r>
      <w:proofErr w:type="spellEnd"/>
      <w:r w:rsidRPr="00981706">
        <w:rPr>
          <w:rtl/>
        </w:rPr>
        <w:t xml:space="preserve"> تناولت في المقام الأول وضع المعايير، ولكنها تناولت أيضاً موضوع الجمعية العالمية لتقييس الاتصالات وأساليب وأدوات العمل الإلكترونية. وتُعقد أحداث بناء القدرات اقتراناً باجتماعات لجان الدراسات والأفرقة الإقليمية التابعة لقطاع تقييس الاتصالات والاجتماعات التحضيرية للجمعية العالمية لتقييس الاتصالات.</w:t>
      </w:r>
    </w:p>
    <w:p w14:paraId="11EF9281" w14:textId="77777777" w:rsidR="001010FD" w:rsidRPr="00981706" w:rsidRDefault="001010FD" w:rsidP="00846987">
      <w:pPr>
        <w:keepNext/>
        <w:keepLines/>
        <w:rPr>
          <w:lang w:val="ar-SA" w:bidi="ar-EG"/>
        </w:rPr>
      </w:pPr>
      <w:r w:rsidRPr="00981706">
        <w:rPr>
          <w:b/>
          <w:bCs/>
          <w:i/>
          <w:iCs/>
          <w:rtl/>
        </w:rPr>
        <w:lastRenderedPageBreak/>
        <w:t>التنفيذ</w:t>
      </w:r>
      <w:r w:rsidRPr="00981706">
        <w:rPr>
          <w:rtl/>
        </w:rPr>
        <w:t>: هذه الركيزة موجهة نحو دعم تنفيذ معايير قطاع تقييس الاتصالات، بما يشمل التوافق مع الخطط والسياسات واللوائح الوطنية. وتشمل الأنشطة المندرجة في إطار هذا الركيزة ما يلي:</w:t>
      </w:r>
    </w:p>
    <w:p w14:paraId="2ED41AE2" w14:textId="77777777" w:rsidR="001010FD" w:rsidRPr="00846987" w:rsidRDefault="001010FD" w:rsidP="00256EEF">
      <w:pPr>
        <w:pStyle w:val="enumlev1"/>
        <w:rPr>
          <w:spacing w:val="-4"/>
          <w:lang w:val="ar-SA" w:bidi="ar-EG"/>
        </w:rPr>
      </w:pPr>
      <w:r w:rsidRPr="00846987">
        <w:rPr>
          <w:rFonts w:hint="cs"/>
          <w:spacing w:val="-4"/>
          <w:rtl/>
          <w:lang w:bidi="ar-EG"/>
        </w:rPr>
        <w:t>-</w:t>
      </w:r>
      <w:r w:rsidRPr="00846987">
        <w:rPr>
          <w:spacing w:val="-4"/>
          <w:rtl/>
          <w:lang w:bidi="ar-EG"/>
        </w:rPr>
        <w:tab/>
      </w:r>
      <w:r w:rsidRPr="00846987">
        <w:rPr>
          <w:spacing w:val="-4"/>
          <w:rtl/>
        </w:rPr>
        <w:t xml:space="preserve">تحديد المبادرات والأولويات المحورية والترويج لها (مثل مختبر أمن الخدمات المالية الرقمية، ومركز الدفاع السيبراني من أجل البلدان النامية، ومبادرة متحدون من أجل مدن ذكية مستدامة، وبرنامج المطابقة وقابلية التشغيل البيني </w:t>
      </w:r>
      <w:r w:rsidRPr="00846987">
        <w:rPr>
          <w:spacing w:val="-4"/>
          <w:lang w:val="en-GB" w:bidi="ar-EG"/>
        </w:rPr>
        <w:t>C&amp;I)</w:t>
      </w:r>
      <w:r w:rsidRPr="00846987">
        <w:rPr>
          <w:spacing w:val="-4"/>
          <w:rtl/>
        </w:rPr>
        <w:t>)، ومبادرة الاستماع الآمن، وما إلى ذلك) بالتعاون الوثيق مع لجان دراسات قطاع تقييس الاتصالات.</w:t>
      </w:r>
      <w:bookmarkStart w:id="196" w:name="_Hlk155178488"/>
      <w:bookmarkEnd w:id="196"/>
    </w:p>
    <w:p w14:paraId="1A181689" w14:textId="77777777" w:rsidR="001010FD" w:rsidRPr="00846987" w:rsidRDefault="001010FD" w:rsidP="00256EEF">
      <w:pPr>
        <w:pStyle w:val="enumlev1"/>
        <w:rPr>
          <w:spacing w:val="-2"/>
          <w:lang w:val="ar-SA" w:bidi="ar-EG"/>
        </w:rPr>
      </w:pPr>
      <w:r w:rsidRPr="00846987">
        <w:rPr>
          <w:rFonts w:hint="cs"/>
          <w:spacing w:val="-2"/>
          <w:rtl/>
          <w:lang w:bidi="ar-EG"/>
        </w:rPr>
        <w:t>-</w:t>
      </w:r>
      <w:r w:rsidRPr="00846987">
        <w:rPr>
          <w:spacing w:val="-2"/>
          <w:rtl/>
          <w:lang w:bidi="ar-EG"/>
        </w:rPr>
        <w:tab/>
      </w:r>
      <w:r w:rsidRPr="00846987">
        <w:rPr>
          <w:spacing w:val="-2"/>
          <w:rtl/>
        </w:rPr>
        <w:t>التنسيق المنتظم والمتواصل مع المكاتب الإقليمية ومكاتب المناطق التابعة للاتحاد من أجل تعزيز التعاون والشراكة.</w:t>
      </w:r>
    </w:p>
    <w:p w14:paraId="292555B8" w14:textId="77777777" w:rsidR="001010FD" w:rsidRPr="00981706" w:rsidRDefault="001010FD" w:rsidP="00981706">
      <w:pPr>
        <w:rPr>
          <w:lang w:val="ar-SA" w:bidi="ar-EG"/>
        </w:rPr>
      </w:pPr>
      <w:bookmarkStart w:id="197" w:name="_Hlk92456849"/>
      <w:bookmarkStart w:id="198" w:name="_Toc480527849"/>
      <w:bookmarkStart w:id="199" w:name="_Hlk119499798"/>
      <w:r w:rsidRPr="00981706">
        <w:rPr>
          <w:b/>
          <w:bCs/>
          <w:rtl/>
        </w:rPr>
        <w:t>الأفرقة الإقليمية</w:t>
      </w:r>
      <w:r w:rsidRPr="00981706">
        <w:rPr>
          <w:rtl/>
        </w:rPr>
        <w:t>: لتحفيز المشاركة الفعالة في لجان دراسات قطاع تقييس الاتصالات، تؤدي الأفرقة الإقليمية دوراً رئيسياً في</w:t>
      </w:r>
      <w:r>
        <w:rPr>
          <w:rFonts w:hint="cs"/>
          <w:rtl/>
        </w:rPr>
        <w:t> </w:t>
      </w:r>
      <w:r w:rsidRPr="00981706">
        <w:rPr>
          <w:rtl/>
        </w:rPr>
        <w:t xml:space="preserve">سد الفجوة </w:t>
      </w:r>
      <w:proofErr w:type="spellStart"/>
      <w:r w:rsidRPr="00981706">
        <w:rPr>
          <w:rtl/>
        </w:rPr>
        <w:t>التقييسية</w:t>
      </w:r>
      <w:proofErr w:type="spellEnd"/>
      <w:r w:rsidRPr="00981706">
        <w:rPr>
          <w:rtl/>
        </w:rPr>
        <w:t xml:space="preserve"> بين البلدان المتقدمة والبلدان النامية. وأظهرت اجتماعات الأفرقة الإقليمية أيضاً تحسناً طفيفاً من حيث التوازن بين الجنسين (35 في المائة من النساء) بالمقارنة مع اجتماعات لجان دراسات قطاع تقييس الاتصالات (28 في المائة من النساء). ويمكن إلقاء نظرة عامة على أنشطة الأفرقة الإقليمية </w:t>
      </w:r>
      <w:hyperlink r:id="rId284" w:history="1">
        <w:r w:rsidRPr="00981706">
          <w:rPr>
            <w:rStyle w:val="Hyperlink"/>
            <w:rtl/>
          </w:rPr>
          <w:t>هنا</w:t>
        </w:r>
      </w:hyperlink>
      <w:r w:rsidRPr="00981706">
        <w:rPr>
          <w:rtl/>
        </w:rPr>
        <w:t>.</w:t>
      </w:r>
      <w:bookmarkStart w:id="200" w:name="_Hlk93320660"/>
    </w:p>
    <w:bookmarkEnd w:id="200"/>
    <w:p w14:paraId="1856466B" w14:textId="77777777" w:rsidR="001010FD" w:rsidRPr="00981706" w:rsidRDefault="001010FD" w:rsidP="00981706">
      <w:pPr>
        <w:rPr>
          <w:lang w:val="ar-SA" w:bidi="ar-EG"/>
        </w:rPr>
      </w:pPr>
      <w:r w:rsidRPr="00981706">
        <w:rPr>
          <w:rtl/>
        </w:rPr>
        <w:t>ويضم قطاع تقييس الاتصالات حالياً 26 فريقاً إقليمياً:</w:t>
      </w:r>
    </w:p>
    <w:p w14:paraId="40D830CA"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ثمانية أفرقة إقليمية لإفريقيا (تابعة للجان الدراسات 2 و3 و5 و11 و12 و13 و17 و20)</w:t>
      </w:r>
    </w:p>
    <w:p w14:paraId="40D49EE2"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 xml:space="preserve">خمسة أفرقة إقليمية </w:t>
      </w:r>
      <w:proofErr w:type="spellStart"/>
      <w:r w:rsidRPr="00981706">
        <w:rPr>
          <w:rtl/>
        </w:rPr>
        <w:t>للأمريكتين</w:t>
      </w:r>
      <w:proofErr w:type="spellEnd"/>
      <w:r w:rsidRPr="00981706">
        <w:rPr>
          <w:rtl/>
        </w:rPr>
        <w:t xml:space="preserve"> (تابعة للجان الدراسات 2 و3 و5 و12 و20)</w:t>
      </w:r>
    </w:p>
    <w:p w14:paraId="37E0145A"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خمسة أفرقة إقليمية للدول العربية (تابعة للجان الدراسات 2 و3 و5 و</w:t>
      </w:r>
      <w:r>
        <w:t>17</w:t>
      </w:r>
      <w:r w:rsidRPr="00981706">
        <w:rPr>
          <w:rtl/>
        </w:rPr>
        <w:t xml:space="preserve"> و20)</w:t>
      </w:r>
    </w:p>
    <w:p w14:paraId="2A7988C7"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ثلاثة أفرقة إقليمية لآسيا والمحيط الهادئ (تابعة للجان الدراسات 3 و5 و20)</w:t>
      </w:r>
    </w:p>
    <w:p w14:paraId="13810A18"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فريق إقليمي لأوروبا وحوض البحر الأبيض المتوسط (تابع للجنة الدراسة 3)</w:t>
      </w:r>
    </w:p>
    <w:p w14:paraId="586CFF5A" w14:textId="77777777" w:rsidR="001010FD" w:rsidRPr="00981706" w:rsidRDefault="001010FD" w:rsidP="00256EEF">
      <w:pPr>
        <w:pStyle w:val="enumlev1"/>
        <w:rPr>
          <w:lang w:val="ar-SA" w:bidi="ar-EG"/>
        </w:rPr>
      </w:pPr>
      <w:r>
        <w:rPr>
          <w:rFonts w:hint="cs"/>
          <w:rtl/>
          <w:lang w:bidi="ar-EG"/>
        </w:rPr>
        <w:t>-</w:t>
      </w:r>
      <w:r>
        <w:rPr>
          <w:rtl/>
          <w:lang w:bidi="ar-EG"/>
        </w:rPr>
        <w:tab/>
      </w:r>
      <w:r w:rsidRPr="00981706">
        <w:rPr>
          <w:rtl/>
        </w:rPr>
        <w:t>أربعة أفرقة إقليمية لأوروبا الشرقية وآسيا الوسطى وما وراء القوقاز (تابعة للجان الدراسات 3 و11 و13 و20</w:t>
      </w:r>
      <w:bookmarkEnd w:id="197"/>
      <w:bookmarkEnd w:id="198"/>
      <w:r w:rsidRPr="00981706">
        <w:rPr>
          <w:rtl/>
        </w:rPr>
        <w:t>)</w:t>
      </w:r>
    </w:p>
    <w:p w14:paraId="688D0838" w14:textId="77777777" w:rsidR="001010FD" w:rsidRPr="00981706" w:rsidRDefault="001010FD" w:rsidP="00981706">
      <w:pPr>
        <w:rPr>
          <w:lang w:val="ar-SA" w:bidi="ar-EG"/>
        </w:rPr>
      </w:pPr>
      <w:r w:rsidRPr="00981706">
        <w:rPr>
          <w:b/>
          <w:bCs/>
          <w:rtl/>
        </w:rPr>
        <w:t>المِنح</w:t>
      </w:r>
      <w:r w:rsidRPr="00981706">
        <w:rPr>
          <w:rtl/>
        </w:rPr>
        <w:t>: تقدم المنح دعماً مالياً لمندوبي قطاع تقييس الاتصالات من البلدان النامية المؤهلة لمساعدتهم على المشاركة في</w:t>
      </w:r>
      <w:r>
        <w:rPr>
          <w:rFonts w:hint="cs"/>
          <w:rtl/>
        </w:rPr>
        <w:t> </w:t>
      </w:r>
      <w:r w:rsidRPr="00981706">
        <w:rPr>
          <w:rtl/>
        </w:rPr>
        <w:t>اجتماعات قطاع تقييس الاتصالات. وطُلبت في فترة الدراسة 763 منحة من مندوبين مؤهلين قُدمت منها 318 منحة. وتعبر هذه الأرقام عن البيانات المتاحة في 30 يونيو 2024. وترد أدناه إحصاءات عن المِنح المقدمة.</w:t>
      </w:r>
    </w:p>
    <w:p w14:paraId="05813519" w14:textId="77777777" w:rsidR="001010FD" w:rsidRPr="00981706" w:rsidRDefault="001010FD" w:rsidP="001010FD">
      <w:pPr>
        <w:pStyle w:val="Figure"/>
        <w:rPr>
          <w:lang w:val="en-GB" w:bidi="ar-EG"/>
        </w:rPr>
      </w:pPr>
      <w:bookmarkStart w:id="201" w:name="_Hlk135237679"/>
      <w:bookmarkStart w:id="202" w:name="_Hlk135237760"/>
      <w:r>
        <w:rPr>
          <w:noProof/>
          <w:lang w:val="en-GB" w:bidi="ar-EG"/>
        </w:rPr>
        <w:drawing>
          <wp:inline distT="0" distB="0" distL="0" distR="0" wp14:anchorId="18765E60" wp14:editId="100F4665">
            <wp:extent cx="4584700" cy="279844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584700" cy="2798445"/>
                    </a:xfrm>
                    <a:prstGeom prst="rect">
                      <a:avLst/>
                    </a:prstGeom>
                    <a:noFill/>
                  </pic:spPr>
                </pic:pic>
              </a:graphicData>
            </a:graphic>
          </wp:inline>
        </w:drawing>
      </w:r>
    </w:p>
    <w:p w14:paraId="48DEB103" w14:textId="77777777" w:rsidR="001010FD" w:rsidRPr="00981706" w:rsidRDefault="001010FD" w:rsidP="00103BF1">
      <w:pPr>
        <w:pStyle w:val="Figuretitle"/>
        <w:keepNext w:val="0"/>
        <w:keepLines w:val="0"/>
        <w:rPr>
          <w:rtl/>
        </w:rPr>
      </w:pPr>
      <w:bookmarkStart w:id="203" w:name="_Toc179221088"/>
      <w:bookmarkStart w:id="204" w:name="_Toc179733703"/>
      <w:r w:rsidRPr="00981706">
        <w:rPr>
          <w:rtl/>
        </w:rPr>
        <w:t>الشكل 3 - المِنح المقدمة حسب المنطقة</w:t>
      </w:r>
      <w:bookmarkEnd w:id="203"/>
      <w:bookmarkEnd w:id="204"/>
    </w:p>
    <w:p w14:paraId="22398B05" w14:textId="33B508EC" w:rsidR="001010FD" w:rsidRPr="00981706" w:rsidRDefault="00B51DC7" w:rsidP="001010FD">
      <w:pPr>
        <w:pStyle w:val="Figure"/>
        <w:rPr>
          <w:lang w:val="en-GB" w:bidi="ar-EG"/>
        </w:rPr>
      </w:pPr>
      <w:bookmarkStart w:id="205" w:name="_Hlk135237734"/>
      <w:bookmarkEnd w:id="201"/>
      <w:r>
        <w:rPr>
          <w:noProof/>
          <w:lang w:val="en-GB" w:bidi="ar-EG"/>
        </w:rPr>
        <w:lastRenderedPageBreak/>
        <w:drawing>
          <wp:inline distT="0" distB="0" distL="0" distR="0" wp14:anchorId="34371601" wp14:editId="3984B8DF">
            <wp:extent cx="4584700" cy="2761615"/>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14970ADF" w14:textId="5A551278" w:rsidR="001010FD" w:rsidRPr="00981706" w:rsidRDefault="001010FD" w:rsidP="00256EEF">
      <w:pPr>
        <w:pStyle w:val="Figuretitle"/>
        <w:rPr>
          <w:rtl/>
        </w:rPr>
      </w:pPr>
      <w:bookmarkStart w:id="206" w:name="_Toc179221089"/>
      <w:bookmarkStart w:id="207" w:name="_Toc179733704"/>
      <w:r w:rsidRPr="00981706">
        <w:rPr>
          <w:rtl/>
        </w:rPr>
        <w:t xml:space="preserve">الشكل </w:t>
      </w:r>
      <w:r>
        <w:t>4</w:t>
      </w:r>
      <w:r w:rsidRPr="00981706">
        <w:rPr>
          <w:rtl/>
        </w:rPr>
        <w:t xml:space="preserve"> - المِنح المقدمة حسب نوع الجنس</w:t>
      </w:r>
      <w:bookmarkEnd w:id="205"/>
      <w:bookmarkEnd w:id="206"/>
      <w:bookmarkEnd w:id="207"/>
    </w:p>
    <w:p w14:paraId="0188CE81" w14:textId="77777777" w:rsidR="001010FD" w:rsidRPr="00981706" w:rsidRDefault="001010FD" w:rsidP="00256EEF">
      <w:pPr>
        <w:pStyle w:val="Heading1"/>
        <w:rPr>
          <w:lang w:val="ar-SA"/>
        </w:rPr>
      </w:pPr>
      <w:bookmarkStart w:id="208" w:name="_12_Publications"/>
      <w:bookmarkStart w:id="209" w:name="_12_Gender"/>
      <w:bookmarkStart w:id="210" w:name="_13_Gender"/>
      <w:bookmarkStart w:id="211" w:name="_10_Gender"/>
      <w:bookmarkStart w:id="212" w:name="_Toc179219768"/>
      <w:bookmarkStart w:id="213" w:name="_Toc179221078"/>
      <w:bookmarkStart w:id="214" w:name="_Toc179733620"/>
      <w:bookmarkStart w:id="215" w:name="_Hlk172212785"/>
      <w:bookmarkStart w:id="216" w:name="_Hlk172213720"/>
      <w:bookmarkEnd w:id="199"/>
      <w:bookmarkEnd w:id="202"/>
      <w:bookmarkEnd w:id="208"/>
      <w:bookmarkEnd w:id="209"/>
      <w:bookmarkEnd w:id="210"/>
      <w:bookmarkEnd w:id="211"/>
      <w:r w:rsidRPr="00981706">
        <w:rPr>
          <w:rtl/>
        </w:rPr>
        <w:t>10</w:t>
      </w:r>
      <w:r w:rsidRPr="00981706">
        <w:rPr>
          <w:rtl/>
        </w:rPr>
        <w:tab/>
        <w:t>المساواة بين</w:t>
      </w:r>
      <w:bookmarkStart w:id="217" w:name="Ten"/>
      <w:bookmarkEnd w:id="217"/>
      <w:r w:rsidRPr="00981706">
        <w:rPr>
          <w:rtl/>
        </w:rPr>
        <w:t xml:space="preserve"> الجنسين</w:t>
      </w:r>
      <w:bookmarkEnd w:id="212"/>
      <w:bookmarkEnd w:id="213"/>
      <w:bookmarkEnd w:id="214"/>
    </w:p>
    <w:p w14:paraId="7866D4E5" w14:textId="77777777" w:rsidR="001010FD" w:rsidRPr="00981706" w:rsidRDefault="001010FD" w:rsidP="00981706">
      <w:pPr>
        <w:rPr>
          <w:spacing w:val="-4"/>
          <w:lang w:val="ar-SA" w:bidi="ar-EG"/>
        </w:rPr>
      </w:pPr>
      <w:bookmarkStart w:id="218" w:name="_Hlk172569046"/>
      <w:r w:rsidRPr="00981706">
        <w:rPr>
          <w:spacing w:val="-4"/>
          <w:rtl/>
        </w:rPr>
        <w:t xml:space="preserve">للاطلاع على تقرير شامل عن أنشطة مكتب تقييس الاتصالات بشأن المساواة بين الجنسين، يرجى الرجوع إلى الوثيقة </w:t>
      </w:r>
      <w:hyperlink r:id="rId287" w:history="1">
        <w:r w:rsidRPr="00981706">
          <w:rPr>
            <w:rStyle w:val="Hyperlink"/>
            <w:spacing w:val="-4"/>
            <w:lang w:val="en-GB" w:bidi="ar-EG"/>
          </w:rPr>
          <w:t>TSAG</w:t>
        </w:r>
        <w:r w:rsidRPr="00606F5C">
          <w:rPr>
            <w:rStyle w:val="Hyperlink"/>
            <w:spacing w:val="-4"/>
            <w:lang w:val="en-GB" w:bidi="ar-EG"/>
          </w:rPr>
          <w:t> </w:t>
        </w:r>
        <w:r w:rsidRPr="00981706">
          <w:rPr>
            <w:rStyle w:val="Hyperlink"/>
            <w:spacing w:val="-4"/>
            <w:lang w:val="en-GB" w:bidi="ar-EG"/>
          </w:rPr>
          <w:t>TD556</w:t>
        </w:r>
      </w:hyperlink>
      <w:r w:rsidRPr="00981706">
        <w:rPr>
          <w:spacing w:val="-4"/>
          <w:rtl/>
        </w:rPr>
        <w:t xml:space="preserve"> (يوليو</w:t>
      </w:r>
      <w:r>
        <w:rPr>
          <w:rFonts w:hint="cs"/>
          <w:spacing w:val="-4"/>
          <w:rtl/>
        </w:rPr>
        <w:t> </w:t>
      </w:r>
      <w:r w:rsidRPr="00981706">
        <w:rPr>
          <w:spacing w:val="-4"/>
          <w:rtl/>
        </w:rPr>
        <w:t>2024).</w:t>
      </w:r>
    </w:p>
    <w:bookmarkEnd w:id="218"/>
    <w:p w14:paraId="1C025193" w14:textId="77777777" w:rsidR="001010FD" w:rsidRPr="00981706" w:rsidRDefault="001010FD" w:rsidP="00981706">
      <w:pPr>
        <w:rPr>
          <w:spacing w:val="-2"/>
          <w:lang w:val="ar-SA" w:bidi="ar-EG"/>
        </w:rPr>
      </w:pPr>
      <w:r w:rsidRPr="00981706">
        <w:rPr>
          <w:spacing w:val="-2"/>
          <w:rtl/>
        </w:rPr>
        <w:t>ويظل مكتب تقييس الاتصالات ملتزماً بدمج منظور المساواة بين الجنسين في جميع أنشطته وبرامجه، مع الاستفادة من إطار فريق المهام التابع للاتحاد والمعني بقضايا المساواة بين الجنسين و</w:t>
      </w:r>
      <w:hyperlink r:id="rId288" w:anchor="/ar" w:history="1">
        <w:r w:rsidRPr="00981706">
          <w:rPr>
            <w:rStyle w:val="Hyperlink"/>
            <w:spacing w:val="-2"/>
            <w:rtl/>
          </w:rPr>
          <w:t>شبكة المرأة في قطاع تقييس الاتصالات (</w:t>
        </w:r>
        <w:proofErr w:type="spellStart"/>
        <w:r w:rsidRPr="00981706">
          <w:rPr>
            <w:rStyle w:val="Hyperlink"/>
            <w:spacing w:val="-2"/>
            <w:rtl/>
          </w:rPr>
          <w:t>NoW</w:t>
        </w:r>
        <w:proofErr w:type="spellEnd"/>
        <w:r w:rsidRPr="00981706">
          <w:rPr>
            <w:rStyle w:val="Hyperlink"/>
            <w:spacing w:val="-2"/>
            <w:rtl/>
          </w:rPr>
          <w:t xml:space="preserve"> </w:t>
        </w:r>
        <w:proofErr w:type="spellStart"/>
        <w:r w:rsidRPr="00981706">
          <w:rPr>
            <w:rStyle w:val="Hyperlink"/>
            <w:spacing w:val="-2"/>
            <w:rtl/>
          </w:rPr>
          <w:t>in</w:t>
        </w:r>
        <w:proofErr w:type="spellEnd"/>
        <w:r w:rsidRPr="00981706">
          <w:rPr>
            <w:rStyle w:val="Hyperlink"/>
            <w:spacing w:val="-2"/>
            <w:rtl/>
          </w:rPr>
          <w:t xml:space="preserve"> ITU-T)</w:t>
        </w:r>
      </w:hyperlink>
      <w:r w:rsidRPr="00981706">
        <w:rPr>
          <w:spacing w:val="-2"/>
          <w:rtl/>
        </w:rPr>
        <w:t>.</w:t>
      </w:r>
    </w:p>
    <w:p w14:paraId="20004780" w14:textId="77777777" w:rsidR="001010FD" w:rsidRPr="00981706" w:rsidRDefault="001010FD" w:rsidP="00981706">
      <w:pPr>
        <w:rPr>
          <w:lang w:val="ar-SA" w:bidi="ar-EG"/>
        </w:rPr>
      </w:pPr>
      <w:r w:rsidRPr="00981706">
        <w:rPr>
          <w:rtl/>
        </w:rPr>
        <w:t xml:space="preserve">انظر أيضاً القائمة البريدية لشبكة المرأة في قطاع تقييس الاتصالات، </w:t>
      </w:r>
      <w:hyperlink r:id="rId289" w:history="1">
        <w:r w:rsidRPr="00981706">
          <w:rPr>
            <w:rStyle w:val="Hyperlink"/>
            <w:lang w:val="en-GB" w:bidi="ar-EG"/>
          </w:rPr>
          <w:t>nowinitut@lists.itu.int</w:t>
        </w:r>
      </w:hyperlink>
      <w:r w:rsidRPr="00981706">
        <w:rPr>
          <w:rtl/>
        </w:rPr>
        <w:t xml:space="preserve">، وانضم إليها </w:t>
      </w:r>
      <w:hyperlink r:id="rId290" w:history="1">
        <w:r w:rsidRPr="00981706">
          <w:rPr>
            <w:rStyle w:val="Hyperlink"/>
            <w:rtl/>
          </w:rPr>
          <w:t>هنا</w:t>
        </w:r>
      </w:hyperlink>
      <w:r w:rsidRPr="00981706">
        <w:rPr>
          <w:rtl/>
        </w:rPr>
        <w:t>.</w:t>
      </w:r>
    </w:p>
    <w:p w14:paraId="45C3BDD6" w14:textId="77777777" w:rsidR="001010FD" w:rsidRPr="00981706" w:rsidRDefault="001010FD" w:rsidP="00981706">
      <w:pPr>
        <w:rPr>
          <w:lang w:val="ar-SA" w:bidi="ar-EG"/>
        </w:rPr>
      </w:pPr>
      <w:r w:rsidRPr="00981706">
        <w:rPr>
          <w:rtl/>
        </w:rPr>
        <w:t>وتؤكد الجهود المتواصلة التي يبذلها مكتب تقييس الاتصالات لتعزيز المساواة بين الجنسين داخل مكتب تقييس الاتصالات وقطاع تقييس الاتصالات التزام الاتحاد بالتنوع والتكافؤ بين الجنسين وتمكين المرأة.</w:t>
      </w:r>
    </w:p>
    <w:p w14:paraId="01568766" w14:textId="77777777" w:rsidR="001010FD" w:rsidRPr="00981706" w:rsidRDefault="001010FD" w:rsidP="00981706">
      <w:pPr>
        <w:rPr>
          <w:lang w:val="ar-SA" w:bidi="ar-EG"/>
        </w:rPr>
      </w:pPr>
      <w:r w:rsidRPr="00981706">
        <w:rPr>
          <w:rtl/>
        </w:rPr>
        <w:t xml:space="preserve">وفي دورة مجلس الاتحاد لعام 2024، حظي </w:t>
      </w:r>
      <w:hyperlink r:id="rId291" w:history="1">
        <w:r w:rsidRPr="00981706">
          <w:rPr>
            <w:rStyle w:val="Hyperlink"/>
            <w:rtl/>
          </w:rPr>
          <w:t>التقرير عن برنامج الاتحاد بشأن المساواة بين الجنسين بما في ذلك تحديثات بشأن قرارات المجلس لعام 2023 (</w:t>
        </w:r>
        <w:r w:rsidRPr="00981706">
          <w:rPr>
            <w:rStyle w:val="Hyperlink"/>
            <w:lang w:val="en-GB" w:bidi="ar-EG"/>
          </w:rPr>
          <w:t>C24/6</w:t>
        </w:r>
        <w:r w:rsidRPr="00981706">
          <w:rPr>
            <w:rStyle w:val="Hyperlink"/>
            <w:rtl/>
          </w:rPr>
          <w:t>)</w:t>
        </w:r>
      </w:hyperlink>
      <w:r w:rsidRPr="00981706">
        <w:rPr>
          <w:rtl/>
        </w:rPr>
        <w:t xml:space="preserve"> - انظر أيضاً الوثيقة </w:t>
      </w:r>
      <w:hyperlink r:id="rId292" w:history="1">
        <w:r w:rsidRPr="00981706">
          <w:rPr>
            <w:rStyle w:val="Hyperlink"/>
            <w:lang w:val="en-GB" w:bidi="ar-EG"/>
          </w:rPr>
          <w:t>C24/35</w:t>
        </w:r>
      </w:hyperlink>
      <w:r>
        <w:rPr>
          <w:rFonts w:hint="cs"/>
          <w:rtl/>
          <w:lang w:bidi="ar-EG"/>
        </w:rPr>
        <w:t xml:space="preserve"> </w:t>
      </w:r>
      <w:r w:rsidRPr="00981706">
        <w:rPr>
          <w:rtl/>
        </w:rPr>
        <w:t>- بدعم واسع من الدول الأعضاء.</w:t>
      </w:r>
    </w:p>
    <w:p w14:paraId="6F95008F" w14:textId="77777777" w:rsidR="001010FD" w:rsidRPr="00981706" w:rsidRDefault="001010FD" w:rsidP="00981706">
      <w:pPr>
        <w:rPr>
          <w:lang w:val="ar-SA" w:bidi="ar-EG"/>
        </w:rPr>
      </w:pPr>
      <w:r w:rsidRPr="00981706">
        <w:rPr>
          <w:rtl/>
        </w:rPr>
        <w:t xml:space="preserve">وتشجع أهداف التكافؤ بين الجنسين للجمعية العالمية لتقييس الاتصالات لعام 2024، المدعومة </w:t>
      </w:r>
      <w:hyperlink r:id="rId293" w:anchor="/ar" w:history="1">
        <w:r w:rsidRPr="00981706">
          <w:rPr>
            <w:rStyle w:val="Hyperlink"/>
            <w:rtl/>
          </w:rPr>
          <w:t xml:space="preserve">بالحملة </w:t>
        </w:r>
        <w:r w:rsidRPr="00981706">
          <w:rPr>
            <w:rStyle w:val="Hyperlink"/>
            <w:lang w:val="en-GB" w:bidi="ar-EG"/>
          </w:rPr>
          <w:t>NOW4WTSA-24</w:t>
        </w:r>
      </w:hyperlink>
      <w:r w:rsidRPr="00981706">
        <w:rPr>
          <w:rtl/>
        </w:rPr>
        <w:t>، الدول الأعضاء على التعهد بدعم زيادة عدد النساء في المناصب القيادية لقطاع تقييس الاتصالات وتحقيق هدف مشاركة الإناث بنسبة 35 في المائة في الجمعية العالمية لتقييس الاتصالات لعام 2024. ويقدم الشكل 5 أدناه إحصاءات عن مشاركة النساء في</w:t>
      </w:r>
      <w:r>
        <w:rPr>
          <w:rFonts w:hint="cs"/>
          <w:rtl/>
        </w:rPr>
        <w:t> </w:t>
      </w:r>
      <w:r w:rsidRPr="00981706">
        <w:rPr>
          <w:rtl/>
        </w:rPr>
        <w:t>الجمعيات العالمية الثلاث الماضية لتقييس الاتصالات.</w:t>
      </w:r>
    </w:p>
    <w:p w14:paraId="42436A1B" w14:textId="77777777" w:rsidR="001010FD" w:rsidRPr="00981706" w:rsidRDefault="001010FD" w:rsidP="00981706">
      <w:pPr>
        <w:rPr>
          <w:lang w:val="ar-SA" w:bidi="ar-EG"/>
        </w:rPr>
      </w:pPr>
      <w:r w:rsidRPr="00981706">
        <w:rPr>
          <w:rtl/>
        </w:rPr>
        <w:t>أنشطة شبكة المرأة من أجل الجمعية العالمية لتقييس الاتصالات لعام 2024 (NOW4WTSA-24):</w:t>
      </w:r>
    </w:p>
    <w:p w14:paraId="2F4A7270" w14:textId="77777777" w:rsidR="001010FD" w:rsidRPr="00981706" w:rsidRDefault="001010FD" w:rsidP="00F42720">
      <w:pPr>
        <w:pStyle w:val="enumlev1"/>
        <w:rPr>
          <w:lang w:val="ar-SA" w:bidi="ar-EG"/>
        </w:rPr>
      </w:pPr>
      <w:r>
        <w:rPr>
          <w:rFonts w:hint="cs"/>
          <w:rtl/>
          <w:lang w:bidi="ar-EG"/>
        </w:rPr>
        <w:t>-</w:t>
      </w:r>
      <w:r>
        <w:rPr>
          <w:rtl/>
          <w:lang w:bidi="ar-EG"/>
        </w:rPr>
        <w:tab/>
      </w:r>
      <w:r w:rsidRPr="00981706">
        <w:rPr>
          <w:rtl/>
        </w:rPr>
        <w:t xml:space="preserve">قريباً: </w:t>
      </w:r>
      <w:hyperlink r:id="rId294" w:anchor="/ar" w:history="1">
        <w:r w:rsidRPr="00981706">
          <w:rPr>
            <w:rStyle w:val="Hyperlink"/>
            <w:rtl/>
          </w:rPr>
          <w:t>حدث خاص لشبكة المرأة في قطاع تقييس الاتصالات (</w:t>
        </w:r>
        <w:proofErr w:type="spellStart"/>
        <w:r w:rsidRPr="00981706">
          <w:rPr>
            <w:rStyle w:val="Hyperlink"/>
            <w:rtl/>
          </w:rPr>
          <w:t>NoW</w:t>
        </w:r>
        <w:proofErr w:type="spellEnd"/>
        <w:r w:rsidRPr="00981706">
          <w:rPr>
            <w:rStyle w:val="Hyperlink"/>
            <w:rtl/>
          </w:rPr>
          <w:t xml:space="preserve"> </w:t>
        </w:r>
        <w:proofErr w:type="spellStart"/>
        <w:r w:rsidRPr="00981706">
          <w:rPr>
            <w:rStyle w:val="Hyperlink"/>
            <w:rtl/>
          </w:rPr>
          <w:t>in</w:t>
        </w:r>
        <w:proofErr w:type="spellEnd"/>
        <w:r w:rsidRPr="00981706">
          <w:rPr>
            <w:rStyle w:val="Hyperlink"/>
            <w:rtl/>
          </w:rPr>
          <w:t xml:space="preserve"> ITU-T) في الجمعية WTSA-24</w:t>
        </w:r>
      </w:hyperlink>
      <w:r w:rsidRPr="00981706">
        <w:rPr>
          <w:rtl/>
        </w:rPr>
        <w:t>، نيودلهي، الهند، 17 أكتوبر 2024</w:t>
      </w:r>
    </w:p>
    <w:p w14:paraId="56150A5A" w14:textId="77777777" w:rsidR="001010FD" w:rsidRPr="00981706" w:rsidRDefault="001010FD" w:rsidP="00F42720">
      <w:pPr>
        <w:pStyle w:val="enumlev1"/>
        <w:rPr>
          <w:lang w:val="ar-SA" w:bidi="ar-EG"/>
        </w:rPr>
      </w:pPr>
      <w:r>
        <w:rPr>
          <w:rFonts w:hint="cs"/>
          <w:rtl/>
          <w:lang w:bidi="ar-EG"/>
        </w:rPr>
        <w:t>-</w:t>
      </w:r>
      <w:r>
        <w:rPr>
          <w:rtl/>
          <w:lang w:bidi="ar-EG"/>
        </w:rPr>
        <w:tab/>
      </w:r>
      <w:r w:rsidRPr="00981706">
        <w:rPr>
          <w:rtl/>
        </w:rPr>
        <w:t xml:space="preserve">نشاط إقليمي </w:t>
      </w:r>
      <w:proofErr w:type="spellStart"/>
      <w:r w:rsidRPr="00981706">
        <w:rPr>
          <w:rtl/>
        </w:rPr>
        <w:t>للأمريكتين</w:t>
      </w:r>
      <w:proofErr w:type="spellEnd"/>
      <w:r w:rsidRPr="00981706">
        <w:rPr>
          <w:lang w:val="en-GB" w:bidi="ar-EG"/>
        </w:rPr>
        <w:t>:</w:t>
      </w:r>
      <w:r w:rsidRPr="00981706">
        <w:rPr>
          <w:rtl/>
        </w:rPr>
        <w:t xml:space="preserve"> 21 أغسطس 2024، الاجتماع التحضيري الرابع لفريق العمل التابع للجنة البلدان الأمريكية للاتصالات والمعني بالأعمال التحضيرية للجمعية العالمية لتقييس الاتصالات ومتابعتها </w:t>
      </w:r>
      <w:r w:rsidRPr="00981706">
        <w:rPr>
          <w:lang w:bidi="ar-EG"/>
        </w:rPr>
        <w:t>(</w:t>
      </w:r>
      <w:r w:rsidRPr="00981706">
        <w:rPr>
          <w:lang w:val="en-GB" w:bidi="ar-EG"/>
        </w:rPr>
        <w:t>WGCONF</w:t>
      </w:r>
      <w:r w:rsidRPr="00981706">
        <w:rPr>
          <w:lang w:bidi="ar-EG"/>
        </w:rPr>
        <w:t>)</w:t>
      </w:r>
      <w:r w:rsidRPr="00981706">
        <w:rPr>
          <w:rtl/>
        </w:rPr>
        <w:t xml:space="preserve">، </w:t>
      </w:r>
      <w:proofErr w:type="spellStart"/>
      <w:r w:rsidRPr="00981706">
        <w:rPr>
          <w:rtl/>
        </w:rPr>
        <w:t>جواو</w:t>
      </w:r>
      <w:proofErr w:type="spellEnd"/>
      <w:r w:rsidRPr="00981706">
        <w:rPr>
          <w:rtl/>
        </w:rPr>
        <w:t xml:space="preserve"> بيسوا، البرازيل |</w:t>
      </w:r>
      <w:r>
        <w:rPr>
          <w:rFonts w:hint="cs"/>
          <w:rtl/>
        </w:rPr>
        <w:t xml:space="preserve"> </w:t>
      </w:r>
      <w:hyperlink r:id="rId295" w:history="1">
        <w:r w:rsidRPr="00981706">
          <w:rPr>
            <w:rStyle w:val="Hyperlink"/>
            <w:rtl/>
          </w:rPr>
          <w:t>البرنامج</w:t>
        </w:r>
      </w:hyperlink>
    </w:p>
    <w:p w14:paraId="003B0C78" w14:textId="77777777" w:rsidR="001010FD" w:rsidRPr="00981706" w:rsidRDefault="001010FD" w:rsidP="00F42720">
      <w:pPr>
        <w:pStyle w:val="enumlev1"/>
        <w:rPr>
          <w:lang w:val="ar-SA" w:bidi="ar-EG"/>
        </w:rPr>
      </w:pPr>
      <w:r>
        <w:rPr>
          <w:rFonts w:hint="cs"/>
          <w:rtl/>
          <w:lang w:bidi="ar-EG"/>
        </w:rPr>
        <w:t>-</w:t>
      </w:r>
      <w:r>
        <w:rPr>
          <w:rtl/>
          <w:lang w:bidi="ar-EG"/>
        </w:rPr>
        <w:tab/>
      </w:r>
      <w:r w:rsidRPr="00981706">
        <w:rPr>
          <w:rtl/>
        </w:rPr>
        <w:t>نشاط إقليمي لآسيا والمحيط الهادئ</w:t>
      </w:r>
      <w:r w:rsidRPr="00981706">
        <w:rPr>
          <w:lang w:val="en-GB" w:bidi="ar-EG"/>
        </w:rPr>
        <w:t>:</w:t>
      </w:r>
      <w:r w:rsidRPr="00981706">
        <w:rPr>
          <w:rtl/>
        </w:rPr>
        <w:t xml:space="preserve"> 20 أغسطس 2024، الاجتماع الخامس للفريق التابع لجماعة آسيا والمحيط الهادئ للاتصالات والمعني بالأعمال التحضيرية للجمعية العالمية لتقييس الاتصالات لعام 2024، بانكوك، تايلاند | </w:t>
      </w:r>
      <w:hyperlink r:id="rId296" w:history="1">
        <w:r w:rsidRPr="00981706">
          <w:rPr>
            <w:rStyle w:val="Hyperlink"/>
            <w:rtl/>
          </w:rPr>
          <w:t>البرنامج</w:t>
        </w:r>
      </w:hyperlink>
      <w:r w:rsidRPr="00981706">
        <w:rPr>
          <w:rtl/>
        </w:rPr>
        <w:t xml:space="preserve"> </w:t>
      </w:r>
      <w:r w:rsidRPr="00981706">
        <w:rPr>
          <w:lang w:val="en-GB" w:bidi="ar-EG"/>
        </w:rPr>
        <w:t>|</w:t>
      </w:r>
      <w:r>
        <w:rPr>
          <w:rFonts w:hint="cs"/>
          <w:rtl/>
          <w:lang w:val="en-GB" w:bidi="ar-EG"/>
        </w:rPr>
        <w:t xml:space="preserve"> </w:t>
      </w:r>
      <w:hyperlink r:id="rId297" w:history="1">
        <w:r w:rsidRPr="00981706">
          <w:rPr>
            <w:rStyle w:val="Hyperlink"/>
            <w:rtl/>
          </w:rPr>
          <w:t>العرض التقديمي 1</w:t>
        </w:r>
      </w:hyperlink>
      <w:r w:rsidRPr="00981706">
        <w:rPr>
          <w:lang w:val="en-GB" w:bidi="ar-EG"/>
        </w:rPr>
        <w:t xml:space="preserve"> | </w:t>
      </w:r>
      <w:hyperlink r:id="rId298" w:history="1">
        <w:r w:rsidRPr="00981706">
          <w:rPr>
            <w:rStyle w:val="Hyperlink"/>
            <w:rtl/>
          </w:rPr>
          <w:t>العرض التقديمي 2</w:t>
        </w:r>
      </w:hyperlink>
    </w:p>
    <w:p w14:paraId="745A0F0A" w14:textId="77777777" w:rsidR="001010FD" w:rsidRPr="00981706" w:rsidRDefault="001010FD" w:rsidP="00F42720">
      <w:pPr>
        <w:pStyle w:val="enumlev1"/>
        <w:rPr>
          <w:lang w:val="ar-SA" w:bidi="ar-EG"/>
        </w:rPr>
      </w:pPr>
      <w:r>
        <w:rPr>
          <w:rFonts w:hint="cs"/>
          <w:rtl/>
          <w:lang w:bidi="ar-EG"/>
        </w:rPr>
        <w:t>-</w:t>
      </w:r>
      <w:r>
        <w:rPr>
          <w:rtl/>
          <w:lang w:bidi="ar-EG"/>
        </w:rPr>
        <w:tab/>
      </w:r>
      <w:r w:rsidRPr="00981706">
        <w:rPr>
          <w:rtl/>
        </w:rPr>
        <w:t xml:space="preserve">نشاط إقليمي لأوروبا: </w:t>
      </w:r>
      <w:hyperlink r:id="rId299" w:history="1">
        <w:r w:rsidRPr="00981706">
          <w:rPr>
            <w:rStyle w:val="Hyperlink"/>
            <w:rtl/>
          </w:rPr>
          <w:t>سد الفجوة بين الجنسين: إلهام النساء للقيادة في مجال التكنولوجيا</w:t>
        </w:r>
      </w:hyperlink>
      <w:r w:rsidRPr="00981706">
        <w:rPr>
          <w:rtl/>
        </w:rPr>
        <w:t xml:space="preserve">، 7 مايو 2024، </w:t>
      </w:r>
      <w:proofErr w:type="spellStart"/>
      <w:r w:rsidRPr="00981706">
        <w:rPr>
          <w:rtl/>
        </w:rPr>
        <w:t>غدانسك</w:t>
      </w:r>
      <w:proofErr w:type="spellEnd"/>
      <w:r w:rsidRPr="00981706">
        <w:rPr>
          <w:rtl/>
        </w:rPr>
        <w:t xml:space="preserve">، بولندا | </w:t>
      </w:r>
      <w:hyperlink r:id="rId300" w:history="1">
        <w:r w:rsidRPr="00981706">
          <w:rPr>
            <w:rStyle w:val="Hyperlink"/>
            <w:rtl/>
          </w:rPr>
          <w:t>تسجيل</w:t>
        </w:r>
      </w:hyperlink>
    </w:p>
    <w:p w14:paraId="3DFFDC5C" w14:textId="77777777" w:rsidR="001010FD" w:rsidRPr="00F42720" w:rsidRDefault="001010FD" w:rsidP="00F42720">
      <w:pPr>
        <w:pStyle w:val="enumlev1"/>
        <w:rPr>
          <w:spacing w:val="-4"/>
          <w:lang w:val="en-GB" w:bidi="ar-EG"/>
        </w:rPr>
      </w:pPr>
      <w:r w:rsidRPr="00F42720">
        <w:rPr>
          <w:rFonts w:hint="cs"/>
          <w:spacing w:val="-4"/>
          <w:rtl/>
          <w:lang w:bidi="ar-EG"/>
        </w:rPr>
        <w:t>-</w:t>
      </w:r>
      <w:r w:rsidRPr="00F42720">
        <w:rPr>
          <w:spacing w:val="-4"/>
          <w:rtl/>
          <w:lang w:bidi="ar-EG"/>
        </w:rPr>
        <w:tab/>
      </w:r>
      <w:hyperlink r:id="rId301" w:history="1">
        <w:r w:rsidRPr="00F42720">
          <w:rPr>
            <w:rStyle w:val="Hyperlink"/>
            <w:spacing w:val="-4"/>
            <w:rtl/>
          </w:rPr>
          <w:t>مائدة إفطار لشبكة المرأة في الفريق الاستشاري لتقييس الاتصالات</w:t>
        </w:r>
      </w:hyperlink>
      <w:r w:rsidRPr="00F42720">
        <w:rPr>
          <w:spacing w:val="-4"/>
          <w:rtl/>
        </w:rPr>
        <w:t xml:space="preserve">، 23 يناير 2024، جنيف، سويسرا </w:t>
      </w:r>
      <w:r w:rsidRPr="00F42720">
        <w:rPr>
          <w:spacing w:val="-4"/>
          <w:lang w:val="en-GB" w:bidi="ar-EG"/>
        </w:rPr>
        <w:t>|</w:t>
      </w:r>
      <w:r w:rsidRPr="00F42720">
        <w:rPr>
          <w:spacing w:val="-4"/>
          <w:rtl/>
        </w:rPr>
        <w:t xml:space="preserve"> </w:t>
      </w:r>
      <w:hyperlink r:id="rId302" w:history="1">
        <w:r w:rsidRPr="00F42720">
          <w:rPr>
            <w:rStyle w:val="Hyperlink"/>
            <w:spacing w:val="-4"/>
            <w:rtl/>
          </w:rPr>
          <w:t>ألبوم الصور</w:t>
        </w:r>
      </w:hyperlink>
      <w:r w:rsidRPr="00F42720">
        <w:rPr>
          <w:spacing w:val="-4"/>
          <w:rtl/>
        </w:rPr>
        <w:t xml:space="preserve"> </w:t>
      </w:r>
      <w:r w:rsidRPr="00F42720">
        <w:rPr>
          <w:spacing w:val="-4"/>
          <w:lang w:val="en-GB" w:bidi="ar-EG"/>
        </w:rPr>
        <w:t>|</w:t>
      </w:r>
      <w:r w:rsidRPr="00F42720">
        <w:rPr>
          <w:spacing w:val="-4"/>
          <w:rtl/>
        </w:rPr>
        <w:t xml:space="preserve"> </w:t>
      </w:r>
      <w:hyperlink r:id="rId303" w:history="1">
        <w:r w:rsidRPr="00F42720">
          <w:rPr>
            <w:rStyle w:val="Hyperlink"/>
            <w:spacing w:val="-4"/>
            <w:rtl/>
          </w:rPr>
          <w:t>تسجيل</w:t>
        </w:r>
      </w:hyperlink>
    </w:p>
    <w:p w14:paraId="1BB582AD" w14:textId="77777777" w:rsidR="001010FD" w:rsidRPr="00981706" w:rsidRDefault="001010FD" w:rsidP="00981706">
      <w:pPr>
        <w:rPr>
          <w:spacing w:val="-4"/>
          <w:lang w:val="ar-SA" w:bidi="ar-EG"/>
        </w:rPr>
      </w:pPr>
      <w:r w:rsidRPr="00981706">
        <w:rPr>
          <w:spacing w:val="-4"/>
          <w:rtl/>
        </w:rPr>
        <w:lastRenderedPageBreak/>
        <w:t>وفي اجتماع الفريق الاستشاري لتقييس الاتصالات في يناير 2024، وبعد مناقشات بشأن الاختصاصات المحدَّثة لشبكة المرأة في</w:t>
      </w:r>
      <w:r w:rsidRPr="00DC3C74">
        <w:rPr>
          <w:rFonts w:hint="cs"/>
          <w:spacing w:val="-4"/>
          <w:rtl/>
        </w:rPr>
        <w:t> </w:t>
      </w:r>
      <w:r w:rsidRPr="00981706">
        <w:rPr>
          <w:spacing w:val="-4"/>
          <w:rtl/>
        </w:rPr>
        <w:t xml:space="preserve">قطاع تقييس الاتصالات والموافقة عليها (انظر الوثيقة </w:t>
      </w:r>
      <w:hyperlink r:id="rId304" w:history="1">
        <w:r w:rsidRPr="00981706">
          <w:rPr>
            <w:rStyle w:val="Hyperlink"/>
            <w:spacing w:val="-4"/>
            <w:lang w:val="en-GB" w:bidi="ar-EG"/>
          </w:rPr>
          <w:t>TSAG TD423-R2</w:t>
        </w:r>
      </w:hyperlink>
      <w:r w:rsidRPr="00981706">
        <w:rPr>
          <w:spacing w:val="-4"/>
          <w:rtl/>
        </w:rPr>
        <w:t>)، تَقرر أن تعين المنظمات الإقليمية للاتصالات (</w:t>
      </w:r>
      <w:r w:rsidRPr="00981706">
        <w:rPr>
          <w:spacing w:val="-4"/>
          <w:lang w:val="en-GB" w:bidi="ar-EG"/>
        </w:rPr>
        <w:t>RTO</w:t>
      </w:r>
      <w:r w:rsidRPr="00981706">
        <w:rPr>
          <w:spacing w:val="-4"/>
          <w:rtl/>
        </w:rPr>
        <w:t>) ست ممثلات إقليميات.</w:t>
      </w:r>
    </w:p>
    <w:p w14:paraId="1D62E4BE" w14:textId="77777777" w:rsidR="001010FD" w:rsidRPr="00981706" w:rsidRDefault="001010FD" w:rsidP="00981706">
      <w:pPr>
        <w:rPr>
          <w:lang w:val="ar-SA" w:bidi="ar-EG"/>
        </w:rPr>
      </w:pPr>
      <w:r w:rsidRPr="00981706">
        <w:rPr>
          <w:rtl/>
        </w:rPr>
        <w:t>الممثلات الإقليميات:</w:t>
      </w:r>
    </w:p>
    <w:p w14:paraId="75EE01D8" w14:textId="77777777" w:rsidR="001010FD" w:rsidRPr="00981706" w:rsidRDefault="001010FD" w:rsidP="00971531">
      <w:pPr>
        <w:pStyle w:val="enumlev1"/>
        <w:rPr>
          <w:lang w:val="ar-SA" w:bidi="ar-EG"/>
        </w:rPr>
      </w:pPr>
      <w:r>
        <w:rPr>
          <w:rFonts w:hint="cs"/>
          <w:rtl/>
          <w:lang w:bidi="ar-EG"/>
        </w:rPr>
        <w:t>-</w:t>
      </w:r>
      <w:r>
        <w:rPr>
          <w:rtl/>
          <w:lang w:bidi="ar-EG"/>
        </w:rPr>
        <w:tab/>
      </w:r>
      <w:r w:rsidRPr="00981706">
        <w:rPr>
          <w:rtl/>
        </w:rPr>
        <w:t>إفريقيا</w:t>
      </w:r>
      <w:r w:rsidRPr="00981706">
        <w:rPr>
          <w:lang w:val="en-GB" w:bidi="ar-EG"/>
        </w:rPr>
        <w:t>:</w:t>
      </w:r>
      <w:r w:rsidRPr="00981706">
        <w:rPr>
          <w:rtl/>
        </w:rPr>
        <w:t xml:space="preserve"> </w:t>
      </w:r>
      <w:proofErr w:type="spellStart"/>
      <w:r w:rsidRPr="00981706">
        <w:rPr>
          <w:rtl/>
        </w:rPr>
        <w:t>Rebecca</w:t>
      </w:r>
      <w:proofErr w:type="spellEnd"/>
      <w:r w:rsidRPr="00981706">
        <w:rPr>
          <w:rtl/>
        </w:rPr>
        <w:t xml:space="preserve"> </w:t>
      </w:r>
      <w:proofErr w:type="spellStart"/>
      <w:r w:rsidRPr="00981706">
        <w:rPr>
          <w:rtl/>
        </w:rPr>
        <w:t>Mukite</w:t>
      </w:r>
      <w:proofErr w:type="spellEnd"/>
      <w:r w:rsidRPr="00981706">
        <w:rPr>
          <w:rtl/>
        </w:rPr>
        <w:t>، رئيسة العلاقات العامة والدولية، لجنة الاتصالات الأوغندية (</w:t>
      </w:r>
      <w:r w:rsidRPr="00981706">
        <w:rPr>
          <w:lang w:val="en-GB" w:bidi="ar-EG"/>
        </w:rPr>
        <w:t>UCC</w:t>
      </w:r>
      <w:r w:rsidRPr="00981706">
        <w:rPr>
          <w:rtl/>
        </w:rPr>
        <w:t>)، أوغندا</w:t>
      </w:r>
    </w:p>
    <w:p w14:paraId="46C9BDD8" w14:textId="77777777" w:rsidR="001010FD" w:rsidRPr="00C77462" w:rsidRDefault="001010FD" w:rsidP="00971531">
      <w:pPr>
        <w:pStyle w:val="enumlev1"/>
        <w:rPr>
          <w:spacing w:val="-4"/>
          <w:lang w:val="ar-SA" w:bidi="ar-EG"/>
        </w:rPr>
      </w:pPr>
      <w:r w:rsidRPr="00C77462">
        <w:rPr>
          <w:rFonts w:hint="cs"/>
          <w:spacing w:val="-4"/>
          <w:rtl/>
          <w:lang w:bidi="ar-EG"/>
        </w:rPr>
        <w:t>-</w:t>
      </w:r>
      <w:r w:rsidRPr="00C77462">
        <w:rPr>
          <w:spacing w:val="-4"/>
          <w:rtl/>
          <w:lang w:bidi="ar-EG"/>
        </w:rPr>
        <w:tab/>
      </w:r>
      <w:r w:rsidRPr="00C77462">
        <w:rPr>
          <w:spacing w:val="-4"/>
          <w:rtl/>
        </w:rPr>
        <w:t>الأمريكتان</w:t>
      </w:r>
      <w:r w:rsidRPr="00C77462">
        <w:rPr>
          <w:spacing w:val="-4"/>
          <w:lang w:val="en-GB" w:bidi="ar-EG"/>
        </w:rPr>
        <w:t>:</w:t>
      </w:r>
      <w:r w:rsidRPr="00C77462">
        <w:rPr>
          <w:spacing w:val="-4"/>
          <w:rtl/>
        </w:rPr>
        <w:t xml:space="preserve"> </w:t>
      </w:r>
      <w:proofErr w:type="spellStart"/>
      <w:r w:rsidRPr="00C77462">
        <w:rPr>
          <w:spacing w:val="-4"/>
          <w:rtl/>
        </w:rPr>
        <w:t>Tania</w:t>
      </w:r>
      <w:proofErr w:type="spellEnd"/>
      <w:r w:rsidRPr="00C77462">
        <w:rPr>
          <w:spacing w:val="-4"/>
          <w:rtl/>
        </w:rPr>
        <w:t xml:space="preserve"> </w:t>
      </w:r>
      <w:proofErr w:type="spellStart"/>
      <w:r w:rsidRPr="00C77462">
        <w:rPr>
          <w:spacing w:val="-4"/>
          <w:rtl/>
        </w:rPr>
        <w:t>Villa</w:t>
      </w:r>
      <w:proofErr w:type="spellEnd"/>
      <w:r w:rsidRPr="00C77462">
        <w:rPr>
          <w:spacing w:val="-4"/>
          <w:rtl/>
        </w:rPr>
        <w:t>، رئيسة لجنة الدراسات 12 لقطاع تقييس الاتصالات، المعهد الفيدرالي للاتصالات (</w:t>
      </w:r>
      <w:r w:rsidRPr="00C77462">
        <w:rPr>
          <w:spacing w:val="-4"/>
          <w:lang w:val="en-GB" w:bidi="ar-EG"/>
        </w:rPr>
        <w:t>IFT</w:t>
      </w:r>
      <w:r w:rsidRPr="00C77462">
        <w:rPr>
          <w:spacing w:val="-4"/>
          <w:rtl/>
        </w:rPr>
        <w:t>)، المكسيك</w:t>
      </w:r>
    </w:p>
    <w:p w14:paraId="4484E368" w14:textId="77777777" w:rsidR="001010FD" w:rsidRPr="00981706" w:rsidRDefault="001010FD" w:rsidP="00971531">
      <w:pPr>
        <w:pStyle w:val="enumlev1"/>
        <w:rPr>
          <w:lang w:val="ar-SA" w:bidi="ar-EG"/>
        </w:rPr>
      </w:pPr>
      <w:r>
        <w:rPr>
          <w:rFonts w:hint="cs"/>
          <w:rtl/>
          <w:lang w:bidi="ar-EG"/>
        </w:rPr>
        <w:t>-</w:t>
      </w:r>
      <w:r>
        <w:rPr>
          <w:rtl/>
          <w:lang w:bidi="ar-EG"/>
        </w:rPr>
        <w:tab/>
      </w:r>
      <w:r w:rsidRPr="00981706">
        <w:rPr>
          <w:rtl/>
        </w:rPr>
        <w:t xml:space="preserve">الدول العربية: </w:t>
      </w:r>
      <w:r w:rsidRPr="00981706">
        <w:rPr>
          <w:lang w:val="en-GB" w:bidi="ar-EG"/>
        </w:rPr>
        <w:t>Basma Tawfik</w:t>
      </w:r>
      <w:r w:rsidRPr="00981706">
        <w:rPr>
          <w:rtl/>
        </w:rPr>
        <w:t xml:space="preserve">، مديرة شؤون المنظمات الدولية، الجهاز القومي لتنظيم الاتصالات </w:t>
      </w:r>
      <w:r w:rsidRPr="00981706">
        <w:rPr>
          <w:lang w:val="en-GB" w:bidi="ar-EG"/>
        </w:rPr>
        <w:t>NTRA</w:t>
      </w:r>
      <w:r w:rsidRPr="00981706">
        <w:rPr>
          <w:lang w:bidi="ar-EG"/>
        </w:rPr>
        <w:t>)</w:t>
      </w:r>
      <w:r w:rsidRPr="00981706">
        <w:rPr>
          <w:rtl/>
        </w:rPr>
        <w:t>)، مصر</w:t>
      </w:r>
    </w:p>
    <w:p w14:paraId="3914E1C0" w14:textId="77777777" w:rsidR="001010FD" w:rsidRPr="00C77462" w:rsidRDefault="001010FD" w:rsidP="00971531">
      <w:pPr>
        <w:pStyle w:val="enumlev1"/>
        <w:rPr>
          <w:spacing w:val="-4"/>
          <w:lang w:val="ar-SA" w:bidi="ar-EG"/>
        </w:rPr>
      </w:pPr>
      <w:r w:rsidRPr="00C77462">
        <w:rPr>
          <w:rFonts w:hint="cs"/>
          <w:spacing w:val="-4"/>
          <w:rtl/>
          <w:lang w:bidi="ar-EG"/>
        </w:rPr>
        <w:t>-</w:t>
      </w:r>
      <w:r w:rsidRPr="00C77462">
        <w:rPr>
          <w:spacing w:val="-4"/>
          <w:rtl/>
          <w:lang w:bidi="ar-EG"/>
        </w:rPr>
        <w:tab/>
      </w:r>
      <w:r w:rsidRPr="00C77462">
        <w:rPr>
          <w:spacing w:val="-4"/>
          <w:rtl/>
        </w:rPr>
        <w:t>آسيا والمحيط الهادئ</w:t>
      </w:r>
      <w:r w:rsidRPr="00C77462">
        <w:rPr>
          <w:spacing w:val="-4"/>
          <w:lang w:val="en-GB" w:bidi="ar-EG"/>
        </w:rPr>
        <w:t>:</w:t>
      </w:r>
      <w:r w:rsidRPr="00C77462">
        <w:rPr>
          <w:spacing w:val="-4"/>
          <w:rtl/>
        </w:rPr>
        <w:t xml:space="preserve"> </w:t>
      </w:r>
      <w:proofErr w:type="spellStart"/>
      <w:r w:rsidRPr="00C77462">
        <w:rPr>
          <w:spacing w:val="-4"/>
          <w:rtl/>
        </w:rPr>
        <w:t>Miho</w:t>
      </w:r>
      <w:proofErr w:type="spellEnd"/>
      <w:r w:rsidRPr="00C77462">
        <w:rPr>
          <w:spacing w:val="-4"/>
          <w:rtl/>
        </w:rPr>
        <w:t xml:space="preserve"> </w:t>
      </w:r>
      <w:proofErr w:type="spellStart"/>
      <w:r w:rsidRPr="00C77462">
        <w:rPr>
          <w:spacing w:val="-4"/>
          <w:rtl/>
        </w:rPr>
        <w:t>Naganuma</w:t>
      </w:r>
      <w:proofErr w:type="spellEnd"/>
      <w:r w:rsidRPr="00C77462">
        <w:rPr>
          <w:spacing w:val="-4"/>
          <w:rtl/>
        </w:rPr>
        <w:t xml:space="preserve">، نائبة رئيس الفريق الاستشاري لتقييس الاتصالات، كبيرة المسؤولين التنفيذيين، شركة </w:t>
      </w:r>
      <w:r w:rsidRPr="00C77462">
        <w:rPr>
          <w:spacing w:val="-4"/>
          <w:lang w:val="en-GB" w:bidi="ar-EG"/>
        </w:rPr>
        <w:t>NEC</w:t>
      </w:r>
      <w:r w:rsidRPr="00C77462">
        <w:rPr>
          <w:spacing w:val="-4"/>
          <w:rtl/>
        </w:rPr>
        <w:t>، اليابان</w:t>
      </w:r>
    </w:p>
    <w:p w14:paraId="71255BD6" w14:textId="77777777" w:rsidR="001010FD" w:rsidRPr="00981706" w:rsidRDefault="001010FD" w:rsidP="00971531">
      <w:pPr>
        <w:pStyle w:val="enumlev1"/>
        <w:rPr>
          <w:lang w:val="ar-SA" w:bidi="ar-EG"/>
        </w:rPr>
      </w:pPr>
      <w:r>
        <w:rPr>
          <w:rFonts w:hint="cs"/>
          <w:rtl/>
          <w:lang w:bidi="ar-EG"/>
        </w:rPr>
        <w:t>-</w:t>
      </w:r>
      <w:r>
        <w:rPr>
          <w:rtl/>
          <w:lang w:bidi="ar-EG"/>
        </w:rPr>
        <w:tab/>
      </w:r>
      <w:r w:rsidRPr="00981706">
        <w:rPr>
          <w:rtl/>
        </w:rPr>
        <w:t>كومنولث الدول المستقلة</w:t>
      </w:r>
      <w:r w:rsidRPr="00981706">
        <w:rPr>
          <w:lang w:val="en-GB" w:bidi="ar-EG"/>
        </w:rPr>
        <w:t>:</w:t>
      </w:r>
      <w:r w:rsidRPr="00981706">
        <w:rPr>
          <w:rtl/>
        </w:rPr>
        <w:t xml:space="preserve"> Maria </w:t>
      </w:r>
      <w:proofErr w:type="spellStart"/>
      <w:r w:rsidRPr="00981706">
        <w:rPr>
          <w:rtl/>
        </w:rPr>
        <w:t>Bolshakova</w:t>
      </w:r>
      <w:proofErr w:type="spellEnd"/>
      <w:r w:rsidRPr="00981706">
        <w:rPr>
          <w:rtl/>
        </w:rPr>
        <w:t>، القائمة بأعمال نائب المدير العام، الكومنولث الإقليمي في مجال الاتصالات</w:t>
      </w:r>
      <w:r>
        <w:rPr>
          <w:rFonts w:hint="cs"/>
          <w:rtl/>
        </w:rPr>
        <w:t> </w:t>
      </w:r>
      <w:r w:rsidRPr="00981706">
        <w:rPr>
          <w:rtl/>
        </w:rPr>
        <w:t>(</w:t>
      </w:r>
      <w:r w:rsidRPr="00981706">
        <w:rPr>
          <w:lang w:val="en-GB" w:bidi="ar-EG"/>
        </w:rPr>
        <w:t>RCC</w:t>
      </w:r>
      <w:r w:rsidRPr="00981706">
        <w:rPr>
          <w:rtl/>
        </w:rPr>
        <w:t>)</w:t>
      </w:r>
    </w:p>
    <w:p w14:paraId="41411FD2" w14:textId="77777777" w:rsidR="001010FD" w:rsidRPr="00981706" w:rsidRDefault="001010FD" w:rsidP="00971531">
      <w:pPr>
        <w:pStyle w:val="enumlev1"/>
        <w:rPr>
          <w:lang w:val="ar-SA" w:bidi="ar-EG"/>
        </w:rPr>
      </w:pPr>
      <w:r>
        <w:rPr>
          <w:rFonts w:hint="cs"/>
          <w:rtl/>
          <w:lang w:bidi="ar-EG"/>
        </w:rPr>
        <w:t>-</w:t>
      </w:r>
      <w:r>
        <w:rPr>
          <w:rtl/>
          <w:lang w:bidi="ar-EG"/>
        </w:rPr>
        <w:tab/>
      </w:r>
      <w:r w:rsidRPr="00981706">
        <w:rPr>
          <w:rtl/>
        </w:rPr>
        <w:t>أوروبا</w:t>
      </w:r>
      <w:r w:rsidRPr="00981706">
        <w:rPr>
          <w:lang w:val="en-GB" w:bidi="ar-EG"/>
        </w:rPr>
        <w:t>:</w:t>
      </w:r>
      <w:r w:rsidRPr="00981706">
        <w:rPr>
          <w:rtl/>
        </w:rPr>
        <w:t xml:space="preserve"> </w:t>
      </w:r>
      <w:proofErr w:type="spellStart"/>
      <w:r w:rsidRPr="00981706">
        <w:rPr>
          <w:rtl/>
        </w:rPr>
        <w:t>Izabela</w:t>
      </w:r>
      <w:proofErr w:type="spellEnd"/>
      <w:r w:rsidRPr="00981706">
        <w:rPr>
          <w:rtl/>
        </w:rPr>
        <w:t xml:space="preserve"> </w:t>
      </w:r>
      <w:proofErr w:type="spellStart"/>
      <w:r w:rsidRPr="00981706">
        <w:rPr>
          <w:rtl/>
        </w:rPr>
        <w:t>Iglewska</w:t>
      </w:r>
      <w:proofErr w:type="spellEnd"/>
      <w:r w:rsidRPr="00981706">
        <w:rPr>
          <w:rtl/>
        </w:rPr>
        <w:t>، مستشارة الوزير، وزارة الشؤون الرقمية، بولندا</w:t>
      </w:r>
    </w:p>
    <w:p w14:paraId="7A6E9786" w14:textId="77777777" w:rsidR="001010FD" w:rsidRPr="00981706" w:rsidRDefault="001010FD" w:rsidP="00981706">
      <w:pPr>
        <w:rPr>
          <w:lang w:val="ar-SA" w:bidi="ar-EG"/>
        </w:rPr>
      </w:pPr>
      <w:r w:rsidRPr="00981706">
        <w:rPr>
          <w:rtl/>
        </w:rPr>
        <w:t xml:space="preserve">وعُرضت نتائج الدراسة الاستقصائية بشأن تعزيز المساواة بين الجنسين في قطاع تقييس الاتصالات على اجتماع الفريق الاستشاري لتقييس الاتصالات في مايو 2023 (انظر الوثيقة </w:t>
      </w:r>
      <w:hyperlink r:id="rId305" w:history="1">
        <w:r w:rsidRPr="00C77462">
          <w:rPr>
            <w:rStyle w:val="Hyperlink"/>
            <w:bCs/>
          </w:rPr>
          <w:t>TD196</w:t>
        </w:r>
      </w:hyperlink>
      <w:r w:rsidRPr="00981706">
        <w:rPr>
          <w:rtl/>
        </w:rPr>
        <w:t>). ويعمل مكتب تقييس الاتصالات بنشاط على تنفيذ إجراءات بناءً على نتائج الدراسة الاستقصائية في إطار خطة عمل</w:t>
      </w:r>
      <w:r>
        <w:rPr>
          <w:rFonts w:hint="cs"/>
          <w:rtl/>
          <w:lang w:bidi="ar-EG"/>
        </w:rPr>
        <w:t xml:space="preserve"> </w:t>
      </w:r>
      <w:r w:rsidRPr="00981706">
        <w:rPr>
          <w:rtl/>
        </w:rPr>
        <w:t>شبكة المرأة في قطاع تقييس الاتصالات.</w:t>
      </w:r>
    </w:p>
    <w:p w14:paraId="7FB7E085" w14:textId="77777777" w:rsidR="001010FD" w:rsidRPr="00981706" w:rsidRDefault="001010FD" w:rsidP="00981706">
      <w:pPr>
        <w:rPr>
          <w:lang w:val="ar-SA" w:bidi="ar-EG"/>
        </w:rPr>
      </w:pPr>
      <w:r w:rsidRPr="00981706">
        <w:rPr>
          <w:rtl/>
        </w:rPr>
        <w:t xml:space="preserve">ووفقاً </w:t>
      </w:r>
      <w:hyperlink r:id="rId306" w:history="1">
        <w:r w:rsidRPr="00981706">
          <w:rPr>
            <w:rStyle w:val="Hyperlink"/>
            <w:rtl/>
          </w:rPr>
          <w:t>لإعلان لجنة الأمم المتحدة الاقتصادية لأوروبا بشأن المعايير المراعية للاعتبارات الجنسانية</w:t>
        </w:r>
      </w:hyperlink>
      <w:r w:rsidRPr="00981706">
        <w:rPr>
          <w:rtl/>
        </w:rPr>
        <w:t xml:space="preserve">، الذي أقره الاتحاد الدولي للاتصالات إلى جانب هيئات رئيسية أخرى معنية بوضع المعايير، يدعو مكتب تقييس الاتصالات أعضاء قطاع تقييس الاتصالات وموظفيه المشاركين في عمليات وضع المعايير إلى الحصول على </w:t>
      </w:r>
      <w:hyperlink r:id="rId307" w:history="1">
        <w:r w:rsidRPr="00981706">
          <w:rPr>
            <w:rStyle w:val="Hyperlink"/>
            <w:rtl/>
          </w:rPr>
          <w:t>دورة تدريبية</w:t>
        </w:r>
      </w:hyperlink>
      <w:r w:rsidRPr="00981706">
        <w:rPr>
          <w:rtl/>
        </w:rPr>
        <w:t xml:space="preserve"> بشأن وضع المعايير المراعية للاعتبارات المتعلقة بالمساواة بين الجنسين. ويدعى الأعضاء والموظفون إلى إرسال شهادات الإنجاز إلى العنوان </w:t>
      </w:r>
      <w:hyperlink r:id="rId308" w:history="1">
        <w:r w:rsidRPr="00981706">
          <w:rPr>
            <w:rStyle w:val="Hyperlink"/>
            <w:lang w:val="en-GB" w:bidi="ar-EG"/>
          </w:rPr>
          <w:t>NoW-T@itu.int</w:t>
        </w:r>
      </w:hyperlink>
      <w:r w:rsidRPr="00981706">
        <w:rPr>
          <w:rtl/>
        </w:rPr>
        <w:t>.</w:t>
      </w:r>
    </w:p>
    <w:p w14:paraId="4C2D3D6F" w14:textId="77777777" w:rsidR="001010FD" w:rsidRPr="00981706" w:rsidRDefault="001010FD" w:rsidP="00DC3C74">
      <w:pPr>
        <w:spacing w:after="120"/>
        <w:rPr>
          <w:lang w:val="ar-SA" w:bidi="ar-EG"/>
        </w:rPr>
      </w:pPr>
      <w:r w:rsidRPr="00981706">
        <w:rPr>
          <w:rtl/>
        </w:rPr>
        <w:t>وتقدم الأشكال من 5 إلى 7 لمحة عامة عن أنشطة مكتب تقييس الاتصالات/قطاع تقييس الاتصالات فيما يتعلق بالمشاركين من الجنسين.</w:t>
      </w:r>
    </w:p>
    <w:bookmarkEnd w:id="215"/>
    <w:p w14:paraId="7E9AB38C" w14:textId="77777777" w:rsidR="001010FD" w:rsidRPr="00981706" w:rsidRDefault="001010FD" w:rsidP="001010FD">
      <w:pPr>
        <w:pStyle w:val="Figure"/>
        <w:rPr>
          <w:lang w:val="en-GB" w:bidi="ar-EG"/>
        </w:rPr>
      </w:pPr>
      <w:r>
        <w:rPr>
          <w:noProof/>
          <w:lang w:val="en-GB" w:bidi="ar-EG"/>
        </w:rPr>
        <w:drawing>
          <wp:inline distT="0" distB="0" distL="0" distR="0" wp14:anchorId="3DBFB487" wp14:editId="7E7D859E">
            <wp:extent cx="4377055" cy="255460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377055" cy="2554605"/>
                    </a:xfrm>
                    <a:prstGeom prst="rect">
                      <a:avLst/>
                    </a:prstGeom>
                    <a:noFill/>
                  </pic:spPr>
                </pic:pic>
              </a:graphicData>
            </a:graphic>
          </wp:inline>
        </w:drawing>
      </w:r>
    </w:p>
    <w:p w14:paraId="0FE6F51A" w14:textId="77777777" w:rsidR="001010FD" w:rsidRPr="00981706" w:rsidRDefault="001010FD" w:rsidP="00A84E04">
      <w:pPr>
        <w:pStyle w:val="Figuretitle"/>
        <w:keepNext w:val="0"/>
        <w:keepLines w:val="0"/>
        <w:rPr>
          <w:rtl/>
        </w:rPr>
      </w:pPr>
      <w:bookmarkStart w:id="219" w:name="_Toc179221090"/>
      <w:bookmarkStart w:id="220" w:name="_Toc179733705"/>
      <w:r w:rsidRPr="00981706">
        <w:rPr>
          <w:rtl/>
        </w:rPr>
        <w:t>الشكل 5 - مشاركة النساء في الجمعيات العالمية الثلاث الماضية لتقييس الاتصالات</w:t>
      </w:r>
      <w:bookmarkEnd w:id="219"/>
      <w:bookmarkEnd w:id="220"/>
    </w:p>
    <w:p w14:paraId="2A55A802" w14:textId="77777777" w:rsidR="001010FD" w:rsidRPr="00981706" w:rsidRDefault="001010FD" w:rsidP="001010FD">
      <w:pPr>
        <w:pStyle w:val="Figure"/>
        <w:rPr>
          <w:lang w:val="en-GB" w:bidi="ar-EG"/>
        </w:rPr>
      </w:pPr>
      <w:r>
        <w:rPr>
          <w:noProof/>
          <w:lang w:val="en-GB" w:bidi="ar-EG"/>
        </w:rPr>
        <w:lastRenderedPageBreak/>
        <w:drawing>
          <wp:inline distT="0" distB="0" distL="0" distR="0" wp14:anchorId="307BF1CA" wp14:editId="1DF7A1BC">
            <wp:extent cx="4401820" cy="2542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401820" cy="2542540"/>
                    </a:xfrm>
                    <a:prstGeom prst="rect">
                      <a:avLst/>
                    </a:prstGeom>
                    <a:noFill/>
                  </pic:spPr>
                </pic:pic>
              </a:graphicData>
            </a:graphic>
          </wp:inline>
        </w:drawing>
      </w:r>
    </w:p>
    <w:p w14:paraId="331B2C18" w14:textId="77777777" w:rsidR="001010FD" w:rsidRPr="00981706" w:rsidRDefault="001010FD" w:rsidP="00971531">
      <w:pPr>
        <w:pStyle w:val="Figuretitle"/>
        <w:rPr>
          <w:rtl/>
        </w:rPr>
      </w:pPr>
      <w:bookmarkStart w:id="221" w:name="_Toc179221091"/>
      <w:bookmarkStart w:id="222" w:name="_Toc179733706"/>
      <w:r w:rsidRPr="00981706">
        <w:rPr>
          <w:rtl/>
        </w:rPr>
        <w:t xml:space="preserve">الشكل 6 - حصة النساء من المناصب القيادية في قطاع تقييس الاتصالات والمشاركة </w:t>
      </w:r>
      <w:r>
        <w:rPr>
          <w:rtl/>
        </w:rPr>
        <w:br/>
      </w:r>
      <w:r w:rsidRPr="00981706">
        <w:rPr>
          <w:rtl/>
        </w:rPr>
        <w:t>في لجان الدراسات والأفرقة الإقليمية التابعة للجان الدراسات</w:t>
      </w:r>
      <w:bookmarkEnd w:id="221"/>
      <w:bookmarkEnd w:id="222"/>
    </w:p>
    <w:p w14:paraId="3477669E" w14:textId="77777777" w:rsidR="001010FD" w:rsidRPr="00981706" w:rsidRDefault="001010FD" w:rsidP="001010FD">
      <w:pPr>
        <w:pStyle w:val="Figure"/>
        <w:rPr>
          <w:lang w:val="en-GB" w:bidi="ar-EG"/>
        </w:rPr>
      </w:pPr>
      <w:r>
        <w:rPr>
          <w:noProof/>
          <w:lang w:val="en-GB" w:bidi="ar-EG"/>
        </w:rPr>
        <w:drawing>
          <wp:inline distT="0" distB="0" distL="0" distR="0" wp14:anchorId="40046A7C" wp14:editId="0475F1F0">
            <wp:extent cx="4389755" cy="25666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389755" cy="2566670"/>
                    </a:xfrm>
                    <a:prstGeom prst="rect">
                      <a:avLst/>
                    </a:prstGeom>
                    <a:noFill/>
                  </pic:spPr>
                </pic:pic>
              </a:graphicData>
            </a:graphic>
          </wp:inline>
        </w:drawing>
      </w:r>
    </w:p>
    <w:p w14:paraId="63A88354" w14:textId="77777777" w:rsidR="001010FD" w:rsidRPr="00981706" w:rsidRDefault="001010FD" w:rsidP="00971531">
      <w:pPr>
        <w:pStyle w:val="Figuretitle"/>
        <w:rPr>
          <w:rtl/>
        </w:rPr>
      </w:pPr>
      <w:bookmarkStart w:id="223" w:name="_Toc179221092"/>
      <w:bookmarkStart w:id="224" w:name="_Toc179733707"/>
      <w:r w:rsidRPr="00981706">
        <w:rPr>
          <w:rtl/>
        </w:rPr>
        <w:t>الشكل 7 - مشاركة النساء في الاجتماعات النظامية لقطاع تقييس الاتصالات حسب فترة الدراسة</w:t>
      </w:r>
      <w:bookmarkEnd w:id="223"/>
      <w:bookmarkEnd w:id="224"/>
    </w:p>
    <w:p w14:paraId="52C315BD" w14:textId="77777777" w:rsidR="001010FD" w:rsidRPr="00981706" w:rsidRDefault="001010FD" w:rsidP="00971531">
      <w:pPr>
        <w:pStyle w:val="Heading1"/>
        <w:rPr>
          <w:lang w:val="ar-SA"/>
        </w:rPr>
      </w:pPr>
      <w:bookmarkStart w:id="225" w:name="_11_Human_rights"/>
      <w:bookmarkStart w:id="226" w:name="_14_Publications"/>
      <w:bookmarkStart w:id="227" w:name="_11_Publications"/>
      <w:bookmarkStart w:id="228" w:name="_Toc179219769"/>
      <w:bookmarkStart w:id="229" w:name="_Toc179221079"/>
      <w:bookmarkStart w:id="230" w:name="_Toc179733621"/>
      <w:bookmarkStart w:id="231" w:name="_Hlk119499545"/>
      <w:bookmarkEnd w:id="216"/>
      <w:bookmarkEnd w:id="225"/>
      <w:bookmarkEnd w:id="226"/>
      <w:bookmarkEnd w:id="227"/>
      <w:r w:rsidRPr="00981706">
        <w:rPr>
          <w:rtl/>
        </w:rPr>
        <w:t>11</w:t>
      </w:r>
      <w:r w:rsidRPr="00981706">
        <w:rPr>
          <w:rtl/>
        </w:rPr>
        <w:tab/>
        <w:t>المنش</w:t>
      </w:r>
      <w:bookmarkStart w:id="232" w:name="Eleven"/>
      <w:bookmarkEnd w:id="232"/>
      <w:r w:rsidRPr="00981706">
        <w:rPr>
          <w:rtl/>
        </w:rPr>
        <w:t>ورات</w:t>
      </w:r>
      <w:bookmarkEnd w:id="228"/>
      <w:bookmarkEnd w:id="229"/>
      <w:bookmarkEnd w:id="230"/>
    </w:p>
    <w:p w14:paraId="2125E6E7" w14:textId="77777777" w:rsidR="001010FD" w:rsidRPr="00981706" w:rsidRDefault="001010FD" w:rsidP="00981706">
      <w:pPr>
        <w:rPr>
          <w:lang w:val="ar-SA" w:bidi="ar-EG"/>
        </w:rPr>
      </w:pPr>
      <w:bookmarkStart w:id="233" w:name="_12.1_Recommendations_and"/>
      <w:bookmarkStart w:id="234" w:name="_13.1_Recommendations_and"/>
      <w:bookmarkStart w:id="235" w:name="_14.1_Recommendations_and"/>
      <w:bookmarkStart w:id="236" w:name="_Hlk120610234"/>
      <w:bookmarkEnd w:id="233"/>
      <w:bookmarkEnd w:id="234"/>
      <w:bookmarkEnd w:id="235"/>
      <w:r w:rsidRPr="00981706">
        <w:rPr>
          <w:b/>
          <w:bCs/>
          <w:rtl/>
        </w:rPr>
        <w:t>التوصيات والإضافات</w:t>
      </w:r>
      <w:r w:rsidRPr="00981706">
        <w:rPr>
          <w:rtl/>
        </w:rPr>
        <w:t>: كما هو موضح في الشكل 8، نُشر أكثر من 860 توصية وإضافة لقطاع تقييس الاتصالات في فترة الدراسة. ويوضح الشكل أدناه عدد توصيات قطاع تقييس الاتصالات وإضافاته المنشورة سنوياً منذ عام 2022.</w:t>
      </w:r>
      <w:bookmarkEnd w:id="236"/>
    </w:p>
    <w:p w14:paraId="4617ED55" w14:textId="77777777" w:rsidR="001010FD" w:rsidRPr="00981706" w:rsidRDefault="001010FD" w:rsidP="001010FD">
      <w:pPr>
        <w:pStyle w:val="Figure"/>
        <w:rPr>
          <w:lang w:val="en-GB" w:bidi="ar-EG"/>
        </w:rPr>
      </w:pPr>
      <w:r>
        <w:rPr>
          <w:noProof/>
          <w:lang w:val="en-GB" w:bidi="ar-EG"/>
        </w:rPr>
        <w:lastRenderedPageBreak/>
        <w:drawing>
          <wp:inline distT="0" distB="0" distL="0" distR="0" wp14:anchorId="3BCF4454" wp14:editId="197D1094">
            <wp:extent cx="4816475" cy="400558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816475" cy="4005580"/>
                    </a:xfrm>
                    <a:prstGeom prst="rect">
                      <a:avLst/>
                    </a:prstGeom>
                    <a:noFill/>
                  </pic:spPr>
                </pic:pic>
              </a:graphicData>
            </a:graphic>
          </wp:inline>
        </w:drawing>
      </w:r>
    </w:p>
    <w:p w14:paraId="1EF89F50" w14:textId="77777777" w:rsidR="001010FD" w:rsidRPr="00981706" w:rsidRDefault="001010FD" w:rsidP="00F419E3">
      <w:pPr>
        <w:pStyle w:val="Figuretitle"/>
        <w:rPr>
          <w:rtl/>
        </w:rPr>
      </w:pPr>
      <w:bookmarkStart w:id="237" w:name="_Toc179221093"/>
      <w:bookmarkStart w:id="238" w:name="_Toc179733708"/>
      <w:r w:rsidRPr="00981706">
        <w:rPr>
          <w:rtl/>
        </w:rPr>
        <w:t>الشكل 8 - عدد التوصيات والتعديلات والإضافات المنشورة سنوياً منذ عام 2022</w:t>
      </w:r>
      <w:bookmarkEnd w:id="237"/>
      <w:bookmarkEnd w:id="238"/>
    </w:p>
    <w:p w14:paraId="430473D7" w14:textId="77777777" w:rsidR="001010FD" w:rsidRPr="00981706" w:rsidRDefault="001010FD" w:rsidP="00981706">
      <w:pPr>
        <w:rPr>
          <w:spacing w:val="-2"/>
          <w:lang w:val="ar-SA" w:bidi="ar-EG"/>
        </w:rPr>
      </w:pPr>
      <w:bookmarkStart w:id="239" w:name="_14.2_Official_languages"/>
      <w:bookmarkStart w:id="240" w:name="_Hlk155873780"/>
      <w:bookmarkEnd w:id="239"/>
      <w:r w:rsidRPr="00981706">
        <w:rPr>
          <w:b/>
          <w:bCs/>
          <w:spacing w:val="-2"/>
          <w:rtl/>
        </w:rPr>
        <w:t>اللغات الرسمية على قدم المساواة</w:t>
      </w:r>
      <w:r w:rsidRPr="00981706">
        <w:rPr>
          <w:b/>
          <w:bCs/>
          <w:spacing w:val="-2"/>
          <w:lang w:val="en-GB" w:bidi="ar-EG"/>
        </w:rPr>
        <w:t>:</w:t>
      </w:r>
      <w:r w:rsidRPr="00981706">
        <w:rPr>
          <w:spacing w:val="-2"/>
          <w:rtl/>
        </w:rPr>
        <w:t xml:space="preserve"> تعمل لجنة التقييس المعنية بالمفردات </w:t>
      </w:r>
      <w:r w:rsidRPr="00981706">
        <w:rPr>
          <w:spacing w:val="-2"/>
          <w:lang w:val="en-GB" w:bidi="ar-EG"/>
        </w:rPr>
        <w:t>SCV</w:t>
      </w:r>
      <w:r w:rsidRPr="00981706">
        <w:rPr>
          <w:spacing w:val="-2"/>
          <w:lang w:bidi="ar-EG"/>
        </w:rPr>
        <w:t>)</w:t>
      </w:r>
      <w:r w:rsidRPr="00981706">
        <w:rPr>
          <w:spacing w:val="-2"/>
          <w:rtl/>
        </w:rPr>
        <w:t>)، التي تتألف من خبراء أعضاء قطاع تقييس الاتصالات بجميع اللغات الرسمية، كجهة اتصال لدى لجان دراسات قطاع تقييس الاتصالات في المسائل المتعلقة بالمصطلحات. وتوجّه لجنة التقييس المعنية بالمفردات اعتماد المصطلحات والتعاريف في توصيات قطاع تقييس الاتصالات وفقاً للقرار</w:t>
      </w:r>
      <w:r>
        <w:rPr>
          <w:rFonts w:hint="cs"/>
          <w:spacing w:val="-2"/>
          <w:rtl/>
        </w:rPr>
        <w:t> </w:t>
      </w:r>
      <w:r w:rsidRPr="00981706">
        <w:rPr>
          <w:spacing w:val="-2"/>
          <w:rtl/>
        </w:rPr>
        <w:t>67 للجمعية العالمية لتقييس الاتصالات والقرار 1386 للمجلس.</w:t>
      </w:r>
    </w:p>
    <w:p w14:paraId="1CDCC64A" w14:textId="77777777" w:rsidR="001010FD" w:rsidRPr="00981706" w:rsidRDefault="001010FD" w:rsidP="00981706">
      <w:pPr>
        <w:rPr>
          <w:spacing w:val="-2"/>
          <w:lang w:val="ar-SA" w:bidi="ar-EG"/>
        </w:rPr>
      </w:pPr>
      <w:r w:rsidRPr="00981706">
        <w:rPr>
          <w:spacing w:val="-2"/>
          <w:rtl/>
        </w:rPr>
        <w:t xml:space="preserve">ويواصل مكتب تقييس الاتصالات جمع كل المصطلحات والتعاريف الجديدة التي تقترحها لجان دراسات قطاع تقييس الاتصالات، ويدرجها في </w:t>
      </w:r>
      <w:hyperlink r:id="rId313" w:anchor="/" w:history="1">
        <w:r w:rsidRPr="00981706">
          <w:rPr>
            <w:rStyle w:val="Hyperlink"/>
            <w:spacing w:val="-2"/>
            <w:rtl/>
          </w:rPr>
          <w:t>قاعدة بيانات مصطلحات وتعاريف الاتحاد</w:t>
        </w:r>
      </w:hyperlink>
      <w:r w:rsidRPr="00981706">
        <w:rPr>
          <w:spacing w:val="-2"/>
          <w:rtl/>
        </w:rPr>
        <w:t xml:space="preserve"> على الإنترنت.</w:t>
      </w:r>
    </w:p>
    <w:p w14:paraId="5CAFCDC9" w14:textId="77777777" w:rsidR="001010FD" w:rsidRPr="00981706" w:rsidRDefault="001010FD" w:rsidP="00981706">
      <w:pPr>
        <w:rPr>
          <w:lang w:val="ar-SA" w:bidi="ar-EG"/>
        </w:rPr>
      </w:pPr>
      <w:r w:rsidRPr="00981706">
        <w:rPr>
          <w:rtl/>
        </w:rPr>
        <w:t>وبناءً على تكليف القرار 67 للجمعية العالمية لتقييس الاتصالات، يواصل المكتب ترجمة جميع التوصيات التي تتم الموافقة عليها عن طريق عملية الموافقة التقليدية، إلى جانب جميع تقارير الفريق الاستشاري لتقييس الاتصالات.</w:t>
      </w:r>
    </w:p>
    <w:p w14:paraId="5F768E1B" w14:textId="77777777" w:rsidR="001010FD" w:rsidRPr="00981706" w:rsidRDefault="001010FD" w:rsidP="00981706">
      <w:pPr>
        <w:rPr>
          <w:lang w:val="ar-SA" w:bidi="ar-EG"/>
        </w:rPr>
      </w:pPr>
      <w:r w:rsidRPr="00981706">
        <w:rPr>
          <w:rtl/>
        </w:rPr>
        <w:t xml:space="preserve">وترجم مكتب تقييس الاتصالات أيضاً عشر توصيات حظيت بالموافقة في إطار عملية الموافقة البديلة </w:t>
      </w:r>
      <w:r w:rsidRPr="00981706">
        <w:rPr>
          <w:lang w:val="en-GB" w:bidi="ar-EG"/>
        </w:rPr>
        <w:t>AAP)</w:t>
      </w:r>
      <w:r w:rsidRPr="00981706">
        <w:rPr>
          <w:rtl/>
        </w:rPr>
        <w:t>) في فترة الدراسة وفقاً للطلبات الواردة من لجان دراسات القطاع والأفرقة اللغوية، وفي حدود الميزانية المتاحة.</w:t>
      </w:r>
    </w:p>
    <w:p w14:paraId="623685D6" w14:textId="77777777" w:rsidR="001010FD" w:rsidRPr="00981706" w:rsidRDefault="001010FD" w:rsidP="00981706">
      <w:pPr>
        <w:rPr>
          <w:lang w:val="ar-SA" w:bidi="ar-EG"/>
        </w:rPr>
      </w:pPr>
      <w:r w:rsidRPr="00981706">
        <w:rPr>
          <w:b/>
          <w:bCs/>
          <w:rtl/>
        </w:rPr>
        <w:t>التوصيات الملغاة بين الجمعيات العالمية لتقييس الاتصالات</w:t>
      </w:r>
      <w:r w:rsidRPr="00981706">
        <w:rPr>
          <w:rtl/>
        </w:rPr>
        <w:t>: منذ مارس 2022، أُلغيت التوصيات والإضافات التالية لقطاع تقييس الاتصالات وفقاً للفقرة 2.2.8.9 من القرار 1 (المراجَع في جنيف، 2022) للجمعية العالمية لتقييس الاتصالات:</w:t>
      </w:r>
    </w:p>
    <w:p w14:paraId="60B94F63" w14:textId="77777777" w:rsidR="001010FD" w:rsidRPr="00981706" w:rsidRDefault="001010FD" w:rsidP="00425534">
      <w:pPr>
        <w:pStyle w:val="enumlev1"/>
        <w:rPr>
          <w:lang w:val="ar-SA" w:bidi="ar-EG"/>
        </w:rPr>
      </w:pPr>
      <w:r>
        <w:t>-</w:t>
      </w:r>
      <w:r>
        <w:tab/>
      </w:r>
      <w:r w:rsidRPr="00981706">
        <w:rPr>
          <w:rtl/>
        </w:rPr>
        <w:t>التوصية ITU-T A.4 "عملية الاتصال بين قطاع تقييس الاتصالات والمنتديات والاتحادات التجارية"</w:t>
      </w:r>
    </w:p>
    <w:p w14:paraId="40277157" w14:textId="77777777" w:rsidR="001010FD" w:rsidRPr="00981706" w:rsidRDefault="001010FD" w:rsidP="00425534">
      <w:pPr>
        <w:pStyle w:val="enumlev1"/>
        <w:rPr>
          <w:lang w:val="ar-SA" w:bidi="ar-EG"/>
        </w:rPr>
      </w:pPr>
      <w:r>
        <w:t>-</w:t>
      </w:r>
      <w:r>
        <w:tab/>
      </w:r>
      <w:r w:rsidRPr="00981706">
        <w:rPr>
          <w:rtl/>
        </w:rPr>
        <w:t>التوصية ITU-T A.6 "التعاون وتبادل المعلومات بين قطاع تقييس الاتصالات والمنظمات الوطنية والإقليمية المعنية بوضع المعايير"</w:t>
      </w:r>
    </w:p>
    <w:p w14:paraId="4433F16B" w14:textId="77777777" w:rsidR="001010FD" w:rsidRPr="00981706" w:rsidRDefault="001010FD" w:rsidP="00425534">
      <w:pPr>
        <w:pStyle w:val="enumlev1"/>
        <w:rPr>
          <w:lang w:val="ar-SA" w:bidi="ar-EG"/>
        </w:rPr>
      </w:pPr>
      <w:r>
        <w:t>-</w:t>
      </w:r>
      <w:r>
        <w:tab/>
      </w:r>
      <w:r w:rsidRPr="00981706">
        <w:rPr>
          <w:rtl/>
        </w:rPr>
        <w:t>الإضافة 5 إلى توصيات السلسة A "المبادئ التوجيهية للتعاون وتبادل المعلومات مع المنظمات الأخرى"</w:t>
      </w:r>
    </w:p>
    <w:p w14:paraId="17C17568" w14:textId="77777777" w:rsidR="001010FD" w:rsidRPr="00981706" w:rsidRDefault="001010FD" w:rsidP="00425534">
      <w:pPr>
        <w:pStyle w:val="enumlev1"/>
        <w:rPr>
          <w:lang w:val="ar-SA" w:bidi="ar-EG"/>
        </w:rPr>
      </w:pPr>
      <w:r>
        <w:t>-</w:t>
      </w:r>
      <w:r>
        <w:tab/>
      </w:r>
      <w:r w:rsidRPr="00981706">
        <w:rPr>
          <w:rtl/>
        </w:rPr>
        <w:t>التوصية ITU-T D.280 "مبادئ الترسيم والفوترة والمحاسبة والسداد عن خدمة الاتصالات الشخصية العالمية"</w:t>
      </w:r>
    </w:p>
    <w:p w14:paraId="73C1E0F5" w14:textId="77777777" w:rsidR="001010FD" w:rsidRPr="00981706" w:rsidRDefault="001010FD" w:rsidP="00425534">
      <w:pPr>
        <w:pStyle w:val="enumlev1"/>
        <w:rPr>
          <w:lang w:val="ar-SA" w:bidi="ar-EG"/>
        </w:rPr>
      </w:pPr>
      <w:r>
        <w:t>-</w:t>
      </w:r>
      <w:r>
        <w:tab/>
      </w:r>
      <w:r w:rsidRPr="00981706">
        <w:rPr>
          <w:rtl/>
        </w:rPr>
        <w:t xml:space="preserve">التوصية ITU-T E.168 "تطبيق خطة الترقيم في التوصية E.164 على الاتصالات الشخصية العالمية </w:t>
      </w:r>
      <w:r>
        <w:rPr>
          <w:lang w:bidi="ar-EG"/>
        </w:rPr>
        <w:t>(</w:t>
      </w:r>
      <w:r w:rsidRPr="00981706">
        <w:rPr>
          <w:lang w:val="en-GB" w:bidi="ar-EG"/>
        </w:rPr>
        <w:t>UPT</w:t>
      </w:r>
      <w:r>
        <w:rPr>
          <w:lang w:bidi="ar-EG"/>
        </w:rPr>
        <w:t>)</w:t>
      </w:r>
      <w:r>
        <w:rPr>
          <w:rFonts w:hint="cs"/>
          <w:rtl/>
          <w:lang w:bidi="ar-EG"/>
        </w:rPr>
        <w:t>"</w:t>
      </w:r>
    </w:p>
    <w:p w14:paraId="6FE01076" w14:textId="77777777" w:rsidR="001010FD" w:rsidRPr="00981706" w:rsidRDefault="001010FD" w:rsidP="00425534">
      <w:pPr>
        <w:pStyle w:val="enumlev1"/>
        <w:rPr>
          <w:lang w:val="ar-SA" w:bidi="ar-EG"/>
        </w:rPr>
      </w:pPr>
      <w:r>
        <w:t>-</w:t>
      </w:r>
      <w:r>
        <w:tab/>
      </w:r>
      <w:r w:rsidRPr="00981706">
        <w:rPr>
          <w:rtl/>
        </w:rPr>
        <w:t xml:space="preserve">التوصية ITU-T E.168.1 "إجراءات تخصيص أرقام الاتصالات الشخصية العالمية </w:t>
      </w:r>
      <w:r>
        <w:rPr>
          <w:lang w:bidi="ar-EG"/>
        </w:rPr>
        <w:t>(</w:t>
      </w:r>
      <w:r w:rsidRPr="00981706">
        <w:rPr>
          <w:lang w:val="en-GB" w:bidi="ar-EG"/>
        </w:rPr>
        <w:t>UPT</w:t>
      </w:r>
      <w:r>
        <w:rPr>
          <w:lang w:bidi="ar-EG"/>
        </w:rPr>
        <w:t>)</w:t>
      </w:r>
      <w:r>
        <w:rPr>
          <w:rFonts w:hint="cs"/>
          <w:rtl/>
          <w:lang w:bidi="ar-EG"/>
        </w:rPr>
        <w:t xml:space="preserve"> </w:t>
      </w:r>
      <w:r w:rsidRPr="00981706">
        <w:rPr>
          <w:rtl/>
        </w:rPr>
        <w:t>لتوفير خدمة الاتصالات الشخصية العالمية الدولية"</w:t>
      </w:r>
    </w:p>
    <w:p w14:paraId="01E469A5" w14:textId="77777777" w:rsidR="001010FD" w:rsidRPr="00981706" w:rsidRDefault="001010FD" w:rsidP="00425534">
      <w:pPr>
        <w:pStyle w:val="enumlev1"/>
        <w:rPr>
          <w:rtl/>
          <w:lang w:val="ar-SA" w:bidi="ar-EG"/>
        </w:rPr>
      </w:pPr>
      <w:r>
        <w:lastRenderedPageBreak/>
        <w:t>-</w:t>
      </w:r>
      <w:r>
        <w:tab/>
      </w:r>
      <w:r w:rsidRPr="00981706">
        <w:rPr>
          <w:rtl/>
        </w:rPr>
        <w:t>التوصية ITU-T E.174 "مبادئ التسيير والتوجيه للاتصالات الشخصية العالمية</w:t>
      </w:r>
      <w:r>
        <w:rPr>
          <w:rFonts w:hint="cs"/>
          <w:rtl/>
          <w:lang w:bidi="ar-EG"/>
        </w:rPr>
        <w:t xml:space="preserve"> </w:t>
      </w:r>
      <w:r>
        <w:rPr>
          <w:lang w:bidi="ar-EG"/>
        </w:rPr>
        <w:t>(</w:t>
      </w:r>
      <w:r w:rsidRPr="00981706">
        <w:rPr>
          <w:lang w:val="en-GB" w:bidi="ar-EG"/>
        </w:rPr>
        <w:t>UPT</w:t>
      </w:r>
      <w:r>
        <w:rPr>
          <w:lang w:bidi="ar-EG"/>
        </w:rPr>
        <w:t>)</w:t>
      </w:r>
      <w:r>
        <w:rPr>
          <w:rFonts w:hint="cs"/>
          <w:rtl/>
          <w:lang w:bidi="ar-EG"/>
        </w:rPr>
        <w:t>"</w:t>
      </w:r>
    </w:p>
    <w:p w14:paraId="32B58C46" w14:textId="77777777" w:rsidR="001010FD" w:rsidRPr="00981706" w:rsidRDefault="001010FD" w:rsidP="00425534">
      <w:pPr>
        <w:pStyle w:val="enumlev1"/>
        <w:rPr>
          <w:lang w:val="ar-SA" w:bidi="ar-EG"/>
        </w:rPr>
      </w:pPr>
      <w:r>
        <w:t>-</w:t>
      </w:r>
      <w:r>
        <w:tab/>
      </w:r>
      <w:r w:rsidRPr="00981706">
        <w:rPr>
          <w:rtl/>
        </w:rPr>
        <w:t>التوصية ITU-T E.755 "التوصيلات المرجعية لأداء الحركة ورتبة الخدمة للاتصالات الشخصية العالمية"</w:t>
      </w:r>
    </w:p>
    <w:p w14:paraId="79D32F26" w14:textId="77777777" w:rsidR="001010FD" w:rsidRPr="00981706" w:rsidRDefault="001010FD" w:rsidP="00425534">
      <w:pPr>
        <w:pStyle w:val="enumlev1"/>
        <w:rPr>
          <w:lang w:val="ar-SA" w:bidi="ar-EG"/>
        </w:rPr>
      </w:pPr>
      <w:r>
        <w:t>-</w:t>
      </w:r>
      <w:r>
        <w:tab/>
      </w:r>
      <w:r w:rsidRPr="00981706">
        <w:rPr>
          <w:rtl/>
        </w:rPr>
        <w:t>التوصية ITU-T E.775 "مفهوم رتبة الخدمة للاتصالات الشخصية العالمية"</w:t>
      </w:r>
    </w:p>
    <w:p w14:paraId="35C4ADDB" w14:textId="77777777" w:rsidR="001010FD" w:rsidRPr="00981706" w:rsidRDefault="001010FD" w:rsidP="00425534">
      <w:pPr>
        <w:pStyle w:val="enumlev1"/>
        <w:rPr>
          <w:lang w:val="ar-SA" w:bidi="ar-EG"/>
        </w:rPr>
      </w:pPr>
      <w:r>
        <w:t>-</w:t>
      </w:r>
      <w:r>
        <w:tab/>
      </w:r>
      <w:r w:rsidRPr="00981706">
        <w:rPr>
          <w:rtl/>
        </w:rPr>
        <w:t>التوصية ITU-T E.776 "معلمات رتبة خدمة الشبكة للاتصالات الشخصية العالمية"</w:t>
      </w:r>
    </w:p>
    <w:p w14:paraId="554E7782" w14:textId="77777777" w:rsidR="001010FD" w:rsidRPr="00981706" w:rsidRDefault="001010FD" w:rsidP="00425534">
      <w:pPr>
        <w:pStyle w:val="enumlev1"/>
        <w:rPr>
          <w:lang w:val="ar-SA" w:bidi="ar-EG"/>
        </w:rPr>
      </w:pPr>
      <w:r>
        <w:t>-</w:t>
      </w:r>
      <w:r>
        <w:tab/>
      </w:r>
      <w:r w:rsidRPr="00981706">
        <w:rPr>
          <w:rtl/>
        </w:rPr>
        <w:t xml:space="preserve">التوصية ITU-T F.850 "مبادئ التسيير والتوجيه للاتصالات الشخصية العالمية </w:t>
      </w:r>
      <w:r>
        <w:rPr>
          <w:lang w:bidi="ar-EG"/>
        </w:rPr>
        <w:t>(</w:t>
      </w:r>
      <w:r w:rsidRPr="00981706">
        <w:rPr>
          <w:lang w:val="en-GB" w:bidi="ar-EG"/>
        </w:rPr>
        <w:t>UPT</w:t>
      </w:r>
      <w:r>
        <w:rPr>
          <w:lang w:bidi="ar-EG"/>
        </w:rPr>
        <w:t>)</w:t>
      </w:r>
      <w:r>
        <w:rPr>
          <w:rFonts w:hint="cs"/>
          <w:rtl/>
          <w:lang w:val="en-GB" w:bidi="ar-EG"/>
        </w:rPr>
        <w:t>"</w:t>
      </w:r>
    </w:p>
    <w:p w14:paraId="3E4BA4F9" w14:textId="77777777" w:rsidR="001010FD" w:rsidRPr="00981706" w:rsidRDefault="001010FD" w:rsidP="00425534">
      <w:pPr>
        <w:pStyle w:val="enumlev1"/>
        <w:rPr>
          <w:lang w:val="ar-SA" w:bidi="ar-EG"/>
        </w:rPr>
      </w:pPr>
      <w:r>
        <w:t>-</w:t>
      </w:r>
      <w:r>
        <w:tab/>
      </w:r>
      <w:r w:rsidRPr="00981706">
        <w:rPr>
          <w:rtl/>
        </w:rPr>
        <w:t xml:space="preserve">التوصية ITU-T F.851 "الاتصالات الشخصية العالمية </w:t>
      </w:r>
      <w:r>
        <w:rPr>
          <w:lang w:bidi="ar-EG"/>
        </w:rPr>
        <w:t>(</w:t>
      </w:r>
      <w:r w:rsidRPr="00981706">
        <w:rPr>
          <w:lang w:val="en-GB" w:bidi="ar-EG"/>
        </w:rPr>
        <w:t>UPT</w:t>
      </w:r>
      <w:r>
        <w:rPr>
          <w:lang w:bidi="ar-EG"/>
        </w:rPr>
        <w:t>)</w:t>
      </w:r>
      <w:r>
        <w:rPr>
          <w:rFonts w:hint="cs"/>
          <w:rtl/>
          <w:lang w:bidi="ar-EG"/>
        </w:rPr>
        <w:t xml:space="preserve"> - </w:t>
      </w:r>
      <w:r w:rsidRPr="00981706">
        <w:rPr>
          <w:rtl/>
        </w:rPr>
        <w:t>وصف الخدمة (مجموعة الخدمات 1)</w:t>
      </w:r>
      <w:r w:rsidRPr="00981706">
        <w:rPr>
          <w:lang w:val="en-GB" w:bidi="ar-EG"/>
        </w:rPr>
        <w:t>"</w:t>
      </w:r>
    </w:p>
    <w:p w14:paraId="7704A9C3" w14:textId="77777777" w:rsidR="001010FD" w:rsidRPr="00981706" w:rsidRDefault="001010FD" w:rsidP="00425534">
      <w:pPr>
        <w:pStyle w:val="enumlev1"/>
        <w:rPr>
          <w:lang w:val="ar-SA" w:bidi="ar-EG"/>
        </w:rPr>
      </w:pPr>
      <w:r>
        <w:t>-</w:t>
      </w:r>
      <w:r>
        <w:tab/>
      </w:r>
      <w:r w:rsidRPr="00981706">
        <w:rPr>
          <w:rtl/>
        </w:rPr>
        <w:t xml:space="preserve">التوصية ITU-T F.852 "الاتصالات الشخصية العالمية </w:t>
      </w:r>
      <w:r>
        <w:rPr>
          <w:lang w:bidi="ar-EG"/>
        </w:rPr>
        <w:t>(</w:t>
      </w:r>
      <w:r w:rsidRPr="00981706">
        <w:rPr>
          <w:lang w:val="en-GB" w:bidi="ar-EG"/>
        </w:rPr>
        <w:t>UPT</w:t>
      </w:r>
      <w:r>
        <w:rPr>
          <w:lang w:bidi="ar-EG"/>
        </w:rPr>
        <w:t>)</w:t>
      </w:r>
      <w:r>
        <w:rPr>
          <w:rFonts w:hint="cs"/>
          <w:rtl/>
          <w:lang w:bidi="ar-EG"/>
        </w:rPr>
        <w:t xml:space="preserve"> - </w:t>
      </w:r>
      <w:r w:rsidRPr="00981706">
        <w:rPr>
          <w:rtl/>
        </w:rPr>
        <w:t>وصف الخدمة (مجموعة الخدمات 2)</w:t>
      </w:r>
      <w:r w:rsidRPr="00981706">
        <w:rPr>
          <w:lang w:val="en-GB" w:bidi="ar-EG"/>
        </w:rPr>
        <w:t>"</w:t>
      </w:r>
    </w:p>
    <w:p w14:paraId="08F19EB8" w14:textId="77777777" w:rsidR="001010FD" w:rsidRPr="00981706" w:rsidRDefault="001010FD" w:rsidP="00425534">
      <w:pPr>
        <w:pStyle w:val="enumlev1"/>
        <w:rPr>
          <w:lang w:val="ar-SA" w:bidi="ar-EG"/>
        </w:rPr>
      </w:pPr>
      <w:r>
        <w:t>-</w:t>
      </w:r>
      <w:r>
        <w:tab/>
      </w:r>
      <w:r w:rsidRPr="00981706">
        <w:rPr>
          <w:rtl/>
        </w:rPr>
        <w:t xml:space="preserve">التوصية ITU-T F.853 "الخدمات التكميلية في بيئة الاتصالات الشخصية العالمية </w:t>
      </w:r>
      <w:r>
        <w:rPr>
          <w:lang w:bidi="ar-EG"/>
        </w:rPr>
        <w:t>(</w:t>
      </w:r>
      <w:r w:rsidRPr="00981706">
        <w:rPr>
          <w:lang w:val="en-GB" w:bidi="ar-EG"/>
        </w:rPr>
        <w:t>UPT</w:t>
      </w:r>
      <w:r>
        <w:rPr>
          <w:lang w:bidi="ar-EG"/>
        </w:rPr>
        <w:t>)</w:t>
      </w:r>
      <w:r>
        <w:rPr>
          <w:rFonts w:hint="cs"/>
          <w:rtl/>
          <w:lang w:val="en-GB" w:bidi="ar-EG"/>
        </w:rPr>
        <w:t>"</w:t>
      </w:r>
    </w:p>
    <w:p w14:paraId="3862BC81" w14:textId="77777777" w:rsidR="001010FD" w:rsidRPr="00981706" w:rsidRDefault="001010FD" w:rsidP="00425534">
      <w:pPr>
        <w:pStyle w:val="enumlev1"/>
        <w:rPr>
          <w:lang w:val="ar-SA" w:bidi="ar-EG"/>
        </w:rPr>
      </w:pPr>
      <w:r>
        <w:t>-</w:t>
      </w:r>
      <w:r>
        <w:tab/>
      </w:r>
      <w:r w:rsidRPr="00981706">
        <w:rPr>
          <w:rtl/>
        </w:rPr>
        <w:t xml:space="preserve">التوصية ITU-T G.8021.1/Y.1341.1 "أنماط وخصائص تجهيزات شبكات النقل </w:t>
      </w:r>
      <w:proofErr w:type="spellStart"/>
      <w:r w:rsidRPr="00981706">
        <w:rPr>
          <w:rtl/>
        </w:rPr>
        <w:t>بالإثرنت</w:t>
      </w:r>
      <w:proofErr w:type="spellEnd"/>
      <w:r w:rsidRPr="00981706">
        <w:rPr>
          <w:rtl/>
        </w:rPr>
        <w:t>"</w:t>
      </w:r>
    </w:p>
    <w:p w14:paraId="3EE67B87" w14:textId="77777777" w:rsidR="001010FD" w:rsidRPr="00981706" w:rsidRDefault="001010FD" w:rsidP="00425534">
      <w:pPr>
        <w:pStyle w:val="enumlev1"/>
        <w:rPr>
          <w:lang w:val="ar-SA" w:bidi="ar-EG"/>
        </w:rPr>
      </w:pPr>
      <w:r>
        <w:t>-</w:t>
      </w:r>
      <w:r>
        <w:tab/>
      </w:r>
      <w:r w:rsidRPr="00981706">
        <w:rPr>
          <w:rtl/>
        </w:rPr>
        <w:t>التوصية ITU-T K.43 "متطلبات الحصانة لمعدات شبكات الاتصالات"</w:t>
      </w:r>
    </w:p>
    <w:p w14:paraId="2B1DBBA4" w14:textId="77777777" w:rsidR="001010FD" w:rsidRPr="00981706" w:rsidRDefault="001010FD" w:rsidP="00425534">
      <w:pPr>
        <w:pStyle w:val="enumlev1"/>
        <w:rPr>
          <w:lang w:val="ar-SA" w:bidi="ar-EG"/>
        </w:rPr>
      </w:pPr>
      <w:r>
        <w:t>-</w:t>
      </w:r>
      <w:r>
        <w:tab/>
      </w:r>
      <w:r w:rsidRPr="00981706">
        <w:rPr>
          <w:rtl/>
        </w:rPr>
        <w:t>التوصية ITU-T K.48 "متطلبات التوافق الكهرمغنطيسي لمعدات الاتصالات - توصية بشأن فصيلة المنتجات"</w:t>
      </w:r>
    </w:p>
    <w:p w14:paraId="2EB45500" w14:textId="77777777" w:rsidR="001010FD" w:rsidRPr="00981706" w:rsidRDefault="001010FD" w:rsidP="00425534">
      <w:pPr>
        <w:pStyle w:val="enumlev1"/>
        <w:rPr>
          <w:lang w:val="ar-SA" w:bidi="ar-EG"/>
        </w:rPr>
      </w:pPr>
      <w:r>
        <w:t>-</w:t>
      </w:r>
      <w:r>
        <w:tab/>
      </w:r>
      <w:r w:rsidRPr="00981706">
        <w:rPr>
          <w:rtl/>
        </w:rPr>
        <w:t>التوصية ITU-T K.88 "متطلبات التوافق الكهرمغنطيسي لمعدات شبكات الجيل التالي"</w:t>
      </w:r>
    </w:p>
    <w:p w14:paraId="572DB358" w14:textId="77777777" w:rsidR="001010FD" w:rsidRPr="00981706" w:rsidRDefault="001010FD" w:rsidP="00425534">
      <w:pPr>
        <w:pStyle w:val="enumlev1"/>
        <w:rPr>
          <w:lang w:val="ar-SA" w:bidi="ar-EG"/>
        </w:rPr>
      </w:pPr>
      <w:r>
        <w:t>-</w:t>
      </w:r>
      <w:r>
        <w:tab/>
      </w:r>
      <w:r w:rsidRPr="00981706">
        <w:rPr>
          <w:rtl/>
        </w:rPr>
        <w:t>التوصية ITU-T L.106 "</w:t>
      </w:r>
      <w:proofErr w:type="spellStart"/>
      <w:r w:rsidRPr="00981706">
        <w:rPr>
          <w:rtl/>
        </w:rPr>
        <w:t>كبلات</w:t>
      </w:r>
      <w:proofErr w:type="spellEnd"/>
      <w:r w:rsidRPr="00981706">
        <w:rPr>
          <w:rtl/>
        </w:rPr>
        <w:t xml:space="preserve"> الألياف البصرية: الاحتياجات الخاصة لشبكة النفاذ"</w:t>
      </w:r>
    </w:p>
    <w:p w14:paraId="0F4628B7" w14:textId="77777777" w:rsidR="001010FD" w:rsidRPr="00981706" w:rsidRDefault="001010FD" w:rsidP="00425534">
      <w:pPr>
        <w:pStyle w:val="enumlev1"/>
        <w:rPr>
          <w:lang w:val="ar-SA" w:bidi="ar-EG"/>
        </w:rPr>
      </w:pPr>
      <w:r>
        <w:t>-</w:t>
      </w:r>
      <w:r>
        <w:tab/>
      </w:r>
      <w:r w:rsidRPr="00981706">
        <w:rPr>
          <w:rtl/>
        </w:rPr>
        <w:t>التوصية ITU-T P.862 "التقييم الإدراكي لجودة الكلام</w:t>
      </w:r>
      <w:r>
        <w:rPr>
          <w:rFonts w:hint="cs"/>
          <w:rtl/>
          <w:lang w:val="en-GB" w:bidi="ar-EG"/>
        </w:rPr>
        <w:t xml:space="preserve"> </w:t>
      </w:r>
      <w:r>
        <w:rPr>
          <w:lang w:bidi="ar-EG"/>
        </w:rPr>
        <w:t>(</w:t>
      </w:r>
      <w:r w:rsidRPr="00981706">
        <w:rPr>
          <w:lang w:val="en-GB" w:bidi="ar-EG"/>
        </w:rPr>
        <w:t>PESQ</w:t>
      </w:r>
      <w:r>
        <w:rPr>
          <w:lang w:bidi="ar-EG"/>
        </w:rPr>
        <w:t>)</w:t>
      </w:r>
      <w:r>
        <w:rPr>
          <w:rFonts w:hint="cs"/>
          <w:rtl/>
          <w:lang w:bidi="ar-EG"/>
        </w:rPr>
        <w:t>:</w:t>
      </w:r>
      <w:r w:rsidRPr="00981706">
        <w:rPr>
          <w:rtl/>
        </w:rPr>
        <w:t xml:space="preserve"> طريقة موضوعية لتقييم جودة الكلام من طرف إلى طرف لشبكات الهاتف ضيقة النطاق وكودكات الكلام"</w:t>
      </w:r>
    </w:p>
    <w:p w14:paraId="11949D9F" w14:textId="77777777" w:rsidR="001010FD" w:rsidRPr="00981706" w:rsidRDefault="001010FD" w:rsidP="00425534">
      <w:pPr>
        <w:pStyle w:val="enumlev1"/>
        <w:rPr>
          <w:lang w:val="ar-SA" w:bidi="ar-EG"/>
        </w:rPr>
      </w:pPr>
      <w:r>
        <w:t>-</w:t>
      </w:r>
      <w:r>
        <w:tab/>
      </w:r>
      <w:r w:rsidRPr="00981706">
        <w:rPr>
          <w:rtl/>
        </w:rPr>
        <w:t>التوصية ITU-T P.862.1 "وظيفة رسم خريطة الارتباطات لتحويل درجات النتائج الأولية للتوصية P.862 إلى درجات متوسطة للرأي بشأن نوعية الوصلة الموضوعية</w:t>
      </w:r>
      <w:r>
        <w:rPr>
          <w:rFonts w:hint="cs"/>
          <w:rtl/>
        </w:rPr>
        <w:t xml:space="preserve"> </w:t>
      </w:r>
      <w:r>
        <w:t>(</w:t>
      </w:r>
      <w:r w:rsidRPr="00981706">
        <w:rPr>
          <w:lang w:val="en-GB" w:bidi="ar-EG"/>
        </w:rPr>
        <w:t>MOS-LQO</w:t>
      </w:r>
      <w:r>
        <w:t>)</w:t>
      </w:r>
      <w:r>
        <w:rPr>
          <w:rFonts w:hint="cs"/>
          <w:rtl/>
        </w:rPr>
        <w:t>.</w:t>
      </w:r>
    </w:p>
    <w:p w14:paraId="0D6F8587" w14:textId="77777777" w:rsidR="001010FD" w:rsidRPr="00D500BA" w:rsidRDefault="001010FD" w:rsidP="00425534">
      <w:pPr>
        <w:pStyle w:val="enumlev1"/>
        <w:rPr>
          <w:spacing w:val="-4"/>
          <w:lang w:val="ar-SA" w:bidi="ar-EG"/>
        </w:rPr>
      </w:pPr>
      <w:r w:rsidRPr="00D500BA">
        <w:rPr>
          <w:spacing w:val="-4"/>
        </w:rPr>
        <w:t>-</w:t>
      </w:r>
      <w:r w:rsidRPr="00D500BA">
        <w:rPr>
          <w:spacing w:val="-4"/>
        </w:rPr>
        <w:tab/>
      </w:r>
      <w:r w:rsidRPr="00D500BA">
        <w:rPr>
          <w:spacing w:val="-4"/>
          <w:rtl/>
        </w:rPr>
        <w:t>التوصية ITU-T P.862.2 "تمديد النطاق الواسع للتوصية ‎P.862 ‏لتقييم الشبكات الهاتفية واسعة النطاق وكودكات الكلام"</w:t>
      </w:r>
    </w:p>
    <w:p w14:paraId="0A623854" w14:textId="77777777" w:rsidR="001010FD" w:rsidRPr="002A5FDC" w:rsidRDefault="001010FD" w:rsidP="00425534">
      <w:pPr>
        <w:pStyle w:val="enumlev1"/>
        <w:rPr>
          <w:spacing w:val="-2"/>
          <w:lang w:val="ar-SA" w:bidi="ar-EG"/>
        </w:rPr>
      </w:pPr>
      <w:r w:rsidRPr="002A5FDC">
        <w:rPr>
          <w:spacing w:val="-2"/>
        </w:rPr>
        <w:t>-</w:t>
      </w:r>
      <w:r w:rsidRPr="002A5FDC">
        <w:rPr>
          <w:spacing w:val="-2"/>
        </w:rPr>
        <w:tab/>
      </w:r>
      <w:r w:rsidRPr="002A5FDC">
        <w:rPr>
          <w:spacing w:val="-2"/>
          <w:rtl/>
        </w:rPr>
        <w:t>التوصية ITU-T P.862.3 "دليل تطبيقي لقياس الجودة الموضوعية استناداً إلى التوصيات P.862 وP.862.1 وP.862.2"</w:t>
      </w:r>
    </w:p>
    <w:p w14:paraId="7517AF67" w14:textId="77777777" w:rsidR="001010FD" w:rsidRPr="00981706" w:rsidRDefault="001010FD" w:rsidP="00425534">
      <w:pPr>
        <w:pStyle w:val="enumlev1"/>
        <w:rPr>
          <w:lang w:val="ar-SA" w:bidi="ar-EG"/>
        </w:rPr>
      </w:pPr>
      <w:r>
        <w:t>-</w:t>
      </w:r>
      <w:r>
        <w:tab/>
      </w:r>
      <w:r w:rsidRPr="00981706">
        <w:rPr>
          <w:rtl/>
        </w:rPr>
        <w:t>التوصية ITU-T P.911 "أساليب التقييم الشخصي للجودة السمعية المرئية في تطبيقات الوسائط المتعددة"</w:t>
      </w:r>
    </w:p>
    <w:p w14:paraId="28B0E7CC" w14:textId="77777777" w:rsidR="001010FD" w:rsidRPr="00981706" w:rsidRDefault="001010FD" w:rsidP="00425534">
      <w:pPr>
        <w:pStyle w:val="enumlev1"/>
        <w:rPr>
          <w:lang w:val="ar-SA" w:bidi="ar-EG"/>
        </w:rPr>
      </w:pPr>
      <w:r>
        <w:t>-</w:t>
      </w:r>
      <w:r>
        <w:tab/>
      </w:r>
      <w:r w:rsidRPr="00981706">
        <w:rPr>
          <w:rtl/>
        </w:rPr>
        <w:t>التوصية ITU-T P.913 "أساليب التقييم الشخصي للجودة الفيديوية والجودة السمعية والجودة السمعية المرئية لفيديو الإنترنت وجودة توزيع التلفزيون في أي بيئة"</w:t>
      </w:r>
    </w:p>
    <w:p w14:paraId="25B94DCF" w14:textId="77777777" w:rsidR="001010FD" w:rsidRPr="002A5FDC" w:rsidRDefault="001010FD" w:rsidP="00425534">
      <w:pPr>
        <w:pStyle w:val="enumlev1"/>
        <w:rPr>
          <w:lang w:val="ar-SA" w:bidi="ar-EG"/>
        </w:rPr>
      </w:pPr>
      <w:r w:rsidRPr="002A5FDC">
        <w:t>-</w:t>
      </w:r>
      <w:r w:rsidRPr="002A5FDC">
        <w:tab/>
      </w:r>
      <w:r w:rsidRPr="002A5FDC">
        <w:rPr>
          <w:rtl/>
        </w:rPr>
        <w:t>التوصية ITU-T Q.1521 "المتطلبات المتعلقة بالشبكات الأساسية وبروتوكولات التشوير لدعم الاتصالات الشخصية</w:t>
      </w:r>
      <w:r>
        <w:rPr>
          <w:rFonts w:hint="cs"/>
          <w:rtl/>
        </w:rPr>
        <w:t> </w:t>
      </w:r>
      <w:r w:rsidRPr="002A5FDC">
        <w:rPr>
          <w:rtl/>
        </w:rPr>
        <w:t>العالمية"</w:t>
      </w:r>
    </w:p>
    <w:p w14:paraId="50EAC9BA" w14:textId="77777777" w:rsidR="001010FD" w:rsidRPr="00981706" w:rsidRDefault="001010FD" w:rsidP="00425534">
      <w:pPr>
        <w:pStyle w:val="enumlev1"/>
        <w:rPr>
          <w:lang w:val="ar-SA" w:bidi="ar-EG"/>
        </w:rPr>
      </w:pPr>
      <w:r>
        <w:t>-</w:t>
      </w:r>
      <w:r>
        <w:tab/>
      </w:r>
      <w:r w:rsidRPr="00981706">
        <w:rPr>
          <w:rtl/>
        </w:rPr>
        <w:t>التوصية ITU-T Q.1531 "متطلبات أمن الاتصالات الشخصية العالمية لمجموعة الخدمات 1"</w:t>
      </w:r>
    </w:p>
    <w:p w14:paraId="5A49C201" w14:textId="77777777" w:rsidR="001010FD" w:rsidRPr="002A5FDC" w:rsidRDefault="001010FD" w:rsidP="00425534">
      <w:pPr>
        <w:pStyle w:val="enumlev1"/>
        <w:rPr>
          <w:spacing w:val="-2"/>
          <w:lang w:val="ar-SA" w:bidi="ar-EG"/>
        </w:rPr>
      </w:pPr>
      <w:r w:rsidRPr="002A5FDC">
        <w:rPr>
          <w:spacing w:val="-2"/>
        </w:rPr>
        <w:t>-</w:t>
      </w:r>
      <w:r w:rsidRPr="002A5FDC">
        <w:rPr>
          <w:spacing w:val="-2"/>
        </w:rPr>
        <w:tab/>
      </w:r>
      <w:r w:rsidRPr="002A5FDC">
        <w:rPr>
          <w:spacing w:val="-2"/>
          <w:rtl/>
        </w:rPr>
        <w:t>التوصية ITU-T Q.1541 "المرحلة 2 من الاتصالات الشخصية العالمية في مجموعة الخدمات 1 بشأن مجموعة القدرات</w:t>
      </w:r>
      <w:r>
        <w:rPr>
          <w:rFonts w:hint="cs"/>
          <w:spacing w:val="-2"/>
          <w:rtl/>
        </w:rPr>
        <w:t> </w:t>
      </w:r>
      <w:r w:rsidRPr="002A5FDC">
        <w:rPr>
          <w:spacing w:val="-2"/>
          <w:rtl/>
        </w:rPr>
        <w:t>1 للشبكة الذكية (IN CS-1)</w:t>
      </w:r>
      <w:r>
        <w:rPr>
          <w:rFonts w:hint="cs"/>
          <w:spacing w:val="-2"/>
          <w:rtl/>
        </w:rPr>
        <w:t xml:space="preserve"> - </w:t>
      </w:r>
      <w:r w:rsidRPr="002A5FDC">
        <w:rPr>
          <w:spacing w:val="-2"/>
          <w:rtl/>
        </w:rPr>
        <w:t>إجراءات الاتصالات الشخصية العالمية: النمذجة الوظيفية وتدفقات المعلومات"</w:t>
      </w:r>
    </w:p>
    <w:p w14:paraId="5AA48D9C" w14:textId="77777777" w:rsidR="001010FD" w:rsidRPr="00562E6B" w:rsidRDefault="001010FD" w:rsidP="00425534">
      <w:pPr>
        <w:pStyle w:val="enumlev1"/>
        <w:rPr>
          <w:spacing w:val="-2"/>
          <w:lang w:val="ar-SA" w:bidi="ar-EG"/>
        </w:rPr>
      </w:pPr>
      <w:r w:rsidRPr="00562E6B">
        <w:rPr>
          <w:spacing w:val="-2"/>
        </w:rPr>
        <w:t>-</w:t>
      </w:r>
      <w:r w:rsidRPr="00562E6B">
        <w:rPr>
          <w:spacing w:val="-2"/>
        </w:rPr>
        <w:tab/>
      </w:r>
      <w:r w:rsidRPr="00562E6B">
        <w:rPr>
          <w:spacing w:val="-2"/>
          <w:rtl/>
        </w:rPr>
        <w:t>التوصية ITU-T Q.1542 "المرحلة 2 من الاتصالات الشخصية العالمية في مجموعة الخدمات 1 بشأن مجموعة القدرات</w:t>
      </w:r>
      <w:r>
        <w:rPr>
          <w:rFonts w:hint="cs"/>
          <w:spacing w:val="-2"/>
          <w:rtl/>
        </w:rPr>
        <w:t> </w:t>
      </w:r>
      <w:r w:rsidRPr="00562E6B">
        <w:rPr>
          <w:spacing w:val="-2"/>
          <w:rtl/>
        </w:rPr>
        <w:t>2 للشبكة الذكية (IN CS-2)</w:t>
      </w:r>
      <w:r w:rsidRPr="00562E6B">
        <w:rPr>
          <w:rFonts w:hint="cs"/>
          <w:spacing w:val="-2"/>
          <w:rtl/>
        </w:rPr>
        <w:t xml:space="preserve"> - </w:t>
      </w:r>
      <w:r w:rsidRPr="00562E6B">
        <w:rPr>
          <w:spacing w:val="-2"/>
          <w:rtl/>
        </w:rPr>
        <w:t>إجراءات الاتصالات الشخصية العالمية: النمذجة الوظيفية وتدفقات المعلومات"</w:t>
      </w:r>
    </w:p>
    <w:p w14:paraId="75D96D10" w14:textId="77777777" w:rsidR="001010FD" w:rsidRPr="00981706" w:rsidRDefault="001010FD" w:rsidP="00425534">
      <w:pPr>
        <w:pStyle w:val="enumlev1"/>
        <w:rPr>
          <w:lang w:val="ar-SA" w:bidi="ar-EG"/>
        </w:rPr>
      </w:pPr>
      <w:r>
        <w:t>-</w:t>
      </w:r>
      <w:r>
        <w:tab/>
      </w:r>
      <w:r w:rsidRPr="00981706">
        <w:rPr>
          <w:rtl/>
        </w:rPr>
        <w:t>التوصية ITU-T Q.1551 "تطبيق مجموعة القدرات 1 (CS-1) لبروتوكولات تطبيق الشبكة الذكية</w:t>
      </w:r>
      <w:r>
        <w:rPr>
          <w:rFonts w:hint="cs"/>
          <w:rtl/>
        </w:rPr>
        <w:t xml:space="preserve"> </w:t>
      </w:r>
      <w:r>
        <w:t>(</w:t>
      </w:r>
      <w:r w:rsidRPr="00981706">
        <w:rPr>
          <w:lang w:val="en-GB" w:bidi="ar-EG"/>
        </w:rPr>
        <w:t>INAP</w:t>
      </w:r>
      <w:r>
        <w:t>)</w:t>
      </w:r>
      <w:r w:rsidRPr="00981706">
        <w:rPr>
          <w:rtl/>
        </w:rPr>
        <w:t xml:space="preserve"> CS</w:t>
      </w:r>
      <w:r>
        <w:rPr>
          <w:rtl/>
        </w:rPr>
        <w:noBreakHyphen/>
      </w:r>
      <w:r w:rsidRPr="00981706">
        <w:rPr>
          <w:rtl/>
        </w:rPr>
        <w:t>1 في</w:t>
      </w:r>
      <w:r>
        <w:rPr>
          <w:rFonts w:hint="cs"/>
          <w:rtl/>
        </w:rPr>
        <w:t> </w:t>
      </w:r>
      <w:r w:rsidRPr="00981706">
        <w:rPr>
          <w:rtl/>
        </w:rPr>
        <w:t>المجموعة 1 من خدمات الاتصالات الشخصية العالمية (</w:t>
      </w:r>
      <w:r w:rsidRPr="00981706">
        <w:rPr>
          <w:lang w:val="en-GB" w:bidi="ar-EG"/>
        </w:rPr>
        <w:t>UPT</w:t>
      </w:r>
      <w:r w:rsidRPr="00981706">
        <w:rPr>
          <w:rtl/>
        </w:rPr>
        <w:t>)</w:t>
      </w:r>
      <w:r w:rsidRPr="00981706">
        <w:rPr>
          <w:lang w:val="en-GB" w:bidi="ar-EG"/>
        </w:rPr>
        <w:t>"</w:t>
      </w:r>
    </w:p>
    <w:p w14:paraId="313A0563" w14:textId="77777777" w:rsidR="001010FD" w:rsidRPr="00981706" w:rsidRDefault="001010FD" w:rsidP="00425534">
      <w:pPr>
        <w:pStyle w:val="enumlev1"/>
        <w:rPr>
          <w:lang w:val="ar-SA" w:bidi="ar-EG"/>
        </w:rPr>
      </w:pPr>
      <w:r>
        <w:t>-</w:t>
      </w:r>
      <w:r>
        <w:tab/>
      </w:r>
      <w:r w:rsidRPr="00981706">
        <w:rPr>
          <w:rtl/>
        </w:rPr>
        <w:t xml:space="preserve">الإضافة 4 إلى توصيات السلسلة Y "إضافة إلى توصيات السلسة ITU-T Y.1300 بشأن متطلبات النقل لوظائف التشغيل والإدارة والصيانة </w:t>
      </w:r>
      <w:r>
        <w:rPr>
          <w:lang w:val="en-GB" w:bidi="ar-EG"/>
        </w:rPr>
        <w:t>(</w:t>
      </w:r>
      <w:r w:rsidRPr="00981706">
        <w:rPr>
          <w:lang w:val="en-GB" w:bidi="ar-EG"/>
        </w:rPr>
        <w:t>OAM</w:t>
      </w:r>
      <w:r>
        <w:rPr>
          <w:lang w:val="en-GB" w:bidi="ar-EG"/>
        </w:rPr>
        <w:t>)</w:t>
      </w:r>
      <w:r w:rsidRPr="00981706">
        <w:rPr>
          <w:rtl/>
        </w:rPr>
        <w:t xml:space="preserve"> في تكنولوجيا طبقة شبكة النقل بتبديل الوسم متعدد البروتوكولات (</w:t>
      </w:r>
      <w:r w:rsidRPr="00981706">
        <w:rPr>
          <w:lang w:val="en-GB" w:bidi="ar-EG"/>
        </w:rPr>
        <w:t>T-MPLS</w:t>
      </w:r>
      <w:r w:rsidRPr="00981706">
        <w:rPr>
          <w:rtl/>
        </w:rPr>
        <w:t xml:space="preserve">) والاعتبارات المتعلقة بتطبيق تكنولوجيا </w:t>
      </w:r>
      <w:r w:rsidRPr="00981706">
        <w:rPr>
          <w:lang w:val="en-GB" w:bidi="ar-EG"/>
        </w:rPr>
        <w:t>MPLS</w:t>
      </w:r>
      <w:r w:rsidRPr="00981706">
        <w:rPr>
          <w:rtl/>
        </w:rPr>
        <w:t xml:space="preserve"> التي طورها فريق مهام هندسة الإنترنت (</w:t>
      </w:r>
      <w:r w:rsidRPr="00981706">
        <w:rPr>
          <w:lang w:val="en-GB" w:bidi="ar-EG"/>
        </w:rPr>
        <w:t>IETF</w:t>
      </w:r>
      <w:r w:rsidRPr="00981706">
        <w:rPr>
          <w:rtl/>
        </w:rPr>
        <w:t>)</w:t>
      </w:r>
      <w:r w:rsidRPr="00981706">
        <w:rPr>
          <w:lang w:val="en-GB" w:bidi="ar-EG"/>
        </w:rPr>
        <w:t>"</w:t>
      </w:r>
    </w:p>
    <w:p w14:paraId="19ED6323" w14:textId="77777777" w:rsidR="001010FD" w:rsidRPr="00981706" w:rsidRDefault="001010FD" w:rsidP="00425534">
      <w:pPr>
        <w:pStyle w:val="Heading1"/>
        <w:rPr>
          <w:lang w:val="ar-SA"/>
        </w:rPr>
      </w:pPr>
      <w:bookmarkStart w:id="241" w:name="_12_Electronic_working"/>
      <w:bookmarkStart w:id="242" w:name="_Toc179219770"/>
      <w:bookmarkStart w:id="243" w:name="_Toc179221080"/>
      <w:bookmarkStart w:id="244" w:name="_Toc179733622"/>
      <w:bookmarkEnd w:id="240"/>
      <w:bookmarkEnd w:id="241"/>
      <w:r w:rsidRPr="00981706">
        <w:rPr>
          <w:rtl/>
        </w:rPr>
        <w:t>12</w:t>
      </w:r>
      <w:r w:rsidRPr="00981706">
        <w:rPr>
          <w:rtl/>
        </w:rPr>
        <w:tab/>
        <w:t xml:space="preserve">أساليب العمل </w:t>
      </w:r>
      <w:bookmarkStart w:id="245" w:name="Twelve"/>
      <w:bookmarkEnd w:id="245"/>
      <w:r w:rsidRPr="00981706">
        <w:rPr>
          <w:rtl/>
        </w:rPr>
        <w:t>الإلكترونية وتطبيقات قواعد البيانات</w:t>
      </w:r>
      <w:bookmarkEnd w:id="242"/>
      <w:bookmarkEnd w:id="243"/>
      <w:bookmarkEnd w:id="244"/>
    </w:p>
    <w:p w14:paraId="4300E3B9" w14:textId="77777777" w:rsidR="001010FD" w:rsidRPr="00981706" w:rsidRDefault="001010FD" w:rsidP="00981706">
      <w:pPr>
        <w:rPr>
          <w:lang w:val="ar-SA" w:bidi="ar-EG"/>
        </w:rPr>
      </w:pPr>
      <w:r w:rsidRPr="00981706">
        <w:rPr>
          <w:rtl/>
        </w:rPr>
        <w:t xml:space="preserve">تُدخَل تحسينات مستمرة على أساليب وأدوات العمل الإلكترونية للأعضاء بما يتماشى مع القرارين 32 (تعزيز أساليب العمل الإلكترونية في أعمال قطاع تقييس الاتصالات للاتحاد الدولي للاتصالات) و44 (سد الفجوة </w:t>
      </w:r>
      <w:proofErr w:type="spellStart"/>
      <w:r w:rsidRPr="00981706">
        <w:rPr>
          <w:rtl/>
        </w:rPr>
        <w:t>التقييسية</w:t>
      </w:r>
      <w:proofErr w:type="spellEnd"/>
      <w:r w:rsidRPr="00981706">
        <w:rPr>
          <w:rtl/>
        </w:rPr>
        <w:t xml:space="preserve"> بين البلدان النامية والبلدان المتقدمة) للجمعية العالمية لتقييس الاتصالات والقرار 167 (تعزيز قدرات الاتحاد الدولي للاتصالات فيما يتعلق بالاجتماعات الإلكترونية والوسائل الإلكترونية لإحراز التقدم في أعمال الاتحاد).</w:t>
      </w:r>
    </w:p>
    <w:p w14:paraId="142CF7EB" w14:textId="77777777" w:rsidR="001010FD" w:rsidRPr="00981706" w:rsidRDefault="001010FD" w:rsidP="0035094A">
      <w:pPr>
        <w:keepNext/>
        <w:keepLines/>
        <w:rPr>
          <w:lang w:val="ar-SA" w:bidi="ar-EG"/>
        </w:rPr>
      </w:pPr>
      <w:r w:rsidRPr="00981706">
        <w:rPr>
          <w:rtl/>
        </w:rPr>
        <w:lastRenderedPageBreak/>
        <w:t>وترمي التحسينات إلى تحقيق الأهداف التالية:</w:t>
      </w:r>
    </w:p>
    <w:p w14:paraId="1C2F9F55" w14:textId="77777777" w:rsidR="001010FD" w:rsidRPr="00981706" w:rsidRDefault="001010FD" w:rsidP="0035094A">
      <w:pPr>
        <w:pStyle w:val="enumlev1"/>
        <w:keepNext/>
        <w:keepLines/>
        <w:rPr>
          <w:lang w:val="ar-SA" w:bidi="ar-EG"/>
        </w:rPr>
      </w:pPr>
      <w:r>
        <w:t>-</w:t>
      </w:r>
      <w:r>
        <w:tab/>
      </w:r>
      <w:r w:rsidRPr="00981706">
        <w:rPr>
          <w:rtl/>
        </w:rPr>
        <w:t>زيادة القدرات فيما يتعلق بأساليب العمل الإلكترونية لقطاع تقييس الاتصالات واستعراض فوائدها.</w:t>
      </w:r>
    </w:p>
    <w:p w14:paraId="6A0032C1" w14:textId="77777777" w:rsidR="001010FD" w:rsidRPr="00981706" w:rsidRDefault="001010FD" w:rsidP="0035094A">
      <w:pPr>
        <w:pStyle w:val="enumlev1"/>
        <w:keepNext/>
        <w:keepLines/>
        <w:rPr>
          <w:lang w:val="ar-SA" w:bidi="ar-EG"/>
        </w:rPr>
      </w:pPr>
      <w:r>
        <w:t>-</w:t>
      </w:r>
      <w:r>
        <w:tab/>
      </w:r>
      <w:r w:rsidRPr="00981706">
        <w:rPr>
          <w:rtl/>
        </w:rPr>
        <w:t>تعميم المبادئ التوجيهية والوثائق والأنشطة التدريبية المتعلقة باستخدام أساليب العمل الإلكترونية لقطاع تقييس</w:t>
      </w:r>
      <w:r>
        <w:rPr>
          <w:rFonts w:hint="cs"/>
          <w:rtl/>
        </w:rPr>
        <w:t> </w:t>
      </w:r>
      <w:r w:rsidRPr="00981706">
        <w:rPr>
          <w:rtl/>
        </w:rPr>
        <w:t>الاتصالات.</w:t>
      </w:r>
    </w:p>
    <w:p w14:paraId="24A7FCC4" w14:textId="77777777" w:rsidR="001010FD" w:rsidRPr="00981706" w:rsidRDefault="001010FD" w:rsidP="00425534">
      <w:pPr>
        <w:pStyle w:val="enumlev1"/>
        <w:rPr>
          <w:lang w:val="ar-SA" w:bidi="ar-EG"/>
        </w:rPr>
      </w:pPr>
      <w:r>
        <w:t>-</w:t>
      </w:r>
      <w:r>
        <w:tab/>
      </w:r>
      <w:r w:rsidRPr="00981706">
        <w:rPr>
          <w:rtl/>
        </w:rPr>
        <w:t>توفير تسهيلات المشاركة الإلكترونية في أحداث قطاع تقييس الاتصالات للمندوبين غير القادرين على المشاركة في</w:t>
      </w:r>
      <w:r>
        <w:rPr>
          <w:rFonts w:hint="cs"/>
          <w:rtl/>
        </w:rPr>
        <w:t> </w:t>
      </w:r>
      <w:r w:rsidRPr="00981706">
        <w:rPr>
          <w:rtl/>
        </w:rPr>
        <w:t>الأحداث حضورياً.</w:t>
      </w:r>
    </w:p>
    <w:p w14:paraId="5B98BF32" w14:textId="77777777" w:rsidR="001010FD" w:rsidRPr="00981706" w:rsidRDefault="001010FD" w:rsidP="00425534">
      <w:pPr>
        <w:pStyle w:val="enumlev1"/>
        <w:rPr>
          <w:lang w:val="ar-SA" w:bidi="ar-EG"/>
        </w:rPr>
      </w:pPr>
      <w:r>
        <w:t>-</w:t>
      </w:r>
      <w:r>
        <w:tab/>
      </w:r>
      <w:r w:rsidRPr="00981706">
        <w:rPr>
          <w:rtl/>
        </w:rPr>
        <w:t xml:space="preserve">الحفاظ على مواقع إلكترونية لقطاع تقييس الاتصالات ملائمة للأجهزة المتنقلة، مثل </w:t>
      </w:r>
      <w:hyperlink r:id="rId314" w:anchor="/ar" w:history="1">
        <w:r w:rsidRPr="00CE5591">
          <w:rPr>
            <w:rStyle w:val="Hyperlink"/>
            <w:rtl/>
          </w:rPr>
          <w:t>الموقع الإلكتروني للجمعية WTSA-24</w:t>
        </w:r>
      </w:hyperlink>
      <w:r w:rsidRPr="00981706">
        <w:rPr>
          <w:rtl/>
        </w:rPr>
        <w:t xml:space="preserve"> ومختلف مواقعه الفرعية.</w:t>
      </w:r>
    </w:p>
    <w:p w14:paraId="0DEBD2C2" w14:textId="77777777" w:rsidR="001010FD" w:rsidRPr="00981706" w:rsidRDefault="001010FD" w:rsidP="00981706">
      <w:pPr>
        <w:rPr>
          <w:lang w:val="ar-SA" w:bidi="ar-EG"/>
        </w:rPr>
      </w:pPr>
      <w:r w:rsidRPr="00981706">
        <w:rPr>
          <w:rtl/>
        </w:rPr>
        <w:t xml:space="preserve">وتساهم هذه الأنشطة أيضاً في سد الفجوة </w:t>
      </w:r>
      <w:proofErr w:type="spellStart"/>
      <w:r w:rsidRPr="00981706">
        <w:rPr>
          <w:rtl/>
        </w:rPr>
        <w:t>التقييسية</w:t>
      </w:r>
      <w:proofErr w:type="spellEnd"/>
      <w:r w:rsidRPr="00981706">
        <w:rPr>
          <w:rtl/>
        </w:rPr>
        <w:t xml:space="preserve"> من خلال توفير أدوات كفيلة بما يلي:</w:t>
      </w:r>
    </w:p>
    <w:p w14:paraId="2B011E0A" w14:textId="77777777" w:rsidR="001010FD" w:rsidRPr="00981706" w:rsidRDefault="00D61F86" w:rsidP="00425534">
      <w:pPr>
        <w:pStyle w:val="enumlev1"/>
        <w:rPr>
          <w:lang w:val="ar-SA" w:bidi="ar-EG"/>
        </w:rPr>
      </w:pPr>
      <w:dir w:val="rtl">
        <w:r w:rsidR="001010FD">
          <w:t>-</w:t>
        </w:r>
        <w:r w:rsidR="001010FD">
          <w:tab/>
        </w:r>
        <w:r w:rsidR="001010FD" w:rsidRPr="00981706">
          <w:rPr>
            <w:rtl/>
          </w:rPr>
          <w:t>ضمان النفاذ على قدم المساواة إلى الاجتماعات الإلكترونية وإتاحة المشاركة عند بُعد.</w:t>
        </w:r>
        <w:r w:rsidR="001010FD" w:rsidRPr="00981706">
          <w:rPr>
            <w:rFonts w:ascii="Arial" w:hAnsi="Arial" w:cs="Arial"/>
            <w:lang w:val="en-GB" w:bidi="ar-EG"/>
          </w:rPr>
          <w:t>‬</w:t>
        </w:r>
        <w:r w:rsidR="001010FD">
          <w:t>‬</w:t>
        </w:r>
        <w:r w:rsidR="00EC7921">
          <w:t>‬</w:t>
        </w:r>
        <w:r>
          <w:t>‬</w:t>
        </w:r>
      </w:dir>
    </w:p>
    <w:p w14:paraId="64EA3CFF" w14:textId="77777777" w:rsidR="001010FD" w:rsidRPr="00981706" w:rsidRDefault="001010FD" w:rsidP="00425534">
      <w:pPr>
        <w:pStyle w:val="enumlev1"/>
        <w:rPr>
          <w:lang w:val="ar-SA" w:bidi="ar-EG"/>
        </w:rPr>
      </w:pPr>
      <w:r>
        <w:t>-</w:t>
      </w:r>
      <w:r>
        <w:tab/>
      </w:r>
      <w:r w:rsidRPr="00981706">
        <w:rPr>
          <w:rtl/>
        </w:rPr>
        <w:t>تقديم الدعم لضمان سلاسة سير أعمال الأفرقة الإقليمية التابعة لقطاع تقييس الاتصالات.</w:t>
      </w:r>
    </w:p>
    <w:p w14:paraId="0932FAE6" w14:textId="77777777" w:rsidR="001010FD" w:rsidRPr="00981706" w:rsidRDefault="001010FD" w:rsidP="00425534">
      <w:pPr>
        <w:pStyle w:val="enumlev1"/>
        <w:rPr>
          <w:lang w:val="ar-SA" w:bidi="ar-EG"/>
        </w:rPr>
      </w:pPr>
      <w:r>
        <w:t>-</w:t>
      </w:r>
      <w:r>
        <w:tab/>
      </w:r>
      <w:r w:rsidRPr="00981706">
        <w:rPr>
          <w:rtl/>
        </w:rPr>
        <w:t>تحديد المواعيد المناسبة لمشاركة البلدان النامية والبلدان المتقدمة في أنشطة قطاع تقييس الاتصالات.</w:t>
      </w:r>
    </w:p>
    <w:p w14:paraId="03D0117D" w14:textId="63ED1EDC" w:rsidR="001010FD" w:rsidRPr="00981706" w:rsidRDefault="001010FD" w:rsidP="00B51DC7">
      <w:pPr>
        <w:pStyle w:val="Heading2"/>
        <w:rPr>
          <w:lang w:val="ar-SA"/>
        </w:rPr>
      </w:pPr>
      <w:bookmarkStart w:id="246" w:name="_Toc179219771"/>
      <w:bookmarkStart w:id="247" w:name="_Toc179221081"/>
      <w:bookmarkStart w:id="248" w:name="_Toc179733623"/>
      <w:r>
        <w:t>1.12</w:t>
      </w:r>
      <w:r w:rsidRPr="00981706">
        <w:rPr>
          <w:rtl/>
        </w:rPr>
        <w:tab/>
        <w:t>الأدوات والتطبيقات</w:t>
      </w:r>
      <w:bookmarkEnd w:id="246"/>
      <w:bookmarkEnd w:id="247"/>
      <w:bookmarkEnd w:id="248"/>
    </w:p>
    <w:p w14:paraId="603BAA45" w14:textId="77777777" w:rsidR="001010FD" w:rsidRPr="00981706" w:rsidRDefault="001010FD" w:rsidP="00981706">
      <w:pPr>
        <w:rPr>
          <w:spacing w:val="-2"/>
          <w:lang w:val="ar-SA" w:bidi="ar-EG"/>
        </w:rPr>
      </w:pPr>
      <w:r w:rsidRPr="00981706">
        <w:rPr>
          <w:spacing w:val="-2"/>
          <w:rtl/>
        </w:rPr>
        <w:t xml:space="preserve">يواصل مكتب تقييس الاتصالات ودائرة خدمات المعلومات </w:t>
      </w:r>
      <w:r>
        <w:rPr>
          <w:spacing w:val="-2"/>
          <w:lang w:bidi="ar-EG"/>
        </w:rPr>
        <w:t>(</w:t>
      </w:r>
      <w:r w:rsidRPr="00981706">
        <w:rPr>
          <w:spacing w:val="-2"/>
          <w:lang w:val="en-GB" w:bidi="ar-EG"/>
        </w:rPr>
        <w:t>IS</w:t>
      </w:r>
      <w:r>
        <w:rPr>
          <w:spacing w:val="-2"/>
          <w:lang w:bidi="ar-EG"/>
        </w:rPr>
        <w:t>)</w:t>
      </w:r>
      <w:r w:rsidRPr="00981706">
        <w:rPr>
          <w:spacing w:val="-2"/>
          <w:rtl/>
        </w:rPr>
        <w:t xml:space="preserve"> ودائرة المؤتمرات والمنشورات (</w:t>
      </w:r>
      <w:r w:rsidRPr="00981706">
        <w:rPr>
          <w:spacing w:val="-2"/>
          <w:lang w:val="en-GB" w:bidi="ar-EG"/>
        </w:rPr>
        <w:t>C&amp;P</w:t>
      </w:r>
      <w:r w:rsidRPr="00981706">
        <w:rPr>
          <w:spacing w:val="-2"/>
          <w:rtl/>
        </w:rPr>
        <w:t>) في الاتحاد تطوير العديد من التطبيقات وزيادة تعزيز المرافق القائمة لدعم وتحسين أساليب العمل الإلكترونية لقطاع تقييس الاتصالات. ويعمل مكتب تقييس الاتصالات جاهداً على دعم الأجهزة المتنقلة في جميع التطبيقات الجديدة المطورة والالتزام بميثاق التصميم الخاص بالاتحاد.</w:t>
      </w:r>
    </w:p>
    <w:p w14:paraId="6C000C4E" w14:textId="77777777" w:rsidR="001010FD" w:rsidRPr="00981706" w:rsidRDefault="001010FD" w:rsidP="00981706">
      <w:pPr>
        <w:rPr>
          <w:lang w:val="ar-SA" w:bidi="ar-EG"/>
        </w:rPr>
      </w:pPr>
      <w:r w:rsidRPr="00981706">
        <w:rPr>
          <w:rtl/>
        </w:rPr>
        <w:t>وتشمل الإنجازات الرئيسية ما يلي.</w:t>
      </w:r>
    </w:p>
    <w:p w14:paraId="58E4F41C" w14:textId="77777777" w:rsidR="001010FD" w:rsidRPr="00981706" w:rsidRDefault="001010FD" w:rsidP="00425534">
      <w:pPr>
        <w:pStyle w:val="Headingb"/>
        <w:rPr>
          <w:lang w:val="ar-SA"/>
        </w:rPr>
      </w:pPr>
      <w:r w:rsidRPr="00981706">
        <w:rPr>
          <w:rtl/>
        </w:rPr>
        <w:t>نظام إدارة وثائق اجتماعات أفرقة المقررين</w:t>
      </w:r>
    </w:p>
    <w:p w14:paraId="6275C60A" w14:textId="77777777" w:rsidR="001010FD" w:rsidRPr="00981706" w:rsidRDefault="001010FD" w:rsidP="00981706">
      <w:pPr>
        <w:rPr>
          <w:lang w:val="ar-SA" w:bidi="ar-EG"/>
        </w:rPr>
      </w:pPr>
      <w:r w:rsidRPr="00981706">
        <w:rPr>
          <w:rtl/>
        </w:rPr>
        <w:t xml:space="preserve">تستعمل لجان دراسات قطاع تقييس الاتصالات والفريق الاستشاري لتقييس الاتصالات نظام إدارة الوثائق القائم على برمجية </w:t>
      </w:r>
      <w:proofErr w:type="spellStart"/>
      <w:r w:rsidRPr="00981706">
        <w:rPr>
          <w:rtl/>
        </w:rPr>
        <w:t>Microsoft</w:t>
      </w:r>
      <w:proofErr w:type="spellEnd"/>
      <w:r w:rsidRPr="00981706">
        <w:rPr>
          <w:rtl/>
        </w:rPr>
        <w:t xml:space="preserve"> </w:t>
      </w:r>
      <w:proofErr w:type="spellStart"/>
      <w:r w:rsidRPr="00981706">
        <w:rPr>
          <w:rtl/>
        </w:rPr>
        <w:t>SharePoint</w:t>
      </w:r>
      <w:proofErr w:type="spellEnd"/>
      <w:r w:rsidRPr="00981706">
        <w:rPr>
          <w:rtl/>
        </w:rPr>
        <w:t xml:space="preserve"> بشكل مكثف في اجتماعات أفرقة المقرِّرين التابعة لقطاع تقييس الاتصالات. وتدفع التعليقات </w:t>
      </w:r>
      <w:proofErr w:type="spellStart"/>
      <w:r w:rsidRPr="00981706">
        <w:rPr>
          <w:rtl/>
        </w:rPr>
        <w:t>التعقيبية</w:t>
      </w:r>
      <w:proofErr w:type="spellEnd"/>
      <w:r w:rsidRPr="00981706">
        <w:rPr>
          <w:rtl/>
        </w:rPr>
        <w:t xml:space="preserve"> الواردة من المقرِّرين عجلة التحسين المستمر لنظام اجتماعات أفرقة المقرِّرين.</w:t>
      </w:r>
    </w:p>
    <w:p w14:paraId="5B3B4EBD" w14:textId="77777777" w:rsidR="001010FD" w:rsidRPr="00981706" w:rsidRDefault="001010FD" w:rsidP="00981706">
      <w:pPr>
        <w:rPr>
          <w:lang w:val="ar-SA" w:bidi="ar-EG"/>
        </w:rPr>
      </w:pPr>
      <w:r w:rsidRPr="00981706">
        <w:rPr>
          <w:rtl/>
        </w:rPr>
        <w:t>ويمكن النفاذ إلى اجتماعات أفرقة المقرِّرين الحالية والسابقة عبر الرابط التالي</w:t>
      </w:r>
      <w:r w:rsidRPr="00981706">
        <w:rPr>
          <w:lang w:val="en-GB" w:bidi="ar-EG"/>
        </w:rPr>
        <w:t>:</w:t>
      </w:r>
      <w:r w:rsidRPr="00981706">
        <w:rPr>
          <w:rtl/>
        </w:rPr>
        <w:t xml:space="preserve"> </w:t>
      </w:r>
      <w:hyperlink r:id="rId315" w:history="1">
        <w:r>
          <w:rPr>
            <w:rStyle w:val="Hyperlink"/>
          </w:rPr>
          <w:t>https:/</w:t>
        </w:r>
        <w:r w:rsidRPr="00C57224">
          <w:rPr>
            <w:rStyle w:val="Hyperlink"/>
          </w:rPr>
          <w:t>/itu.int/go/itu-t/rgm</w:t>
        </w:r>
      </w:hyperlink>
      <w:r w:rsidRPr="00981706">
        <w:rPr>
          <w:rtl/>
        </w:rPr>
        <w:t>.</w:t>
      </w:r>
    </w:p>
    <w:p w14:paraId="0D489216" w14:textId="77777777" w:rsidR="001010FD" w:rsidRPr="00981706" w:rsidRDefault="001010FD" w:rsidP="00981706">
      <w:pPr>
        <w:rPr>
          <w:lang w:val="ar-SA" w:bidi="ar-EG"/>
        </w:rPr>
      </w:pPr>
      <w:r w:rsidRPr="00981706">
        <w:rPr>
          <w:rtl/>
        </w:rPr>
        <w:t xml:space="preserve">وتتاح في الرابط </w:t>
      </w:r>
      <w:hyperlink r:id="rId316" w:history="1">
        <w:r>
          <w:rPr>
            <w:rStyle w:val="Hyperlink"/>
          </w:rPr>
          <w:t>https:/</w:t>
        </w:r>
        <w:r w:rsidRPr="00C57224">
          <w:rPr>
            <w:rStyle w:val="Hyperlink"/>
          </w:rPr>
          <w:t>/itu.int/go/itu-t/rgm-support</w:t>
        </w:r>
      </w:hyperlink>
      <w:r w:rsidRPr="00981706">
        <w:rPr>
          <w:rtl/>
        </w:rPr>
        <w:t xml:space="preserve"> صفحة للدعم الشامل والأسئلة الشائعة </w:t>
      </w:r>
      <w:r>
        <w:rPr>
          <w:lang w:val="en-GB" w:bidi="ar-EG"/>
        </w:rPr>
        <w:t>(</w:t>
      </w:r>
      <w:r w:rsidRPr="00981706">
        <w:rPr>
          <w:lang w:val="en-GB" w:bidi="ar-EG"/>
        </w:rPr>
        <w:t>FAQ</w:t>
      </w:r>
      <w:r>
        <w:rPr>
          <w:lang w:val="en-GB" w:bidi="ar-EG"/>
        </w:rPr>
        <w:t>)</w:t>
      </w:r>
      <w:r w:rsidRPr="00981706">
        <w:rPr>
          <w:rtl/>
        </w:rPr>
        <w:t xml:space="preserve"> تقدم نصائح وأفضل الممارسات بشأن اجتماعات أفرقة المقرِّرين.</w:t>
      </w:r>
    </w:p>
    <w:p w14:paraId="34191F46" w14:textId="77777777" w:rsidR="001010FD" w:rsidRPr="00981706" w:rsidRDefault="001010FD" w:rsidP="00981706">
      <w:pPr>
        <w:rPr>
          <w:lang w:val="ar-SA" w:bidi="ar-EG"/>
        </w:rPr>
      </w:pPr>
      <w:r w:rsidRPr="00981706">
        <w:rPr>
          <w:rtl/>
        </w:rPr>
        <w:t xml:space="preserve">ويتاح في الرابط </w:t>
      </w:r>
      <w:hyperlink r:id="rId317" w:history="1">
        <w:r>
          <w:rPr>
            <w:rStyle w:val="Hyperlink"/>
          </w:rPr>
          <w:t>https:/</w:t>
        </w:r>
        <w:r w:rsidRPr="00C57224">
          <w:rPr>
            <w:rStyle w:val="Hyperlink"/>
          </w:rPr>
          <w:t>/itu.int/go/itu-t/rgm-guide</w:t>
        </w:r>
      </w:hyperlink>
      <w:r w:rsidRPr="00981706">
        <w:rPr>
          <w:rtl/>
        </w:rPr>
        <w:t xml:space="preserve"> دليل مفصل للمستعمل عبر الإنترنت بشأن نظام اجتماعات أفرقة المقرِّرين يتضمن برامج تعليمية </w:t>
      </w:r>
      <w:proofErr w:type="spellStart"/>
      <w:r w:rsidRPr="00981706">
        <w:rPr>
          <w:rtl/>
        </w:rPr>
        <w:t>فيديوية</w:t>
      </w:r>
      <w:proofErr w:type="spellEnd"/>
      <w:r w:rsidRPr="00981706">
        <w:rPr>
          <w:rtl/>
        </w:rPr>
        <w:t>.</w:t>
      </w:r>
    </w:p>
    <w:p w14:paraId="42D18CA2" w14:textId="77777777" w:rsidR="001010FD" w:rsidRPr="00981706" w:rsidRDefault="001010FD" w:rsidP="00981706">
      <w:pPr>
        <w:rPr>
          <w:spacing w:val="-2"/>
          <w:lang w:val="ar-SA" w:bidi="ar-EG"/>
        </w:rPr>
      </w:pPr>
      <w:r w:rsidRPr="00981706">
        <w:rPr>
          <w:spacing w:val="-2"/>
          <w:rtl/>
        </w:rPr>
        <w:t xml:space="preserve">ونظام اجتماعات أفرقة المقرِّرين هو خدمة من بين الخدمات العديدة المتاحة في مواقع التعاون </w:t>
      </w:r>
      <w:r w:rsidRPr="00981706">
        <w:rPr>
          <w:spacing w:val="-2"/>
          <w:lang w:val="en-GB" w:bidi="ar-EG"/>
        </w:rPr>
        <w:t>SharePoint</w:t>
      </w:r>
      <w:r w:rsidRPr="00981706">
        <w:rPr>
          <w:spacing w:val="-2"/>
          <w:rtl/>
        </w:rPr>
        <w:t xml:space="preserve"> لقطاع تقييس الاتصالات. ويمنح النفاذ إلى هذه المواقع امتيازاً لأعضاء قطاع تقييس الاتصالات، إذ يتطلب حساب مستعمل لدى الاتحاد </w:t>
      </w:r>
      <w:r w:rsidRPr="008E614B">
        <w:rPr>
          <w:spacing w:val="-2"/>
          <w:lang w:val="en-GB" w:bidi="ar-EG"/>
        </w:rPr>
        <w:t>(</w:t>
      </w:r>
      <w:r w:rsidRPr="00981706">
        <w:rPr>
          <w:spacing w:val="-2"/>
          <w:lang w:val="en-GB" w:bidi="ar-EG"/>
        </w:rPr>
        <w:t>TIES</w:t>
      </w:r>
      <w:r w:rsidRPr="008E614B">
        <w:rPr>
          <w:spacing w:val="-2"/>
          <w:lang w:val="en-GB" w:bidi="ar-EG"/>
        </w:rPr>
        <w:t>)</w:t>
      </w:r>
      <w:r w:rsidRPr="00981706">
        <w:rPr>
          <w:spacing w:val="-2"/>
          <w:rtl/>
        </w:rPr>
        <w:t>.</w:t>
      </w:r>
    </w:p>
    <w:p w14:paraId="7C0CF246" w14:textId="77777777" w:rsidR="001010FD" w:rsidRPr="00981706" w:rsidRDefault="001010FD" w:rsidP="00425534">
      <w:pPr>
        <w:pStyle w:val="Headingb"/>
        <w:rPr>
          <w:lang w:val="ar-SA"/>
        </w:rPr>
      </w:pPr>
      <w:r w:rsidRPr="00981706">
        <w:rPr>
          <w:rtl/>
        </w:rPr>
        <w:t xml:space="preserve">مواقع التعاون </w:t>
      </w:r>
      <w:r w:rsidRPr="00981706">
        <w:rPr>
          <w:lang w:val="en-GB"/>
        </w:rPr>
        <w:t>SharePoint</w:t>
      </w:r>
      <w:r w:rsidRPr="00981706">
        <w:rPr>
          <w:rtl/>
        </w:rPr>
        <w:t xml:space="preserve"> لقطاع تقييس الاتصالات</w:t>
      </w:r>
    </w:p>
    <w:p w14:paraId="17B755F4" w14:textId="77777777" w:rsidR="001010FD" w:rsidRPr="00981706" w:rsidRDefault="001010FD" w:rsidP="00981706">
      <w:pPr>
        <w:rPr>
          <w:lang w:val="ar-SA" w:bidi="ar-EG"/>
        </w:rPr>
      </w:pPr>
      <w:r w:rsidRPr="00981706">
        <w:rPr>
          <w:rtl/>
        </w:rPr>
        <w:t xml:space="preserve">تمكّن مواقع التعاون </w:t>
      </w:r>
      <w:r w:rsidRPr="00981706">
        <w:rPr>
          <w:lang w:val="en-GB" w:bidi="ar-EG"/>
        </w:rPr>
        <w:t>SharePoint</w:t>
      </w:r>
      <w:r w:rsidRPr="00981706">
        <w:rPr>
          <w:rtl/>
        </w:rPr>
        <w:t xml:space="preserve"> لقطاع تقييس الاتصالات المشاركين في أعمال أفرقة العمل التابعة للقطاع من إجراء مناقشات عبر الإنترنت والعمل على المشاريع والتخطيط للاجتماعات وإدارة الوثائق وتخزينها في بيئة مشتركة مأمونة.</w:t>
      </w:r>
    </w:p>
    <w:p w14:paraId="6F69221E" w14:textId="77777777" w:rsidR="001010FD" w:rsidRPr="00981706" w:rsidRDefault="001010FD" w:rsidP="00981706">
      <w:pPr>
        <w:rPr>
          <w:lang w:val="ar-SA" w:bidi="ar-EG"/>
        </w:rPr>
      </w:pPr>
      <w:r w:rsidRPr="00981706">
        <w:rPr>
          <w:rtl/>
        </w:rPr>
        <w:t xml:space="preserve">ويمكن النفاذ إلى مواقع التعاون </w:t>
      </w:r>
      <w:r w:rsidRPr="00981706">
        <w:rPr>
          <w:lang w:val="en-GB" w:bidi="ar-EG"/>
        </w:rPr>
        <w:t>SharePoint</w:t>
      </w:r>
      <w:r w:rsidRPr="00981706">
        <w:rPr>
          <w:rtl/>
        </w:rPr>
        <w:t xml:space="preserve"> لقطاع تقييس الاتصالات عبر الرابط التالي</w:t>
      </w:r>
      <w:r>
        <w:rPr>
          <w:rFonts w:hint="cs"/>
          <w:rtl/>
          <w:lang w:val="en-GB" w:bidi="ar-EG"/>
        </w:rPr>
        <w:t xml:space="preserve">: </w:t>
      </w:r>
      <w:r>
        <w:rPr>
          <w:rtl/>
          <w:lang w:val="en-GB" w:bidi="ar-EG"/>
        </w:rPr>
        <w:tab/>
      </w:r>
      <w:r>
        <w:rPr>
          <w:rtl/>
          <w:lang w:val="en-GB" w:bidi="ar-EG"/>
        </w:rPr>
        <w:br/>
      </w:r>
      <w:hyperlink r:id="rId318" w:history="1">
        <w:r w:rsidRPr="002F0410">
          <w:rPr>
            <w:rStyle w:val="Hyperlink"/>
          </w:rPr>
          <w:t>https://extranet.itu.int/sites/ITU-T/</w:t>
        </w:r>
      </w:hyperlink>
      <w:r>
        <w:rPr>
          <w:rFonts w:hint="cs"/>
          <w:rtl/>
        </w:rPr>
        <w:t>.</w:t>
      </w:r>
    </w:p>
    <w:p w14:paraId="2F4EC6BF" w14:textId="77777777" w:rsidR="001010FD" w:rsidRPr="00981706" w:rsidRDefault="001010FD" w:rsidP="00981706">
      <w:pPr>
        <w:rPr>
          <w:lang w:val="ar-SA" w:bidi="ar-EG"/>
        </w:rPr>
      </w:pPr>
      <w:r w:rsidRPr="00981706">
        <w:rPr>
          <w:rtl/>
        </w:rPr>
        <w:t xml:space="preserve">ويتاح أيضاً في عبر الرابط </w:t>
      </w:r>
      <w:hyperlink r:id="rId319" w:history="1">
        <w:r w:rsidRPr="00C57224">
          <w:rPr>
            <w:rStyle w:val="Hyperlink"/>
          </w:rPr>
          <w:t>https://extranet.itu.int/ITU-T/support/</w:t>
        </w:r>
      </w:hyperlink>
      <w:r w:rsidRPr="00981706">
        <w:rPr>
          <w:rtl/>
        </w:rPr>
        <w:t xml:space="preserve"> موقع دعم يحتوي على قاعدة معارف تتضمن الأسئلة الشائعة وأدلة المستعمل بشأن خدمات </w:t>
      </w:r>
      <w:r w:rsidRPr="00981706">
        <w:rPr>
          <w:lang w:val="en-GB" w:bidi="ar-EG"/>
        </w:rPr>
        <w:t>SharePoint</w:t>
      </w:r>
      <w:r w:rsidRPr="00981706">
        <w:rPr>
          <w:rtl/>
        </w:rPr>
        <w:t xml:space="preserve"> المختلفة.</w:t>
      </w:r>
    </w:p>
    <w:p w14:paraId="7C2B4BF3" w14:textId="77777777" w:rsidR="001010FD" w:rsidRPr="00981706" w:rsidRDefault="001010FD" w:rsidP="00981706">
      <w:pPr>
        <w:rPr>
          <w:lang w:val="ar-SA" w:bidi="ar-EG"/>
        </w:rPr>
      </w:pPr>
      <w:r w:rsidRPr="00981706">
        <w:rPr>
          <w:rtl/>
        </w:rPr>
        <w:t xml:space="preserve">ويمنح النفاذ إلى معظم مواقع التعاون امتيازاً لأعضاء قطاع تقييس الاتصالات، إذ يتطلب حساب مستعمل لدى الاتحاد </w:t>
      </w:r>
      <w:r w:rsidRPr="00981706">
        <w:rPr>
          <w:lang w:val="en-GB" w:bidi="ar-EG"/>
        </w:rPr>
        <w:t>TIES)</w:t>
      </w:r>
      <w:r w:rsidRPr="00981706">
        <w:rPr>
          <w:rtl/>
        </w:rPr>
        <w:t>). وبعض مواقع التعاون مفتوحة لغير الأعضاء ويمكن النفاذ إليها باستخدام حسابات المستعملين لدى الاتحاد لغير الأغضاء.</w:t>
      </w:r>
      <w:bookmarkStart w:id="249" w:name="_Hlk49861831"/>
    </w:p>
    <w:p w14:paraId="240D9CD2" w14:textId="77777777" w:rsidR="001010FD" w:rsidRPr="00EB62AD" w:rsidRDefault="001010FD" w:rsidP="00EB62AD">
      <w:pPr>
        <w:pStyle w:val="Heading2"/>
      </w:pPr>
      <w:bookmarkStart w:id="250" w:name="_Toc179219772"/>
      <w:bookmarkStart w:id="251" w:name="_Toc179221082"/>
      <w:bookmarkStart w:id="252" w:name="_Toc179733624"/>
      <w:r w:rsidRPr="00EB62AD">
        <w:lastRenderedPageBreak/>
        <w:t>2.12</w:t>
      </w:r>
      <w:r w:rsidRPr="00EB62AD">
        <w:rPr>
          <w:rtl/>
          <w:lang w:bidi="ar-SA"/>
        </w:rPr>
        <w:tab/>
        <w:t>تطبيقات الويب</w:t>
      </w:r>
      <w:bookmarkEnd w:id="250"/>
      <w:bookmarkEnd w:id="251"/>
      <w:bookmarkEnd w:id="252"/>
    </w:p>
    <w:p w14:paraId="3945DB5D" w14:textId="77777777" w:rsidR="001010FD" w:rsidRPr="00981706" w:rsidRDefault="001010FD" w:rsidP="00425534">
      <w:pPr>
        <w:pStyle w:val="Headingb"/>
        <w:rPr>
          <w:lang w:val="ar-SA"/>
        </w:rPr>
      </w:pPr>
      <w:r w:rsidRPr="00981706">
        <w:rPr>
          <w:rtl/>
          <w:lang w:bidi="ar-SA"/>
        </w:rPr>
        <w:t xml:space="preserve">منصة </w:t>
      </w:r>
      <w:proofErr w:type="spellStart"/>
      <w:r w:rsidRPr="00981706">
        <w:rPr>
          <w:lang w:val="en-GB"/>
        </w:rPr>
        <w:t>MyWorkspace</w:t>
      </w:r>
      <w:proofErr w:type="spellEnd"/>
    </w:p>
    <w:p w14:paraId="47FD45AB" w14:textId="77777777" w:rsidR="001010FD" w:rsidRPr="00981706" w:rsidRDefault="00D61F86" w:rsidP="00981706">
      <w:pPr>
        <w:rPr>
          <w:rtl/>
        </w:rPr>
      </w:pPr>
      <w:hyperlink r:id="rId320" w:history="1">
        <w:proofErr w:type="spellStart"/>
        <w:r w:rsidR="001010FD" w:rsidRPr="00981706">
          <w:rPr>
            <w:rStyle w:val="Hyperlink"/>
            <w:lang w:val="en-GB" w:bidi="ar-EG"/>
          </w:rPr>
          <w:t>MyWorkspace</w:t>
        </w:r>
        <w:proofErr w:type="spellEnd"/>
      </w:hyperlink>
      <w:r w:rsidR="001010FD" w:rsidRPr="00981706">
        <w:rPr>
          <w:rtl/>
        </w:rPr>
        <w:t xml:space="preserve"> هي منصة متنقلة سهلة الاستعمال تتمركز فيها مجموعة من التطبيقات والخدمات.</w:t>
      </w:r>
    </w:p>
    <w:p w14:paraId="5A668484" w14:textId="77777777" w:rsidR="001010FD" w:rsidRPr="00981706" w:rsidRDefault="001010FD" w:rsidP="00981706">
      <w:pPr>
        <w:rPr>
          <w:lang w:val="ar-SA" w:bidi="ar-EG"/>
        </w:rPr>
      </w:pPr>
      <w:r w:rsidRPr="00981706">
        <w:rPr>
          <w:rtl/>
        </w:rPr>
        <w:t xml:space="preserve">وأنشئت هذه المنصة كحل لتطبيقات الإنترنت التقدمية </w:t>
      </w:r>
      <w:r>
        <w:rPr>
          <w:lang w:val="en-GB" w:bidi="ar-EG"/>
        </w:rPr>
        <w:t>(</w:t>
      </w:r>
      <w:r w:rsidRPr="00981706">
        <w:rPr>
          <w:lang w:val="en-GB" w:bidi="ar-EG"/>
        </w:rPr>
        <w:t>PWA</w:t>
      </w:r>
      <w:r>
        <w:rPr>
          <w:lang w:val="en-GB" w:bidi="ar-EG"/>
        </w:rPr>
        <w:t>)</w:t>
      </w:r>
      <w:r w:rsidRPr="00981706">
        <w:rPr>
          <w:rtl/>
        </w:rPr>
        <w:t xml:space="preserve"> يتيح نفس تجربة المستعمل بغض النظر عن الجهاز المستعمل. ويتطلب النفاذ إلى هذه المنصة حساب مستعمل لدى الاتحاد.</w:t>
      </w:r>
    </w:p>
    <w:p w14:paraId="29F69C2A" w14:textId="77777777" w:rsidR="001010FD" w:rsidRPr="00981706" w:rsidRDefault="001010FD" w:rsidP="00981706">
      <w:pPr>
        <w:rPr>
          <w:lang w:val="ar-SA" w:bidi="ar-EG"/>
        </w:rPr>
      </w:pPr>
      <w:r w:rsidRPr="00981706">
        <w:rPr>
          <w:rtl/>
        </w:rPr>
        <w:t>ويجري تحديث هذه المنصة باستمرار للاستفادة إلى أقصى حد من أحدث موارد تكنولوجيا المعلومات الشائعة في الاتحاد، مع دمج وتحديث عدد متزايد من التطبيقات.</w:t>
      </w:r>
    </w:p>
    <w:p w14:paraId="74D1B36C" w14:textId="77777777" w:rsidR="001010FD" w:rsidRPr="00981706" w:rsidRDefault="001010FD" w:rsidP="00981706">
      <w:pPr>
        <w:rPr>
          <w:rtl/>
        </w:rPr>
      </w:pPr>
      <w:r w:rsidRPr="00981706">
        <w:rPr>
          <w:rtl/>
        </w:rPr>
        <w:t>وتتاح من منصة</w:t>
      </w:r>
      <w:r>
        <w:rPr>
          <w:rFonts w:hint="cs"/>
          <w:rtl/>
        </w:rPr>
        <w:t xml:space="preserve"> </w:t>
      </w:r>
      <w:proofErr w:type="spellStart"/>
      <w:r w:rsidRPr="00981706">
        <w:rPr>
          <w:lang w:val="en-GB" w:bidi="ar-EG"/>
        </w:rPr>
        <w:t>MyWorkspace</w:t>
      </w:r>
      <w:proofErr w:type="spellEnd"/>
      <w:r w:rsidRPr="00981706">
        <w:rPr>
          <w:rtl/>
        </w:rPr>
        <w:t xml:space="preserve"> التطبيقات والخدمات التالية:</w:t>
      </w:r>
    </w:p>
    <w:p w14:paraId="2BDD30F8" w14:textId="77777777" w:rsidR="001010FD" w:rsidRPr="00981706" w:rsidRDefault="001010FD" w:rsidP="000258AE">
      <w:pPr>
        <w:pStyle w:val="enumlev1"/>
        <w:rPr>
          <w:rtl/>
        </w:rPr>
      </w:pPr>
      <w:r>
        <w:rPr>
          <w:rFonts w:hint="cs"/>
          <w:rtl/>
          <w:lang w:val="en-GB" w:bidi="ar-EG"/>
        </w:rPr>
        <w:t>-</w:t>
      </w:r>
      <w:r>
        <w:rPr>
          <w:rtl/>
          <w:lang w:val="en-GB" w:bidi="ar-EG"/>
        </w:rPr>
        <w:tab/>
      </w:r>
      <w:hyperlink r:id="rId321" w:anchor="/Translate">
        <w:r w:rsidRPr="00981706">
          <w:rPr>
            <w:rStyle w:val="Hyperlink"/>
            <w:lang w:val="en-GB" w:bidi="ar-EG"/>
          </w:rPr>
          <w:t>ITU Translate</w:t>
        </w:r>
      </w:hyperlink>
      <w:r w:rsidRPr="00981706">
        <w:rPr>
          <w:rtl/>
        </w:rPr>
        <w:t>: هي أداة ترجمة آلية عصبية طورها مكتب تقييس الاتصالات لترجمة وثائق الاتحاد ومواقعه الإلكترونية. واستناداً إلى إطار مفتوح المصدر، دُرِّبت هذه الأداة باستخدام مواد الاتحاد لضمان مزيد من الدقة في ترجمة المحتوى التقني، ولكنها تتيح أيضاً ترجمة المواقع الإلكترونية من خلال الاستعانة بخدمات الترجمة السحابية الخارجية فيما يتعلق بالتعابير اللغوية العامة.</w:t>
      </w:r>
      <w:r w:rsidRPr="00981706">
        <w:rPr>
          <w:cs/>
        </w:rPr>
        <w:t>‎</w:t>
      </w:r>
      <w:r w:rsidRPr="00981706">
        <w:rPr>
          <w:rtl/>
        </w:rPr>
        <w:t xml:space="preserve"> وتحدد أداة </w:t>
      </w:r>
      <w:r w:rsidRPr="00981706">
        <w:t>ITU Translate</w:t>
      </w:r>
      <w:r w:rsidRPr="00981706">
        <w:rPr>
          <w:rtl/>
        </w:rPr>
        <w:t xml:space="preserve"> وتطبق أفضل الأدوات المتاحة لكل زوج من أزواج اللغات لترجمة صفحات الويب ذات التعابير اللغوية العامة وغير المتوفرة حالياً باللغات الرسمية الست للاتحاد. وتستخدم هذه الأداة تكنولوجيات مبتكرة لضمان خدمات ترجمة عالية الجودة تتكامل مع مرتقى الأعمال التي تقوم بها خدمة الترجمة البشرية في الاتحاد. ويتماشى ذلك مع القرار 154 لمؤتمر المندوبين المفوضين بشأن استعمال اللغات الرسمية الست في الاتحاد على قدم المساواة.</w:t>
      </w:r>
    </w:p>
    <w:p w14:paraId="5FAC61F3" w14:textId="77777777" w:rsidR="001010FD" w:rsidRPr="00981706" w:rsidRDefault="001010FD" w:rsidP="000258AE">
      <w:pPr>
        <w:pStyle w:val="enumlev1"/>
        <w:rPr>
          <w:rtl/>
        </w:rPr>
      </w:pPr>
      <w:r>
        <w:rPr>
          <w:rFonts w:hint="cs"/>
          <w:rtl/>
          <w:lang w:val="en-GB" w:bidi="ar-EG"/>
        </w:rPr>
        <w:t>-</w:t>
      </w:r>
      <w:r>
        <w:rPr>
          <w:rtl/>
          <w:lang w:val="en-GB" w:bidi="ar-EG"/>
        </w:rPr>
        <w:tab/>
      </w:r>
      <w:hyperlink r:id="rId322" w:anchor="/wp-external" w:history="1">
        <w:r w:rsidRPr="00981706">
          <w:rPr>
            <w:rStyle w:val="Hyperlink"/>
            <w:lang w:val="en-GB" w:bidi="ar-EG"/>
          </w:rPr>
          <w:t>Work Programme</w:t>
        </w:r>
      </w:hyperlink>
      <w:r w:rsidRPr="00981706">
        <w:rPr>
          <w:rtl/>
        </w:rPr>
        <w:t xml:space="preserve">: سيحل هذا التطبيق الجديد محل التطبيق الإلكتروني المتقادم </w:t>
      </w:r>
      <w:hyperlink r:id="rId323" w:history="1">
        <w:r w:rsidRPr="00981706">
          <w:rPr>
            <w:rStyle w:val="Hyperlink"/>
            <w:lang w:val="en-GB" w:bidi="ar-EG"/>
          </w:rPr>
          <w:t>ITU-T Work Programme</w:t>
        </w:r>
      </w:hyperlink>
      <w:r w:rsidRPr="00981706">
        <w:rPr>
          <w:rtl/>
        </w:rPr>
        <w:t xml:space="preserve"> الذي سيلغى تدريجياً وبسلاسة. وبتقديم مجموعة الخدمات نفسها، من خلال تطبيق عام حديث ومركزي، يعزز التطبيق الجديد النفاذ إلى برنامج عمل قطاع تقييس الاتصالات ويجعله أكثر جلاءً</w:t>
      </w:r>
      <w:r w:rsidRPr="00981706">
        <w:t>.</w:t>
      </w:r>
    </w:p>
    <w:p w14:paraId="73368888" w14:textId="77777777" w:rsidR="001010FD" w:rsidRPr="00981706" w:rsidRDefault="001010FD" w:rsidP="000258AE">
      <w:pPr>
        <w:pStyle w:val="enumlev1"/>
        <w:rPr>
          <w:rtl/>
        </w:rPr>
      </w:pPr>
      <w:r>
        <w:rPr>
          <w:rFonts w:hint="cs"/>
          <w:rtl/>
          <w:lang w:val="en-GB" w:bidi="ar-EG"/>
        </w:rPr>
        <w:t>-</w:t>
      </w:r>
      <w:r>
        <w:rPr>
          <w:rtl/>
          <w:lang w:val="en-GB" w:bidi="ar-EG"/>
        </w:rPr>
        <w:tab/>
      </w:r>
      <w:hyperlink r:id="rId324" w:anchor="/rec-external" w:history="1">
        <w:hyperlink r:id="rId325" w:history="1">
          <w:r w:rsidRPr="00981706">
            <w:rPr>
              <w:rStyle w:val="Hyperlink"/>
              <w:lang w:val="en-GB" w:bidi="ar-EG"/>
            </w:rPr>
            <w:t>Standards</w:t>
          </w:r>
        </w:hyperlink>
      </w:hyperlink>
      <w:r w:rsidRPr="00981706">
        <w:rPr>
          <w:rtl/>
        </w:rPr>
        <w:t xml:space="preserve">: سيحل هذا التطبيق الجديد محل التطبيق الإلكتروني المتقادم </w:t>
      </w:r>
      <w:hyperlink r:id="rId326" w:history="1">
        <w:r w:rsidRPr="00981706">
          <w:rPr>
            <w:rStyle w:val="Hyperlink"/>
            <w:lang w:val="en-GB" w:bidi="ar-EG"/>
          </w:rPr>
          <w:t>ITU-T Recommendations</w:t>
        </w:r>
      </w:hyperlink>
      <w:r w:rsidRPr="00981706">
        <w:rPr>
          <w:rtl/>
        </w:rPr>
        <w:t xml:space="preserve"> الذي سيتوقف استعماله أيضاً بمجرد نقل جميع الخدمات. والهدف من ذلك هو توفير نفاذ سريع وحديث إلى توصيات قطاع تقييس الاتصالات وإضافاته، مع جميع المعلومات ذات الصلة، وجعلها في الوقت نفسه أكثر جلاءً للجمهور</w:t>
      </w:r>
      <w:r w:rsidRPr="00981706">
        <w:t>.</w:t>
      </w:r>
    </w:p>
    <w:p w14:paraId="0E20C0C5" w14:textId="77777777" w:rsidR="001010FD" w:rsidRPr="00981706" w:rsidRDefault="001010FD" w:rsidP="00350BAA">
      <w:pPr>
        <w:pStyle w:val="enumlev1"/>
        <w:rPr>
          <w:lang w:val="ar-SA" w:bidi="ar-EG"/>
        </w:rPr>
      </w:pPr>
      <w:r>
        <w:rPr>
          <w:rFonts w:hint="cs"/>
          <w:rtl/>
          <w:lang w:val="en-GB" w:bidi="ar-EG"/>
        </w:rPr>
        <w:t>-</w:t>
      </w:r>
      <w:r>
        <w:rPr>
          <w:rtl/>
          <w:lang w:val="en-GB" w:bidi="ar-EG"/>
        </w:rPr>
        <w:tab/>
      </w:r>
      <w:hyperlink r:id="rId327" w:anchor="/MyMeetings">
        <w:proofErr w:type="spellStart"/>
        <w:r w:rsidRPr="00981706">
          <w:rPr>
            <w:rStyle w:val="Hyperlink"/>
            <w:lang w:val="en-GB" w:bidi="ar-EG"/>
          </w:rPr>
          <w:t>MyMeetings</w:t>
        </w:r>
        <w:proofErr w:type="spellEnd"/>
      </w:hyperlink>
      <w:r w:rsidRPr="00981706">
        <w:rPr>
          <w:rtl/>
        </w:rPr>
        <w:t>: خدمة للمشاركة عن بُعد قائمة على الحل المفتوح المصدر "</w:t>
      </w:r>
      <w:proofErr w:type="spellStart"/>
      <w:r w:rsidRPr="00981706">
        <w:t>BigBlueButton</w:t>
      </w:r>
      <w:proofErr w:type="spellEnd"/>
      <w:r w:rsidRPr="00981706">
        <w:rPr>
          <w:rtl/>
        </w:rPr>
        <w:t>" كيّفها مكتب تقييس الاتصالات لدعم متطلبات الاجتماعات النظامية وغير النظامية لقطاع تقييس الاتصالات، سواء في المقر أو في المناطق، مع توفير ضوابط النفاذ المناسبة.</w:t>
      </w:r>
    </w:p>
    <w:p w14:paraId="199006AF" w14:textId="77777777" w:rsidR="001010FD" w:rsidRPr="00981706" w:rsidRDefault="001010FD" w:rsidP="004F477B">
      <w:pPr>
        <w:pStyle w:val="enumlev1"/>
        <w:rPr>
          <w:lang w:val="ar-SA" w:bidi="ar-EG"/>
        </w:rPr>
      </w:pPr>
      <w:r>
        <w:t>-</w:t>
      </w:r>
      <w:r>
        <w:tab/>
      </w:r>
      <w:r w:rsidRPr="00981706">
        <w:rPr>
          <w:rtl/>
        </w:rPr>
        <w:t>الوثائق:</w:t>
      </w:r>
    </w:p>
    <w:p w14:paraId="455D1521" w14:textId="77777777" w:rsidR="001010FD" w:rsidRPr="00981706" w:rsidRDefault="001010FD" w:rsidP="00CE0147">
      <w:pPr>
        <w:pStyle w:val="enumlev2"/>
        <w:rPr>
          <w:rtl/>
        </w:rPr>
      </w:pPr>
      <w:r w:rsidRPr="00CE0147">
        <w:rPr>
          <w:rFonts w:ascii="Arial" w:hAnsi="Arial" w:cs="Arial"/>
          <w:lang w:bidi="ar-EG"/>
        </w:rPr>
        <w:t>○</w:t>
      </w:r>
      <w:r>
        <w:tab/>
      </w:r>
      <w:hyperlink r:id="rId328" w:anchor="/Documents/MyDocuments/meeting=T22-TSAG-221212">
        <w:proofErr w:type="spellStart"/>
        <w:r w:rsidRPr="00981706">
          <w:rPr>
            <w:rStyle w:val="Hyperlink"/>
            <w:lang w:val="en-GB" w:bidi="ar-EG"/>
          </w:rPr>
          <w:t>MyDocuments</w:t>
        </w:r>
        <w:proofErr w:type="spellEnd"/>
      </w:hyperlink>
      <w:r w:rsidRPr="00981706">
        <w:rPr>
          <w:rtl/>
        </w:rPr>
        <w:t xml:space="preserve">: نفاذ معزز إلى وثائق اجتماعات لجان دراسات قطاع تقييس الاتصالات، في كل اجتماع، مع </w:t>
      </w:r>
      <w:proofErr w:type="spellStart"/>
      <w:r w:rsidRPr="00981706">
        <w:rPr>
          <w:rtl/>
        </w:rPr>
        <w:t>مراشيح</w:t>
      </w:r>
      <w:proofErr w:type="spellEnd"/>
      <w:r w:rsidRPr="00981706">
        <w:rPr>
          <w:rtl/>
        </w:rPr>
        <w:t xml:space="preserve"> متعددة للفرز والاختيار، والبحث في النص الكامل، والترجمة الآلية من الإنكليزية إلى اللغات الرسمية الخمس الأخرى للاتحاد حسب الطلب</w:t>
      </w:r>
      <w:r w:rsidRPr="00981706">
        <w:rPr>
          <w:lang w:val="en-GB" w:bidi="ar-EG"/>
        </w:rPr>
        <w:t>.</w:t>
      </w:r>
    </w:p>
    <w:p w14:paraId="1F007D9D" w14:textId="77777777" w:rsidR="001010FD" w:rsidRPr="00981706" w:rsidRDefault="001010FD" w:rsidP="00CE0147">
      <w:pPr>
        <w:pStyle w:val="enumlev2"/>
        <w:rPr>
          <w:rtl/>
        </w:rPr>
      </w:pPr>
      <w:r w:rsidRPr="00CE0147">
        <w:rPr>
          <w:rFonts w:ascii="Arial" w:hAnsi="Arial" w:cs="Arial"/>
          <w:lang w:bidi="ar-EG"/>
        </w:rPr>
        <w:t>○</w:t>
      </w:r>
      <w:r>
        <w:tab/>
      </w:r>
      <w:hyperlink r:id="rId329" w:anchor="/Documents/Suggested-Documents" w:history="1">
        <w:r w:rsidRPr="00981706">
          <w:rPr>
            <w:rStyle w:val="Hyperlink"/>
            <w:lang w:val="en-GB" w:bidi="ar-EG"/>
          </w:rPr>
          <w:t>Suggested documents</w:t>
        </w:r>
      </w:hyperlink>
      <w:r w:rsidRPr="00981706">
        <w:rPr>
          <w:rtl/>
        </w:rPr>
        <w:t>: قائمة مقترحة بالوثائق استناداً إلى اهتمامات المستعمل المحددة سلفاً، مع خيار تحديد الوثائق المفضلة.</w:t>
      </w:r>
    </w:p>
    <w:p w14:paraId="70DFB5B7" w14:textId="77777777" w:rsidR="001010FD" w:rsidRPr="00AF7F50" w:rsidRDefault="001010FD" w:rsidP="00CE0147">
      <w:pPr>
        <w:pStyle w:val="enumlev1"/>
        <w:rPr>
          <w:spacing w:val="-2"/>
          <w:rtl/>
        </w:rPr>
      </w:pPr>
      <w:r w:rsidRPr="00AF7F50">
        <w:rPr>
          <w:rFonts w:hint="cs"/>
          <w:spacing w:val="-2"/>
          <w:rtl/>
          <w:lang w:val="en-GB" w:bidi="ar-EG"/>
        </w:rPr>
        <w:t>-</w:t>
      </w:r>
      <w:r w:rsidRPr="00AF7F50">
        <w:rPr>
          <w:spacing w:val="-2"/>
          <w:rtl/>
          <w:lang w:val="en-GB" w:bidi="ar-EG"/>
        </w:rPr>
        <w:tab/>
      </w:r>
      <w:hyperlink r:id="rId330" w:anchor="/sdg">
        <w:r w:rsidRPr="00AF7F50">
          <w:rPr>
            <w:rStyle w:val="Hyperlink"/>
            <w:spacing w:val="-2"/>
            <w:lang w:val="en-GB" w:bidi="ar-EG"/>
          </w:rPr>
          <w:t>SDG Mapping</w:t>
        </w:r>
      </w:hyperlink>
      <w:r w:rsidRPr="00AF7F50">
        <w:rPr>
          <w:spacing w:val="-2"/>
          <w:rtl/>
        </w:rPr>
        <w:t>: رسم قائم على الذكاء الاصطناعي لخرائط الارتباطات بين أهداف التنمية المستدامة</w:t>
      </w:r>
      <w:r>
        <w:rPr>
          <w:rFonts w:hint="cs"/>
          <w:spacing w:val="-2"/>
          <w:rtl/>
        </w:rPr>
        <w:t xml:space="preserve"> </w:t>
      </w:r>
      <w:r w:rsidRPr="00AF7F50">
        <w:rPr>
          <w:spacing w:val="-2"/>
          <w:lang w:val="en-GB" w:bidi="ar-EG"/>
        </w:rPr>
        <w:t>(SDG)</w:t>
      </w:r>
      <w:r>
        <w:rPr>
          <w:rFonts w:hint="cs"/>
          <w:spacing w:val="-2"/>
          <w:rtl/>
          <w:lang w:val="en-GB" w:bidi="ar-EG"/>
        </w:rPr>
        <w:t xml:space="preserve"> </w:t>
      </w:r>
      <w:r w:rsidRPr="00AF7F50">
        <w:rPr>
          <w:spacing w:val="-2"/>
          <w:rtl/>
        </w:rPr>
        <w:t>التي وضعتها الأمم المتحدة ومنشورات وتوصيات قطاع تقييس الاتصالات من خلال تقييم الصلة الدلالية للنصوص بتحقيق هذه الأهداف</w:t>
      </w:r>
      <w:r w:rsidRPr="00AF7F50">
        <w:rPr>
          <w:spacing w:val="-2"/>
          <w:lang w:val="en-GB" w:bidi="ar-EG"/>
        </w:rPr>
        <w:t>.</w:t>
      </w:r>
    </w:p>
    <w:p w14:paraId="514B2AD6" w14:textId="77777777" w:rsidR="001010FD" w:rsidRPr="00981706" w:rsidRDefault="001010FD" w:rsidP="00CE0147">
      <w:pPr>
        <w:pStyle w:val="enumlev1"/>
        <w:rPr>
          <w:rtl/>
        </w:rPr>
      </w:pPr>
      <w:r>
        <w:rPr>
          <w:rFonts w:hint="cs"/>
          <w:rtl/>
          <w:lang w:val="en-GB" w:bidi="ar-EG"/>
        </w:rPr>
        <w:t>-</w:t>
      </w:r>
      <w:r>
        <w:rPr>
          <w:rtl/>
          <w:lang w:val="en-GB" w:bidi="ar-EG"/>
        </w:rPr>
        <w:tab/>
      </w:r>
      <w:hyperlink r:id="rId331" w:anchor="/Calendar">
        <w:r w:rsidRPr="00981706">
          <w:rPr>
            <w:rStyle w:val="Hyperlink"/>
            <w:lang w:val="en-GB" w:bidi="ar-EG"/>
          </w:rPr>
          <w:t>Calendar</w:t>
        </w:r>
      </w:hyperlink>
      <w:r w:rsidRPr="00981706">
        <w:rPr>
          <w:rtl/>
        </w:rPr>
        <w:t xml:space="preserve">: عرض تقويمي شهري لجميع أحداث الاتحاد مزود </w:t>
      </w:r>
      <w:proofErr w:type="spellStart"/>
      <w:r w:rsidRPr="00981706">
        <w:rPr>
          <w:rtl/>
        </w:rPr>
        <w:t>بمراشيح</w:t>
      </w:r>
      <w:proofErr w:type="spellEnd"/>
      <w:r w:rsidRPr="00981706">
        <w:rPr>
          <w:rtl/>
        </w:rPr>
        <w:t xml:space="preserve"> بشأن قطاعات الاتحاد وأفرقة العمل التابعة لقطاع تقييس الاتصالات، مع معلومات مفصلة</w:t>
      </w:r>
      <w:r w:rsidRPr="00981706">
        <w:rPr>
          <w:lang w:val="en-GB" w:bidi="ar-EG"/>
        </w:rPr>
        <w:t>.</w:t>
      </w:r>
    </w:p>
    <w:p w14:paraId="4BB7293C" w14:textId="77777777" w:rsidR="001010FD" w:rsidRPr="00981706" w:rsidRDefault="001010FD" w:rsidP="00CE0147">
      <w:pPr>
        <w:pStyle w:val="enumlev1"/>
        <w:rPr>
          <w:rtl/>
        </w:rPr>
      </w:pPr>
      <w:r>
        <w:rPr>
          <w:rFonts w:hint="cs"/>
          <w:rtl/>
          <w:lang w:val="en-GB" w:bidi="ar-EG"/>
        </w:rPr>
        <w:t>-</w:t>
      </w:r>
      <w:r>
        <w:rPr>
          <w:rtl/>
          <w:lang w:val="en-GB" w:bidi="ar-EG"/>
        </w:rPr>
        <w:tab/>
      </w:r>
      <w:hyperlink r:id="rId332" w:anchor="/Myevents">
        <w:proofErr w:type="spellStart"/>
        <w:r w:rsidRPr="00981706">
          <w:rPr>
            <w:rStyle w:val="Hyperlink"/>
            <w:lang w:val="en-GB" w:bidi="ar-EG"/>
          </w:rPr>
          <w:t>MyEvents</w:t>
        </w:r>
        <w:proofErr w:type="spellEnd"/>
      </w:hyperlink>
      <w:r w:rsidRPr="00981706">
        <w:rPr>
          <w:rtl/>
        </w:rPr>
        <w:t>: منصة لإدارة الأحداث تقدم جدول أعمال أحداث قطاع تقييس الاتصالات في الوقت الفعلي وقوائم المشاركين والمتحدثين والعارضين المسجلين، كما تؤدي مهمة تسهيل التعارف لتيسير بناء شبكات علاقات فيما</w:t>
      </w:r>
      <w:r>
        <w:rPr>
          <w:rFonts w:hint="cs"/>
          <w:rtl/>
        </w:rPr>
        <w:t> </w:t>
      </w:r>
      <w:r w:rsidRPr="00981706">
        <w:rPr>
          <w:rtl/>
        </w:rPr>
        <w:t>بين المشاركين.</w:t>
      </w:r>
    </w:p>
    <w:p w14:paraId="4CB5C64D" w14:textId="77777777" w:rsidR="001010FD" w:rsidRPr="00981706" w:rsidRDefault="001010FD" w:rsidP="00CE0147">
      <w:pPr>
        <w:pStyle w:val="enumlev1"/>
        <w:rPr>
          <w:rtl/>
        </w:rPr>
      </w:pPr>
      <w:r>
        <w:rPr>
          <w:rFonts w:hint="cs"/>
          <w:rtl/>
          <w:lang w:val="en-GB" w:bidi="ar-EG"/>
        </w:rPr>
        <w:t>-</w:t>
      </w:r>
      <w:r>
        <w:rPr>
          <w:rtl/>
          <w:lang w:val="en-GB" w:bidi="ar-EG"/>
        </w:rPr>
        <w:tab/>
      </w:r>
      <w:hyperlink r:id="rId333" w:anchor="/Mailing">
        <w:r w:rsidRPr="00981706">
          <w:rPr>
            <w:rStyle w:val="Hyperlink"/>
            <w:lang w:val="en-GB" w:bidi="ar-EG"/>
          </w:rPr>
          <w:t>Mailing list</w:t>
        </w:r>
      </w:hyperlink>
      <w:r w:rsidRPr="00981706">
        <w:rPr>
          <w:rtl/>
        </w:rPr>
        <w:t>: إدارة الاشتراك مدعومة بوظيفة بحث</w:t>
      </w:r>
      <w:r w:rsidRPr="00981706">
        <w:rPr>
          <w:lang w:val="en-GB" w:bidi="ar-EG"/>
        </w:rPr>
        <w:t>.</w:t>
      </w:r>
    </w:p>
    <w:p w14:paraId="74855A33" w14:textId="77777777" w:rsidR="001010FD" w:rsidRPr="00981706" w:rsidRDefault="001010FD" w:rsidP="00CE0147">
      <w:pPr>
        <w:pStyle w:val="enumlev1"/>
        <w:rPr>
          <w:rtl/>
        </w:rPr>
      </w:pPr>
      <w:r>
        <w:rPr>
          <w:rFonts w:hint="cs"/>
          <w:rtl/>
          <w:lang w:val="en-GB" w:bidi="ar-EG"/>
        </w:rPr>
        <w:t>-</w:t>
      </w:r>
      <w:r>
        <w:rPr>
          <w:rtl/>
          <w:lang w:val="en-GB" w:bidi="ar-EG"/>
        </w:rPr>
        <w:tab/>
      </w:r>
      <w:hyperlink r:id="rId334" w:anchor="/Community">
        <w:r w:rsidRPr="00981706">
          <w:rPr>
            <w:rStyle w:val="Hyperlink"/>
            <w:lang w:val="en-GB" w:bidi="ar-EG"/>
          </w:rPr>
          <w:t>Community</w:t>
        </w:r>
      </w:hyperlink>
      <w:r w:rsidRPr="00981706">
        <w:rPr>
          <w:rtl/>
        </w:rPr>
        <w:t>: دليل مستعمل منصة</w:t>
      </w:r>
      <w:proofErr w:type="spellStart"/>
      <w:r w:rsidRPr="00981706">
        <w:rPr>
          <w:lang w:val="en-GB" w:bidi="ar-EG"/>
        </w:rPr>
        <w:t>MyWorkspace</w:t>
      </w:r>
      <w:proofErr w:type="spellEnd"/>
      <w:r w:rsidRPr="00981706">
        <w:rPr>
          <w:lang w:val="en-GB" w:bidi="ar-EG"/>
        </w:rPr>
        <w:t>.</w:t>
      </w:r>
    </w:p>
    <w:p w14:paraId="3AE25BC0" w14:textId="77777777" w:rsidR="001010FD" w:rsidRPr="00981706" w:rsidRDefault="001010FD" w:rsidP="00CE0147">
      <w:pPr>
        <w:pStyle w:val="enumlev1"/>
        <w:rPr>
          <w:rtl/>
        </w:rPr>
      </w:pPr>
      <w:r>
        <w:rPr>
          <w:rFonts w:hint="cs"/>
          <w:rtl/>
          <w:lang w:val="en-GB" w:bidi="ar-EG"/>
        </w:rPr>
        <w:t>-</w:t>
      </w:r>
      <w:r>
        <w:rPr>
          <w:rtl/>
          <w:lang w:val="en-GB" w:bidi="ar-EG"/>
        </w:rPr>
        <w:tab/>
      </w:r>
      <w:hyperlink r:id="rId335" w:anchor="/profile">
        <w:r w:rsidRPr="00981706">
          <w:rPr>
            <w:rStyle w:val="Hyperlink"/>
            <w:lang w:val="en-GB" w:bidi="ar-EG"/>
          </w:rPr>
          <w:t>Profile and preferences</w:t>
        </w:r>
      </w:hyperlink>
      <w:r w:rsidRPr="00981706">
        <w:rPr>
          <w:rtl/>
        </w:rPr>
        <w:t>: معلومات المستعمل الشخصية واهتماماته</w:t>
      </w:r>
      <w:r w:rsidRPr="00981706">
        <w:rPr>
          <w:lang w:val="en-GB" w:bidi="ar-EG"/>
        </w:rPr>
        <w:t>.</w:t>
      </w:r>
    </w:p>
    <w:p w14:paraId="18E6AD18" w14:textId="77777777" w:rsidR="001010FD" w:rsidRPr="00981706" w:rsidRDefault="001010FD" w:rsidP="00981706">
      <w:pPr>
        <w:rPr>
          <w:rtl/>
        </w:rPr>
      </w:pPr>
      <w:r w:rsidRPr="00981706">
        <w:rPr>
          <w:rtl/>
        </w:rPr>
        <w:lastRenderedPageBreak/>
        <w:t>بالإضافة إلى هذه التطبيقات المتكاملة، تتيح منصة</w:t>
      </w:r>
      <w:r>
        <w:rPr>
          <w:rFonts w:hint="cs"/>
          <w:rtl/>
        </w:rPr>
        <w:t xml:space="preserve"> </w:t>
      </w:r>
      <w:proofErr w:type="spellStart"/>
      <w:r w:rsidRPr="00981706">
        <w:rPr>
          <w:lang w:val="en-GB" w:bidi="ar-EG"/>
        </w:rPr>
        <w:t>MyWorkspace</w:t>
      </w:r>
      <w:proofErr w:type="spellEnd"/>
      <w:r>
        <w:rPr>
          <w:rFonts w:hint="cs"/>
          <w:rtl/>
          <w:lang w:val="en-GB" w:bidi="ar-EG"/>
        </w:rPr>
        <w:t xml:space="preserve"> </w:t>
      </w:r>
      <w:r w:rsidRPr="00981706">
        <w:rPr>
          <w:rtl/>
        </w:rPr>
        <w:t>أيضاً النفاذ إلى مجموعة خارجية من الخدمات</w:t>
      </w:r>
      <w:r w:rsidRPr="00981706">
        <w:rPr>
          <w:lang w:val="en-GB" w:bidi="ar-EG"/>
        </w:rPr>
        <w:t>:</w:t>
      </w:r>
    </w:p>
    <w:p w14:paraId="648B2B1D" w14:textId="77777777" w:rsidR="001010FD" w:rsidRPr="00981706" w:rsidRDefault="001010FD" w:rsidP="00C13152">
      <w:pPr>
        <w:pStyle w:val="enumlev1"/>
        <w:rPr>
          <w:rtl/>
        </w:rPr>
      </w:pPr>
      <w:r w:rsidRPr="00C13152">
        <w:rPr>
          <w:rFonts w:hint="cs"/>
          <w:rtl/>
        </w:rPr>
        <w:t>-</w:t>
      </w:r>
      <w:r w:rsidRPr="00C13152">
        <w:rPr>
          <w:rtl/>
        </w:rPr>
        <w:tab/>
      </w:r>
      <w:hyperlink r:id="rId336" w:anchor="/Other-apps" w:history="1">
        <w:r w:rsidRPr="00981706">
          <w:rPr>
            <w:rStyle w:val="Hyperlink"/>
            <w:spacing w:val="-4"/>
            <w:rtl/>
          </w:rPr>
          <w:t>تطبيقات أخرى</w:t>
        </w:r>
      </w:hyperlink>
      <w:r w:rsidRPr="00981706">
        <w:rPr>
          <w:rtl/>
        </w:rPr>
        <w:t xml:space="preserve">: النفاذ المباشر إلى خدمات خارجية من قبيل الذاكرة السحابية </w:t>
      </w:r>
      <w:hyperlink r:id="rId337" w:history="1">
        <w:r w:rsidRPr="00981706">
          <w:rPr>
            <w:rStyle w:val="Hyperlink"/>
            <w:spacing w:val="-4"/>
            <w:lang w:val="en-GB" w:bidi="ar-EG"/>
          </w:rPr>
          <w:t>ITU-T Cloud</w:t>
        </w:r>
      </w:hyperlink>
      <w:r w:rsidRPr="00981706">
        <w:rPr>
          <w:rtl/>
        </w:rPr>
        <w:t>، و</w:t>
      </w:r>
      <w:hyperlink r:id="rId338" w:history="1">
        <w:r w:rsidRPr="00981706">
          <w:rPr>
            <w:rStyle w:val="Hyperlink"/>
            <w:spacing w:val="-4"/>
            <w:rtl/>
          </w:rPr>
          <w:t>قواعد بيانات قطاع تقييس الاتصالات</w:t>
        </w:r>
      </w:hyperlink>
      <w:r w:rsidRPr="00981706">
        <w:rPr>
          <w:rtl/>
        </w:rPr>
        <w:t>، و</w:t>
      </w:r>
      <w:hyperlink r:id="rId339" w:history="1">
        <w:r w:rsidRPr="00981706">
          <w:rPr>
            <w:rStyle w:val="Hyperlink"/>
            <w:spacing w:val="-4"/>
            <w:rtl/>
          </w:rPr>
          <w:t>أداة مزامنة وثائق الاجتماعات</w:t>
        </w:r>
      </w:hyperlink>
      <w:r w:rsidRPr="00981706">
        <w:rPr>
          <w:rtl/>
        </w:rPr>
        <w:t xml:space="preserve">، ومنصات التعاون في الشبكة الخارجية، ومحرك البحث </w:t>
      </w:r>
      <w:hyperlink r:id="rId340">
        <w:r w:rsidRPr="00C13152">
          <w:rPr>
            <w:rStyle w:val="Hyperlink"/>
            <w:spacing w:val="-4"/>
          </w:rPr>
          <w:t>ITU Search</w:t>
        </w:r>
      </w:hyperlink>
      <w:r w:rsidRPr="00981706">
        <w:rPr>
          <w:rtl/>
        </w:rPr>
        <w:t>، و</w:t>
      </w:r>
      <w:hyperlink r:id="rId341" w:history="1">
        <w:r w:rsidRPr="00981706">
          <w:rPr>
            <w:rStyle w:val="Hyperlink"/>
            <w:spacing w:val="-4"/>
            <w:rtl/>
          </w:rPr>
          <w:t>الأسئلة الشائعة</w:t>
        </w:r>
      </w:hyperlink>
      <w:r w:rsidRPr="00981706">
        <w:rPr>
          <w:rtl/>
        </w:rPr>
        <w:t>.</w:t>
      </w:r>
    </w:p>
    <w:p w14:paraId="4A01D69E" w14:textId="77777777" w:rsidR="001010FD" w:rsidRPr="00981706" w:rsidRDefault="001010FD" w:rsidP="004F477B">
      <w:pPr>
        <w:pStyle w:val="Headingb"/>
        <w:rPr>
          <w:lang w:val="ar-SA"/>
        </w:rPr>
      </w:pPr>
      <w:bookmarkStart w:id="253" w:name="_Toc531592355"/>
      <w:r w:rsidRPr="00981706">
        <w:rPr>
          <w:rtl/>
        </w:rPr>
        <w:t>نظام عملية الموافقة البديلة</w:t>
      </w:r>
    </w:p>
    <w:p w14:paraId="4393587E" w14:textId="77777777" w:rsidR="001010FD" w:rsidRPr="00981706" w:rsidRDefault="001010FD" w:rsidP="00981706">
      <w:pPr>
        <w:rPr>
          <w:lang w:val="ar-SA" w:bidi="ar-EG"/>
        </w:rPr>
      </w:pPr>
      <w:r w:rsidRPr="00981706">
        <w:rPr>
          <w:rtl/>
        </w:rPr>
        <w:t>حل إلكتروني لتطبيق الإجراء المبسط والأسرع المبين في التوصية ITU-T A.8 والمستخدم في التماس الموافقة على مشاريع التوصيات الجديدة والمراجعة</w:t>
      </w:r>
      <w:r w:rsidRPr="00981706">
        <w:rPr>
          <w:lang w:val="en-GB" w:bidi="ar-EG"/>
        </w:rPr>
        <w:t>:</w:t>
      </w:r>
      <w:r w:rsidRPr="00981706">
        <w:rPr>
          <w:rtl/>
        </w:rPr>
        <w:t xml:space="preserve"> </w:t>
      </w:r>
      <w:hyperlink r:id="rId342">
        <w:r w:rsidRPr="00C57224">
          <w:rPr>
            <w:rStyle w:val="Hyperlink"/>
          </w:rPr>
          <w:t>https://www.itu.int/t/aap/aap-recs</w:t>
        </w:r>
      </w:hyperlink>
      <w:r w:rsidRPr="00981706">
        <w:rPr>
          <w:rtl/>
        </w:rPr>
        <w:t>.</w:t>
      </w:r>
    </w:p>
    <w:p w14:paraId="06B6C599" w14:textId="77777777" w:rsidR="001010FD" w:rsidRPr="00981706" w:rsidRDefault="001010FD" w:rsidP="004F477B">
      <w:pPr>
        <w:pStyle w:val="Headingb"/>
        <w:rPr>
          <w:lang w:val="ar-SA"/>
        </w:rPr>
      </w:pPr>
      <w:r w:rsidRPr="00981706">
        <w:rPr>
          <w:rtl/>
        </w:rPr>
        <w:t>برنامج عمل قطاع تقييس الاتصالات</w:t>
      </w:r>
    </w:p>
    <w:p w14:paraId="2CC740AC" w14:textId="77777777" w:rsidR="001010FD" w:rsidRPr="00981706" w:rsidRDefault="001010FD" w:rsidP="00981706">
      <w:pPr>
        <w:rPr>
          <w:lang w:val="ar-SA" w:bidi="ar-EG"/>
        </w:rPr>
      </w:pPr>
      <w:r w:rsidRPr="00981706">
        <w:rPr>
          <w:rtl/>
        </w:rPr>
        <w:t xml:space="preserve">مجموعة من تطبيقات </w:t>
      </w:r>
      <w:r w:rsidRPr="00981706">
        <w:rPr>
          <w:lang w:val="en-GB" w:bidi="ar-EG"/>
        </w:rPr>
        <w:t>Windows</w:t>
      </w:r>
      <w:r w:rsidRPr="00981706">
        <w:rPr>
          <w:rtl/>
        </w:rPr>
        <w:t xml:space="preserve"> و</w:t>
      </w:r>
      <w:hyperlink r:id="rId343" w:history="1">
        <w:r w:rsidRPr="00981706">
          <w:rPr>
            <w:rStyle w:val="Hyperlink"/>
            <w:rtl/>
          </w:rPr>
          <w:t>تطبيقات الويب</w:t>
        </w:r>
      </w:hyperlink>
      <w:r w:rsidRPr="00981706">
        <w:rPr>
          <w:rtl/>
        </w:rPr>
        <w:t xml:space="preserve"> لمتابعة الهيكل الحالي والسابق لأفرقة العمل التابعة لقطاع تقييس الاتصالات وبنود العمل (يتم نقلها حالياً إلى منصة </w:t>
      </w:r>
      <w:proofErr w:type="spellStart"/>
      <w:r w:rsidRPr="00981706">
        <w:rPr>
          <w:lang w:val="en-GB" w:bidi="ar-EG"/>
        </w:rPr>
        <w:t>MyWorkspace</w:t>
      </w:r>
      <w:proofErr w:type="spellEnd"/>
      <w:r w:rsidRPr="00981706">
        <w:rPr>
          <w:rtl/>
        </w:rPr>
        <w:t>).</w:t>
      </w:r>
    </w:p>
    <w:p w14:paraId="7308C1E6" w14:textId="77777777" w:rsidR="001010FD" w:rsidRPr="00981706" w:rsidRDefault="001010FD" w:rsidP="004F477B">
      <w:pPr>
        <w:pStyle w:val="Headingb"/>
        <w:rPr>
          <w:lang w:val="ar-SA"/>
        </w:rPr>
      </w:pPr>
      <w:r w:rsidRPr="00981706">
        <w:rPr>
          <w:rtl/>
        </w:rPr>
        <w:t>بيانات الاتصال لقطاع تقييس الاتصالات</w:t>
      </w:r>
    </w:p>
    <w:p w14:paraId="32039655" w14:textId="77777777" w:rsidR="001010FD" w:rsidRPr="00981706" w:rsidRDefault="001010FD" w:rsidP="00981706">
      <w:pPr>
        <w:rPr>
          <w:lang w:val="ar-SA" w:bidi="ar-EG"/>
        </w:rPr>
      </w:pPr>
      <w:r w:rsidRPr="00981706">
        <w:rPr>
          <w:rtl/>
        </w:rPr>
        <w:t xml:space="preserve">تطبيق إلكتروني للنفاذ إلى قاعدة البيانات الخاصة </w:t>
      </w:r>
      <w:hyperlink r:id="rId344" w:history="1">
        <w:r w:rsidRPr="00981706">
          <w:rPr>
            <w:rStyle w:val="Hyperlink"/>
            <w:rtl/>
          </w:rPr>
          <w:t>ببيانات الاتصال لقطاع تقييس الاتصالات</w:t>
        </w:r>
      </w:hyperlink>
      <w:r w:rsidRPr="00981706">
        <w:rPr>
          <w:rtl/>
        </w:rPr>
        <w:t>.</w:t>
      </w:r>
    </w:p>
    <w:p w14:paraId="4EAB056F" w14:textId="77777777" w:rsidR="001010FD" w:rsidRPr="00981706" w:rsidRDefault="001010FD" w:rsidP="004F477B">
      <w:pPr>
        <w:pStyle w:val="Headingb"/>
        <w:rPr>
          <w:lang w:val="ar-SA"/>
        </w:rPr>
      </w:pPr>
      <w:r w:rsidRPr="00981706">
        <w:rPr>
          <w:rtl/>
        </w:rPr>
        <w:t>توصيات قطاع تقييس الاتصالات</w:t>
      </w:r>
    </w:p>
    <w:p w14:paraId="11FC42E7" w14:textId="77777777" w:rsidR="001010FD" w:rsidRPr="00981706" w:rsidRDefault="001010FD" w:rsidP="00981706">
      <w:pPr>
        <w:rPr>
          <w:lang w:val="ar-SA" w:bidi="ar-EG"/>
        </w:rPr>
      </w:pPr>
      <w:r w:rsidRPr="00981706">
        <w:rPr>
          <w:rtl/>
        </w:rPr>
        <w:t xml:space="preserve">مجموعة من تطبيقات </w:t>
      </w:r>
      <w:r w:rsidRPr="00981706">
        <w:rPr>
          <w:lang w:val="en-GB" w:bidi="ar-EG"/>
        </w:rPr>
        <w:t>Windows</w:t>
      </w:r>
      <w:r w:rsidRPr="00981706">
        <w:rPr>
          <w:rtl/>
        </w:rPr>
        <w:t xml:space="preserve"> والويب لمتابعة </w:t>
      </w:r>
      <w:hyperlink r:id="rId345" w:history="1">
        <w:r w:rsidRPr="00981706">
          <w:rPr>
            <w:rStyle w:val="Hyperlink"/>
            <w:rtl/>
          </w:rPr>
          <w:t>توصيات قطاع تقييس الاتصالات</w:t>
        </w:r>
      </w:hyperlink>
      <w:r w:rsidRPr="00981706">
        <w:rPr>
          <w:rtl/>
        </w:rPr>
        <w:t xml:space="preserve"> ومنشوراته والنفاذ إليها (يتم نقلها حالياً إلى منصة </w:t>
      </w:r>
      <w:proofErr w:type="spellStart"/>
      <w:r w:rsidRPr="00981706">
        <w:rPr>
          <w:lang w:val="en-GB" w:bidi="ar-EG"/>
        </w:rPr>
        <w:t>MyWorkspace</w:t>
      </w:r>
      <w:proofErr w:type="spellEnd"/>
      <w:r w:rsidRPr="00981706">
        <w:rPr>
          <w:rtl/>
        </w:rPr>
        <w:t>).</w:t>
      </w:r>
    </w:p>
    <w:p w14:paraId="159F47A6" w14:textId="77777777" w:rsidR="001010FD" w:rsidRPr="00981706" w:rsidRDefault="001010FD" w:rsidP="004F477B">
      <w:pPr>
        <w:pStyle w:val="Headingb"/>
        <w:rPr>
          <w:lang w:val="ar-SA"/>
        </w:rPr>
      </w:pPr>
      <w:r w:rsidRPr="00981706">
        <w:rPr>
          <w:rtl/>
        </w:rPr>
        <w:t>مشهد معايير تكنولوجيا المعلومات والاتصالات</w:t>
      </w:r>
    </w:p>
    <w:p w14:paraId="1A8C79D5" w14:textId="77777777" w:rsidR="001010FD" w:rsidRPr="00981706" w:rsidRDefault="001010FD" w:rsidP="00981706">
      <w:pPr>
        <w:rPr>
          <w:lang w:val="ar-SA" w:bidi="ar-EG"/>
        </w:rPr>
      </w:pPr>
      <w:r w:rsidRPr="00981706">
        <w:rPr>
          <w:rtl/>
        </w:rPr>
        <w:t xml:space="preserve">أداة إدارة وبحث عبر الإنترنت في </w:t>
      </w:r>
      <w:hyperlink r:id="rId346" w:history="1">
        <w:r w:rsidRPr="00981706">
          <w:rPr>
            <w:rStyle w:val="Hyperlink"/>
            <w:rtl/>
          </w:rPr>
          <w:t>مشهد معايير تكنولوجيا المعلومات والاتصالات</w:t>
        </w:r>
      </w:hyperlink>
      <w:r w:rsidRPr="00981706">
        <w:rPr>
          <w:rtl/>
        </w:rPr>
        <w:t xml:space="preserve"> تغطي مختلف المواضيع المرتبطة بمعايير قطاع تقييس الاتصالات ومعايير المنظمات الأخرى المعنية بوضع المعايير الأخرى، تحت مسؤولية خبراء في المجال المعني، من قبيل ما يلي:</w:t>
      </w:r>
    </w:p>
    <w:p w14:paraId="1A2AA1A5"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47" w:history="1">
        <w:r w:rsidRPr="00981706">
          <w:rPr>
            <w:rStyle w:val="Hyperlink"/>
            <w:rtl/>
          </w:rPr>
          <w:t>النقل في شبكة النفاذ</w:t>
        </w:r>
      </w:hyperlink>
    </w:p>
    <w:p w14:paraId="7087F26F"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48" w:history="1">
        <w:r w:rsidRPr="00981706">
          <w:rPr>
            <w:rStyle w:val="Hyperlink"/>
            <w:rtl/>
          </w:rPr>
          <w:t>الحوسبة السحابية</w:t>
        </w:r>
      </w:hyperlink>
    </w:p>
    <w:p w14:paraId="2A6C6EB5"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49" w:history="1">
        <w:r w:rsidRPr="00981706">
          <w:rPr>
            <w:rStyle w:val="Hyperlink"/>
            <w:rtl/>
          </w:rPr>
          <w:t>النقل في الشبكة المنزلية</w:t>
        </w:r>
      </w:hyperlink>
    </w:p>
    <w:p w14:paraId="1CDFDC44"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50" w:history="1">
        <w:r w:rsidRPr="00981706">
          <w:rPr>
            <w:rStyle w:val="Hyperlink"/>
            <w:rtl/>
          </w:rPr>
          <w:t>أمن تكنولوجيا المعلومات والاتصالات</w:t>
        </w:r>
      </w:hyperlink>
    </w:p>
    <w:p w14:paraId="5311CD41"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51" w:history="1">
        <w:r w:rsidRPr="00981706">
          <w:rPr>
            <w:rStyle w:val="Hyperlink"/>
            <w:rtl/>
          </w:rPr>
          <w:t>الاتصالات المتنقلة الدولية-</w:t>
        </w:r>
        <w:r w:rsidRPr="00981706">
          <w:rPr>
            <w:rStyle w:val="Hyperlink"/>
            <w:lang w:val="en-GB" w:bidi="ar-EG"/>
          </w:rPr>
          <w:t>2020</w:t>
        </w:r>
        <w:r>
          <w:rPr>
            <w:rStyle w:val="Hyperlink"/>
            <w:rFonts w:hint="cs"/>
            <w:rtl/>
            <w:lang w:val="en-GB" w:bidi="ar-EG"/>
          </w:rPr>
          <w:t xml:space="preserve"> </w:t>
        </w:r>
        <w:proofErr w:type="spellStart"/>
        <w:r w:rsidRPr="00981706">
          <w:rPr>
            <w:rStyle w:val="Hyperlink"/>
            <w:lang w:val="en-GB" w:bidi="ar-EG"/>
          </w:rPr>
          <w:t>وما</w:t>
        </w:r>
        <w:proofErr w:type="spellEnd"/>
        <w:r>
          <w:rPr>
            <w:rStyle w:val="Hyperlink"/>
            <w:rFonts w:hint="cs"/>
            <w:rtl/>
            <w:lang w:val="en-GB" w:bidi="ar-EG"/>
          </w:rPr>
          <w:t xml:space="preserve"> </w:t>
        </w:r>
        <w:proofErr w:type="spellStart"/>
        <w:r w:rsidRPr="00981706">
          <w:rPr>
            <w:rStyle w:val="Hyperlink"/>
            <w:lang w:val="en-GB" w:bidi="ar-EG"/>
          </w:rPr>
          <w:t>بعدها</w:t>
        </w:r>
        <w:proofErr w:type="spellEnd"/>
      </w:hyperlink>
    </w:p>
    <w:p w14:paraId="6CFC2B6D"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52" w:history="1">
        <w:r w:rsidRPr="00981706">
          <w:rPr>
            <w:rStyle w:val="Hyperlink"/>
            <w:rtl/>
          </w:rPr>
          <w:t>اتصالات أنظمة النقل الذكية</w:t>
        </w:r>
      </w:hyperlink>
    </w:p>
    <w:p w14:paraId="211AD542" w14:textId="77777777" w:rsidR="001010FD" w:rsidRPr="00981706" w:rsidRDefault="001010FD" w:rsidP="00384C3E">
      <w:pPr>
        <w:pStyle w:val="enumlev1"/>
        <w:rPr>
          <w:u w:val="single"/>
          <w:lang w:val="ar-SA" w:bidi="ar-EG"/>
        </w:rPr>
      </w:pPr>
      <w:r>
        <w:rPr>
          <w:rFonts w:hint="cs"/>
          <w:rtl/>
          <w:lang w:val="en-GB" w:bidi="ar-EG"/>
        </w:rPr>
        <w:t>-</w:t>
      </w:r>
      <w:r>
        <w:rPr>
          <w:rtl/>
          <w:lang w:val="en-GB" w:bidi="ar-EG"/>
        </w:rPr>
        <w:tab/>
      </w:r>
      <w:hyperlink r:id="rId353">
        <w:r w:rsidRPr="00981706">
          <w:rPr>
            <w:rStyle w:val="Hyperlink"/>
            <w:rtl/>
          </w:rPr>
          <w:t>إنترنت الأشياء والمدن الذكية المستدامة</w:t>
        </w:r>
      </w:hyperlink>
    </w:p>
    <w:p w14:paraId="1D7404BE" w14:textId="77777777" w:rsidR="001010FD" w:rsidRPr="00981706" w:rsidRDefault="001010FD" w:rsidP="00384C3E">
      <w:pPr>
        <w:pStyle w:val="enumlev1"/>
        <w:rPr>
          <w:lang w:val="ar-SA" w:bidi="ar-EG"/>
        </w:rPr>
      </w:pPr>
      <w:r>
        <w:rPr>
          <w:rFonts w:hint="cs"/>
          <w:rtl/>
          <w:lang w:val="en-GB" w:bidi="ar-EG"/>
        </w:rPr>
        <w:t>-</w:t>
      </w:r>
      <w:r>
        <w:rPr>
          <w:rtl/>
          <w:lang w:val="en-GB" w:bidi="ar-EG"/>
        </w:rPr>
        <w:tab/>
      </w:r>
      <w:r w:rsidRPr="00981706">
        <w:rPr>
          <w:rtl/>
        </w:rPr>
        <w:t>تكنولوجيا المعلومات الكمومية</w:t>
      </w:r>
    </w:p>
    <w:p w14:paraId="06E6B69B" w14:textId="77777777" w:rsidR="001010FD" w:rsidRPr="00981706" w:rsidRDefault="001010FD" w:rsidP="00384C3E">
      <w:pPr>
        <w:pStyle w:val="enumlev1"/>
        <w:rPr>
          <w:lang w:val="ar-SA" w:bidi="ar-EG"/>
        </w:rPr>
      </w:pPr>
      <w:r>
        <w:rPr>
          <w:rFonts w:hint="cs"/>
          <w:rtl/>
          <w:lang w:val="en-GB" w:bidi="ar-EG"/>
        </w:rPr>
        <w:t>-</w:t>
      </w:r>
      <w:r>
        <w:rPr>
          <w:rtl/>
          <w:lang w:val="en-GB" w:bidi="ar-EG"/>
        </w:rPr>
        <w:tab/>
      </w:r>
      <w:r w:rsidRPr="00981706">
        <w:rPr>
          <w:rtl/>
        </w:rPr>
        <w:t>شبكات وتكنولوجيات النقل البصرية</w:t>
      </w:r>
    </w:p>
    <w:p w14:paraId="5BF81A05" w14:textId="77777777" w:rsidR="001010FD" w:rsidRPr="00981706" w:rsidRDefault="001010FD" w:rsidP="00384C3E">
      <w:pPr>
        <w:pStyle w:val="enumlev1"/>
        <w:rPr>
          <w:lang w:val="ar-SA" w:bidi="ar-EG"/>
        </w:rPr>
      </w:pPr>
      <w:r>
        <w:rPr>
          <w:rFonts w:hint="cs"/>
          <w:rtl/>
          <w:lang w:val="en-GB" w:bidi="ar-EG"/>
        </w:rPr>
        <w:t>-</w:t>
      </w:r>
      <w:r>
        <w:rPr>
          <w:rtl/>
          <w:lang w:val="en-GB" w:bidi="ar-EG"/>
        </w:rPr>
        <w:tab/>
      </w:r>
      <w:r w:rsidRPr="00981706">
        <w:rPr>
          <w:rtl/>
        </w:rPr>
        <w:t>الإثباتات الصحية التي يمكن التحقق منها</w:t>
      </w:r>
    </w:p>
    <w:p w14:paraId="580B171E" w14:textId="77777777" w:rsidR="001010FD" w:rsidRPr="00981706" w:rsidRDefault="001010FD" w:rsidP="004F477B">
      <w:pPr>
        <w:pStyle w:val="Headingb"/>
        <w:rPr>
          <w:lang w:val="ar-SA"/>
        </w:rPr>
      </w:pPr>
      <w:r w:rsidRPr="00981706">
        <w:rPr>
          <w:rtl/>
        </w:rPr>
        <w:t xml:space="preserve">حقوق الملكية الفكرية </w:t>
      </w:r>
      <w:r>
        <w:rPr>
          <w:lang w:val="en-GB"/>
        </w:rPr>
        <w:t>(</w:t>
      </w:r>
      <w:r w:rsidRPr="00981706">
        <w:rPr>
          <w:lang w:val="en-GB"/>
        </w:rPr>
        <w:t>IPR</w:t>
      </w:r>
      <w:r>
        <w:rPr>
          <w:lang w:val="en-GB"/>
        </w:rPr>
        <w:t>)</w:t>
      </w:r>
      <w:r w:rsidRPr="00981706">
        <w:rPr>
          <w:rtl/>
        </w:rPr>
        <w:t xml:space="preserve"> في توصيات قطاع تقييس الاتصالات</w:t>
      </w:r>
    </w:p>
    <w:p w14:paraId="3C82C9EB" w14:textId="77777777" w:rsidR="001010FD" w:rsidRPr="00981706" w:rsidRDefault="001010FD" w:rsidP="00981706">
      <w:pPr>
        <w:rPr>
          <w:lang w:val="ar-SA" w:bidi="ar-EG"/>
        </w:rPr>
      </w:pPr>
      <w:r w:rsidRPr="00981706">
        <w:rPr>
          <w:rtl/>
        </w:rPr>
        <w:t xml:space="preserve">البحث الإلكتروني عن </w:t>
      </w:r>
      <w:hyperlink r:id="rId354" w:history="1">
        <w:r w:rsidRPr="00981706">
          <w:rPr>
            <w:rStyle w:val="Hyperlink"/>
            <w:rtl/>
          </w:rPr>
          <w:t>براءات وإعلانات حقوق تأليف البرمجيات لتوصيات قطاع تقييس الاتصالات</w:t>
        </w:r>
      </w:hyperlink>
      <w:r w:rsidRPr="00981706">
        <w:rPr>
          <w:rtl/>
        </w:rPr>
        <w:t>.</w:t>
      </w:r>
    </w:p>
    <w:p w14:paraId="0089050E" w14:textId="77777777" w:rsidR="001010FD" w:rsidRPr="00981706" w:rsidRDefault="001010FD" w:rsidP="004F477B">
      <w:pPr>
        <w:pStyle w:val="Headingb"/>
        <w:rPr>
          <w:lang w:val="ar-SA"/>
        </w:rPr>
      </w:pPr>
      <w:r w:rsidRPr="00981706">
        <w:rPr>
          <w:rtl/>
        </w:rPr>
        <w:t>قاعدة بيانات مصطلحات وتعاريف قطاع الاتصالات الراديوية/قطاع تقييس الاتصالات</w:t>
      </w:r>
    </w:p>
    <w:p w14:paraId="2393A4E8" w14:textId="77777777" w:rsidR="001010FD" w:rsidRPr="00981706" w:rsidRDefault="001010FD" w:rsidP="00981706">
      <w:pPr>
        <w:rPr>
          <w:lang w:val="ar-SA" w:bidi="ar-EG"/>
        </w:rPr>
      </w:pPr>
      <w:r w:rsidRPr="00981706">
        <w:rPr>
          <w:rtl/>
        </w:rPr>
        <w:t xml:space="preserve">البحث الإلكتروني في قواعد بيانات </w:t>
      </w:r>
      <w:hyperlink r:id="rId355" w:history="1">
        <w:r w:rsidRPr="00981706">
          <w:rPr>
            <w:rStyle w:val="Hyperlink"/>
            <w:rtl/>
          </w:rPr>
          <w:t>المصطلحات والتعاريف الواردة في توصيات قطاع الاتصالات الراديوية وقطاع تقييس الاتصالات</w:t>
        </w:r>
      </w:hyperlink>
      <w:r w:rsidRPr="00981706">
        <w:rPr>
          <w:rtl/>
        </w:rPr>
        <w:t>.</w:t>
      </w:r>
    </w:p>
    <w:p w14:paraId="722A224F" w14:textId="77777777" w:rsidR="001010FD" w:rsidRPr="00981706" w:rsidRDefault="001010FD" w:rsidP="00981706">
      <w:pPr>
        <w:rPr>
          <w:lang w:val="ar-SA" w:bidi="ar-EG"/>
        </w:rPr>
      </w:pPr>
      <w:r w:rsidRPr="00981706">
        <w:rPr>
          <w:rtl/>
        </w:rPr>
        <w:t>ويتم تحديث قواعد البيانات هذه بالتعاون الوثيق مع لجنة التنسيق المعنية بالمفردات</w:t>
      </w:r>
      <w:hyperlink r:id="rId356" w:history="1">
        <w:r w:rsidRPr="00981706">
          <w:rPr>
            <w:rStyle w:val="Hyperlink"/>
            <w:lang w:val="en-GB" w:bidi="ar-EG"/>
          </w:rPr>
          <w:t>CCV</w:t>
        </w:r>
      </w:hyperlink>
      <w:r w:rsidRPr="00981706">
        <w:rPr>
          <w:lang w:bidi="ar-EG"/>
        </w:rPr>
        <w:t>)</w:t>
      </w:r>
      <w:r w:rsidRPr="00981706">
        <w:rPr>
          <w:rtl/>
        </w:rPr>
        <w:t>).</w:t>
      </w:r>
    </w:p>
    <w:p w14:paraId="557327B9" w14:textId="77777777" w:rsidR="001010FD" w:rsidRPr="00981706" w:rsidRDefault="001010FD" w:rsidP="004F477B">
      <w:pPr>
        <w:pStyle w:val="Headingb"/>
        <w:rPr>
          <w:lang w:val="ar-SA"/>
        </w:rPr>
      </w:pPr>
      <w:r w:rsidRPr="00981706">
        <w:rPr>
          <w:rtl/>
        </w:rPr>
        <w:lastRenderedPageBreak/>
        <w:t>مستودع خطط الترقيم الوطنية للاتحاد</w:t>
      </w:r>
    </w:p>
    <w:p w14:paraId="3DC7BF8C" w14:textId="77777777" w:rsidR="001010FD" w:rsidRPr="00981706" w:rsidRDefault="001010FD" w:rsidP="00981706">
      <w:pPr>
        <w:rPr>
          <w:lang w:val="ar-SA" w:bidi="ar-EG"/>
        </w:rPr>
      </w:pPr>
      <w:r w:rsidRPr="00981706">
        <w:rPr>
          <w:rtl/>
        </w:rPr>
        <w:t xml:space="preserve">النفاذ الإلكتروني إلى </w:t>
      </w:r>
      <w:hyperlink r:id="rId357" w:anchor="/home" w:history="1">
        <w:r w:rsidRPr="00981706">
          <w:rPr>
            <w:rStyle w:val="Hyperlink"/>
            <w:rtl/>
          </w:rPr>
          <w:t>خطط الترقيم الوطنية للاتحاد</w:t>
        </w:r>
      </w:hyperlink>
      <w:r w:rsidRPr="00981706">
        <w:rPr>
          <w:rtl/>
        </w:rPr>
        <w:t xml:space="preserve"> التي تم تحسينها لكي يتسنى للمستعملين النفاذ إلى كل من التبليغات عن خطط الإدارات بنسق </w:t>
      </w:r>
      <w:r w:rsidRPr="00981706">
        <w:rPr>
          <w:lang w:val="en-GB" w:bidi="ar-EG"/>
        </w:rPr>
        <w:t>Word</w:t>
      </w:r>
      <w:r w:rsidRPr="00981706">
        <w:rPr>
          <w:rtl/>
        </w:rPr>
        <w:t xml:space="preserve"> وفي القوائم الدينامية، عند الاقتضاء.</w:t>
      </w:r>
    </w:p>
    <w:p w14:paraId="330C2172" w14:textId="77777777" w:rsidR="001010FD" w:rsidRPr="00981706" w:rsidRDefault="001010FD" w:rsidP="004F477B">
      <w:pPr>
        <w:pStyle w:val="Headingb"/>
        <w:rPr>
          <w:lang w:val="ar-SA"/>
        </w:rPr>
      </w:pPr>
      <w:r w:rsidRPr="00981706">
        <w:rPr>
          <w:rtl/>
        </w:rPr>
        <w:t>موارد الترقيم الدولية</w:t>
      </w:r>
    </w:p>
    <w:p w14:paraId="736BE61B" w14:textId="77777777" w:rsidR="001010FD" w:rsidRPr="00981706" w:rsidRDefault="001010FD" w:rsidP="00981706">
      <w:pPr>
        <w:rPr>
          <w:lang w:val="ar-SA" w:bidi="ar-EG"/>
        </w:rPr>
      </w:pPr>
      <w:r w:rsidRPr="00981706">
        <w:rPr>
          <w:rtl/>
        </w:rPr>
        <w:t xml:space="preserve">تشمل </w:t>
      </w:r>
      <w:hyperlink r:id="rId358" w:history="1">
        <w:r w:rsidRPr="00981706">
          <w:rPr>
            <w:rStyle w:val="Hyperlink"/>
            <w:rtl/>
          </w:rPr>
          <w:t>موارد الترقيم الدولية</w:t>
        </w:r>
      </w:hyperlink>
      <w:r w:rsidRPr="00981706">
        <w:rPr>
          <w:rtl/>
        </w:rPr>
        <w:t xml:space="preserve"> قواعد بيانات من قبيل:</w:t>
      </w:r>
    </w:p>
    <w:p w14:paraId="0D6795E5" w14:textId="77777777" w:rsidR="001010FD" w:rsidRPr="00981706" w:rsidRDefault="001010FD" w:rsidP="00157C15">
      <w:pPr>
        <w:pStyle w:val="enumlev1"/>
      </w:pPr>
      <w:r w:rsidRPr="00157C15">
        <w:t>-</w:t>
      </w:r>
      <w:r w:rsidRPr="00157C15">
        <w:tab/>
      </w:r>
      <w:hyperlink r:id="rId359" w:history="1">
        <w:r w:rsidRPr="001F7FC1">
          <w:rPr>
            <w:rStyle w:val="Hyperlink"/>
            <w:rtl/>
          </w:rPr>
          <w:t>تطبيقات الأرقام العالمية</w:t>
        </w:r>
      </w:hyperlink>
      <w:r w:rsidRPr="00981706">
        <w:rPr>
          <w:rtl/>
        </w:rPr>
        <w:t>: تمكن من تتبع المشغلين الذين استعيدت أرقامهم.</w:t>
      </w:r>
    </w:p>
    <w:p w14:paraId="59EE1DE0" w14:textId="77777777" w:rsidR="001010FD" w:rsidRPr="00981706" w:rsidRDefault="001010FD" w:rsidP="00157C15">
      <w:pPr>
        <w:pStyle w:val="enumlev1"/>
        <w:rPr>
          <w:lang w:val="ar-SA" w:bidi="ar-EG"/>
        </w:rPr>
      </w:pPr>
      <w:r w:rsidRPr="00157C15">
        <w:t>-</w:t>
      </w:r>
      <w:r w:rsidRPr="00157C15">
        <w:tab/>
      </w:r>
      <w:hyperlink r:id="rId360" w:history="1">
        <w:r w:rsidRPr="001F7FC1">
          <w:rPr>
            <w:rStyle w:val="Hyperlink"/>
            <w:rtl/>
          </w:rPr>
          <w:t>رقم معرِّف جهة الإصدار</w:t>
        </w:r>
      </w:hyperlink>
      <w:r w:rsidRPr="00981706">
        <w:rPr>
          <w:rtl/>
        </w:rPr>
        <w:t xml:space="preserve"> (</w:t>
      </w:r>
      <w:r w:rsidRPr="00981706">
        <w:t>IIN</w:t>
      </w:r>
      <w:r w:rsidRPr="00981706">
        <w:rPr>
          <w:rtl/>
        </w:rPr>
        <w:t xml:space="preserve">): تطبيق لتدفق العمليات يسمح لمكتب تقييس الاتصالات بإدارة تسجيل الأرقام </w:t>
      </w:r>
      <w:r w:rsidRPr="00981706">
        <w:t>IIN</w:t>
      </w:r>
      <w:r w:rsidRPr="00981706">
        <w:rPr>
          <w:rtl/>
        </w:rPr>
        <w:t>.</w:t>
      </w:r>
    </w:p>
    <w:p w14:paraId="1EFCF03F" w14:textId="77777777" w:rsidR="001010FD" w:rsidRPr="00981706" w:rsidRDefault="001010FD" w:rsidP="004F477B">
      <w:pPr>
        <w:pStyle w:val="Headingb"/>
        <w:rPr>
          <w:lang w:val="ar-SA"/>
        </w:rPr>
      </w:pPr>
      <w:r w:rsidRPr="00981706">
        <w:rPr>
          <w:rtl/>
        </w:rPr>
        <w:t xml:space="preserve">محرك البحث </w:t>
      </w:r>
      <w:proofErr w:type="spellStart"/>
      <w:r w:rsidRPr="00981706">
        <w:rPr>
          <w:lang w:val="en-GB"/>
        </w:rPr>
        <w:t>ITUSearch</w:t>
      </w:r>
      <w:proofErr w:type="spellEnd"/>
    </w:p>
    <w:p w14:paraId="68995A81" w14:textId="77777777" w:rsidR="001010FD" w:rsidRPr="00981706" w:rsidRDefault="001010FD" w:rsidP="00981706">
      <w:pPr>
        <w:rPr>
          <w:lang w:val="ar-SA" w:bidi="ar-EG"/>
        </w:rPr>
      </w:pPr>
      <w:r w:rsidRPr="00981706">
        <w:rPr>
          <w:rtl/>
        </w:rPr>
        <w:t xml:space="preserve">البحث الإلكتروني في الموارد الرقمية للاتحاد، بما في ذلك الملفات التي لا تستطيع محركات البحث العامة النفاذ إليها. واعتمدت دائرة خدمات المعلومات مؤخراً محرك </w:t>
      </w:r>
      <w:r w:rsidRPr="00981706">
        <w:rPr>
          <w:lang w:val="en-GB" w:bidi="ar-EG"/>
        </w:rPr>
        <w:t>Google</w:t>
      </w:r>
      <w:r w:rsidRPr="00981706">
        <w:rPr>
          <w:rtl/>
        </w:rPr>
        <w:t xml:space="preserve"> للبحث في الصفحات الإلكترونية للاتحاد (</w:t>
      </w:r>
      <w:hyperlink r:id="rId361" w:history="1">
        <w:r w:rsidRPr="00981706">
          <w:rPr>
            <w:rStyle w:val="Hyperlink"/>
            <w:lang w:val="en-GB" w:bidi="ar-EG"/>
          </w:rPr>
          <w:t>https://www.itu.int/search</w:t>
        </w:r>
      </w:hyperlink>
      <w:r w:rsidRPr="00981706">
        <w:rPr>
          <w:rtl/>
        </w:rPr>
        <w:t>). ومكّن ذلك من تحقيق تحسن كبير في دقة النتائج.</w:t>
      </w:r>
    </w:p>
    <w:p w14:paraId="5E31FADA" w14:textId="77777777" w:rsidR="001010FD" w:rsidRPr="00981706" w:rsidRDefault="001010FD" w:rsidP="00981706">
      <w:pPr>
        <w:rPr>
          <w:lang w:val="ar-SA" w:bidi="ar-EG"/>
        </w:rPr>
      </w:pPr>
      <w:r w:rsidRPr="00981706">
        <w:rPr>
          <w:rtl/>
        </w:rPr>
        <w:t>ولا تزال وظيفة البحث المتعمق (</w:t>
      </w:r>
      <w:hyperlink r:id="rId362" w:history="1">
        <w:r w:rsidRPr="00981706">
          <w:rPr>
            <w:rStyle w:val="Hyperlink"/>
            <w:i/>
            <w:iCs/>
            <w:lang w:val="en-GB" w:bidi="ar-EG"/>
          </w:rPr>
          <w:t>Deep Search</w:t>
        </w:r>
      </w:hyperlink>
      <w:r w:rsidRPr="00981706">
        <w:rPr>
          <w:rtl/>
        </w:rPr>
        <w:t>) تستعمل المحرك القديم، الذي تم قُلص نطاق بحثه ليقتصر على وثائق الاجتماعات والمنشورات والنصوص التنظيمية للاتحاد باللغات الست، وأحدث نواتج المؤتمر العالمي لتنمية الاتصالات والجمعية العالمية لتقييس الاتصالات، مع تجنب خلط نتائجه بموارد الصفحات الإلكترونية للاتحاد.</w:t>
      </w:r>
      <w:bookmarkEnd w:id="249"/>
      <w:bookmarkEnd w:id="253"/>
    </w:p>
    <w:p w14:paraId="3E715DEE" w14:textId="77777777" w:rsidR="001010FD" w:rsidRPr="00981706" w:rsidRDefault="001010FD" w:rsidP="004F477B">
      <w:pPr>
        <w:pStyle w:val="Headingb"/>
        <w:rPr>
          <w:lang w:val="ar-SA"/>
        </w:rPr>
      </w:pPr>
      <w:r w:rsidRPr="00981706">
        <w:rPr>
          <w:rtl/>
        </w:rPr>
        <w:t>القوائم البريدية لقطاع تقييس الاتصالات</w:t>
      </w:r>
    </w:p>
    <w:p w14:paraId="1E2D3A0C" w14:textId="77777777" w:rsidR="001010FD" w:rsidRPr="00981706" w:rsidRDefault="001010FD" w:rsidP="00EF1960">
      <w:pPr>
        <w:rPr>
          <w:lang w:val="ar-SA" w:bidi="ar-EG"/>
        </w:rPr>
      </w:pPr>
      <w:r w:rsidRPr="00981706">
        <w:rPr>
          <w:rtl/>
        </w:rPr>
        <w:t>لا تزال القوائم البريدية أدوات أساسية لأعمال لجان الدراسات والأفرقة الأخرى. ويبين الجدول التالي القوائم البريدية والاشتراكات النشطة لقطاع تقييس الاتصالات. وأنشأ مكتب تقييس الاتصالات مؤخراً قائمة بريدية جديدة لخبراء قطاع تقييس الاتصالات لتلقي تنبيه بشأن نشر كل رسالة معممة من مكتب تقييس الاتصالات.</w:t>
      </w:r>
    </w:p>
    <w:p w14:paraId="481895E2" w14:textId="77777777" w:rsidR="001010FD" w:rsidRPr="00981706" w:rsidRDefault="001010FD" w:rsidP="001010FD">
      <w:pPr>
        <w:pStyle w:val="Tabletitle"/>
        <w:spacing w:before="240"/>
        <w:rPr>
          <w:lang w:val="ar-SA" w:bidi="ar-EG"/>
        </w:rPr>
      </w:pPr>
      <w:bookmarkStart w:id="254" w:name="_Toc179232462"/>
      <w:bookmarkStart w:id="255" w:name="_Toc179733682"/>
      <w:r w:rsidRPr="00981706">
        <w:rPr>
          <w:rtl/>
        </w:rPr>
        <w:t>الجدول 3 - قائمة القوائم البريدية والمشتركين في فترة الدراسة 2022-2024</w:t>
      </w:r>
      <w:bookmarkEnd w:id="254"/>
      <w:bookmarkEnd w:id="255"/>
    </w:p>
    <w:tbl>
      <w:tblPr>
        <w:bidiVisual/>
        <w:tblW w:w="6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13"/>
        <w:gridCol w:w="1733"/>
        <w:gridCol w:w="1689"/>
      </w:tblGrid>
      <w:tr w:rsidR="001010FD" w:rsidRPr="00981706" w14:paraId="7AC0C634" w14:textId="77777777" w:rsidTr="00273E04">
        <w:trPr>
          <w:tblHeader/>
          <w:jc w:val="center"/>
        </w:trPr>
        <w:tc>
          <w:tcPr>
            <w:tcW w:w="3513" w:type="dxa"/>
            <w:tcBorders>
              <w:top w:val="single" w:sz="12" w:space="0" w:color="auto"/>
              <w:bottom w:val="single" w:sz="12" w:space="0" w:color="auto"/>
            </w:tcBorders>
            <w:shd w:val="clear" w:color="auto" w:fill="auto"/>
            <w:hideMark/>
          </w:tcPr>
          <w:p w14:paraId="723AC96D" w14:textId="77777777" w:rsidR="001010FD" w:rsidRPr="00981706" w:rsidRDefault="001010FD" w:rsidP="004F477B">
            <w:pPr>
              <w:pStyle w:val="Tablehead"/>
              <w:rPr>
                <w:lang w:val="ar-SA"/>
              </w:rPr>
            </w:pPr>
            <w:r w:rsidRPr="00981706">
              <w:rPr>
                <w:rtl/>
              </w:rPr>
              <w:t>الفريق</w:t>
            </w:r>
          </w:p>
        </w:tc>
        <w:tc>
          <w:tcPr>
            <w:tcW w:w="1733" w:type="dxa"/>
            <w:tcBorders>
              <w:top w:val="single" w:sz="12" w:space="0" w:color="auto"/>
              <w:bottom w:val="single" w:sz="12" w:space="0" w:color="auto"/>
            </w:tcBorders>
            <w:shd w:val="clear" w:color="auto" w:fill="auto"/>
            <w:hideMark/>
          </w:tcPr>
          <w:p w14:paraId="544E61FE" w14:textId="77777777" w:rsidR="001010FD" w:rsidRPr="00981706" w:rsidRDefault="001010FD" w:rsidP="00EF1960">
            <w:pPr>
              <w:pStyle w:val="Tablehead"/>
              <w:rPr>
                <w:lang w:val="ar-SA"/>
              </w:rPr>
            </w:pPr>
            <w:r w:rsidRPr="00981706">
              <w:rPr>
                <w:rtl/>
              </w:rPr>
              <w:t>القوائم البريدية</w:t>
            </w:r>
          </w:p>
        </w:tc>
        <w:tc>
          <w:tcPr>
            <w:tcW w:w="1689" w:type="dxa"/>
            <w:tcBorders>
              <w:top w:val="single" w:sz="12" w:space="0" w:color="auto"/>
              <w:bottom w:val="single" w:sz="12" w:space="0" w:color="auto"/>
            </w:tcBorders>
            <w:shd w:val="clear" w:color="auto" w:fill="auto"/>
            <w:hideMark/>
          </w:tcPr>
          <w:p w14:paraId="5E122FCD" w14:textId="77777777" w:rsidR="001010FD" w:rsidRPr="00981706" w:rsidRDefault="001010FD" w:rsidP="00EF1960">
            <w:pPr>
              <w:pStyle w:val="Tablehead"/>
              <w:rPr>
                <w:lang w:val="ar-SA"/>
              </w:rPr>
            </w:pPr>
            <w:r w:rsidRPr="00981706">
              <w:rPr>
                <w:rtl/>
              </w:rPr>
              <w:t>المشتركون</w:t>
            </w:r>
          </w:p>
        </w:tc>
      </w:tr>
      <w:tr w:rsidR="001010FD" w:rsidRPr="00981706" w14:paraId="783631E3" w14:textId="77777777" w:rsidTr="00273E04">
        <w:trPr>
          <w:jc w:val="center"/>
        </w:trPr>
        <w:tc>
          <w:tcPr>
            <w:tcW w:w="3513" w:type="dxa"/>
            <w:tcBorders>
              <w:top w:val="single" w:sz="12" w:space="0" w:color="auto"/>
            </w:tcBorders>
            <w:shd w:val="clear" w:color="auto" w:fill="auto"/>
            <w:hideMark/>
          </w:tcPr>
          <w:p w14:paraId="5080A6F6" w14:textId="77777777" w:rsidR="001010FD" w:rsidRPr="00981706" w:rsidRDefault="001010FD" w:rsidP="002242C7">
            <w:pPr>
              <w:pStyle w:val="Tabletext"/>
              <w:rPr>
                <w:lang w:val="ar-SA" w:bidi="ar-EG"/>
              </w:rPr>
            </w:pPr>
            <w:r w:rsidRPr="00981706">
              <w:rPr>
                <w:rtl/>
              </w:rPr>
              <w:t>الفريق الاستشاري لتقييس الاتصالات</w:t>
            </w:r>
          </w:p>
        </w:tc>
        <w:tc>
          <w:tcPr>
            <w:tcW w:w="1733" w:type="dxa"/>
            <w:tcBorders>
              <w:top w:val="single" w:sz="12" w:space="0" w:color="auto"/>
            </w:tcBorders>
            <w:shd w:val="clear" w:color="auto" w:fill="auto"/>
            <w:hideMark/>
          </w:tcPr>
          <w:p w14:paraId="7291FEC2" w14:textId="77777777" w:rsidR="001010FD" w:rsidRPr="00981706" w:rsidRDefault="001010FD" w:rsidP="00EF1960">
            <w:pPr>
              <w:pStyle w:val="Tabletext"/>
              <w:jc w:val="center"/>
              <w:rPr>
                <w:lang w:val="ar-SA" w:bidi="ar-EG"/>
              </w:rPr>
            </w:pPr>
            <w:r w:rsidRPr="00981706">
              <w:rPr>
                <w:rtl/>
              </w:rPr>
              <w:t>11</w:t>
            </w:r>
          </w:p>
        </w:tc>
        <w:tc>
          <w:tcPr>
            <w:tcW w:w="1689" w:type="dxa"/>
            <w:tcBorders>
              <w:top w:val="single" w:sz="12" w:space="0" w:color="auto"/>
            </w:tcBorders>
            <w:shd w:val="clear" w:color="auto" w:fill="auto"/>
            <w:hideMark/>
          </w:tcPr>
          <w:p w14:paraId="65E75F0C" w14:textId="77777777" w:rsidR="001010FD" w:rsidRPr="00981706" w:rsidRDefault="001010FD" w:rsidP="00EF1960">
            <w:pPr>
              <w:pStyle w:val="Tabletext"/>
              <w:jc w:val="center"/>
              <w:rPr>
                <w:lang w:val="ar-SA" w:bidi="ar-EG"/>
              </w:rPr>
            </w:pPr>
            <w:r w:rsidRPr="00981706">
              <w:rPr>
                <w:rtl/>
              </w:rPr>
              <w:t>2620</w:t>
            </w:r>
          </w:p>
        </w:tc>
      </w:tr>
      <w:tr w:rsidR="001010FD" w:rsidRPr="00981706" w14:paraId="746DE0EB" w14:textId="77777777" w:rsidTr="00273E04">
        <w:trPr>
          <w:jc w:val="center"/>
        </w:trPr>
        <w:tc>
          <w:tcPr>
            <w:tcW w:w="3513" w:type="dxa"/>
            <w:shd w:val="clear" w:color="auto" w:fill="auto"/>
            <w:hideMark/>
          </w:tcPr>
          <w:p w14:paraId="5224CC32" w14:textId="77777777" w:rsidR="001010FD" w:rsidRPr="00981706" w:rsidRDefault="001010FD" w:rsidP="002242C7">
            <w:pPr>
              <w:pStyle w:val="Tabletext"/>
              <w:rPr>
                <w:lang w:val="ar-SA" w:bidi="ar-EG"/>
              </w:rPr>
            </w:pPr>
            <w:r w:rsidRPr="00981706">
              <w:rPr>
                <w:rtl/>
              </w:rPr>
              <w:t>لجنة الدراسات 2</w:t>
            </w:r>
          </w:p>
        </w:tc>
        <w:tc>
          <w:tcPr>
            <w:tcW w:w="1733" w:type="dxa"/>
            <w:shd w:val="clear" w:color="auto" w:fill="auto"/>
            <w:hideMark/>
          </w:tcPr>
          <w:p w14:paraId="68BA8862" w14:textId="77777777" w:rsidR="001010FD" w:rsidRPr="00981706" w:rsidRDefault="001010FD" w:rsidP="00EF1960">
            <w:pPr>
              <w:pStyle w:val="Tabletext"/>
              <w:jc w:val="center"/>
              <w:rPr>
                <w:lang w:val="ar-SA" w:bidi="ar-EG"/>
              </w:rPr>
            </w:pPr>
            <w:r w:rsidRPr="00981706">
              <w:rPr>
                <w:rtl/>
              </w:rPr>
              <w:t>17</w:t>
            </w:r>
          </w:p>
        </w:tc>
        <w:tc>
          <w:tcPr>
            <w:tcW w:w="1689" w:type="dxa"/>
            <w:shd w:val="clear" w:color="auto" w:fill="auto"/>
            <w:hideMark/>
          </w:tcPr>
          <w:p w14:paraId="570EF8DB" w14:textId="77777777" w:rsidR="001010FD" w:rsidRPr="00981706" w:rsidRDefault="001010FD" w:rsidP="00EF1960">
            <w:pPr>
              <w:pStyle w:val="Tabletext"/>
              <w:jc w:val="center"/>
              <w:rPr>
                <w:lang w:val="ar-SA" w:bidi="ar-EG"/>
              </w:rPr>
            </w:pPr>
            <w:r w:rsidRPr="00981706">
              <w:rPr>
                <w:rtl/>
              </w:rPr>
              <w:t>5954</w:t>
            </w:r>
          </w:p>
        </w:tc>
      </w:tr>
      <w:tr w:rsidR="001010FD" w:rsidRPr="00981706" w14:paraId="3ADA565B" w14:textId="77777777" w:rsidTr="00273E04">
        <w:trPr>
          <w:jc w:val="center"/>
        </w:trPr>
        <w:tc>
          <w:tcPr>
            <w:tcW w:w="3513" w:type="dxa"/>
            <w:shd w:val="clear" w:color="auto" w:fill="auto"/>
            <w:hideMark/>
          </w:tcPr>
          <w:p w14:paraId="365A7EC6" w14:textId="77777777" w:rsidR="001010FD" w:rsidRPr="00981706" w:rsidRDefault="001010FD" w:rsidP="002242C7">
            <w:pPr>
              <w:pStyle w:val="Tabletext"/>
              <w:rPr>
                <w:lang w:val="ar-SA" w:bidi="ar-EG"/>
              </w:rPr>
            </w:pPr>
            <w:r w:rsidRPr="00981706">
              <w:rPr>
                <w:rtl/>
              </w:rPr>
              <w:t>لجنة الدراسات 3</w:t>
            </w:r>
          </w:p>
        </w:tc>
        <w:tc>
          <w:tcPr>
            <w:tcW w:w="1733" w:type="dxa"/>
            <w:shd w:val="clear" w:color="auto" w:fill="auto"/>
            <w:hideMark/>
          </w:tcPr>
          <w:p w14:paraId="48BE3EE1" w14:textId="77777777" w:rsidR="001010FD" w:rsidRPr="00981706" w:rsidRDefault="001010FD" w:rsidP="00EF1960">
            <w:pPr>
              <w:pStyle w:val="Tabletext"/>
              <w:jc w:val="center"/>
              <w:rPr>
                <w:lang w:val="ar-SA" w:bidi="ar-EG"/>
              </w:rPr>
            </w:pPr>
            <w:r w:rsidRPr="00981706">
              <w:rPr>
                <w:rtl/>
              </w:rPr>
              <w:t>14</w:t>
            </w:r>
          </w:p>
        </w:tc>
        <w:tc>
          <w:tcPr>
            <w:tcW w:w="1689" w:type="dxa"/>
            <w:shd w:val="clear" w:color="auto" w:fill="auto"/>
            <w:hideMark/>
          </w:tcPr>
          <w:p w14:paraId="457F2C7B" w14:textId="77777777" w:rsidR="001010FD" w:rsidRPr="00981706" w:rsidRDefault="001010FD" w:rsidP="00EF1960">
            <w:pPr>
              <w:pStyle w:val="Tabletext"/>
              <w:jc w:val="center"/>
              <w:rPr>
                <w:lang w:val="ar-SA" w:bidi="ar-EG"/>
              </w:rPr>
            </w:pPr>
            <w:r w:rsidRPr="00981706">
              <w:rPr>
                <w:rtl/>
              </w:rPr>
              <w:t>2336</w:t>
            </w:r>
          </w:p>
        </w:tc>
      </w:tr>
      <w:tr w:rsidR="001010FD" w:rsidRPr="00981706" w14:paraId="0B606412" w14:textId="77777777" w:rsidTr="00273E04">
        <w:trPr>
          <w:jc w:val="center"/>
        </w:trPr>
        <w:tc>
          <w:tcPr>
            <w:tcW w:w="3513" w:type="dxa"/>
            <w:shd w:val="clear" w:color="auto" w:fill="auto"/>
            <w:hideMark/>
          </w:tcPr>
          <w:p w14:paraId="652FBB92" w14:textId="77777777" w:rsidR="001010FD" w:rsidRPr="00981706" w:rsidRDefault="001010FD" w:rsidP="002242C7">
            <w:pPr>
              <w:pStyle w:val="Tabletext"/>
              <w:rPr>
                <w:lang w:val="ar-SA" w:bidi="ar-EG"/>
              </w:rPr>
            </w:pPr>
            <w:r w:rsidRPr="00981706">
              <w:rPr>
                <w:rtl/>
              </w:rPr>
              <w:t>لجنة الدراسات 5</w:t>
            </w:r>
          </w:p>
        </w:tc>
        <w:tc>
          <w:tcPr>
            <w:tcW w:w="1733" w:type="dxa"/>
            <w:shd w:val="clear" w:color="auto" w:fill="auto"/>
            <w:hideMark/>
          </w:tcPr>
          <w:p w14:paraId="733BBA0F" w14:textId="77777777" w:rsidR="001010FD" w:rsidRPr="00981706" w:rsidRDefault="001010FD" w:rsidP="00EF1960">
            <w:pPr>
              <w:pStyle w:val="Tabletext"/>
              <w:jc w:val="center"/>
              <w:rPr>
                <w:lang w:val="ar-SA" w:bidi="ar-EG"/>
              </w:rPr>
            </w:pPr>
            <w:r w:rsidRPr="00981706">
              <w:rPr>
                <w:rtl/>
              </w:rPr>
              <w:t>14</w:t>
            </w:r>
          </w:p>
        </w:tc>
        <w:tc>
          <w:tcPr>
            <w:tcW w:w="1689" w:type="dxa"/>
            <w:shd w:val="clear" w:color="auto" w:fill="auto"/>
            <w:hideMark/>
          </w:tcPr>
          <w:p w14:paraId="555DD27A" w14:textId="77777777" w:rsidR="001010FD" w:rsidRPr="00981706" w:rsidRDefault="001010FD" w:rsidP="00EF1960">
            <w:pPr>
              <w:pStyle w:val="Tabletext"/>
              <w:jc w:val="center"/>
              <w:rPr>
                <w:lang w:val="ar-SA" w:bidi="ar-EG"/>
              </w:rPr>
            </w:pPr>
            <w:r w:rsidRPr="00981706">
              <w:rPr>
                <w:rtl/>
              </w:rPr>
              <w:t>2362</w:t>
            </w:r>
          </w:p>
        </w:tc>
      </w:tr>
      <w:tr w:rsidR="001010FD" w:rsidRPr="00981706" w14:paraId="5B563F51" w14:textId="77777777" w:rsidTr="00273E04">
        <w:trPr>
          <w:jc w:val="center"/>
        </w:trPr>
        <w:tc>
          <w:tcPr>
            <w:tcW w:w="3513" w:type="dxa"/>
            <w:shd w:val="clear" w:color="auto" w:fill="auto"/>
            <w:hideMark/>
          </w:tcPr>
          <w:p w14:paraId="0BEBC089" w14:textId="77777777" w:rsidR="001010FD" w:rsidRPr="00981706" w:rsidRDefault="001010FD" w:rsidP="002242C7">
            <w:pPr>
              <w:pStyle w:val="Tabletext"/>
              <w:rPr>
                <w:lang w:val="ar-SA" w:bidi="ar-EG"/>
              </w:rPr>
            </w:pPr>
            <w:r w:rsidRPr="00981706">
              <w:rPr>
                <w:rtl/>
              </w:rPr>
              <w:t>لجنة الدراسات 9</w:t>
            </w:r>
          </w:p>
        </w:tc>
        <w:tc>
          <w:tcPr>
            <w:tcW w:w="1733" w:type="dxa"/>
            <w:shd w:val="clear" w:color="auto" w:fill="auto"/>
            <w:hideMark/>
          </w:tcPr>
          <w:p w14:paraId="6E4611DF" w14:textId="77777777" w:rsidR="001010FD" w:rsidRPr="00981706" w:rsidRDefault="001010FD" w:rsidP="00EF1960">
            <w:pPr>
              <w:pStyle w:val="Tabletext"/>
              <w:jc w:val="center"/>
              <w:rPr>
                <w:lang w:val="ar-SA" w:bidi="ar-EG"/>
              </w:rPr>
            </w:pPr>
            <w:r w:rsidRPr="00981706">
              <w:rPr>
                <w:rtl/>
              </w:rPr>
              <w:t>3</w:t>
            </w:r>
          </w:p>
        </w:tc>
        <w:tc>
          <w:tcPr>
            <w:tcW w:w="1689" w:type="dxa"/>
            <w:shd w:val="clear" w:color="auto" w:fill="auto"/>
            <w:hideMark/>
          </w:tcPr>
          <w:p w14:paraId="11288A81" w14:textId="77777777" w:rsidR="001010FD" w:rsidRPr="00981706" w:rsidRDefault="001010FD" w:rsidP="00EF1960">
            <w:pPr>
              <w:pStyle w:val="Tabletext"/>
              <w:jc w:val="center"/>
              <w:rPr>
                <w:lang w:val="ar-SA" w:bidi="ar-EG"/>
              </w:rPr>
            </w:pPr>
            <w:r w:rsidRPr="00981706">
              <w:rPr>
                <w:rtl/>
              </w:rPr>
              <w:t>294</w:t>
            </w:r>
          </w:p>
        </w:tc>
      </w:tr>
      <w:tr w:rsidR="001010FD" w:rsidRPr="00981706" w14:paraId="3B01700B" w14:textId="77777777" w:rsidTr="00273E04">
        <w:trPr>
          <w:jc w:val="center"/>
        </w:trPr>
        <w:tc>
          <w:tcPr>
            <w:tcW w:w="3513" w:type="dxa"/>
            <w:shd w:val="clear" w:color="auto" w:fill="auto"/>
            <w:hideMark/>
          </w:tcPr>
          <w:p w14:paraId="16C7F912" w14:textId="77777777" w:rsidR="001010FD" w:rsidRPr="00981706" w:rsidRDefault="001010FD" w:rsidP="002242C7">
            <w:pPr>
              <w:pStyle w:val="Tabletext"/>
              <w:rPr>
                <w:lang w:val="ar-SA" w:bidi="ar-EG"/>
              </w:rPr>
            </w:pPr>
            <w:r w:rsidRPr="00981706">
              <w:rPr>
                <w:rtl/>
              </w:rPr>
              <w:t>لجنة الدراسات 11</w:t>
            </w:r>
          </w:p>
        </w:tc>
        <w:tc>
          <w:tcPr>
            <w:tcW w:w="1733" w:type="dxa"/>
            <w:shd w:val="clear" w:color="auto" w:fill="auto"/>
            <w:hideMark/>
          </w:tcPr>
          <w:p w14:paraId="10AAD792" w14:textId="77777777" w:rsidR="001010FD" w:rsidRPr="00981706" w:rsidRDefault="001010FD" w:rsidP="00EF1960">
            <w:pPr>
              <w:pStyle w:val="Tabletext"/>
              <w:jc w:val="center"/>
              <w:rPr>
                <w:lang w:val="ar-SA" w:bidi="ar-EG"/>
              </w:rPr>
            </w:pPr>
            <w:r w:rsidRPr="00981706">
              <w:rPr>
                <w:rtl/>
              </w:rPr>
              <w:t>18</w:t>
            </w:r>
          </w:p>
        </w:tc>
        <w:tc>
          <w:tcPr>
            <w:tcW w:w="1689" w:type="dxa"/>
            <w:shd w:val="clear" w:color="auto" w:fill="auto"/>
            <w:hideMark/>
          </w:tcPr>
          <w:p w14:paraId="051CC014" w14:textId="77777777" w:rsidR="001010FD" w:rsidRPr="00981706" w:rsidRDefault="001010FD" w:rsidP="00EF1960">
            <w:pPr>
              <w:pStyle w:val="Tabletext"/>
              <w:jc w:val="center"/>
              <w:rPr>
                <w:lang w:val="ar-SA" w:bidi="ar-EG"/>
              </w:rPr>
            </w:pPr>
            <w:r w:rsidRPr="00981706">
              <w:rPr>
                <w:rtl/>
              </w:rPr>
              <w:t>2320</w:t>
            </w:r>
          </w:p>
        </w:tc>
      </w:tr>
      <w:tr w:rsidR="001010FD" w:rsidRPr="00981706" w14:paraId="79CF2487" w14:textId="77777777" w:rsidTr="00273E04">
        <w:trPr>
          <w:jc w:val="center"/>
        </w:trPr>
        <w:tc>
          <w:tcPr>
            <w:tcW w:w="3513" w:type="dxa"/>
            <w:shd w:val="clear" w:color="auto" w:fill="auto"/>
            <w:hideMark/>
          </w:tcPr>
          <w:p w14:paraId="4134395A" w14:textId="77777777" w:rsidR="001010FD" w:rsidRPr="00981706" w:rsidRDefault="001010FD" w:rsidP="002242C7">
            <w:pPr>
              <w:pStyle w:val="Tabletext"/>
              <w:rPr>
                <w:lang w:val="ar-SA" w:bidi="ar-EG"/>
              </w:rPr>
            </w:pPr>
            <w:r w:rsidRPr="00981706">
              <w:rPr>
                <w:rtl/>
              </w:rPr>
              <w:t>لجنة الدراسات 12</w:t>
            </w:r>
          </w:p>
        </w:tc>
        <w:tc>
          <w:tcPr>
            <w:tcW w:w="1733" w:type="dxa"/>
            <w:shd w:val="clear" w:color="auto" w:fill="auto"/>
            <w:hideMark/>
          </w:tcPr>
          <w:p w14:paraId="0B8905FE" w14:textId="77777777" w:rsidR="001010FD" w:rsidRPr="00981706" w:rsidRDefault="001010FD" w:rsidP="00EF1960">
            <w:pPr>
              <w:pStyle w:val="Tabletext"/>
              <w:jc w:val="center"/>
              <w:rPr>
                <w:lang w:val="ar-SA" w:bidi="ar-EG"/>
              </w:rPr>
            </w:pPr>
            <w:r w:rsidRPr="00981706">
              <w:rPr>
                <w:rtl/>
              </w:rPr>
              <w:t>24</w:t>
            </w:r>
          </w:p>
        </w:tc>
        <w:tc>
          <w:tcPr>
            <w:tcW w:w="1689" w:type="dxa"/>
            <w:shd w:val="clear" w:color="auto" w:fill="auto"/>
            <w:hideMark/>
          </w:tcPr>
          <w:p w14:paraId="22B7A203" w14:textId="77777777" w:rsidR="001010FD" w:rsidRPr="00981706" w:rsidRDefault="001010FD" w:rsidP="00EF1960">
            <w:pPr>
              <w:pStyle w:val="Tabletext"/>
              <w:jc w:val="center"/>
              <w:rPr>
                <w:lang w:val="ar-SA" w:bidi="ar-EG"/>
              </w:rPr>
            </w:pPr>
            <w:r w:rsidRPr="00981706">
              <w:rPr>
                <w:rtl/>
              </w:rPr>
              <w:t>4333</w:t>
            </w:r>
          </w:p>
        </w:tc>
      </w:tr>
      <w:tr w:rsidR="001010FD" w:rsidRPr="00981706" w14:paraId="184EC0FB" w14:textId="77777777" w:rsidTr="00273E04">
        <w:trPr>
          <w:jc w:val="center"/>
        </w:trPr>
        <w:tc>
          <w:tcPr>
            <w:tcW w:w="3513" w:type="dxa"/>
            <w:shd w:val="clear" w:color="auto" w:fill="auto"/>
            <w:hideMark/>
          </w:tcPr>
          <w:p w14:paraId="1AB94E46" w14:textId="77777777" w:rsidR="001010FD" w:rsidRPr="00981706" w:rsidRDefault="001010FD" w:rsidP="002242C7">
            <w:pPr>
              <w:pStyle w:val="Tabletext"/>
              <w:rPr>
                <w:lang w:val="ar-SA" w:bidi="ar-EG"/>
              </w:rPr>
            </w:pPr>
            <w:r w:rsidRPr="00981706">
              <w:rPr>
                <w:rtl/>
              </w:rPr>
              <w:t>لجنة الدراسات 13</w:t>
            </w:r>
          </w:p>
        </w:tc>
        <w:tc>
          <w:tcPr>
            <w:tcW w:w="1733" w:type="dxa"/>
            <w:shd w:val="clear" w:color="auto" w:fill="auto"/>
            <w:hideMark/>
          </w:tcPr>
          <w:p w14:paraId="51FC9764" w14:textId="77777777" w:rsidR="001010FD" w:rsidRPr="00981706" w:rsidRDefault="001010FD" w:rsidP="00EF1960">
            <w:pPr>
              <w:pStyle w:val="Tabletext"/>
              <w:jc w:val="center"/>
              <w:rPr>
                <w:lang w:val="ar-SA" w:bidi="ar-EG"/>
              </w:rPr>
            </w:pPr>
            <w:r w:rsidRPr="00981706">
              <w:rPr>
                <w:rtl/>
              </w:rPr>
              <w:t>28</w:t>
            </w:r>
          </w:p>
        </w:tc>
        <w:tc>
          <w:tcPr>
            <w:tcW w:w="1689" w:type="dxa"/>
            <w:shd w:val="clear" w:color="auto" w:fill="auto"/>
            <w:hideMark/>
          </w:tcPr>
          <w:p w14:paraId="6248A780" w14:textId="77777777" w:rsidR="001010FD" w:rsidRPr="00981706" w:rsidRDefault="001010FD" w:rsidP="00EF1960">
            <w:pPr>
              <w:pStyle w:val="Tabletext"/>
              <w:jc w:val="center"/>
              <w:rPr>
                <w:lang w:val="ar-SA" w:bidi="ar-EG"/>
              </w:rPr>
            </w:pPr>
            <w:r w:rsidRPr="00981706">
              <w:rPr>
                <w:rtl/>
              </w:rPr>
              <w:t>6187</w:t>
            </w:r>
          </w:p>
        </w:tc>
      </w:tr>
      <w:tr w:rsidR="001010FD" w:rsidRPr="00981706" w14:paraId="1775D709" w14:textId="77777777" w:rsidTr="00273E04">
        <w:trPr>
          <w:jc w:val="center"/>
        </w:trPr>
        <w:tc>
          <w:tcPr>
            <w:tcW w:w="3513" w:type="dxa"/>
            <w:shd w:val="clear" w:color="auto" w:fill="auto"/>
            <w:hideMark/>
          </w:tcPr>
          <w:p w14:paraId="204E0ABE" w14:textId="77777777" w:rsidR="001010FD" w:rsidRPr="00981706" w:rsidRDefault="001010FD" w:rsidP="002242C7">
            <w:pPr>
              <w:pStyle w:val="Tabletext"/>
              <w:rPr>
                <w:lang w:val="ar-SA" w:bidi="ar-EG"/>
              </w:rPr>
            </w:pPr>
            <w:r w:rsidRPr="00981706">
              <w:rPr>
                <w:rtl/>
              </w:rPr>
              <w:t>لجنة الدراسات 15</w:t>
            </w:r>
          </w:p>
        </w:tc>
        <w:tc>
          <w:tcPr>
            <w:tcW w:w="1733" w:type="dxa"/>
            <w:shd w:val="clear" w:color="auto" w:fill="auto"/>
            <w:hideMark/>
          </w:tcPr>
          <w:p w14:paraId="6CFEDF48" w14:textId="77777777" w:rsidR="001010FD" w:rsidRPr="00981706" w:rsidRDefault="001010FD" w:rsidP="00EF1960">
            <w:pPr>
              <w:pStyle w:val="Tabletext"/>
              <w:jc w:val="center"/>
              <w:rPr>
                <w:lang w:val="ar-SA" w:bidi="ar-EG"/>
              </w:rPr>
            </w:pPr>
            <w:r w:rsidRPr="00981706">
              <w:rPr>
                <w:rtl/>
              </w:rPr>
              <w:t>19</w:t>
            </w:r>
          </w:p>
        </w:tc>
        <w:tc>
          <w:tcPr>
            <w:tcW w:w="1689" w:type="dxa"/>
            <w:shd w:val="clear" w:color="auto" w:fill="auto"/>
            <w:hideMark/>
          </w:tcPr>
          <w:p w14:paraId="08C8B935" w14:textId="77777777" w:rsidR="001010FD" w:rsidRPr="00981706" w:rsidRDefault="001010FD" w:rsidP="00EF1960">
            <w:pPr>
              <w:pStyle w:val="Tabletext"/>
              <w:jc w:val="center"/>
              <w:rPr>
                <w:lang w:val="ar-SA" w:bidi="ar-EG"/>
              </w:rPr>
            </w:pPr>
            <w:r w:rsidRPr="00981706">
              <w:rPr>
                <w:rtl/>
              </w:rPr>
              <w:t>6290</w:t>
            </w:r>
          </w:p>
        </w:tc>
      </w:tr>
      <w:tr w:rsidR="001010FD" w:rsidRPr="00981706" w14:paraId="60670415" w14:textId="77777777" w:rsidTr="00273E04">
        <w:trPr>
          <w:jc w:val="center"/>
        </w:trPr>
        <w:tc>
          <w:tcPr>
            <w:tcW w:w="3513" w:type="dxa"/>
            <w:shd w:val="clear" w:color="auto" w:fill="auto"/>
            <w:hideMark/>
          </w:tcPr>
          <w:p w14:paraId="1EC73143" w14:textId="77777777" w:rsidR="001010FD" w:rsidRPr="00981706" w:rsidRDefault="001010FD" w:rsidP="002242C7">
            <w:pPr>
              <w:pStyle w:val="Tabletext"/>
              <w:rPr>
                <w:lang w:val="ar-SA" w:bidi="ar-EG"/>
              </w:rPr>
            </w:pPr>
            <w:r w:rsidRPr="00981706">
              <w:rPr>
                <w:rtl/>
              </w:rPr>
              <w:t>لجنة الدراسات 16</w:t>
            </w:r>
          </w:p>
        </w:tc>
        <w:tc>
          <w:tcPr>
            <w:tcW w:w="1733" w:type="dxa"/>
            <w:shd w:val="clear" w:color="auto" w:fill="auto"/>
            <w:hideMark/>
          </w:tcPr>
          <w:p w14:paraId="5AB9ABA2" w14:textId="77777777" w:rsidR="001010FD" w:rsidRPr="00981706" w:rsidRDefault="001010FD" w:rsidP="00EF1960">
            <w:pPr>
              <w:pStyle w:val="Tabletext"/>
              <w:jc w:val="center"/>
              <w:rPr>
                <w:lang w:val="ar-SA" w:bidi="ar-EG"/>
              </w:rPr>
            </w:pPr>
            <w:r w:rsidRPr="00981706">
              <w:rPr>
                <w:rtl/>
              </w:rPr>
              <w:t>19</w:t>
            </w:r>
          </w:p>
        </w:tc>
        <w:tc>
          <w:tcPr>
            <w:tcW w:w="1689" w:type="dxa"/>
            <w:shd w:val="clear" w:color="auto" w:fill="auto"/>
            <w:hideMark/>
          </w:tcPr>
          <w:p w14:paraId="1FFA4CF5" w14:textId="77777777" w:rsidR="001010FD" w:rsidRPr="00981706" w:rsidRDefault="001010FD" w:rsidP="00EF1960">
            <w:pPr>
              <w:pStyle w:val="Tabletext"/>
              <w:jc w:val="center"/>
              <w:rPr>
                <w:lang w:val="ar-SA" w:bidi="ar-EG"/>
              </w:rPr>
            </w:pPr>
            <w:r w:rsidRPr="00981706">
              <w:rPr>
                <w:rtl/>
              </w:rPr>
              <w:t>2887</w:t>
            </w:r>
          </w:p>
        </w:tc>
      </w:tr>
      <w:tr w:rsidR="001010FD" w:rsidRPr="00981706" w14:paraId="08D40A2F" w14:textId="77777777" w:rsidTr="00273E04">
        <w:trPr>
          <w:jc w:val="center"/>
        </w:trPr>
        <w:tc>
          <w:tcPr>
            <w:tcW w:w="3513" w:type="dxa"/>
            <w:shd w:val="clear" w:color="auto" w:fill="auto"/>
            <w:hideMark/>
          </w:tcPr>
          <w:p w14:paraId="6B14727E" w14:textId="77777777" w:rsidR="001010FD" w:rsidRPr="00981706" w:rsidRDefault="001010FD" w:rsidP="002242C7">
            <w:pPr>
              <w:pStyle w:val="Tabletext"/>
              <w:rPr>
                <w:lang w:val="ar-SA" w:bidi="ar-EG"/>
              </w:rPr>
            </w:pPr>
            <w:r w:rsidRPr="00981706">
              <w:rPr>
                <w:rtl/>
              </w:rPr>
              <w:t>لجنة الدراسات 17</w:t>
            </w:r>
          </w:p>
        </w:tc>
        <w:tc>
          <w:tcPr>
            <w:tcW w:w="1733" w:type="dxa"/>
            <w:shd w:val="clear" w:color="auto" w:fill="auto"/>
            <w:hideMark/>
          </w:tcPr>
          <w:p w14:paraId="0A7935F3" w14:textId="77777777" w:rsidR="001010FD" w:rsidRPr="00981706" w:rsidRDefault="001010FD" w:rsidP="00EF1960">
            <w:pPr>
              <w:pStyle w:val="Tabletext"/>
              <w:jc w:val="center"/>
              <w:rPr>
                <w:lang w:val="ar-SA" w:bidi="ar-EG"/>
              </w:rPr>
            </w:pPr>
            <w:r w:rsidRPr="00981706">
              <w:rPr>
                <w:rtl/>
              </w:rPr>
              <w:t>21</w:t>
            </w:r>
          </w:p>
        </w:tc>
        <w:tc>
          <w:tcPr>
            <w:tcW w:w="1689" w:type="dxa"/>
            <w:shd w:val="clear" w:color="auto" w:fill="auto"/>
            <w:hideMark/>
          </w:tcPr>
          <w:p w14:paraId="67176D96" w14:textId="77777777" w:rsidR="001010FD" w:rsidRPr="00981706" w:rsidRDefault="001010FD" w:rsidP="00EF1960">
            <w:pPr>
              <w:pStyle w:val="Tabletext"/>
              <w:jc w:val="center"/>
              <w:rPr>
                <w:lang w:val="ar-SA" w:bidi="ar-EG"/>
              </w:rPr>
            </w:pPr>
            <w:r w:rsidRPr="00981706">
              <w:rPr>
                <w:rtl/>
              </w:rPr>
              <w:t>4177</w:t>
            </w:r>
          </w:p>
        </w:tc>
      </w:tr>
      <w:tr w:rsidR="001010FD" w:rsidRPr="00981706" w14:paraId="5EDA2927" w14:textId="77777777" w:rsidTr="00273E04">
        <w:trPr>
          <w:jc w:val="center"/>
        </w:trPr>
        <w:tc>
          <w:tcPr>
            <w:tcW w:w="3513" w:type="dxa"/>
            <w:shd w:val="clear" w:color="auto" w:fill="auto"/>
            <w:hideMark/>
          </w:tcPr>
          <w:p w14:paraId="499755C3" w14:textId="77777777" w:rsidR="001010FD" w:rsidRPr="00981706" w:rsidRDefault="001010FD" w:rsidP="002242C7">
            <w:pPr>
              <w:pStyle w:val="Tabletext"/>
              <w:rPr>
                <w:lang w:val="ar-SA" w:bidi="ar-EG"/>
              </w:rPr>
            </w:pPr>
            <w:r w:rsidRPr="00981706">
              <w:rPr>
                <w:rtl/>
              </w:rPr>
              <w:t>لجنة الدراسات 20</w:t>
            </w:r>
          </w:p>
        </w:tc>
        <w:tc>
          <w:tcPr>
            <w:tcW w:w="1733" w:type="dxa"/>
            <w:shd w:val="clear" w:color="auto" w:fill="auto"/>
            <w:hideMark/>
          </w:tcPr>
          <w:p w14:paraId="4DC1E584" w14:textId="77777777" w:rsidR="001010FD" w:rsidRPr="00981706" w:rsidRDefault="001010FD" w:rsidP="00EF1960">
            <w:pPr>
              <w:pStyle w:val="Tabletext"/>
              <w:jc w:val="center"/>
              <w:rPr>
                <w:lang w:val="ar-SA" w:bidi="ar-EG"/>
              </w:rPr>
            </w:pPr>
            <w:r w:rsidRPr="00981706">
              <w:rPr>
                <w:rtl/>
              </w:rPr>
              <w:t>14</w:t>
            </w:r>
          </w:p>
        </w:tc>
        <w:tc>
          <w:tcPr>
            <w:tcW w:w="1689" w:type="dxa"/>
            <w:shd w:val="clear" w:color="auto" w:fill="auto"/>
            <w:hideMark/>
          </w:tcPr>
          <w:p w14:paraId="228EE454" w14:textId="77777777" w:rsidR="001010FD" w:rsidRPr="00981706" w:rsidRDefault="001010FD" w:rsidP="00EF1960">
            <w:pPr>
              <w:pStyle w:val="Tabletext"/>
              <w:jc w:val="center"/>
              <w:rPr>
                <w:lang w:val="ar-SA" w:bidi="ar-EG"/>
              </w:rPr>
            </w:pPr>
            <w:r w:rsidRPr="00981706">
              <w:rPr>
                <w:rtl/>
              </w:rPr>
              <w:t>4244</w:t>
            </w:r>
          </w:p>
        </w:tc>
      </w:tr>
      <w:tr w:rsidR="001010FD" w:rsidRPr="00981706" w14:paraId="3CDB16CA" w14:textId="77777777" w:rsidTr="00273E04">
        <w:trPr>
          <w:jc w:val="center"/>
        </w:trPr>
        <w:tc>
          <w:tcPr>
            <w:tcW w:w="3513" w:type="dxa"/>
            <w:shd w:val="clear" w:color="auto" w:fill="auto"/>
            <w:hideMark/>
          </w:tcPr>
          <w:p w14:paraId="7269B7AC" w14:textId="77777777" w:rsidR="001010FD" w:rsidRPr="00981706" w:rsidRDefault="001010FD" w:rsidP="002242C7">
            <w:pPr>
              <w:pStyle w:val="Tabletext"/>
              <w:rPr>
                <w:lang w:val="ar-SA" w:bidi="ar-EG"/>
              </w:rPr>
            </w:pPr>
            <w:r w:rsidRPr="00981706">
              <w:rPr>
                <w:rtl/>
              </w:rPr>
              <w:t>الأفرقة الإقليمية</w:t>
            </w:r>
          </w:p>
        </w:tc>
        <w:tc>
          <w:tcPr>
            <w:tcW w:w="1733" w:type="dxa"/>
            <w:shd w:val="clear" w:color="auto" w:fill="auto"/>
            <w:hideMark/>
          </w:tcPr>
          <w:p w14:paraId="5CB84103" w14:textId="77777777" w:rsidR="001010FD" w:rsidRPr="00981706" w:rsidRDefault="001010FD" w:rsidP="00EF1960">
            <w:pPr>
              <w:pStyle w:val="Tabletext"/>
              <w:jc w:val="center"/>
              <w:rPr>
                <w:lang w:val="ar-SA" w:bidi="ar-EG"/>
              </w:rPr>
            </w:pPr>
            <w:r w:rsidRPr="00981706">
              <w:rPr>
                <w:rtl/>
              </w:rPr>
              <w:t>25</w:t>
            </w:r>
          </w:p>
        </w:tc>
        <w:tc>
          <w:tcPr>
            <w:tcW w:w="1689" w:type="dxa"/>
            <w:shd w:val="clear" w:color="auto" w:fill="auto"/>
            <w:hideMark/>
          </w:tcPr>
          <w:p w14:paraId="23A2EFED" w14:textId="77777777" w:rsidR="001010FD" w:rsidRPr="00981706" w:rsidRDefault="001010FD" w:rsidP="00EF1960">
            <w:pPr>
              <w:pStyle w:val="Tabletext"/>
              <w:jc w:val="center"/>
              <w:rPr>
                <w:lang w:val="ar-SA" w:bidi="ar-EG"/>
              </w:rPr>
            </w:pPr>
            <w:r w:rsidRPr="00981706">
              <w:rPr>
                <w:rtl/>
              </w:rPr>
              <w:t>2484</w:t>
            </w:r>
          </w:p>
        </w:tc>
      </w:tr>
      <w:tr w:rsidR="001010FD" w:rsidRPr="00981706" w14:paraId="0CB236DC" w14:textId="77777777" w:rsidTr="00273E04">
        <w:trPr>
          <w:jc w:val="center"/>
        </w:trPr>
        <w:tc>
          <w:tcPr>
            <w:tcW w:w="3513" w:type="dxa"/>
            <w:shd w:val="clear" w:color="auto" w:fill="auto"/>
            <w:hideMark/>
          </w:tcPr>
          <w:p w14:paraId="3C0605FF" w14:textId="77777777" w:rsidR="001010FD" w:rsidRPr="00981706" w:rsidRDefault="001010FD" w:rsidP="002242C7">
            <w:pPr>
              <w:pStyle w:val="Tabletext"/>
              <w:rPr>
                <w:lang w:val="ar-SA" w:bidi="ar-EG"/>
              </w:rPr>
            </w:pPr>
            <w:r w:rsidRPr="00981706">
              <w:rPr>
                <w:rtl/>
              </w:rPr>
              <w:t>الأفرقة المتخصصة</w:t>
            </w:r>
          </w:p>
        </w:tc>
        <w:tc>
          <w:tcPr>
            <w:tcW w:w="1733" w:type="dxa"/>
            <w:shd w:val="clear" w:color="auto" w:fill="auto"/>
            <w:hideMark/>
          </w:tcPr>
          <w:p w14:paraId="4E20CD78" w14:textId="77777777" w:rsidR="001010FD" w:rsidRPr="00981706" w:rsidRDefault="001010FD" w:rsidP="00EF1960">
            <w:pPr>
              <w:pStyle w:val="Tabletext"/>
              <w:jc w:val="center"/>
              <w:rPr>
                <w:lang w:val="ar-SA" w:bidi="ar-EG"/>
              </w:rPr>
            </w:pPr>
            <w:r w:rsidRPr="00981706">
              <w:rPr>
                <w:rtl/>
              </w:rPr>
              <w:t>76</w:t>
            </w:r>
          </w:p>
        </w:tc>
        <w:tc>
          <w:tcPr>
            <w:tcW w:w="1689" w:type="dxa"/>
            <w:shd w:val="clear" w:color="auto" w:fill="auto"/>
            <w:hideMark/>
          </w:tcPr>
          <w:p w14:paraId="5B775985" w14:textId="77777777" w:rsidR="001010FD" w:rsidRPr="00981706" w:rsidRDefault="001010FD" w:rsidP="00EF1960">
            <w:pPr>
              <w:pStyle w:val="Tabletext"/>
              <w:jc w:val="center"/>
              <w:rPr>
                <w:lang w:val="ar-SA" w:bidi="ar-EG"/>
              </w:rPr>
            </w:pPr>
            <w:r w:rsidRPr="00981706">
              <w:rPr>
                <w:rtl/>
              </w:rPr>
              <w:t>10004</w:t>
            </w:r>
          </w:p>
        </w:tc>
      </w:tr>
      <w:tr w:rsidR="001010FD" w:rsidRPr="00981706" w14:paraId="01F9C3EC" w14:textId="77777777" w:rsidTr="00273E04">
        <w:trPr>
          <w:jc w:val="center"/>
        </w:trPr>
        <w:tc>
          <w:tcPr>
            <w:tcW w:w="3513" w:type="dxa"/>
            <w:shd w:val="clear" w:color="auto" w:fill="auto"/>
            <w:hideMark/>
          </w:tcPr>
          <w:p w14:paraId="2BEF4CD9" w14:textId="77777777" w:rsidR="001010FD" w:rsidRPr="00981706" w:rsidRDefault="001010FD" w:rsidP="002242C7">
            <w:pPr>
              <w:pStyle w:val="Tabletext"/>
              <w:rPr>
                <w:lang w:val="ar-SA" w:bidi="ar-EG"/>
              </w:rPr>
            </w:pPr>
            <w:r w:rsidRPr="00981706">
              <w:rPr>
                <w:rtl/>
              </w:rPr>
              <w:t>أنشطة التنسيق المشتركة</w:t>
            </w:r>
          </w:p>
        </w:tc>
        <w:tc>
          <w:tcPr>
            <w:tcW w:w="1733" w:type="dxa"/>
            <w:shd w:val="clear" w:color="auto" w:fill="auto"/>
            <w:hideMark/>
          </w:tcPr>
          <w:p w14:paraId="1663D9C8" w14:textId="77777777" w:rsidR="001010FD" w:rsidRPr="00981706" w:rsidRDefault="001010FD" w:rsidP="00EF1960">
            <w:pPr>
              <w:pStyle w:val="Tabletext"/>
              <w:jc w:val="center"/>
              <w:rPr>
                <w:lang w:val="ar-SA" w:bidi="ar-EG"/>
              </w:rPr>
            </w:pPr>
            <w:r w:rsidRPr="00981706">
              <w:rPr>
                <w:rtl/>
              </w:rPr>
              <w:t>13</w:t>
            </w:r>
          </w:p>
        </w:tc>
        <w:tc>
          <w:tcPr>
            <w:tcW w:w="1689" w:type="dxa"/>
            <w:shd w:val="clear" w:color="auto" w:fill="auto"/>
            <w:hideMark/>
          </w:tcPr>
          <w:p w14:paraId="0FA682EF" w14:textId="77777777" w:rsidR="001010FD" w:rsidRPr="00981706" w:rsidRDefault="001010FD" w:rsidP="00EF1960">
            <w:pPr>
              <w:pStyle w:val="Tabletext"/>
              <w:jc w:val="center"/>
              <w:rPr>
                <w:lang w:val="ar-SA" w:bidi="ar-EG"/>
              </w:rPr>
            </w:pPr>
            <w:r w:rsidRPr="00981706">
              <w:rPr>
                <w:rtl/>
              </w:rPr>
              <w:t>1566</w:t>
            </w:r>
          </w:p>
        </w:tc>
      </w:tr>
      <w:tr w:rsidR="001010FD" w:rsidRPr="00981706" w14:paraId="557B3788" w14:textId="77777777" w:rsidTr="00273E04">
        <w:trPr>
          <w:jc w:val="center"/>
        </w:trPr>
        <w:tc>
          <w:tcPr>
            <w:tcW w:w="3513" w:type="dxa"/>
            <w:shd w:val="clear" w:color="auto" w:fill="auto"/>
            <w:hideMark/>
          </w:tcPr>
          <w:p w14:paraId="65DDF7F1" w14:textId="77777777" w:rsidR="001010FD" w:rsidRPr="00981706" w:rsidRDefault="001010FD" w:rsidP="002242C7">
            <w:pPr>
              <w:pStyle w:val="Tabletext"/>
              <w:rPr>
                <w:lang w:val="ar-SA" w:bidi="ar-EG"/>
              </w:rPr>
            </w:pPr>
            <w:r w:rsidRPr="00981706">
              <w:rPr>
                <w:rtl/>
              </w:rPr>
              <w:t>أفرقة أخرى</w:t>
            </w:r>
          </w:p>
        </w:tc>
        <w:tc>
          <w:tcPr>
            <w:tcW w:w="1733" w:type="dxa"/>
            <w:shd w:val="clear" w:color="auto" w:fill="auto"/>
            <w:hideMark/>
          </w:tcPr>
          <w:p w14:paraId="0F7DD623" w14:textId="77777777" w:rsidR="001010FD" w:rsidRPr="00981706" w:rsidRDefault="001010FD" w:rsidP="00EF1960">
            <w:pPr>
              <w:pStyle w:val="Tabletext"/>
              <w:jc w:val="center"/>
              <w:rPr>
                <w:lang w:val="ar-SA" w:bidi="ar-EG"/>
              </w:rPr>
            </w:pPr>
            <w:r w:rsidRPr="00981706">
              <w:rPr>
                <w:rtl/>
              </w:rPr>
              <w:t>66</w:t>
            </w:r>
          </w:p>
        </w:tc>
        <w:tc>
          <w:tcPr>
            <w:tcW w:w="1689" w:type="dxa"/>
            <w:shd w:val="clear" w:color="auto" w:fill="auto"/>
            <w:hideMark/>
          </w:tcPr>
          <w:p w14:paraId="698CB150" w14:textId="77777777" w:rsidR="001010FD" w:rsidRPr="00981706" w:rsidRDefault="001010FD" w:rsidP="00EF1960">
            <w:pPr>
              <w:pStyle w:val="Tabletext"/>
              <w:jc w:val="center"/>
              <w:rPr>
                <w:lang w:val="ar-SA" w:bidi="ar-EG"/>
              </w:rPr>
            </w:pPr>
            <w:r w:rsidRPr="00981706">
              <w:rPr>
                <w:rtl/>
              </w:rPr>
              <w:t>2253</w:t>
            </w:r>
          </w:p>
        </w:tc>
      </w:tr>
      <w:tr w:rsidR="001010FD" w:rsidRPr="00981706" w14:paraId="564DD9D6" w14:textId="77777777" w:rsidTr="00273E04">
        <w:trPr>
          <w:jc w:val="center"/>
        </w:trPr>
        <w:tc>
          <w:tcPr>
            <w:tcW w:w="3513" w:type="dxa"/>
            <w:shd w:val="clear" w:color="auto" w:fill="auto"/>
            <w:hideMark/>
          </w:tcPr>
          <w:p w14:paraId="730E44B4" w14:textId="77777777" w:rsidR="001010FD" w:rsidRPr="00981706" w:rsidRDefault="001010FD" w:rsidP="002242C7">
            <w:pPr>
              <w:pStyle w:val="Tabletext"/>
              <w:rPr>
                <w:b/>
                <w:bCs/>
                <w:lang w:val="ar-SA" w:bidi="ar-EG"/>
              </w:rPr>
            </w:pPr>
            <w:r w:rsidRPr="00981706">
              <w:rPr>
                <w:b/>
                <w:bCs/>
                <w:rtl/>
              </w:rPr>
              <w:t>المجموع</w:t>
            </w:r>
          </w:p>
        </w:tc>
        <w:tc>
          <w:tcPr>
            <w:tcW w:w="1733" w:type="dxa"/>
            <w:shd w:val="clear" w:color="auto" w:fill="auto"/>
            <w:hideMark/>
          </w:tcPr>
          <w:p w14:paraId="056EA79A" w14:textId="77777777" w:rsidR="001010FD" w:rsidRPr="00981706" w:rsidRDefault="001010FD" w:rsidP="00EF1960">
            <w:pPr>
              <w:pStyle w:val="Tabletext"/>
              <w:jc w:val="center"/>
              <w:rPr>
                <w:b/>
                <w:bCs/>
                <w:lang w:val="ar-SA" w:bidi="ar-EG"/>
              </w:rPr>
            </w:pPr>
            <w:r w:rsidRPr="00981706">
              <w:rPr>
                <w:b/>
                <w:bCs/>
                <w:rtl/>
              </w:rPr>
              <w:t>382</w:t>
            </w:r>
          </w:p>
        </w:tc>
        <w:tc>
          <w:tcPr>
            <w:tcW w:w="1689" w:type="dxa"/>
            <w:shd w:val="clear" w:color="auto" w:fill="auto"/>
            <w:hideMark/>
          </w:tcPr>
          <w:p w14:paraId="01207C51" w14:textId="77777777" w:rsidR="001010FD" w:rsidRPr="00981706" w:rsidRDefault="001010FD" w:rsidP="00EF1960">
            <w:pPr>
              <w:pStyle w:val="Tabletext"/>
              <w:jc w:val="center"/>
              <w:rPr>
                <w:b/>
                <w:bCs/>
                <w:lang w:val="ar-SA" w:bidi="ar-EG"/>
              </w:rPr>
            </w:pPr>
            <w:r w:rsidRPr="00981706">
              <w:rPr>
                <w:b/>
                <w:bCs/>
                <w:rtl/>
              </w:rPr>
              <w:t>60311</w:t>
            </w:r>
          </w:p>
        </w:tc>
      </w:tr>
    </w:tbl>
    <w:p w14:paraId="03AAB93E" w14:textId="77777777" w:rsidR="001010FD" w:rsidRPr="00981706" w:rsidRDefault="001010FD" w:rsidP="00D84E3D">
      <w:pPr>
        <w:pStyle w:val="Appendixtitle"/>
        <w:rPr>
          <w:lang w:val="ar-SA" w:bidi="ar-EG"/>
        </w:rPr>
      </w:pPr>
      <w:bookmarkStart w:id="256" w:name="_12.2_Official_languages"/>
      <w:bookmarkStart w:id="257" w:name="_13.2_Official_languages"/>
      <w:bookmarkStart w:id="258" w:name="_13_Services_and"/>
      <w:bookmarkStart w:id="259" w:name="_14_Services_and"/>
      <w:bookmarkStart w:id="260" w:name="_15_Services_and"/>
      <w:bookmarkStart w:id="261" w:name="_15_Electronic_working"/>
      <w:bookmarkStart w:id="262" w:name="_Toc117161212"/>
      <w:bookmarkStart w:id="263" w:name="_Toc120622862"/>
      <w:bookmarkStart w:id="264" w:name="_Toc120896464"/>
      <w:bookmarkStart w:id="265" w:name="_Toc179219773"/>
      <w:bookmarkStart w:id="266" w:name="_Toc179221083"/>
      <w:bookmarkStart w:id="267" w:name="_Toc179733625"/>
      <w:bookmarkEnd w:id="189"/>
      <w:bookmarkEnd w:id="190"/>
      <w:bookmarkEnd w:id="191"/>
      <w:bookmarkEnd w:id="192"/>
      <w:bookmarkEnd w:id="193"/>
      <w:bookmarkEnd w:id="194"/>
      <w:bookmarkEnd w:id="231"/>
      <w:bookmarkEnd w:id="256"/>
      <w:bookmarkEnd w:id="257"/>
      <w:bookmarkEnd w:id="258"/>
      <w:bookmarkEnd w:id="259"/>
      <w:bookmarkEnd w:id="260"/>
      <w:bookmarkEnd w:id="261"/>
      <w:r w:rsidRPr="00981706">
        <w:rPr>
          <w:rtl/>
        </w:rPr>
        <w:lastRenderedPageBreak/>
        <w:t xml:space="preserve">التذييل </w:t>
      </w:r>
      <w:r w:rsidRPr="00981706">
        <w:rPr>
          <w:lang w:bidi="ar-EG"/>
        </w:rPr>
        <w:t>I</w:t>
      </w:r>
      <w:r w:rsidRPr="00981706">
        <w:rPr>
          <w:rtl/>
        </w:rPr>
        <w:t xml:space="preserve">: </w:t>
      </w:r>
      <w:r>
        <w:br/>
      </w:r>
      <w:r>
        <w:br/>
      </w:r>
      <w:r w:rsidRPr="00981706">
        <w:rPr>
          <w:rtl/>
        </w:rPr>
        <w:t>عدم حضور نواب الرؤساء</w:t>
      </w:r>
      <w:bookmarkEnd w:id="262"/>
      <w:bookmarkEnd w:id="263"/>
      <w:bookmarkEnd w:id="264"/>
      <w:bookmarkEnd w:id="265"/>
      <w:bookmarkEnd w:id="266"/>
      <w:bookmarkEnd w:id="267"/>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6"/>
        <w:gridCol w:w="3721"/>
        <w:gridCol w:w="4462"/>
      </w:tblGrid>
      <w:tr w:rsidR="001010FD" w:rsidRPr="00981706" w14:paraId="1660F835" w14:textId="77777777" w:rsidTr="002242C7">
        <w:trPr>
          <w:tblHeader/>
          <w:jc w:val="center"/>
        </w:trPr>
        <w:tc>
          <w:tcPr>
            <w:tcW w:w="742" w:type="pct"/>
            <w:tcBorders>
              <w:top w:val="single" w:sz="12" w:space="0" w:color="auto"/>
              <w:bottom w:val="single" w:sz="12" w:space="0" w:color="auto"/>
            </w:tcBorders>
            <w:shd w:val="clear" w:color="auto" w:fill="auto"/>
          </w:tcPr>
          <w:p w14:paraId="47913DF0" w14:textId="77777777" w:rsidR="001010FD" w:rsidRPr="00981706" w:rsidRDefault="001010FD" w:rsidP="002242C7">
            <w:pPr>
              <w:pStyle w:val="Tablehead"/>
              <w:rPr>
                <w:lang w:val="ar-SA"/>
              </w:rPr>
            </w:pPr>
            <w:r w:rsidRPr="00981706">
              <w:rPr>
                <w:rtl/>
              </w:rPr>
              <w:t>لجنة الدراسات</w:t>
            </w:r>
          </w:p>
        </w:tc>
        <w:tc>
          <w:tcPr>
            <w:tcW w:w="1936" w:type="pct"/>
            <w:tcBorders>
              <w:top w:val="single" w:sz="12" w:space="0" w:color="auto"/>
              <w:bottom w:val="single" w:sz="12" w:space="0" w:color="auto"/>
            </w:tcBorders>
            <w:shd w:val="clear" w:color="auto" w:fill="auto"/>
          </w:tcPr>
          <w:p w14:paraId="2A0205CB" w14:textId="77777777" w:rsidR="001010FD" w:rsidRPr="00981706" w:rsidRDefault="001010FD" w:rsidP="002242C7">
            <w:pPr>
              <w:pStyle w:val="Tablehead"/>
              <w:rPr>
                <w:lang w:val="ar-SA"/>
              </w:rPr>
            </w:pPr>
            <w:r w:rsidRPr="00981706">
              <w:rPr>
                <w:rtl/>
              </w:rPr>
              <w:t>الاجتماعات</w:t>
            </w:r>
          </w:p>
        </w:tc>
        <w:tc>
          <w:tcPr>
            <w:tcW w:w="2322" w:type="pct"/>
            <w:tcBorders>
              <w:top w:val="single" w:sz="12" w:space="0" w:color="auto"/>
              <w:bottom w:val="single" w:sz="12" w:space="0" w:color="auto"/>
            </w:tcBorders>
            <w:shd w:val="clear" w:color="auto" w:fill="auto"/>
          </w:tcPr>
          <w:p w14:paraId="2AA4FBEA" w14:textId="77777777" w:rsidR="001010FD" w:rsidRPr="00981706" w:rsidRDefault="001010FD" w:rsidP="002242C7">
            <w:pPr>
              <w:pStyle w:val="Tablehead"/>
              <w:rPr>
                <w:lang w:val="ar-SA"/>
              </w:rPr>
            </w:pPr>
            <w:r w:rsidRPr="00981706">
              <w:rPr>
                <w:rtl/>
              </w:rPr>
              <w:t>عدم حضور</w:t>
            </w:r>
          </w:p>
        </w:tc>
      </w:tr>
      <w:tr w:rsidR="001010FD" w:rsidRPr="00981706" w14:paraId="5686FB2E" w14:textId="77777777" w:rsidTr="002242C7">
        <w:trPr>
          <w:jc w:val="center"/>
        </w:trPr>
        <w:tc>
          <w:tcPr>
            <w:tcW w:w="742" w:type="pct"/>
            <w:tcBorders>
              <w:top w:val="single" w:sz="12" w:space="0" w:color="auto"/>
            </w:tcBorders>
            <w:shd w:val="clear" w:color="auto" w:fill="auto"/>
          </w:tcPr>
          <w:p w14:paraId="211EC593" w14:textId="77777777" w:rsidR="001010FD" w:rsidRPr="00981706" w:rsidRDefault="001010FD" w:rsidP="001010FD">
            <w:pPr>
              <w:pStyle w:val="Tabletext"/>
              <w:jc w:val="center"/>
              <w:rPr>
                <w:lang w:val="ar-SA" w:bidi="ar-EG"/>
              </w:rPr>
            </w:pPr>
            <w:r w:rsidRPr="00981706">
              <w:rPr>
                <w:rtl/>
              </w:rPr>
              <w:t>لجنة الدراسات 2</w:t>
            </w:r>
          </w:p>
        </w:tc>
        <w:tc>
          <w:tcPr>
            <w:tcW w:w="1936" w:type="pct"/>
            <w:tcBorders>
              <w:top w:val="single" w:sz="12" w:space="0" w:color="auto"/>
            </w:tcBorders>
            <w:shd w:val="clear" w:color="auto" w:fill="auto"/>
          </w:tcPr>
          <w:p w14:paraId="348E5459" w14:textId="77777777" w:rsidR="001010FD" w:rsidRPr="00981706" w:rsidRDefault="001010FD" w:rsidP="002242C7">
            <w:pPr>
              <w:pStyle w:val="Tabletext"/>
              <w:rPr>
                <w:lang w:val="ar-SA" w:bidi="ar-EG"/>
              </w:rPr>
            </w:pPr>
            <w:r w:rsidRPr="00981706">
              <w:rPr>
                <w:rtl/>
              </w:rPr>
              <w:t>جنيف، 19-28 يونيو 2024</w:t>
            </w:r>
          </w:p>
        </w:tc>
        <w:tc>
          <w:tcPr>
            <w:tcW w:w="2322" w:type="pct"/>
            <w:tcBorders>
              <w:top w:val="single" w:sz="12" w:space="0" w:color="auto"/>
            </w:tcBorders>
            <w:shd w:val="clear" w:color="auto" w:fill="auto"/>
          </w:tcPr>
          <w:p w14:paraId="534699CC" w14:textId="77777777" w:rsidR="001010FD" w:rsidRPr="00981706" w:rsidRDefault="001010FD" w:rsidP="002242C7">
            <w:pPr>
              <w:pStyle w:val="Tabletext"/>
              <w:rPr>
                <w:lang w:val="ar-SA" w:bidi="ar-EG"/>
              </w:rPr>
            </w:pPr>
            <w:proofErr w:type="spellStart"/>
            <w:r w:rsidRPr="00981706">
              <w:rPr>
                <w:rtl/>
              </w:rPr>
              <w:t>Hossam</w:t>
            </w:r>
            <w:proofErr w:type="spellEnd"/>
            <w:r w:rsidRPr="00981706">
              <w:rPr>
                <w:rtl/>
              </w:rPr>
              <w:t xml:space="preserve"> SAKAR، مصر</w:t>
            </w:r>
          </w:p>
        </w:tc>
      </w:tr>
      <w:tr w:rsidR="001010FD" w:rsidRPr="00981706" w14:paraId="776D12AB" w14:textId="77777777" w:rsidTr="002242C7">
        <w:trPr>
          <w:jc w:val="center"/>
        </w:trPr>
        <w:tc>
          <w:tcPr>
            <w:tcW w:w="742" w:type="pct"/>
            <w:shd w:val="clear" w:color="auto" w:fill="auto"/>
          </w:tcPr>
          <w:p w14:paraId="135EE5E9" w14:textId="77777777" w:rsidR="001010FD" w:rsidRPr="00981706" w:rsidRDefault="001010FD" w:rsidP="001010FD">
            <w:pPr>
              <w:pStyle w:val="Tabletext"/>
              <w:jc w:val="center"/>
              <w:rPr>
                <w:lang w:val="ar-SA" w:bidi="ar-EG"/>
              </w:rPr>
            </w:pPr>
            <w:r w:rsidRPr="00981706">
              <w:rPr>
                <w:rtl/>
              </w:rPr>
              <w:t>لجنة الدراسات 2</w:t>
            </w:r>
          </w:p>
        </w:tc>
        <w:tc>
          <w:tcPr>
            <w:tcW w:w="1936" w:type="pct"/>
            <w:shd w:val="clear" w:color="auto" w:fill="auto"/>
          </w:tcPr>
          <w:p w14:paraId="3AA6D916" w14:textId="77777777" w:rsidR="001010FD" w:rsidRPr="00981706" w:rsidRDefault="001010FD" w:rsidP="002242C7">
            <w:pPr>
              <w:pStyle w:val="Tabletext"/>
              <w:rPr>
                <w:lang w:val="ar-SA" w:bidi="ar-EG"/>
              </w:rPr>
            </w:pPr>
            <w:r w:rsidRPr="00981706">
              <w:rPr>
                <w:rtl/>
              </w:rPr>
              <w:t>اجتماع افتراضي، 11 مارس 2024</w:t>
            </w:r>
          </w:p>
        </w:tc>
        <w:tc>
          <w:tcPr>
            <w:tcW w:w="2322" w:type="pct"/>
            <w:shd w:val="clear" w:color="auto" w:fill="auto"/>
          </w:tcPr>
          <w:p w14:paraId="2DE2F8BC" w14:textId="77777777" w:rsidR="001010FD" w:rsidRPr="00981706" w:rsidRDefault="001010FD" w:rsidP="002242C7">
            <w:pPr>
              <w:pStyle w:val="Tabletext"/>
              <w:rPr>
                <w:lang w:val="ar-SA" w:bidi="ar-EG"/>
              </w:rPr>
            </w:pPr>
            <w:proofErr w:type="spellStart"/>
            <w:r w:rsidRPr="00981706">
              <w:rPr>
                <w:rtl/>
              </w:rPr>
              <w:t>Hossam</w:t>
            </w:r>
            <w:proofErr w:type="spellEnd"/>
            <w:r w:rsidRPr="00981706">
              <w:rPr>
                <w:rtl/>
              </w:rPr>
              <w:t xml:space="preserve"> SAKAR، مصر</w:t>
            </w:r>
          </w:p>
        </w:tc>
      </w:tr>
      <w:tr w:rsidR="001010FD" w:rsidRPr="00981706" w14:paraId="1D8FB0B5" w14:textId="77777777" w:rsidTr="002242C7">
        <w:trPr>
          <w:jc w:val="center"/>
        </w:trPr>
        <w:tc>
          <w:tcPr>
            <w:tcW w:w="742" w:type="pct"/>
            <w:shd w:val="clear" w:color="auto" w:fill="auto"/>
          </w:tcPr>
          <w:p w14:paraId="2E722A2D" w14:textId="77777777" w:rsidR="001010FD" w:rsidRPr="00981706" w:rsidRDefault="001010FD" w:rsidP="001010FD">
            <w:pPr>
              <w:pStyle w:val="Tabletext"/>
              <w:jc w:val="center"/>
              <w:rPr>
                <w:lang w:val="ar-SA" w:bidi="ar-EG"/>
              </w:rPr>
            </w:pPr>
            <w:r w:rsidRPr="00981706">
              <w:rPr>
                <w:rtl/>
              </w:rPr>
              <w:t>لجنة الدراسات 2</w:t>
            </w:r>
          </w:p>
        </w:tc>
        <w:tc>
          <w:tcPr>
            <w:tcW w:w="1936" w:type="pct"/>
            <w:shd w:val="clear" w:color="auto" w:fill="auto"/>
          </w:tcPr>
          <w:p w14:paraId="6CC8C428" w14:textId="77777777" w:rsidR="001010FD" w:rsidRPr="00981706" w:rsidRDefault="001010FD" w:rsidP="002242C7">
            <w:pPr>
              <w:pStyle w:val="Tabletext"/>
              <w:rPr>
                <w:lang w:val="ar-SA" w:bidi="ar-EG"/>
              </w:rPr>
            </w:pPr>
            <w:r w:rsidRPr="00981706">
              <w:rPr>
                <w:rtl/>
              </w:rPr>
              <w:t>اجتماع افتراضي، 11 مارس 2024</w:t>
            </w:r>
          </w:p>
        </w:tc>
        <w:tc>
          <w:tcPr>
            <w:tcW w:w="2322" w:type="pct"/>
            <w:shd w:val="clear" w:color="auto" w:fill="auto"/>
          </w:tcPr>
          <w:p w14:paraId="6D1A1B21" w14:textId="77777777" w:rsidR="001010FD" w:rsidRPr="00981706" w:rsidRDefault="001010FD" w:rsidP="002242C7">
            <w:pPr>
              <w:pStyle w:val="Tabletext"/>
              <w:rPr>
                <w:lang w:val="ar-SA" w:bidi="ar-EG"/>
              </w:rPr>
            </w:pPr>
            <w:proofErr w:type="spellStart"/>
            <w:r w:rsidRPr="00981706">
              <w:rPr>
                <w:rtl/>
              </w:rPr>
              <w:t>Ramazan</w:t>
            </w:r>
            <w:proofErr w:type="spellEnd"/>
            <w:r w:rsidRPr="00981706">
              <w:rPr>
                <w:rtl/>
              </w:rPr>
              <w:t xml:space="preserve"> YILMAZ، تركيا</w:t>
            </w:r>
          </w:p>
        </w:tc>
      </w:tr>
      <w:tr w:rsidR="001010FD" w:rsidRPr="00981706" w14:paraId="411EF9BA" w14:textId="77777777" w:rsidTr="002242C7">
        <w:trPr>
          <w:jc w:val="center"/>
        </w:trPr>
        <w:tc>
          <w:tcPr>
            <w:tcW w:w="742" w:type="pct"/>
            <w:shd w:val="clear" w:color="auto" w:fill="auto"/>
          </w:tcPr>
          <w:p w14:paraId="2C7AE300" w14:textId="77777777" w:rsidR="001010FD" w:rsidRPr="00981706" w:rsidRDefault="001010FD" w:rsidP="001010FD">
            <w:pPr>
              <w:pStyle w:val="Tabletext"/>
              <w:jc w:val="center"/>
              <w:rPr>
                <w:lang w:val="ar-SA" w:bidi="ar-EG"/>
              </w:rPr>
            </w:pPr>
            <w:r w:rsidRPr="00981706">
              <w:rPr>
                <w:rtl/>
              </w:rPr>
              <w:t>لجنة الدراسات 2</w:t>
            </w:r>
          </w:p>
        </w:tc>
        <w:tc>
          <w:tcPr>
            <w:tcW w:w="1936" w:type="pct"/>
            <w:shd w:val="clear" w:color="auto" w:fill="auto"/>
          </w:tcPr>
          <w:p w14:paraId="01634947" w14:textId="77777777" w:rsidR="001010FD" w:rsidRPr="00981706" w:rsidRDefault="001010FD" w:rsidP="002242C7">
            <w:pPr>
              <w:pStyle w:val="Tabletext"/>
              <w:rPr>
                <w:lang w:val="ar-SA" w:bidi="ar-EG"/>
              </w:rPr>
            </w:pPr>
            <w:r w:rsidRPr="00981706">
              <w:rPr>
                <w:rtl/>
              </w:rPr>
              <w:t>اجتماع افتراضي، 11 مارس 2024</w:t>
            </w:r>
          </w:p>
        </w:tc>
        <w:tc>
          <w:tcPr>
            <w:tcW w:w="2322" w:type="pct"/>
            <w:shd w:val="clear" w:color="auto" w:fill="auto"/>
          </w:tcPr>
          <w:p w14:paraId="58FEC6D7" w14:textId="77777777" w:rsidR="001010FD" w:rsidRPr="00981706" w:rsidRDefault="001010FD" w:rsidP="002242C7">
            <w:pPr>
              <w:pStyle w:val="Tabletext"/>
              <w:rPr>
                <w:lang w:val="ar-SA" w:bidi="ar-EG"/>
              </w:rPr>
            </w:pPr>
            <w:proofErr w:type="spellStart"/>
            <w:r w:rsidRPr="00981706">
              <w:rPr>
                <w:rtl/>
              </w:rPr>
              <w:t>Rashid</w:t>
            </w:r>
            <w:proofErr w:type="spellEnd"/>
            <w:r w:rsidRPr="00981706">
              <w:rPr>
                <w:rtl/>
              </w:rPr>
              <w:t xml:space="preserve"> AL MEMARI، الإمارات العربية المتحدة</w:t>
            </w:r>
          </w:p>
        </w:tc>
      </w:tr>
      <w:tr w:rsidR="001010FD" w:rsidRPr="00981706" w14:paraId="3D53BCAA" w14:textId="77777777" w:rsidTr="002242C7">
        <w:trPr>
          <w:jc w:val="center"/>
        </w:trPr>
        <w:tc>
          <w:tcPr>
            <w:tcW w:w="742" w:type="pct"/>
            <w:shd w:val="clear" w:color="auto" w:fill="auto"/>
          </w:tcPr>
          <w:p w14:paraId="5C5F2EC8" w14:textId="77777777" w:rsidR="001010FD" w:rsidRPr="00981706" w:rsidRDefault="001010FD" w:rsidP="001010FD">
            <w:pPr>
              <w:pStyle w:val="Tabletext"/>
              <w:jc w:val="center"/>
              <w:rPr>
                <w:lang w:val="ar-SA" w:bidi="ar-EG"/>
              </w:rPr>
            </w:pPr>
            <w:r w:rsidRPr="00981706">
              <w:rPr>
                <w:rtl/>
              </w:rPr>
              <w:t>لجنة الدراسات 2</w:t>
            </w:r>
          </w:p>
        </w:tc>
        <w:tc>
          <w:tcPr>
            <w:tcW w:w="1936" w:type="pct"/>
            <w:shd w:val="clear" w:color="auto" w:fill="auto"/>
          </w:tcPr>
          <w:p w14:paraId="4A92A32B" w14:textId="77777777" w:rsidR="001010FD" w:rsidRPr="00981706" w:rsidRDefault="001010FD" w:rsidP="002242C7">
            <w:pPr>
              <w:pStyle w:val="Tabletext"/>
              <w:rPr>
                <w:lang w:val="ar-SA" w:bidi="ar-EG"/>
              </w:rPr>
            </w:pPr>
            <w:r w:rsidRPr="00981706">
              <w:rPr>
                <w:rtl/>
              </w:rPr>
              <w:t>اجتماع افتراضي، 11 مارس 2024</w:t>
            </w:r>
          </w:p>
        </w:tc>
        <w:tc>
          <w:tcPr>
            <w:tcW w:w="2322" w:type="pct"/>
            <w:shd w:val="clear" w:color="auto" w:fill="auto"/>
          </w:tcPr>
          <w:p w14:paraId="768A93C4" w14:textId="77777777" w:rsidR="001010FD" w:rsidRPr="00981706" w:rsidRDefault="001010FD" w:rsidP="002242C7">
            <w:pPr>
              <w:pStyle w:val="Tabletext"/>
              <w:rPr>
                <w:lang w:val="ar-SA" w:bidi="ar-EG"/>
              </w:rPr>
            </w:pPr>
            <w:proofErr w:type="spellStart"/>
            <w:r w:rsidRPr="00981706">
              <w:rPr>
                <w:rtl/>
              </w:rPr>
              <w:t>Vijay</w:t>
            </w:r>
            <w:proofErr w:type="spellEnd"/>
            <w:r w:rsidRPr="00981706">
              <w:rPr>
                <w:rtl/>
              </w:rPr>
              <w:t xml:space="preserve"> </w:t>
            </w:r>
            <w:proofErr w:type="spellStart"/>
            <w:r w:rsidRPr="00981706">
              <w:rPr>
                <w:rtl/>
              </w:rPr>
              <w:t>Kumar</w:t>
            </w:r>
            <w:proofErr w:type="spellEnd"/>
            <w:r w:rsidRPr="00981706">
              <w:rPr>
                <w:rtl/>
              </w:rPr>
              <w:t xml:space="preserve"> ROY، الهند</w:t>
            </w:r>
          </w:p>
        </w:tc>
      </w:tr>
      <w:tr w:rsidR="001010FD" w:rsidRPr="00981706" w14:paraId="4D2C13D6" w14:textId="77777777" w:rsidTr="002242C7">
        <w:trPr>
          <w:jc w:val="center"/>
        </w:trPr>
        <w:tc>
          <w:tcPr>
            <w:tcW w:w="742" w:type="pct"/>
            <w:shd w:val="clear" w:color="auto" w:fill="auto"/>
          </w:tcPr>
          <w:p w14:paraId="5079A657" w14:textId="77777777" w:rsidR="001010FD" w:rsidRPr="00981706" w:rsidRDefault="001010FD" w:rsidP="001010FD">
            <w:pPr>
              <w:pStyle w:val="Tabletext"/>
              <w:jc w:val="center"/>
              <w:rPr>
                <w:lang w:val="ar-SA" w:bidi="ar-EG"/>
              </w:rPr>
            </w:pPr>
            <w:r w:rsidRPr="00981706">
              <w:rPr>
                <w:rtl/>
              </w:rPr>
              <w:t>لجنة الدراسات 2</w:t>
            </w:r>
          </w:p>
        </w:tc>
        <w:tc>
          <w:tcPr>
            <w:tcW w:w="1936" w:type="pct"/>
            <w:shd w:val="clear" w:color="auto" w:fill="auto"/>
          </w:tcPr>
          <w:p w14:paraId="65EF369D" w14:textId="77777777" w:rsidR="001010FD" w:rsidRPr="00981706" w:rsidRDefault="001010FD" w:rsidP="002242C7">
            <w:pPr>
              <w:pStyle w:val="Tabletext"/>
              <w:rPr>
                <w:lang w:val="ar-SA" w:bidi="ar-EG"/>
              </w:rPr>
            </w:pPr>
            <w:r w:rsidRPr="00981706">
              <w:rPr>
                <w:rtl/>
              </w:rPr>
              <w:t>اجتماع افتراضي، 11 مارس 2024</w:t>
            </w:r>
          </w:p>
        </w:tc>
        <w:tc>
          <w:tcPr>
            <w:tcW w:w="2322" w:type="pct"/>
            <w:shd w:val="clear" w:color="auto" w:fill="auto"/>
          </w:tcPr>
          <w:p w14:paraId="250F0B2A" w14:textId="77777777" w:rsidR="001010FD" w:rsidRPr="00981706" w:rsidRDefault="001010FD" w:rsidP="002242C7">
            <w:pPr>
              <w:pStyle w:val="Tabletext"/>
              <w:rPr>
                <w:lang w:val="ar-SA" w:bidi="ar-EG"/>
              </w:rPr>
            </w:pPr>
            <w:proofErr w:type="spellStart"/>
            <w:r w:rsidRPr="00981706">
              <w:rPr>
                <w:rtl/>
              </w:rPr>
              <w:t>Yaw</w:t>
            </w:r>
            <w:proofErr w:type="spellEnd"/>
            <w:r w:rsidRPr="00981706">
              <w:rPr>
                <w:rtl/>
              </w:rPr>
              <w:t xml:space="preserve"> BOAMAH BAAFI، غانا</w:t>
            </w:r>
          </w:p>
        </w:tc>
      </w:tr>
      <w:tr w:rsidR="001010FD" w:rsidRPr="00981706" w14:paraId="2D2D471D" w14:textId="77777777" w:rsidTr="002242C7">
        <w:trPr>
          <w:jc w:val="center"/>
        </w:trPr>
        <w:tc>
          <w:tcPr>
            <w:tcW w:w="742" w:type="pct"/>
            <w:shd w:val="clear" w:color="auto" w:fill="auto"/>
            <w:hideMark/>
          </w:tcPr>
          <w:p w14:paraId="2F01E0D2"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hideMark/>
          </w:tcPr>
          <w:p w14:paraId="761A973A" w14:textId="77777777" w:rsidR="001010FD" w:rsidRPr="00981706" w:rsidRDefault="001010FD" w:rsidP="002242C7">
            <w:pPr>
              <w:pStyle w:val="Tabletext"/>
              <w:rPr>
                <w:lang w:val="ar-SA" w:bidi="ar-EG"/>
              </w:rPr>
            </w:pPr>
            <w:r w:rsidRPr="00981706">
              <w:rPr>
                <w:rtl/>
              </w:rPr>
              <w:t>جنيف، 10 نوفمبر 2023</w:t>
            </w:r>
          </w:p>
        </w:tc>
        <w:tc>
          <w:tcPr>
            <w:tcW w:w="2322" w:type="pct"/>
            <w:shd w:val="clear" w:color="auto" w:fill="auto"/>
            <w:hideMark/>
          </w:tcPr>
          <w:p w14:paraId="75287C16" w14:textId="77777777" w:rsidR="001010FD" w:rsidRPr="00981706" w:rsidRDefault="001010FD" w:rsidP="002242C7">
            <w:pPr>
              <w:pStyle w:val="Tabletext"/>
              <w:rPr>
                <w:lang w:val="ar-SA" w:bidi="ar-EG"/>
              </w:rPr>
            </w:pPr>
            <w:proofErr w:type="spellStart"/>
            <w:r w:rsidRPr="00981706">
              <w:rPr>
                <w:rtl/>
              </w:rPr>
              <w:t>Karima</w:t>
            </w:r>
            <w:proofErr w:type="spellEnd"/>
            <w:r w:rsidRPr="00981706">
              <w:rPr>
                <w:rtl/>
              </w:rPr>
              <w:t xml:space="preserve"> MAHMOUDI، تونس</w:t>
            </w:r>
          </w:p>
        </w:tc>
      </w:tr>
      <w:tr w:rsidR="001010FD" w:rsidRPr="00981706" w14:paraId="2C21ED97" w14:textId="77777777" w:rsidTr="002242C7">
        <w:trPr>
          <w:jc w:val="center"/>
        </w:trPr>
        <w:tc>
          <w:tcPr>
            <w:tcW w:w="742" w:type="pct"/>
            <w:shd w:val="clear" w:color="auto" w:fill="auto"/>
          </w:tcPr>
          <w:p w14:paraId="3D0DE566"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tcPr>
          <w:p w14:paraId="592646EE" w14:textId="77777777" w:rsidR="001010FD" w:rsidRPr="00981706" w:rsidRDefault="001010FD" w:rsidP="002242C7">
            <w:pPr>
              <w:pStyle w:val="Tabletext"/>
              <w:rPr>
                <w:lang w:val="ar-SA" w:bidi="ar-EG"/>
              </w:rPr>
            </w:pPr>
            <w:r w:rsidRPr="00981706">
              <w:rPr>
                <w:rtl/>
              </w:rPr>
              <w:t>جنيف، 11 نوفمبر 2022</w:t>
            </w:r>
          </w:p>
        </w:tc>
        <w:tc>
          <w:tcPr>
            <w:tcW w:w="2322" w:type="pct"/>
            <w:shd w:val="clear" w:color="auto" w:fill="auto"/>
          </w:tcPr>
          <w:p w14:paraId="2C7C003D" w14:textId="77777777" w:rsidR="001010FD" w:rsidRPr="00981706" w:rsidRDefault="001010FD" w:rsidP="002242C7">
            <w:pPr>
              <w:pStyle w:val="Tabletext"/>
              <w:rPr>
                <w:lang w:val="ar-SA" w:bidi="ar-EG"/>
              </w:rPr>
            </w:pPr>
            <w:proofErr w:type="spellStart"/>
            <w:r w:rsidRPr="00981706">
              <w:rPr>
                <w:rtl/>
              </w:rPr>
              <w:t>Karima</w:t>
            </w:r>
            <w:proofErr w:type="spellEnd"/>
            <w:r w:rsidRPr="00981706">
              <w:rPr>
                <w:rtl/>
              </w:rPr>
              <w:t xml:space="preserve"> MAHMOUDI، تونس</w:t>
            </w:r>
          </w:p>
        </w:tc>
      </w:tr>
      <w:tr w:rsidR="001010FD" w:rsidRPr="00981706" w14:paraId="69AE6EE3" w14:textId="77777777" w:rsidTr="002242C7">
        <w:trPr>
          <w:jc w:val="center"/>
        </w:trPr>
        <w:tc>
          <w:tcPr>
            <w:tcW w:w="742" w:type="pct"/>
            <w:shd w:val="clear" w:color="auto" w:fill="auto"/>
            <w:hideMark/>
          </w:tcPr>
          <w:p w14:paraId="2CA493FF"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hideMark/>
          </w:tcPr>
          <w:p w14:paraId="40CE64D2" w14:textId="77777777" w:rsidR="001010FD" w:rsidRPr="00981706" w:rsidRDefault="001010FD" w:rsidP="002242C7">
            <w:pPr>
              <w:pStyle w:val="Tabletext"/>
              <w:rPr>
                <w:lang w:val="ar-SA" w:bidi="ar-EG"/>
              </w:rPr>
            </w:pPr>
            <w:r w:rsidRPr="00981706">
              <w:rPr>
                <w:rtl/>
              </w:rPr>
              <w:t>جنيف، 10 نوفمبر 2023</w:t>
            </w:r>
          </w:p>
        </w:tc>
        <w:tc>
          <w:tcPr>
            <w:tcW w:w="2322" w:type="pct"/>
            <w:shd w:val="clear" w:color="auto" w:fill="auto"/>
            <w:hideMark/>
          </w:tcPr>
          <w:p w14:paraId="48FE9532" w14:textId="77777777" w:rsidR="001010FD" w:rsidRPr="00981706" w:rsidRDefault="001010FD" w:rsidP="002242C7">
            <w:pPr>
              <w:pStyle w:val="Tabletext"/>
              <w:rPr>
                <w:lang w:val="ar-SA" w:bidi="ar-EG"/>
              </w:rPr>
            </w:pPr>
            <w:proofErr w:type="spellStart"/>
            <w:r w:rsidRPr="00981706">
              <w:rPr>
                <w:rtl/>
              </w:rPr>
              <w:t>Marthe</w:t>
            </w:r>
            <w:proofErr w:type="spellEnd"/>
            <w:r w:rsidRPr="00981706">
              <w:rPr>
                <w:rtl/>
              </w:rPr>
              <w:t xml:space="preserve"> UWAMARIYA، رواندا</w:t>
            </w:r>
          </w:p>
        </w:tc>
      </w:tr>
      <w:tr w:rsidR="001010FD" w:rsidRPr="00981706" w14:paraId="5442ECB3" w14:textId="77777777" w:rsidTr="002242C7">
        <w:trPr>
          <w:jc w:val="center"/>
        </w:trPr>
        <w:tc>
          <w:tcPr>
            <w:tcW w:w="742" w:type="pct"/>
            <w:shd w:val="clear" w:color="auto" w:fill="auto"/>
          </w:tcPr>
          <w:p w14:paraId="63E0DE7E"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tcPr>
          <w:p w14:paraId="44C4746B" w14:textId="77777777" w:rsidR="001010FD" w:rsidRPr="00981706" w:rsidRDefault="001010FD" w:rsidP="002242C7">
            <w:pPr>
              <w:pStyle w:val="Tabletext"/>
              <w:rPr>
                <w:lang w:val="ar-SA" w:bidi="ar-EG"/>
              </w:rPr>
            </w:pPr>
            <w:r w:rsidRPr="00981706">
              <w:rPr>
                <w:rtl/>
              </w:rPr>
              <w:t>جنيف، 11 نوفمبر 2022</w:t>
            </w:r>
          </w:p>
        </w:tc>
        <w:tc>
          <w:tcPr>
            <w:tcW w:w="2322" w:type="pct"/>
            <w:shd w:val="clear" w:color="auto" w:fill="auto"/>
          </w:tcPr>
          <w:p w14:paraId="3FB3153F" w14:textId="77777777" w:rsidR="001010FD" w:rsidRPr="00981706" w:rsidRDefault="001010FD" w:rsidP="002242C7">
            <w:pPr>
              <w:pStyle w:val="Tabletext"/>
              <w:rPr>
                <w:lang w:val="ar-SA" w:bidi="ar-EG"/>
              </w:rPr>
            </w:pPr>
            <w:proofErr w:type="spellStart"/>
            <w:r w:rsidRPr="00981706">
              <w:rPr>
                <w:rtl/>
              </w:rPr>
              <w:t>Marthe</w:t>
            </w:r>
            <w:proofErr w:type="spellEnd"/>
            <w:r w:rsidRPr="00981706">
              <w:rPr>
                <w:rtl/>
              </w:rPr>
              <w:t xml:space="preserve"> UWAMARIYA، رواندا</w:t>
            </w:r>
          </w:p>
        </w:tc>
      </w:tr>
      <w:tr w:rsidR="001010FD" w:rsidRPr="00981706" w14:paraId="72398759" w14:textId="77777777" w:rsidTr="002242C7">
        <w:trPr>
          <w:jc w:val="center"/>
        </w:trPr>
        <w:tc>
          <w:tcPr>
            <w:tcW w:w="742" w:type="pct"/>
            <w:shd w:val="clear" w:color="auto" w:fill="auto"/>
          </w:tcPr>
          <w:p w14:paraId="267F6E90"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tcPr>
          <w:p w14:paraId="01C1547F" w14:textId="77777777" w:rsidR="001010FD" w:rsidRPr="00981706" w:rsidRDefault="001010FD" w:rsidP="002242C7">
            <w:pPr>
              <w:pStyle w:val="Tabletext"/>
              <w:rPr>
                <w:lang w:val="ar-SA" w:bidi="ar-EG"/>
              </w:rPr>
            </w:pPr>
            <w:r w:rsidRPr="00981706">
              <w:rPr>
                <w:rtl/>
              </w:rPr>
              <w:t>جنيف، 9-18 يوليو 2024</w:t>
            </w:r>
          </w:p>
        </w:tc>
        <w:tc>
          <w:tcPr>
            <w:tcW w:w="2322" w:type="pct"/>
            <w:shd w:val="clear" w:color="auto" w:fill="auto"/>
          </w:tcPr>
          <w:p w14:paraId="70D338DE" w14:textId="77777777" w:rsidR="001010FD" w:rsidRPr="00981706" w:rsidRDefault="001010FD" w:rsidP="002242C7">
            <w:pPr>
              <w:pStyle w:val="Tabletext"/>
              <w:rPr>
                <w:lang w:val="ar-SA" w:bidi="ar-EG"/>
              </w:rPr>
            </w:pPr>
            <w:proofErr w:type="spellStart"/>
            <w:r w:rsidRPr="00981706">
              <w:rPr>
                <w:rtl/>
              </w:rPr>
              <w:t>Omar</w:t>
            </w:r>
            <w:proofErr w:type="spellEnd"/>
            <w:r w:rsidRPr="00981706">
              <w:rPr>
                <w:rtl/>
              </w:rPr>
              <w:t xml:space="preserve"> ALNEMER، الإمارات العربية المتحدة</w:t>
            </w:r>
          </w:p>
        </w:tc>
      </w:tr>
      <w:tr w:rsidR="001010FD" w:rsidRPr="00981706" w14:paraId="7F7E881D" w14:textId="77777777" w:rsidTr="002242C7">
        <w:trPr>
          <w:jc w:val="center"/>
        </w:trPr>
        <w:tc>
          <w:tcPr>
            <w:tcW w:w="742" w:type="pct"/>
            <w:shd w:val="clear" w:color="auto" w:fill="auto"/>
          </w:tcPr>
          <w:p w14:paraId="240A4510" w14:textId="77777777" w:rsidR="001010FD" w:rsidRPr="00981706" w:rsidRDefault="001010FD" w:rsidP="001010FD">
            <w:pPr>
              <w:pStyle w:val="Tabletext"/>
              <w:jc w:val="center"/>
              <w:rPr>
                <w:lang w:val="ar-SA" w:bidi="ar-EG"/>
              </w:rPr>
            </w:pPr>
            <w:r w:rsidRPr="00981706">
              <w:rPr>
                <w:rtl/>
              </w:rPr>
              <w:t>لجنة الدراسات 3</w:t>
            </w:r>
          </w:p>
        </w:tc>
        <w:tc>
          <w:tcPr>
            <w:tcW w:w="1936" w:type="pct"/>
            <w:shd w:val="clear" w:color="auto" w:fill="auto"/>
          </w:tcPr>
          <w:p w14:paraId="390847A9" w14:textId="77777777" w:rsidR="001010FD" w:rsidRPr="00981706" w:rsidRDefault="001010FD" w:rsidP="002242C7">
            <w:pPr>
              <w:pStyle w:val="Tabletext"/>
              <w:rPr>
                <w:lang w:val="ar-SA" w:bidi="ar-EG"/>
              </w:rPr>
            </w:pPr>
            <w:r w:rsidRPr="00981706">
              <w:rPr>
                <w:rtl/>
              </w:rPr>
              <w:t>جنيف، 11 نوفمبر 2022</w:t>
            </w:r>
          </w:p>
        </w:tc>
        <w:tc>
          <w:tcPr>
            <w:tcW w:w="2322" w:type="pct"/>
            <w:shd w:val="clear" w:color="auto" w:fill="auto"/>
          </w:tcPr>
          <w:p w14:paraId="0DB1F7DD" w14:textId="77777777" w:rsidR="001010FD" w:rsidRPr="00981706" w:rsidRDefault="001010FD" w:rsidP="002242C7">
            <w:pPr>
              <w:pStyle w:val="Tabletext"/>
              <w:rPr>
                <w:lang w:val="ar-SA" w:bidi="ar-EG"/>
              </w:rPr>
            </w:pPr>
            <w:proofErr w:type="spellStart"/>
            <w:r w:rsidRPr="00981706">
              <w:rPr>
                <w:rtl/>
              </w:rPr>
              <w:t>Zuhair</w:t>
            </w:r>
            <w:proofErr w:type="spellEnd"/>
            <w:r w:rsidRPr="00981706">
              <w:rPr>
                <w:rtl/>
              </w:rPr>
              <w:t xml:space="preserve"> AL-ZUHAIR، الكويت</w:t>
            </w:r>
          </w:p>
        </w:tc>
      </w:tr>
      <w:tr w:rsidR="001010FD" w:rsidRPr="00981706" w14:paraId="4833862B" w14:textId="77777777" w:rsidTr="002242C7">
        <w:trPr>
          <w:jc w:val="center"/>
        </w:trPr>
        <w:tc>
          <w:tcPr>
            <w:tcW w:w="742" w:type="pct"/>
            <w:shd w:val="clear" w:color="auto" w:fill="auto"/>
            <w:hideMark/>
          </w:tcPr>
          <w:p w14:paraId="3438AE88"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7D8C63C1" w14:textId="77777777" w:rsidR="001010FD" w:rsidRPr="00981706" w:rsidRDefault="001010FD" w:rsidP="002242C7">
            <w:pPr>
              <w:pStyle w:val="Tabletext"/>
              <w:rPr>
                <w:lang w:val="ar-SA" w:bidi="ar-EG"/>
              </w:rPr>
            </w:pPr>
            <w:r w:rsidRPr="00981706">
              <w:rPr>
                <w:rtl/>
              </w:rPr>
              <w:t>جنيف، 13-22 نوفمبر 2023</w:t>
            </w:r>
          </w:p>
        </w:tc>
        <w:tc>
          <w:tcPr>
            <w:tcW w:w="2322" w:type="pct"/>
            <w:shd w:val="clear" w:color="auto" w:fill="auto"/>
            <w:hideMark/>
          </w:tcPr>
          <w:p w14:paraId="0DDBE6D7" w14:textId="77777777" w:rsidR="001010FD" w:rsidRPr="00981706" w:rsidRDefault="001010FD" w:rsidP="002242C7">
            <w:pPr>
              <w:pStyle w:val="Tabletext"/>
              <w:rPr>
                <w:lang w:val="ar-SA" w:bidi="ar-EG"/>
              </w:rPr>
            </w:pPr>
            <w:proofErr w:type="spellStart"/>
            <w:r w:rsidRPr="00981706">
              <w:rPr>
                <w:rtl/>
              </w:rPr>
              <w:t>Kazuhiro</w:t>
            </w:r>
            <w:proofErr w:type="spellEnd"/>
            <w:r w:rsidRPr="00981706">
              <w:rPr>
                <w:rtl/>
              </w:rPr>
              <w:t xml:space="preserve"> TAKAYA، اليابان</w:t>
            </w:r>
          </w:p>
        </w:tc>
      </w:tr>
      <w:tr w:rsidR="001010FD" w:rsidRPr="00981706" w14:paraId="16F5BA35" w14:textId="77777777" w:rsidTr="002242C7">
        <w:trPr>
          <w:jc w:val="center"/>
        </w:trPr>
        <w:tc>
          <w:tcPr>
            <w:tcW w:w="742" w:type="pct"/>
            <w:shd w:val="clear" w:color="auto" w:fill="auto"/>
          </w:tcPr>
          <w:p w14:paraId="7BAF0512"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0462817F" w14:textId="77777777" w:rsidR="001010FD" w:rsidRPr="00981706" w:rsidRDefault="001010FD" w:rsidP="002242C7">
            <w:pPr>
              <w:pStyle w:val="Tabletext"/>
              <w:rPr>
                <w:lang w:val="ar-SA" w:bidi="ar-EG"/>
              </w:rPr>
            </w:pPr>
            <w:r w:rsidRPr="00981706">
              <w:rPr>
                <w:rFonts w:hint="cs"/>
                <w:rtl/>
              </w:rPr>
              <w:t>اجتماع</w:t>
            </w:r>
            <w:r w:rsidRPr="00981706">
              <w:rPr>
                <w:rtl/>
              </w:rPr>
              <w:t xml:space="preserve"> إلكتروني، 5 ديسمبر 2022</w:t>
            </w:r>
          </w:p>
        </w:tc>
        <w:tc>
          <w:tcPr>
            <w:tcW w:w="2322" w:type="pct"/>
            <w:shd w:val="clear" w:color="auto" w:fill="auto"/>
          </w:tcPr>
          <w:p w14:paraId="520EA5A6" w14:textId="77777777" w:rsidR="001010FD" w:rsidRPr="00981706" w:rsidRDefault="001010FD" w:rsidP="002242C7">
            <w:pPr>
              <w:pStyle w:val="Tabletext"/>
              <w:rPr>
                <w:lang w:val="ar-SA" w:bidi="ar-EG"/>
              </w:rPr>
            </w:pPr>
            <w:proofErr w:type="spellStart"/>
            <w:r w:rsidRPr="00981706">
              <w:rPr>
                <w:rtl/>
              </w:rPr>
              <w:t>Nevine</w:t>
            </w:r>
            <w:proofErr w:type="spellEnd"/>
            <w:r w:rsidRPr="00981706">
              <w:rPr>
                <w:rtl/>
              </w:rPr>
              <w:t xml:space="preserve"> TEWFIK، مصر</w:t>
            </w:r>
          </w:p>
        </w:tc>
      </w:tr>
      <w:tr w:rsidR="001010FD" w:rsidRPr="00981706" w14:paraId="5A2FC3D0" w14:textId="77777777" w:rsidTr="002242C7">
        <w:trPr>
          <w:jc w:val="center"/>
        </w:trPr>
        <w:tc>
          <w:tcPr>
            <w:tcW w:w="742" w:type="pct"/>
            <w:shd w:val="clear" w:color="auto" w:fill="auto"/>
          </w:tcPr>
          <w:p w14:paraId="6BF5421E"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3AF661F3" w14:textId="77777777" w:rsidR="001010FD" w:rsidRPr="00981706" w:rsidRDefault="001010FD" w:rsidP="002242C7">
            <w:pPr>
              <w:pStyle w:val="Tabletext"/>
              <w:rPr>
                <w:lang w:val="ar-SA" w:bidi="ar-EG"/>
              </w:rPr>
            </w:pPr>
            <w:r w:rsidRPr="00981706">
              <w:rPr>
                <w:rFonts w:hint="cs"/>
                <w:rtl/>
              </w:rPr>
              <w:t>اجتماع</w:t>
            </w:r>
            <w:r w:rsidRPr="00981706">
              <w:rPr>
                <w:rtl/>
              </w:rPr>
              <w:t xml:space="preserve"> إلكتروني، 5 ديسمبر 2022</w:t>
            </w:r>
          </w:p>
        </w:tc>
        <w:tc>
          <w:tcPr>
            <w:tcW w:w="2322" w:type="pct"/>
            <w:shd w:val="clear" w:color="auto" w:fill="auto"/>
          </w:tcPr>
          <w:p w14:paraId="1918743B" w14:textId="77777777" w:rsidR="001010FD" w:rsidRPr="00981706" w:rsidRDefault="001010FD" w:rsidP="002242C7">
            <w:pPr>
              <w:pStyle w:val="Tabletext"/>
              <w:rPr>
                <w:lang w:val="ar-SA" w:bidi="ar-EG"/>
              </w:rPr>
            </w:pPr>
            <w:proofErr w:type="spellStart"/>
            <w:r w:rsidRPr="00981706">
              <w:rPr>
                <w:rtl/>
              </w:rPr>
              <w:t>Pedro</w:t>
            </w:r>
            <w:proofErr w:type="spellEnd"/>
            <w:r w:rsidRPr="00981706">
              <w:rPr>
                <w:rtl/>
              </w:rPr>
              <w:t xml:space="preserve"> BRISSON، الأرجنتين</w:t>
            </w:r>
          </w:p>
        </w:tc>
      </w:tr>
      <w:tr w:rsidR="001010FD" w:rsidRPr="00981706" w14:paraId="538C91DF" w14:textId="77777777" w:rsidTr="002242C7">
        <w:trPr>
          <w:jc w:val="center"/>
        </w:trPr>
        <w:tc>
          <w:tcPr>
            <w:tcW w:w="742" w:type="pct"/>
            <w:shd w:val="clear" w:color="auto" w:fill="auto"/>
          </w:tcPr>
          <w:p w14:paraId="7577EE3B"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14FB4E50" w14:textId="77777777" w:rsidR="001010FD" w:rsidRPr="00981706" w:rsidRDefault="001010FD" w:rsidP="002242C7">
            <w:pPr>
              <w:pStyle w:val="Tabletext"/>
              <w:rPr>
                <w:lang w:val="ar-SA" w:bidi="ar-EG"/>
              </w:rPr>
            </w:pPr>
            <w:r w:rsidRPr="00981706">
              <w:rPr>
                <w:rtl/>
              </w:rPr>
              <w:t>روما، إيطاليا،17-27 أكتوبر 2022</w:t>
            </w:r>
          </w:p>
        </w:tc>
        <w:tc>
          <w:tcPr>
            <w:tcW w:w="2322" w:type="pct"/>
            <w:shd w:val="clear" w:color="auto" w:fill="auto"/>
          </w:tcPr>
          <w:p w14:paraId="07F816BA" w14:textId="77777777" w:rsidR="001010FD" w:rsidRPr="00981706" w:rsidRDefault="001010FD" w:rsidP="002242C7">
            <w:pPr>
              <w:pStyle w:val="Tabletext"/>
              <w:rPr>
                <w:lang w:val="ar-SA" w:bidi="ar-EG"/>
              </w:rPr>
            </w:pPr>
            <w:proofErr w:type="spellStart"/>
            <w:r w:rsidRPr="00981706">
              <w:rPr>
                <w:rtl/>
              </w:rPr>
              <w:t>Pedro</w:t>
            </w:r>
            <w:proofErr w:type="spellEnd"/>
            <w:r w:rsidRPr="00981706">
              <w:rPr>
                <w:rtl/>
              </w:rPr>
              <w:t xml:space="preserve"> BRISSON، الأرجنتين</w:t>
            </w:r>
          </w:p>
        </w:tc>
      </w:tr>
      <w:tr w:rsidR="001010FD" w:rsidRPr="00981706" w14:paraId="74DBCE8D" w14:textId="77777777" w:rsidTr="002242C7">
        <w:trPr>
          <w:jc w:val="center"/>
        </w:trPr>
        <w:tc>
          <w:tcPr>
            <w:tcW w:w="742" w:type="pct"/>
            <w:shd w:val="clear" w:color="auto" w:fill="auto"/>
            <w:hideMark/>
          </w:tcPr>
          <w:p w14:paraId="52C4E99C"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6742D817" w14:textId="77777777" w:rsidR="001010FD" w:rsidRPr="00981706" w:rsidRDefault="001010FD" w:rsidP="002242C7">
            <w:pPr>
              <w:pStyle w:val="Tabletext"/>
              <w:rPr>
                <w:lang w:val="ar-SA" w:bidi="ar-EG"/>
              </w:rPr>
            </w:pPr>
            <w:r w:rsidRPr="00981706">
              <w:rPr>
                <w:rtl/>
              </w:rPr>
              <w:t xml:space="preserve">صوفيا </w:t>
            </w:r>
            <w:proofErr w:type="spellStart"/>
            <w:r w:rsidRPr="00981706">
              <w:rPr>
                <w:rtl/>
              </w:rPr>
              <w:t>أنتيبوليس</w:t>
            </w:r>
            <w:proofErr w:type="spellEnd"/>
            <w:r w:rsidRPr="00981706">
              <w:rPr>
                <w:rtl/>
              </w:rPr>
              <w:t>، فرنسا، 13-23 يونيو 2023</w:t>
            </w:r>
          </w:p>
        </w:tc>
        <w:tc>
          <w:tcPr>
            <w:tcW w:w="2322" w:type="pct"/>
            <w:shd w:val="clear" w:color="auto" w:fill="auto"/>
            <w:hideMark/>
          </w:tcPr>
          <w:p w14:paraId="0A68E312" w14:textId="77777777" w:rsidR="001010FD" w:rsidRPr="00981706" w:rsidRDefault="001010FD" w:rsidP="002242C7">
            <w:pPr>
              <w:pStyle w:val="Tabletext"/>
              <w:rPr>
                <w:lang w:val="ar-SA" w:bidi="ar-EG"/>
              </w:rPr>
            </w:pPr>
            <w:proofErr w:type="spellStart"/>
            <w:r w:rsidRPr="00981706">
              <w:rPr>
                <w:rtl/>
              </w:rPr>
              <w:t>Pedro</w:t>
            </w:r>
            <w:proofErr w:type="spellEnd"/>
            <w:r w:rsidRPr="00981706">
              <w:rPr>
                <w:rtl/>
              </w:rPr>
              <w:t xml:space="preserve"> BRISSON، الأرجنتين</w:t>
            </w:r>
          </w:p>
        </w:tc>
      </w:tr>
      <w:tr w:rsidR="001010FD" w:rsidRPr="00981706" w14:paraId="6F4466A3" w14:textId="77777777" w:rsidTr="002242C7">
        <w:trPr>
          <w:jc w:val="center"/>
        </w:trPr>
        <w:tc>
          <w:tcPr>
            <w:tcW w:w="742" w:type="pct"/>
            <w:shd w:val="clear" w:color="auto" w:fill="auto"/>
          </w:tcPr>
          <w:p w14:paraId="2F8FED16"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3F873431" w14:textId="77777777" w:rsidR="001010FD" w:rsidRPr="00981706" w:rsidRDefault="001010FD" w:rsidP="002242C7">
            <w:pPr>
              <w:pStyle w:val="Tabletext"/>
              <w:rPr>
                <w:lang w:val="ar-SA" w:bidi="ar-EG"/>
              </w:rPr>
            </w:pPr>
            <w:r w:rsidRPr="00981706">
              <w:rPr>
                <w:rFonts w:hint="cs"/>
                <w:rtl/>
              </w:rPr>
              <w:t>اجتماع</w:t>
            </w:r>
            <w:r w:rsidRPr="00981706">
              <w:rPr>
                <w:rtl/>
              </w:rPr>
              <w:t xml:space="preserve"> إلكتروني، 5 ديسمبر 2022</w:t>
            </w:r>
          </w:p>
        </w:tc>
        <w:tc>
          <w:tcPr>
            <w:tcW w:w="2322" w:type="pct"/>
            <w:shd w:val="clear" w:color="auto" w:fill="auto"/>
          </w:tcPr>
          <w:p w14:paraId="40EA156A"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3AC8790C" w14:textId="77777777" w:rsidTr="002242C7">
        <w:trPr>
          <w:jc w:val="center"/>
        </w:trPr>
        <w:tc>
          <w:tcPr>
            <w:tcW w:w="742" w:type="pct"/>
            <w:shd w:val="clear" w:color="auto" w:fill="auto"/>
            <w:hideMark/>
          </w:tcPr>
          <w:p w14:paraId="2E2260F8"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77EED757" w14:textId="77777777" w:rsidR="001010FD" w:rsidRPr="00981706" w:rsidRDefault="001010FD" w:rsidP="002242C7">
            <w:pPr>
              <w:pStyle w:val="Tabletext"/>
              <w:rPr>
                <w:lang w:val="ar-SA" w:bidi="ar-EG"/>
              </w:rPr>
            </w:pPr>
            <w:r w:rsidRPr="00981706">
              <w:rPr>
                <w:rtl/>
              </w:rPr>
              <w:t>جنيف، 13-22 نوفمبر 2023</w:t>
            </w:r>
          </w:p>
        </w:tc>
        <w:tc>
          <w:tcPr>
            <w:tcW w:w="2322" w:type="pct"/>
            <w:shd w:val="clear" w:color="auto" w:fill="auto"/>
            <w:hideMark/>
          </w:tcPr>
          <w:p w14:paraId="20C82F3A"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22280F60" w14:textId="77777777" w:rsidTr="002242C7">
        <w:trPr>
          <w:jc w:val="center"/>
        </w:trPr>
        <w:tc>
          <w:tcPr>
            <w:tcW w:w="742" w:type="pct"/>
            <w:shd w:val="clear" w:color="auto" w:fill="auto"/>
          </w:tcPr>
          <w:p w14:paraId="37D884F2"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08710B9D" w14:textId="77777777" w:rsidR="001010FD" w:rsidRPr="00981706" w:rsidRDefault="001010FD" w:rsidP="002242C7">
            <w:pPr>
              <w:pStyle w:val="Tabletext"/>
              <w:rPr>
                <w:lang w:val="ar-SA" w:bidi="ar-EG"/>
              </w:rPr>
            </w:pPr>
            <w:r w:rsidRPr="00981706">
              <w:rPr>
                <w:rtl/>
              </w:rPr>
              <w:t>‏جنيف، ‎21 ‏يونيو - ‎1 ‏يوليو ‎2022</w:t>
            </w:r>
          </w:p>
        </w:tc>
        <w:tc>
          <w:tcPr>
            <w:tcW w:w="2322" w:type="pct"/>
            <w:shd w:val="clear" w:color="auto" w:fill="auto"/>
          </w:tcPr>
          <w:p w14:paraId="73D73563"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793C175E" w14:textId="77777777" w:rsidTr="002242C7">
        <w:trPr>
          <w:jc w:val="center"/>
        </w:trPr>
        <w:tc>
          <w:tcPr>
            <w:tcW w:w="742" w:type="pct"/>
            <w:shd w:val="clear" w:color="auto" w:fill="auto"/>
          </w:tcPr>
          <w:p w14:paraId="75E2ABD1"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13E657E1" w14:textId="77777777" w:rsidR="001010FD" w:rsidRPr="00981706" w:rsidRDefault="001010FD" w:rsidP="002242C7">
            <w:pPr>
              <w:pStyle w:val="Tabletext"/>
              <w:rPr>
                <w:lang w:val="ar-SA" w:bidi="ar-EG"/>
              </w:rPr>
            </w:pPr>
            <w:r w:rsidRPr="00981706">
              <w:rPr>
                <w:rtl/>
              </w:rPr>
              <w:t>روما، إيطاليا،17-27 أكتوبر 2022</w:t>
            </w:r>
          </w:p>
        </w:tc>
        <w:tc>
          <w:tcPr>
            <w:tcW w:w="2322" w:type="pct"/>
            <w:shd w:val="clear" w:color="auto" w:fill="auto"/>
          </w:tcPr>
          <w:p w14:paraId="06C61C66"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6425E01E" w14:textId="77777777" w:rsidTr="002242C7">
        <w:trPr>
          <w:jc w:val="center"/>
        </w:trPr>
        <w:tc>
          <w:tcPr>
            <w:tcW w:w="742" w:type="pct"/>
            <w:shd w:val="clear" w:color="auto" w:fill="auto"/>
            <w:hideMark/>
          </w:tcPr>
          <w:p w14:paraId="115978B2"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30780EC5" w14:textId="77777777" w:rsidR="001010FD" w:rsidRPr="00981706" w:rsidRDefault="001010FD" w:rsidP="002242C7">
            <w:pPr>
              <w:pStyle w:val="Tabletext"/>
              <w:rPr>
                <w:lang w:val="ar-SA" w:bidi="ar-EG"/>
              </w:rPr>
            </w:pPr>
            <w:r w:rsidRPr="00981706">
              <w:rPr>
                <w:rtl/>
              </w:rPr>
              <w:t xml:space="preserve">صوفيا </w:t>
            </w:r>
            <w:proofErr w:type="spellStart"/>
            <w:r w:rsidRPr="00981706">
              <w:rPr>
                <w:rtl/>
              </w:rPr>
              <w:t>أنتيبوليس</w:t>
            </w:r>
            <w:proofErr w:type="spellEnd"/>
            <w:r w:rsidRPr="00981706">
              <w:rPr>
                <w:rtl/>
              </w:rPr>
              <w:t>، فرنسا، 13-23 يونيو 2023</w:t>
            </w:r>
          </w:p>
        </w:tc>
        <w:tc>
          <w:tcPr>
            <w:tcW w:w="2322" w:type="pct"/>
            <w:shd w:val="clear" w:color="auto" w:fill="auto"/>
            <w:hideMark/>
          </w:tcPr>
          <w:p w14:paraId="08DB67B2"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2E563269" w14:textId="77777777" w:rsidTr="002242C7">
        <w:trPr>
          <w:jc w:val="center"/>
        </w:trPr>
        <w:tc>
          <w:tcPr>
            <w:tcW w:w="742" w:type="pct"/>
            <w:shd w:val="clear" w:color="auto" w:fill="auto"/>
          </w:tcPr>
          <w:p w14:paraId="1C13D18B"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3F5A7187" w14:textId="77777777" w:rsidR="001010FD" w:rsidRPr="00981706" w:rsidRDefault="001010FD" w:rsidP="002242C7">
            <w:pPr>
              <w:pStyle w:val="Tabletext"/>
              <w:rPr>
                <w:lang w:val="ar-SA" w:bidi="ar-EG"/>
              </w:rPr>
            </w:pPr>
            <w:proofErr w:type="spellStart"/>
            <w:r w:rsidRPr="00981706">
              <w:rPr>
                <w:rtl/>
              </w:rPr>
              <w:t>فروتسواف</w:t>
            </w:r>
            <w:proofErr w:type="spellEnd"/>
            <w:r w:rsidRPr="00981706">
              <w:rPr>
                <w:rtl/>
              </w:rPr>
              <w:t>، 17-21 يونيو 2024</w:t>
            </w:r>
          </w:p>
        </w:tc>
        <w:tc>
          <w:tcPr>
            <w:tcW w:w="2322" w:type="pct"/>
            <w:shd w:val="clear" w:color="auto" w:fill="auto"/>
          </w:tcPr>
          <w:p w14:paraId="0BC20C15" w14:textId="77777777" w:rsidR="001010FD" w:rsidRPr="00981706" w:rsidRDefault="001010FD" w:rsidP="002242C7">
            <w:pPr>
              <w:pStyle w:val="Tabletext"/>
              <w:rPr>
                <w:lang w:val="ar-SA" w:bidi="ar-EG"/>
              </w:rPr>
            </w:pPr>
            <w:proofErr w:type="spellStart"/>
            <w:r w:rsidRPr="00981706">
              <w:rPr>
                <w:rtl/>
              </w:rPr>
              <w:t>Saidiahrol</w:t>
            </w:r>
            <w:proofErr w:type="spellEnd"/>
            <w:r w:rsidRPr="00981706">
              <w:rPr>
                <w:rtl/>
              </w:rPr>
              <w:t xml:space="preserve"> SAIDIAKBAROV، جمهورية أوزبكستان</w:t>
            </w:r>
          </w:p>
        </w:tc>
      </w:tr>
      <w:tr w:rsidR="001010FD" w:rsidRPr="00981706" w14:paraId="6E553D75" w14:textId="77777777" w:rsidTr="002242C7">
        <w:trPr>
          <w:jc w:val="center"/>
        </w:trPr>
        <w:tc>
          <w:tcPr>
            <w:tcW w:w="742" w:type="pct"/>
            <w:shd w:val="clear" w:color="auto" w:fill="auto"/>
            <w:hideMark/>
          </w:tcPr>
          <w:p w14:paraId="3BD8A323"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00F74A03" w14:textId="77777777" w:rsidR="001010FD" w:rsidRPr="00981706" w:rsidRDefault="001010FD" w:rsidP="002242C7">
            <w:pPr>
              <w:pStyle w:val="Tabletext"/>
              <w:rPr>
                <w:lang w:val="ar-SA" w:bidi="ar-EG"/>
              </w:rPr>
            </w:pPr>
            <w:r w:rsidRPr="00981706">
              <w:rPr>
                <w:rtl/>
              </w:rPr>
              <w:t>جنيف، 13-22 نوفمبر 2023</w:t>
            </w:r>
          </w:p>
        </w:tc>
        <w:tc>
          <w:tcPr>
            <w:tcW w:w="2322" w:type="pct"/>
            <w:shd w:val="clear" w:color="auto" w:fill="auto"/>
            <w:hideMark/>
          </w:tcPr>
          <w:p w14:paraId="29DF15D4"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0EC8EDC2" w14:textId="77777777" w:rsidTr="002242C7">
        <w:trPr>
          <w:jc w:val="center"/>
        </w:trPr>
        <w:tc>
          <w:tcPr>
            <w:tcW w:w="742" w:type="pct"/>
            <w:shd w:val="clear" w:color="auto" w:fill="auto"/>
            <w:hideMark/>
          </w:tcPr>
          <w:p w14:paraId="572395DF"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hideMark/>
          </w:tcPr>
          <w:p w14:paraId="0B395E83" w14:textId="77777777" w:rsidR="001010FD" w:rsidRPr="00981706" w:rsidRDefault="001010FD" w:rsidP="002242C7">
            <w:pPr>
              <w:pStyle w:val="Tabletext"/>
              <w:rPr>
                <w:lang w:val="ar-SA" w:bidi="ar-EG"/>
              </w:rPr>
            </w:pPr>
            <w:r w:rsidRPr="00981706">
              <w:rPr>
                <w:rtl/>
              </w:rPr>
              <w:t xml:space="preserve">صوفيا </w:t>
            </w:r>
            <w:proofErr w:type="spellStart"/>
            <w:r w:rsidRPr="00981706">
              <w:rPr>
                <w:rtl/>
              </w:rPr>
              <w:t>أنتيبوليس</w:t>
            </w:r>
            <w:proofErr w:type="spellEnd"/>
            <w:r w:rsidRPr="00981706">
              <w:rPr>
                <w:rtl/>
              </w:rPr>
              <w:t>، فرنسا، 13-23 يونيو 2023</w:t>
            </w:r>
          </w:p>
        </w:tc>
        <w:tc>
          <w:tcPr>
            <w:tcW w:w="2322" w:type="pct"/>
            <w:shd w:val="clear" w:color="auto" w:fill="auto"/>
            <w:hideMark/>
          </w:tcPr>
          <w:p w14:paraId="32EB7A8B"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6B7F8B65" w14:textId="77777777" w:rsidTr="002242C7">
        <w:trPr>
          <w:jc w:val="center"/>
        </w:trPr>
        <w:tc>
          <w:tcPr>
            <w:tcW w:w="742" w:type="pct"/>
            <w:shd w:val="clear" w:color="auto" w:fill="auto"/>
          </w:tcPr>
          <w:p w14:paraId="4D55D4FD"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70D8B983" w14:textId="77777777" w:rsidR="001010FD" w:rsidRPr="00981706" w:rsidRDefault="001010FD" w:rsidP="002242C7">
            <w:pPr>
              <w:pStyle w:val="Tabletext"/>
              <w:rPr>
                <w:lang w:val="ar-SA" w:bidi="ar-EG"/>
              </w:rPr>
            </w:pPr>
            <w:proofErr w:type="spellStart"/>
            <w:r w:rsidRPr="00981706">
              <w:rPr>
                <w:rtl/>
              </w:rPr>
              <w:t>فروتسواف</w:t>
            </w:r>
            <w:proofErr w:type="spellEnd"/>
            <w:r w:rsidRPr="00981706">
              <w:rPr>
                <w:rtl/>
              </w:rPr>
              <w:t>، 17-21 يونيو 2024</w:t>
            </w:r>
          </w:p>
        </w:tc>
        <w:tc>
          <w:tcPr>
            <w:tcW w:w="2322" w:type="pct"/>
            <w:shd w:val="clear" w:color="auto" w:fill="auto"/>
          </w:tcPr>
          <w:p w14:paraId="4551BAFE"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1D30C06F" w14:textId="77777777" w:rsidTr="002242C7">
        <w:trPr>
          <w:jc w:val="center"/>
        </w:trPr>
        <w:tc>
          <w:tcPr>
            <w:tcW w:w="742" w:type="pct"/>
            <w:shd w:val="clear" w:color="auto" w:fill="auto"/>
          </w:tcPr>
          <w:p w14:paraId="17139BD4"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664DCA7D" w14:textId="77777777" w:rsidR="001010FD" w:rsidRPr="00981706" w:rsidRDefault="001010FD" w:rsidP="002242C7">
            <w:pPr>
              <w:pStyle w:val="Tabletext"/>
              <w:rPr>
                <w:lang w:val="ar-SA" w:bidi="ar-EG"/>
              </w:rPr>
            </w:pPr>
            <w:proofErr w:type="spellStart"/>
            <w:r w:rsidRPr="00981706">
              <w:rPr>
                <w:rtl/>
              </w:rPr>
              <w:t>إجتماع</w:t>
            </w:r>
            <w:proofErr w:type="spellEnd"/>
            <w:r w:rsidRPr="00981706">
              <w:rPr>
                <w:rtl/>
              </w:rPr>
              <w:t xml:space="preserve"> إلكتروني 5 ديسمبر 2022</w:t>
            </w:r>
          </w:p>
        </w:tc>
        <w:tc>
          <w:tcPr>
            <w:tcW w:w="2322" w:type="pct"/>
            <w:shd w:val="clear" w:color="auto" w:fill="auto"/>
          </w:tcPr>
          <w:p w14:paraId="515DF946"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2338C9AD" w14:textId="77777777" w:rsidTr="002242C7">
        <w:trPr>
          <w:jc w:val="center"/>
        </w:trPr>
        <w:tc>
          <w:tcPr>
            <w:tcW w:w="742" w:type="pct"/>
            <w:shd w:val="clear" w:color="auto" w:fill="auto"/>
          </w:tcPr>
          <w:p w14:paraId="7253192B"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78F98552" w14:textId="77777777" w:rsidR="001010FD" w:rsidRPr="00981706" w:rsidRDefault="001010FD" w:rsidP="002242C7">
            <w:pPr>
              <w:pStyle w:val="Tabletext"/>
              <w:rPr>
                <w:lang w:val="ar-SA" w:bidi="ar-EG"/>
              </w:rPr>
            </w:pPr>
            <w:r w:rsidRPr="00981706">
              <w:rPr>
                <w:rtl/>
              </w:rPr>
              <w:t>‏جنيف، ‎21 ‏يونيو - ‎1 ‏يوليو ‎2022</w:t>
            </w:r>
          </w:p>
        </w:tc>
        <w:tc>
          <w:tcPr>
            <w:tcW w:w="2322" w:type="pct"/>
            <w:shd w:val="clear" w:color="auto" w:fill="auto"/>
          </w:tcPr>
          <w:p w14:paraId="177CA0FD"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1AC3BA0A" w14:textId="77777777" w:rsidTr="002242C7">
        <w:trPr>
          <w:jc w:val="center"/>
        </w:trPr>
        <w:tc>
          <w:tcPr>
            <w:tcW w:w="742" w:type="pct"/>
            <w:shd w:val="clear" w:color="auto" w:fill="auto"/>
          </w:tcPr>
          <w:p w14:paraId="549DBB6D" w14:textId="77777777" w:rsidR="001010FD" w:rsidRPr="00981706" w:rsidRDefault="001010FD" w:rsidP="001010FD">
            <w:pPr>
              <w:pStyle w:val="Tabletext"/>
              <w:jc w:val="center"/>
              <w:rPr>
                <w:lang w:val="ar-SA" w:bidi="ar-EG"/>
              </w:rPr>
            </w:pPr>
            <w:r w:rsidRPr="00981706">
              <w:rPr>
                <w:rtl/>
              </w:rPr>
              <w:t>لجنة الدراسات 5</w:t>
            </w:r>
          </w:p>
        </w:tc>
        <w:tc>
          <w:tcPr>
            <w:tcW w:w="1936" w:type="pct"/>
            <w:shd w:val="clear" w:color="auto" w:fill="auto"/>
          </w:tcPr>
          <w:p w14:paraId="422C2CAC" w14:textId="77777777" w:rsidR="001010FD" w:rsidRPr="00981706" w:rsidRDefault="001010FD" w:rsidP="002242C7">
            <w:pPr>
              <w:pStyle w:val="Tabletext"/>
              <w:rPr>
                <w:lang w:val="ar-SA" w:bidi="ar-EG"/>
              </w:rPr>
            </w:pPr>
            <w:r w:rsidRPr="00981706">
              <w:rPr>
                <w:rtl/>
              </w:rPr>
              <w:t>روما، إيطاليا،17-27 أكتوبر 2022</w:t>
            </w:r>
          </w:p>
        </w:tc>
        <w:tc>
          <w:tcPr>
            <w:tcW w:w="2322" w:type="pct"/>
            <w:shd w:val="clear" w:color="auto" w:fill="auto"/>
          </w:tcPr>
          <w:p w14:paraId="33BAA7CA" w14:textId="77777777" w:rsidR="001010FD" w:rsidRPr="00981706" w:rsidRDefault="001010FD" w:rsidP="002242C7">
            <w:pPr>
              <w:pStyle w:val="Tabletext"/>
              <w:rPr>
                <w:lang w:val="ar-SA" w:bidi="ar-EG"/>
              </w:rPr>
            </w:pPr>
            <w:proofErr w:type="spellStart"/>
            <w:r w:rsidRPr="00981706">
              <w:rPr>
                <w:rtl/>
              </w:rPr>
              <w:t>Vincent</w:t>
            </w:r>
            <w:proofErr w:type="spellEnd"/>
            <w:r w:rsidRPr="00981706">
              <w:rPr>
                <w:rtl/>
              </w:rPr>
              <w:t xml:space="preserve"> </w:t>
            </w:r>
            <w:proofErr w:type="spellStart"/>
            <w:r w:rsidRPr="00981706">
              <w:rPr>
                <w:rtl/>
              </w:rPr>
              <w:t>Urbain</w:t>
            </w:r>
            <w:proofErr w:type="spellEnd"/>
            <w:r w:rsidRPr="00981706">
              <w:rPr>
                <w:rtl/>
              </w:rPr>
              <w:t xml:space="preserve"> NAMRONA، جمهورية إفريقيا الوسطى</w:t>
            </w:r>
          </w:p>
        </w:tc>
      </w:tr>
      <w:tr w:rsidR="001010FD" w:rsidRPr="00981706" w14:paraId="64739E87" w14:textId="77777777" w:rsidTr="002242C7">
        <w:trPr>
          <w:jc w:val="center"/>
        </w:trPr>
        <w:tc>
          <w:tcPr>
            <w:tcW w:w="742" w:type="pct"/>
            <w:shd w:val="clear" w:color="auto" w:fill="auto"/>
            <w:hideMark/>
          </w:tcPr>
          <w:p w14:paraId="61C4DA50" w14:textId="77777777" w:rsidR="001010FD" w:rsidRPr="00981706" w:rsidRDefault="001010FD" w:rsidP="001010FD">
            <w:pPr>
              <w:pStyle w:val="Tabletext"/>
              <w:jc w:val="center"/>
              <w:rPr>
                <w:lang w:val="ar-SA" w:bidi="ar-EG"/>
              </w:rPr>
            </w:pPr>
            <w:r w:rsidRPr="00981706">
              <w:rPr>
                <w:rtl/>
              </w:rPr>
              <w:t>لجنة الدراسات 9</w:t>
            </w:r>
          </w:p>
        </w:tc>
        <w:tc>
          <w:tcPr>
            <w:tcW w:w="1936" w:type="pct"/>
            <w:shd w:val="clear" w:color="auto" w:fill="auto"/>
            <w:hideMark/>
          </w:tcPr>
          <w:p w14:paraId="57F8103E" w14:textId="77777777" w:rsidR="001010FD" w:rsidRPr="00981706" w:rsidRDefault="001010FD" w:rsidP="002242C7">
            <w:pPr>
              <w:pStyle w:val="Tabletext"/>
              <w:rPr>
                <w:lang w:val="ar-SA" w:bidi="ar-EG"/>
              </w:rPr>
            </w:pPr>
            <w:r w:rsidRPr="00981706">
              <w:rPr>
                <w:rtl/>
              </w:rPr>
              <w:t>بوغوتا، كولومبيا، 14-23 نوفمبر 2023</w:t>
            </w:r>
          </w:p>
        </w:tc>
        <w:tc>
          <w:tcPr>
            <w:tcW w:w="2322" w:type="pct"/>
            <w:shd w:val="clear" w:color="auto" w:fill="auto"/>
            <w:hideMark/>
          </w:tcPr>
          <w:p w14:paraId="62940AEA" w14:textId="77777777" w:rsidR="001010FD" w:rsidRPr="00981706" w:rsidRDefault="001010FD" w:rsidP="002242C7">
            <w:pPr>
              <w:pStyle w:val="Tabletext"/>
              <w:rPr>
                <w:lang w:val="ar-SA" w:bidi="ar-EG"/>
              </w:rPr>
            </w:pPr>
            <w:proofErr w:type="spellStart"/>
            <w:r w:rsidRPr="00981706">
              <w:rPr>
                <w:rtl/>
              </w:rPr>
              <w:t>Blaise</w:t>
            </w:r>
            <w:proofErr w:type="spellEnd"/>
            <w:r w:rsidRPr="00981706">
              <w:rPr>
                <w:rtl/>
              </w:rPr>
              <w:t xml:space="preserve"> MAMADOU، جمهورية إفريقيا الوسطى</w:t>
            </w:r>
          </w:p>
        </w:tc>
      </w:tr>
      <w:tr w:rsidR="001010FD" w:rsidRPr="00981706" w14:paraId="1C3C25F2" w14:textId="77777777" w:rsidTr="002242C7">
        <w:trPr>
          <w:jc w:val="center"/>
        </w:trPr>
        <w:tc>
          <w:tcPr>
            <w:tcW w:w="742" w:type="pct"/>
            <w:shd w:val="clear" w:color="auto" w:fill="auto"/>
          </w:tcPr>
          <w:p w14:paraId="429593FC" w14:textId="77777777" w:rsidR="001010FD" w:rsidRPr="00981706" w:rsidRDefault="001010FD" w:rsidP="001010FD">
            <w:pPr>
              <w:pStyle w:val="Tabletext"/>
              <w:jc w:val="center"/>
              <w:rPr>
                <w:lang w:val="ar-SA" w:bidi="ar-EG"/>
              </w:rPr>
            </w:pPr>
            <w:r w:rsidRPr="00981706">
              <w:rPr>
                <w:rtl/>
              </w:rPr>
              <w:t>لجنة الدراسات 9</w:t>
            </w:r>
          </w:p>
        </w:tc>
        <w:tc>
          <w:tcPr>
            <w:tcW w:w="1936" w:type="pct"/>
            <w:shd w:val="clear" w:color="auto" w:fill="auto"/>
          </w:tcPr>
          <w:p w14:paraId="7F5AF672" w14:textId="77777777" w:rsidR="001010FD" w:rsidRPr="00981706" w:rsidRDefault="001010FD" w:rsidP="002242C7">
            <w:pPr>
              <w:pStyle w:val="Tabletext"/>
              <w:rPr>
                <w:lang w:val="ar-SA" w:bidi="ar-EG"/>
              </w:rPr>
            </w:pPr>
            <w:r w:rsidRPr="00981706">
              <w:rPr>
                <w:rtl/>
              </w:rPr>
              <w:t>اجتماع افتراضي، 9 - 17 مايو 2024</w:t>
            </w:r>
          </w:p>
        </w:tc>
        <w:tc>
          <w:tcPr>
            <w:tcW w:w="2322" w:type="pct"/>
            <w:shd w:val="clear" w:color="auto" w:fill="auto"/>
          </w:tcPr>
          <w:p w14:paraId="5FAD73B1" w14:textId="77777777" w:rsidR="001010FD" w:rsidRPr="00981706" w:rsidRDefault="001010FD" w:rsidP="002242C7">
            <w:pPr>
              <w:pStyle w:val="Tabletext"/>
              <w:rPr>
                <w:lang w:val="ar-SA" w:bidi="ar-EG"/>
              </w:rPr>
            </w:pPr>
            <w:proofErr w:type="spellStart"/>
            <w:r w:rsidRPr="00981706">
              <w:rPr>
                <w:rtl/>
              </w:rPr>
              <w:t>Blaise</w:t>
            </w:r>
            <w:proofErr w:type="spellEnd"/>
            <w:r w:rsidRPr="00981706">
              <w:rPr>
                <w:rtl/>
              </w:rPr>
              <w:t xml:space="preserve"> MAMADOU، جمهورية إفريقيا الوسطى</w:t>
            </w:r>
          </w:p>
        </w:tc>
      </w:tr>
      <w:tr w:rsidR="001010FD" w:rsidRPr="00981706" w14:paraId="4DA2492F" w14:textId="77777777" w:rsidTr="002242C7">
        <w:trPr>
          <w:jc w:val="center"/>
        </w:trPr>
        <w:tc>
          <w:tcPr>
            <w:tcW w:w="742" w:type="pct"/>
            <w:shd w:val="clear" w:color="auto" w:fill="auto"/>
          </w:tcPr>
          <w:p w14:paraId="4A8863D2" w14:textId="77777777" w:rsidR="001010FD" w:rsidRPr="00981706" w:rsidRDefault="001010FD" w:rsidP="001010FD">
            <w:pPr>
              <w:pStyle w:val="Tabletext"/>
              <w:jc w:val="center"/>
              <w:rPr>
                <w:lang w:val="ar-SA" w:bidi="ar-EG"/>
              </w:rPr>
            </w:pPr>
            <w:r w:rsidRPr="00981706">
              <w:rPr>
                <w:rtl/>
              </w:rPr>
              <w:t>لجنة الدراسات 9</w:t>
            </w:r>
          </w:p>
        </w:tc>
        <w:tc>
          <w:tcPr>
            <w:tcW w:w="1936" w:type="pct"/>
            <w:shd w:val="clear" w:color="auto" w:fill="auto"/>
          </w:tcPr>
          <w:p w14:paraId="6D6A3DE3" w14:textId="77777777" w:rsidR="001010FD" w:rsidRPr="00981706" w:rsidRDefault="001010FD" w:rsidP="002242C7">
            <w:pPr>
              <w:pStyle w:val="Tabletext"/>
              <w:rPr>
                <w:lang w:val="ar-SA" w:bidi="ar-EG"/>
              </w:rPr>
            </w:pPr>
            <w:r w:rsidRPr="00981706">
              <w:rPr>
                <w:rtl/>
              </w:rPr>
              <w:t xml:space="preserve">بنغالور، الهند، 9-18 مايو 2023 </w:t>
            </w:r>
          </w:p>
        </w:tc>
        <w:tc>
          <w:tcPr>
            <w:tcW w:w="2322" w:type="pct"/>
            <w:shd w:val="clear" w:color="auto" w:fill="auto"/>
          </w:tcPr>
          <w:p w14:paraId="1FD51C10" w14:textId="77777777" w:rsidR="001010FD" w:rsidRPr="00981706" w:rsidRDefault="001010FD" w:rsidP="002242C7">
            <w:pPr>
              <w:pStyle w:val="Tabletext"/>
              <w:rPr>
                <w:lang w:val="ar-SA" w:bidi="ar-EG"/>
              </w:rPr>
            </w:pPr>
            <w:proofErr w:type="spellStart"/>
            <w:r w:rsidRPr="00981706">
              <w:rPr>
                <w:rtl/>
              </w:rPr>
              <w:t>Blaise</w:t>
            </w:r>
            <w:proofErr w:type="spellEnd"/>
            <w:r w:rsidRPr="00981706">
              <w:rPr>
                <w:rtl/>
              </w:rPr>
              <w:t xml:space="preserve"> MAMADOU، جمهورية إفريقيا الوسطى</w:t>
            </w:r>
          </w:p>
        </w:tc>
      </w:tr>
      <w:tr w:rsidR="001010FD" w:rsidRPr="00981706" w14:paraId="629B654C" w14:textId="77777777" w:rsidTr="002242C7">
        <w:trPr>
          <w:jc w:val="center"/>
        </w:trPr>
        <w:tc>
          <w:tcPr>
            <w:tcW w:w="742" w:type="pct"/>
            <w:shd w:val="clear" w:color="auto" w:fill="auto"/>
          </w:tcPr>
          <w:p w14:paraId="65DE72D4" w14:textId="77777777" w:rsidR="001010FD" w:rsidRPr="00981706" w:rsidRDefault="001010FD" w:rsidP="001010FD">
            <w:pPr>
              <w:pStyle w:val="Tabletext"/>
              <w:jc w:val="center"/>
              <w:rPr>
                <w:lang w:val="ar-SA" w:bidi="ar-EG"/>
              </w:rPr>
            </w:pPr>
            <w:r w:rsidRPr="00981706">
              <w:rPr>
                <w:rtl/>
              </w:rPr>
              <w:t>لجنة الدراسات 9</w:t>
            </w:r>
          </w:p>
        </w:tc>
        <w:tc>
          <w:tcPr>
            <w:tcW w:w="1936" w:type="pct"/>
            <w:shd w:val="clear" w:color="auto" w:fill="auto"/>
          </w:tcPr>
          <w:p w14:paraId="21E8184B" w14:textId="77777777" w:rsidR="001010FD" w:rsidRPr="00981706" w:rsidRDefault="001010FD" w:rsidP="002242C7">
            <w:pPr>
              <w:pStyle w:val="Tabletext"/>
              <w:rPr>
                <w:lang w:val="ar-SA" w:bidi="ar-EG"/>
              </w:rPr>
            </w:pPr>
            <w:r w:rsidRPr="00981706">
              <w:rPr>
                <w:rtl/>
              </w:rPr>
              <w:t>طوكيو، اليابان، 2-10 سبتمبر 2024</w:t>
            </w:r>
          </w:p>
        </w:tc>
        <w:tc>
          <w:tcPr>
            <w:tcW w:w="2322" w:type="pct"/>
            <w:shd w:val="clear" w:color="auto" w:fill="auto"/>
          </w:tcPr>
          <w:p w14:paraId="5FF8B096" w14:textId="77777777" w:rsidR="001010FD" w:rsidRPr="00981706" w:rsidRDefault="001010FD" w:rsidP="002242C7">
            <w:pPr>
              <w:pStyle w:val="Tabletext"/>
              <w:rPr>
                <w:lang w:val="ar-SA" w:bidi="ar-EG"/>
              </w:rPr>
            </w:pPr>
            <w:proofErr w:type="spellStart"/>
            <w:r w:rsidRPr="00981706">
              <w:rPr>
                <w:rtl/>
              </w:rPr>
              <w:t>Blaise</w:t>
            </w:r>
            <w:proofErr w:type="spellEnd"/>
            <w:r w:rsidRPr="00981706">
              <w:rPr>
                <w:rtl/>
              </w:rPr>
              <w:t xml:space="preserve"> MAMADOU، جمهورية إفريقيا الوسطى</w:t>
            </w:r>
          </w:p>
        </w:tc>
      </w:tr>
      <w:tr w:rsidR="001010FD" w:rsidRPr="00981706" w14:paraId="2B2A5553" w14:textId="77777777" w:rsidTr="002242C7">
        <w:trPr>
          <w:jc w:val="center"/>
        </w:trPr>
        <w:tc>
          <w:tcPr>
            <w:tcW w:w="742" w:type="pct"/>
            <w:shd w:val="clear" w:color="auto" w:fill="auto"/>
            <w:hideMark/>
          </w:tcPr>
          <w:p w14:paraId="7E8A09A5" w14:textId="77777777" w:rsidR="001010FD" w:rsidRPr="00981706" w:rsidRDefault="001010FD" w:rsidP="001010FD">
            <w:pPr>
              <w:pStyle w:val="Tabletext"/>
              <w:jc w:val="center"/>
              <w:rPr>
                <w:lang w:val="ar-SA" w:bidi="ar-EG"/>
              </w:rPr>
            </w:pPr>
            <w:r w:rsidRPr="00981706">
              <w:rPr>
                <w:rtl/>
              </w:rPr>
              <w:lastRenderedPageBreak/>
              <w:t>لجنة الدراسات 9</w:t>
            </w:r>
          </w:p>
        </w:tc>
        <w:tc>
          <w:tcPr>
            <w:tcW w:w="1936" w:type="pct"/>
            <w:shd w:val="clear" w:color="auto" w:fill="auto"/>
            <w:hideMark/>
          </w:tcPr>
          <w:p w14:paraId="10A0F482" w14:textId="77777777" w:rsidR="001010FD" w:rsidRPr="00981706" w:rsidRDefault="001010FD" w:rsidP="002242C7">
            <w:pPr>
              <w:pStyle w:val="Tabletext"/>
              <w:rPr>
                <w:lang w:val="ar-SA" w:bidi="ar-EG"/>
              </w:rPr>
            </w:pPr>
            <w:r w:rsidRPr="00981706">
              <w:rPr>
                <w:rtl/>
              </w:rPr>
              <w:t>بوغوتا، كولومبيا، 14-23 نوفمبر 2023</w:t>
            </w:r>
          </w:p>
        </w:tc>
        <w:tc>
          <w:tcPr>
            <w:tcW w:w="2322" w:type="pct"/>
            <w:shd w:val="clear" w:color="auto" w:fill="auto"/>
            <w:hideMark/>
          </w:tcPr>
          <w:p w14:paraId="09D0D28E" w14:textId="77777777" w:rsidR="001010FD" w:rsidRPr="00981706" w:rsidRDefault="001010FD" w:rsidP="002242C7">
            <w:pPr>
              <w:pStyle w:val="Tabletext"/>
              <w:rPr>
                <w:lang w:val="ar-SA" w:bidi="ar-EG"/>
              </w:rPr>
            </w:pPr>
            <w:proofErr w:type="spellStart"/>
            <w:r w:rsidRPr="00981706">
              <w:rPr>
                <w:rtl/>
              </w:rPr>
              <w:t>Zhifan</w:t>
            </w:r>
            <w:proofErr w:type="spellEnd"/>
            <w:r w:rsidRPr="00981706">
              <w:rPr>
                <w:rtl/>
              </w:rPr>
              <w:t xml:space="preserve"> SHENG، الصين</w:t>
            </w:r>
          </w:p>
        </w:tc>
      </w:tr>
      <w:tr w:rsidR="001010FD" w:rsidRPr="00981706" w14:paraId="27F6AFD6" w14:textId="77777777" w:rsidTr="002242C7">
        <w:trPr>
          <w:jc w:val="center"/>
        </w:trPr>
        <w:tc>
          <w:tcPr>
            <w:tcW w:w="742" w:type="pct"/>
            <w:shd w:val="clear" w:color="auto" w:fill="auto"/>
          </w:tcPr>
          <w:p w14:paraId="12180C6C" w14:textId="77777777" w:rsidR="001010FD" w:rsidRPr="00981706" w:rsidRDefault="001010FD" w:rsidP="001010FD">
            <w:pPr>
              <w:pStyle w:val="Tabletext"/>
              <w:jc w:val="center"/>
              <w:rPr>
                <w:lang w:val="ar-SA" w:bidi="ar-EG"/>
              </w:rPr>
            </w:pPr>
            <w:r w:rsidRPr="00981706">
              <w:rPr>
                <w:rtl/>
              </w:rPr>
              <w:t>لجنة الدراسات 9</w:t>
            </w:r>
          </w:p>
        </w:tc>
        <w:tc>
          <w:tcPr>
            <w:tcW w:w="1936" w:type="pct"/>
            <w:shd w:val="clear" w:color="auto" w:fill="auto"/>
          </w:tcPr>
          <w:p w14:paraId="3FA158B6" w14:textId="77777777" w:rsidR="001010FD" w:rsidRPr="00981706" w:rsidRDefault="001010FD" w:rsidP="002242C7">
            <w:pPr>
              <w:pStyle w:val="Tabletext"/>
              <w:rPr>
                <w:lang w:val="ar-SA" w:bidi="ar-EG"/>
              </w:rPr>
            </w:pPr>
            <w:r w:rsidRPr="00981706">
              <w:rPr>
                <w:rtl/>
              </w:rPr>
              <w:t>طوكيو، اليابان، 2-10 سبتمبر 2024</w:t>
            </w:r>
          </w:p>
        </w:tc>
        <w:tc>
          <w:tcPr>
            <w:tcW w:w="2322" w:type="pct"/>
            <w:shd w:val="clear" w:color="auto" w:fill="auto"/>
          </w:tcPr>
          <w:p w14:paraId="2BD510EA" w14:textId="77777777" w:rsidR="001010FD" w:rsidRPr="00981706" w:rsidRDefault="001010FD" w:rsidP="002242C7">
            <w:pPr>
              <w:pStyle w:val="Tabletext"/>
              <w:rPr>
                <w:lang w:val="ar-SA" w:bidi="ar-EG"/>
              </w:rPr>
            </w:pPr>
            <w:proofErr w:type="spellStart"/>
            <w:r w:rsidRPr="00981706">
              <w:rPr>
                <w:rtl/>
              </w:rPr>
              <w:t>Zhifan</w:t>
            </w:r>
            <w:proofErr w:type="spellEnd"/>
            <w:r w:rsidRPr="00981706">
              <w:rPr>
                <w:rtl/>
              </w:rPr>
              <w:t xml:space="preserve"> SHENG، الصين</w:t>
            </w:r>
          </w:p>
        </w:tc>
      </w:tr>
      <w:tr w:rsidR="001010FD" w:rsidRPr="00981706" w14:paraId="57347D9D" w14:textId="77777777" w:rsidTr="002242C7">
        <w:trPr>
          <w:jc w:val="center"/>
        </w:trPr>
        <w:tc>
          <w:tcPr>
            <w:tcW w:w="742" w:type="pct"/>
            <w:shd w:val="clear" w:color="auto" w:fill="auto"/>
          </w:tcPr>
          <w:p w14:paraId="3DC45B84"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30F7A854" w14:textId="77777777" w:rsidR="001010FD" w:rsidRPr="00981706" w:rsidRDefault="001010FD" w:rsidP="002242C7">
            <w:pPr>
              <w:pStyle w:val="Tabletext"/>
              <w:rPr>
                <w:lang w:val="ar-SA" w:bidi="ar-EG"/>
              </w:rPr>
            </w:pPr>
            <w:r w:rsidRPr="00981706">
              <w:rPr>
                <w:rtl/>
              </w:rPr>
              <w:t>جنيف، 1-10 مايو 2024</w:t>
            </w:r>
          </w:p>
        </w:tc>
        <w:tc>
          <w:tcPr>
            <w:tcW w:w="2322" w:type="pct"/>
            <w:shd w:val="clear" w:color="auto" w:fill="auto"/>
          </w:tcPr>
          <w:p w14:paraId="28015C09" w14:textId="77777777" w:rsidR="001010FD" w:rsidRPr="00981706" w:rsidRDefault="001010FD" w:rsidP="002242C7">
            <w:pPr>
              <w:pStyle w:val="Tabletext"/>
              <w:rPr>
                <w:lang w:val="ar-SA" w:bidi="ar-EG"/>
              </w:rPr>
            </w:pPr>
            <w:proofErr w:type="spellStart"/>
            <w:r w:rsidRPr="00981706">
              <w:rPr>
                <w:rtl/>
              </w:rPr>
              <w:t>Arezu</w:t>
            </w:r>
            <w:proofErr w:type="spellEnd"/>
            <w:r w:rsidRPr="00981706">
              <w:rPr>
                <w:rtl/>
              </w:rPr>
              <w:t xml:space="preserve"> OROJLU، إيران</w:t>
            </w:r>
          </w:p>
        </w:tc>
      </w:tr>
      <w:tr w:rsidR="001010FD" w:rsidRPr="00981706" w14:paraId="7CF66A9D" w14:textId="77777777" w:rsidTr="002242C7">
        <w:trPr>
          <w:jc w:val="center"/>
        </w:trPr>
        <w:tc>
          <w:tcPr>
            <w:tcW w:w="742" w:type="pct"/>
            <w:shd w:val="clear" w:color="auto" w:fill="auto"/>
          </w:tcPr>
          <w:p w14:paraId="13C3E0A8"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5C8E40BB" w14:textId="77777777" w:rsidR="001010FD" w:rsidRPr="00981706" w:rsidRDefault="001010FD" w:rsidP="002242C7">
            <w:pPr>
              <w:pStyle w:val="Tabletext"/>
              <w:rPr>
                <w:lang w:val="ar-SA" w:bidi="ar-EG"/>
              </w:rPr>
            </w:pPr>
            <w:r w:rsidRPr="00981706">
              <w:rPr>
                <w:rtl/>
              </w:rPr>
              <w:t>جنيف، 10-19 مايو 2023</w:t>
            </w:r>
          </w:p>
        </w:tc>
        <w:tc>
          <w:tcPr>
            <w:tcW w:w="2322" w:type="pct"/>
            <w:shd w:val="clear" w:color="auto" w:fill="auto"/>
          </w:tcPr>
          <w:p w14:paraId="58562C82" w14:textId="77777777" w:rsidR="001010FD" w:rsidRPr="00981706" w:rsidRDefault="001010FD" w:rsidP="002242C7">
            <w:pPr>
              <w:pStyle w:val="Tabletext"/>
              <w:rPr>
                <w:lang w:val="ar-SA" w:bidi="ar-EG"/>
              </w:rPr>
            </w:pPr>
            <w:proofErr w:type="spellStart"/>
            <w:r w:rsidRPr="00981706">
              <w:rPr>
                <w:rtl/>
              </w:rPr>
              <w:t>Arezu</w:t>
            </w:r>
            <w:proofErr w:type="spellEnd"/>
            <w:r w:rsidRPr="00981706">
              <w:rPr>
                <w:rtl/>
              </w:rPr>
              <w:t xml:space="preserve"> OROJLU، إيران</w:t>
            </w:r>
          </w:p>
        </w:tc>
      </w:tr>
      <w:tr w:rsidR="001010FD" w:rsidRPr="00981706" w14:paraId="452F9F4C" w14:textId="77777777" w:rsidTr="002242C7">
        <w:trPr>
          <w:jc w:val="center"/>
        </w:trPr>
        <w:tc>
          <w:tcPr>
            <w:tcW w:w="742" w:type="pct"/>
            <w:shd w:val="clear" w:color="auto" w:fill="auto"/>
            <w:hideMark/>
          </w:tcPr>
          <w:p w14:paraId="1464FEC0"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hideMark/>
          </w:tcPr>
          <w:p w14:paraId="018DCD04" w14:textId="77777777" w:rsidR="001010FD" w:rsidRPr="00981706" w:rsidRDefault="001010FD" w:rsidP="002242C7">
            <w:pPr>
              <w:pStyle w:val="Tabletext"/>
              <w:rPr>
                <w:lang w:val="ar-SA" w:bidi="ar-EG"/>
              </w:rPr>
            </w:pPr>
            <w:r w:rsidRPr="00981706">
              <w:rPr>
                <w:rtl/>
              </w:rPr>
              <w:t>جنيف، 10-20 أكتوبر 2023</w:t>
            </w:r>
          </w:p>
        </w:tc>
        <w:tc>
          <w:tcPr>
            <w:tcW w:w="2322" w:type="pct"/>
            <w:shd w:val="clear" w:color="auto" w:fill="auto"/>
            <w:hideMark/>
          </w:tcPr>
          <w:p w14:paraId="37FECDF2" w14:textId="77777777" w:rsidR="001010FD" w:rsidRPr="00981706" w:rsidRDefault="001010FD" w:rsidP="002242C7">
            <w:pPr>
              <w:pStyle w:val="Tabletext"/>
              <w:rPr>
                <w:lang w:val="ar-SA" w:bidi="ar-EG"/>
              </w:rPr>
            </w:pPr>
            <w:proofErr w:type="spellStart"/>
            <w:r w:rsidRPr="00981706">
              <w:rPr>
                <w:rtl/>
              </w:rPr>
              <w:t>Arezu</w:t>
            </w:r>
            <w:proofErr w:type="spellEnd"/>
            <w:r w:rsidRPr="00981706">
              <w:rPr>
                <w:rtl/>
              </w:rPr>
              <w:t xml:space="preserve"> OROJLU، إيران</w:t>
            </w:r>
          </w:p>
        </w:tc>
      </w:tr>
      <w:tr w:rsidR="001010FD" w:rsidRPr="00981706" w14:paraId="7EB1E059" w14:textId="77777777" w:rsidTr="002242C7">
        <w:trPr>
          <w:jc w:val="center"/>
        </w:trPr>
        <w:tc>
          <w:tcPr>
            <w:tcW w:w="742" w:type="pct"/>
            <w:shd w:val="clear" w:color="auto" w:fill="auto"/>
          </w:tcPr>
          <w:p w14:paraId="4EFEF881"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26905B29" w14:textId="77777777" w:rsidR="001010FD" w:rsidRPr="00981706" w:rsidRDefault="001010FD" w:rsidP="002242C7">
            <w:pPr>
              <w:pStyle w:val="Tabletext"/>
              <w:rPr>
                <w:lang w:val="ar-SA" w:bidi="ar-EG"/>
              </w:rPr>
            </w:pPr>
            <w:r w:rsidRPr="00981706">
              <w:rPr>
                <w:rtl/>
              </w:rPr>
              <w:t>جنيف، 1-10 مايو 2024</w:t>
            </w:r>
          </w:p>
        </w:tc>
        <w:tc>
          <w:tcPr>
            <w:tcW w:w="2322" w:type="pct"/>
            <w:shd w:val="clear" w:color="auto" w:fill="auto"/>
          </w:tcPr>
          <w:p w14:paraId="0B05F5C3" w14:textId="77777777" w:rsidR="001010FD" w:rsidRPr="00981706" w:rsidRDefault="001010FD" w:rsidP="002242C7">
            <w:pPr>
              <w:pStyle w:val="Tabletext"/>
              <w:rPr>
                <w:lang w:val="ar-SA" w:bidi="ar-EG"/>
              </w:rPr>
            </w:pPr>
            <w:r w:rsidRPr="00981706">
              <w:rPr>
                <w:rtl/>
              </w:rPr>
              <w:t xml:space="preserve">Ibrahim </w:t>
            </w:r>
            <w:proofErr w:type="spellStart"/>
            <w:r w:rsidRPr="00981706">
              <w:rPr>
                <w:rtl/>
              </w:rPr>
              <w:t>Abdalah</w:t>
            </w:r>
            <w:proofErr w:type="spellEnd"/>
            <w:r w:rsidRPr="00981706">
              <w:rPr>
                <w:rtl/>
              </w:rPr>
              <w:t xml:space="preserve"> Mohamed BALA، السودان</w:t>
            </w:r>
          </w:p>
        </w:tc>
      </w:tr>
      <w:tr w:rsidR="001010FD" w:rsidRPr="00981706" w14:paraId="044783E3" w14:textId="77777777" w:rsidTr="002242C7">
        <w:trPr>
          <w:jc w:val="center"/>
        </w:trPr>
        <w:tc>
          <w:tcPr>
            <w:tcW w:w="742" w:type="pct"/>
            <w:shd w:val="clear" w:color="auto" w:fill="auto"/>
          </w:tcPr>
          <w:p w14:paraId="08F8C47A"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4A961F76" w14:textId="77777777" w:rsidR="001010FD" w:rsidRPr="00981706" w:rsidRDefault="001010FD" w:rsidP="002242C7">
            <w:pPr>
              <w:pStyle w:val="Tabletext"/>
              <w:rPr>
                <w:lang w:val="ar-SA" w:bidi="ar-EG"/>
              </w:rPr>
            </w:pPr>
            <w:r w:rsidRPr="00981706">
              <w:rPr>
                <w:rtl/>
              </w:rPr>
              <w:t>جنيف، 10-19 مايو 2023</w:t>
            </w:r>
          </w:p>
        </w:tc>
        <w:tc>
          <w:tcPr>
            <w:tcW w:w="2322" w:type="pct"/>
            <w:shd w:val="clear" w:color="auto" w:fill="auto"/>
          </w:tcPr>
          <w:p w14:paraId="7C41D2F9" w14:textId="77777777" w:rsidR="001010FD" w:rsidRPr="00981706" w:rsidRDefault="001010FD" w:rsidP="002242C7">
            <w:pPr>
              <w:pStyle w:val="Tabletext"/>
              <w:rPr>
                <w:lang w:val="ar-SA" w:bidi="ar-EG"/>
              </w:rPr>
            </w:pPr>
            <w:r w:rsidRPr="00981706">
              <w:rPr>
                <w:rtl/>
              </w:rPr>
              <w:t xml:space="preserve">Ibrahim </w:t>
            </w:r>
            <w:proofErr w:type="spellStart"/>
            <w:r w:rsidRPr="00981706">
              <w:rPr>
                <w:rtl/>
              </w:rPr>
              <w:t>Abdalah</w:t>
            </w:r>
            <w:proofErr w:type="spellEnd"/>
            <w:r w:rsidRPr="00981706">
              <w:rPr>
                <w:rtl/>
              </w:rPr>
              <w:t xml:space="preserve"> Mohamed BALA، السودان</w:t>
            </w:r>
          </w:p>
        </w:tc>
      </w:tr>
      <w:tr w:rsidR="001010FD" w:rsidRPr="00981706" w14:paraId="13F021B4" w14:textId="77777777" w:rsidTr="002242C7">
        <w:trPr>
          <w:jc w:val="center"/>
        </w:trPr>
        <w:tc>
          <w:tcPr>
            <w:tcW w:w="742" w:type="pct"/>
            <w:shd w:val="clear" w:color="auto" w:fill="auto"/>
            <w:hideMark/>
          </w:tcPr>
          <w:p w14:paraId="469B3E75"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hideMark/>
          </w:tcPr>
          <w:p w14:paraId="4CB7E1AD" w14:textId="77777777" w:rsidR="001010FD" w:rsidRPr="00981706" w:rsidRDefault="001010FD" w:rsidP="002242C7">
            <w:pPr>
              <w:pStyle w:val="Tabletext"/>
              <w:rPr>
                <w:lang w:val="ar-SA" w:bidi="ar-EG"/>
              </w:rPr>
            </w:pPr>
            <w:r w:rsidRPr="00981706">
              <w:rPr>
                <w:rtl/>
              </w:rPr>
              <w:t>جنيف، 10-20 أكتوبر 2023</w:t>
            </w:r>
          </w:p>
        </w:tc>
        <w:tc>
          <w:tcPr>
            <w:tcW w:w="2322" w:type="pct"/>
            <w:shd w:val="clear" w:color="auto" w:fill="auto"/>
            <w:hideMark/>
          </w:tcPr>
          <w:p w14:paraId="45597527" w14:textId="77777777" w:rsidR="001010FD" w:rsidRPr="00981706" w:rsidRDefault="001010FD" w:rsidP="002242C7">
            <w:pPr>
              <w:pStyle w:val="Tabletext"/>
              <w:rPr>
                <w:lang w:val="ar-SA" w:bidi="ar-EG"/>
              </w:rPr>
            </w:pPr>
            <w:r w:rsidRPr="00981706">
              <w:rPr>
                <w:rtl/>
              </w:rPr>
              <w:t xml:space="preserve">Ibrahim </w:t>
            </w:r>
            <w:proofErr w:type="spellStart"/>
            <w:r w:rsidRPr="00981706">
              <w:rPr>
                <w:rtl/>
              </w:rPr>
              <w:t>Abdalah</w:t>
            </w:r>
            <w:proofErr w:type="spellEnd"/>
            <w:r w:rsidRPr="00981706">
              <w:rPr>
                <w:rtl/>
              </w:rPr>
              <w:t xml:space="preserve"> Mohamed BALA، السودان</w:t>
            </w:r>
          </w:p>
        </w:tc>
      </w:tr>
      <w:tr w:rsidR="001010FD" w:rsidRPr="00981706" w14:paraId="22172AD6" w14:textId="77777777" w:rsidTr="002242C7">
        <w:trPr>
          <w:jc w:val="center"/>
        </w:trPr>
        <w:tc>
          <w:tcPr>
            <w:tcW w:w="742" w:type="pct"/>
            <w:shd w:val="clear" w:color="auto" w:fill="auto"/>
          </w:tcPr>
          <w:p w14:paraId="7E49A345"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6A0986B3" w14:textId="77777777" w:rsidR="001010FD" w:rsidRPr="00981706" w:rsidRDefault="001010FD" w:rsidP="002242C7">
            <w:pPr>
              <w:pStyle w:val="Tabletext"/>
              <w:rPr>
                <w:lang w:val="ar-SA" w:bidi="ar-EG"/>
              </w:rPr>
            </w:pPr>
            <w:r w:rsidRPr="00981706">
              <w:rPr>
                <w:rtl/>
              </w:rPr>
              <w:t>جنيف، 1-10 مايو 2024</w:t>
            </w:r>
          </w:p>
        </w:tc>
        <w:tc>
          <w:tcPr>
            <w:tcW w:w="2322" w:type="pct"/>
            <w:shd w:val="clear" w:color="auto" w:fill="auto"/>
          </w:tcPr>
          <w:p w14:paraId="0A816BF4" w14:textId="77777777" w:rsidR="001010FD" w:rsidRPr="00981706" w:rsidRDefault="001010FD" w:rsidP="002242C7">
            <w:pPr>
              <w:pStyle w:val="Tabletext"/>
              <w:rPr>
                <w:lang w:val="ar-SA" w:bidi="ar-EG"/>
              </w:rPr>
            </w:pPr>
            <w:proofErr w:type="spellStart"/>
            <w:r w:rsidRPr="00981706">
              <w:rPr>
                <w:rtl/>
              </w:rPr>
              <w:t>Juan</w:t>
            </w:r>
            <w:proofErr w:type="spellEnd"/>
            <w:r w:rsidRPr="00981706">
              <w:rPr>
                <w:rtl/>
              </w:rPr>
              <w:t xml:space="preserve"> </w:t>
            </w:r>
            <w:proofErr w:type="spellStart"/>
            <w:r w:rsidRPr="00981706">
              <w:rPr>
                <w:rtl/>
              </w:rPr>
              <w:t>Matias</w:t>
            </w:r>
            <w:proofErr w:type="spellEnd"/>
            <w:r w:rsidRPr="00981706">
              <w:rPr>
                <w:rtl/>
              </w:rPr>
              <w:t xml:space="preserve"> CATTANEO، الأرجنتين</w:t>
            </w:r>
          </w:p>
        </w:tc>
      </w:tr>
      <w:tr w:rsidR="001010FD" w:rsidRPr="00981706" w14:paraId="31CFB333" w14:textId="77777777" w:rsidTr="002242C7">
        <w:trPr>
          <w:jc w:val="center"/>
        </w:trPr>
        <w:tc>
          <w:tcPr>
            <w:tcW w:w="742" w:type="pct"/>
            <w:shd w:val="clear" w:color="auto" w:fill="auto"/>
          </w:tcPr>
          <w:p w14:paraId="6DD31A3F"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56A2E02A" w14:textId="77777777" w:rsidR="001010FD" w:rsidRPr="00981706" w:rsidRDefault="001010FD" w:rsidP="002242C7">
            <w:pPr>
              <w:pStyle w:val="Tabletext"/>
              <w:rPr>
                <w:lang w:val="ar-SA" w:bidi="ar-EG"/>
              </w:rPr>
            </w:pPr>
            <w:r w:rsidRPr="00981706">
              <w:rPr>
                <w:rtl/>
              </w:rPr>
              <w:t>جنيف، 10-19 مايو 2023</w:t>
            </w:r>
          </w:p>
        </w:tc>
        <w:tc>
          <w:tcPr>
            <w:tcW w:w="2322" w:type="pct"/>
            <w:shd w:val="clear" w:color="auto" w:fill="auto"/>
          </w:tcPr>
          <w:p w14:paraId="417EA012" w14:textId="77777777" w:rsidR="001010FD" w:rsidRPr="00981706" w:rsidRDefault="001010FD" w:rsidP="002242C7">
            <w:pPr>
              <w:pStyle w:val="Tabletext"/>
              <w:rPr>
                <w:lang w:val="ar-SA" w:bidi="ar-EG"/>
              </w:rPr>
            </w:pPr>
            <w:proofErr w:type="spellStart"/>
            <w:r w:rsidRPr="00981706">
              <w:rPr>
                <w:rtl/>
              </w:rPr>
              <w:t>Juan</w:t>
            </w:r>
            <w:proofErr w:type="spellEnd"/>
            <w:r w:rsidRPr="00981706">
              <w:rPr>
                <w:rtl/>
              </w:rPr>
              <w:t xml:space="preserve"> </w:t>
            </w:r>
            <w:proofErr w:type="spellStart"/>
            <w:r w:rsidRPr="00981706">
              <w:rPr>
                <w:rtl/>
              </w:rPr>
              <w:t>Matias</w:t>
            </w:r>
            <w:proofErr w:type="spellEnd"/>
            <w:r w:rsidRPr="00981706">
              <w:rPr>
                <w:rtl/>
              </w:rPr>
              <w:t xml:space="preserve"> CATTANEO، الأرجنتين</w:t>
            </w:r>
          </w:p>
        </w:tc>
      </w:tr>
      <w:tr w:rsidR="001010FD" w:rsidRPr="00981706" w14:paraId="09079F8C" w14:textId="77777777" w:rsidTr="002242C7">
        <w:trPr>
          <w:jc w:val="center"/>
        </w:trPr>
        <w:tc>
          <w:tcPr>
            <w:tcW w:w="742" w:type="pct"/>
            <w:shd w:val="clear" w:color="auto" w:fill="auto"/>
            <w:hideMark/>
          </w:tcPr>
          <w:p w14:paraId="081A6B25"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hideMark/>
          </w:tcPr>
          <w:p w14:paraId="788D2615" w14:textId="77777777" w:rsidR="001010FD" w:rsidRPr="00981706" w:rsidRDefault="001010FD" w:rsidP="002242C7">
            <w:pPr>
              <w:pStyle w:val="Tabletext"/>
              <w:rPr>
                <w:lang w:val="ar-SA" w:bidi="ar-EG"/>
              </w:rPr>
            </w:pPr>
            <w:r w:rsidRPr="00981706">
              <w:rPr>
                <w:rtl/>
              </w:rPr>
              <w:t>جنيف، 10-20 أكتوبر 2023</w:t>
            </w:r>
          </w:p>
        </w:tc>
        <w:tc>
          <w:tcPr>
            <w:tcW w:w="2322" w:type="pct"/>
            <w:shd w:val="clear" w:color="auto" w:fill="auto"/>
            <w:hideMark/>
          </w:tcPr>
          <w:p w14:paraId="59FAE3F2" w14:textId="77777777" w:rsidR="001010FD" w:rsidRPr="00981706" w:rsidRDefault="001010FD" w:rsidP="002242C7">
            <w:pPr>
              <w:pStyle w:val="Tabletext"/>
              <w:rPr>
                <w:lang w:val="ar-SA" w:bidi="ar-EG"/>
              </w:rPr>
            </w:pPr>
            <w:proofErr w:type="spellStart"/>
            <w:r w:rsidRPr="00981706">
              <w:rPr>
                <w:rtl/>
              </w:rPr>
              <w:t>Juan</w:t>
            </w:r>
            <w:proofErr w:type="spellEnd"/>
            <w:r w:rsidRPr="00981706">
              <w:rPr>
                <w:rtl/>
              </w:rPr>
              <w:t xml:space="preserve"> </w:t>
            </w:r>
            <w:proofErr w:type="spellStart"/>
            <w:r w:rsidRPr="00981706">
              <w:rPr>
                <w:rtl/>
              </w:rPr>
              <w:t>Matias</w:t>
            </w:r>
            <w:proofErr w:type="spellEnd"/>
            <w:r w:rsidRPr="00981706">
              <w:rPr>
                <w:rtl/>
              </w:rPr>
              <w:t xml:space="preserve"> CATTANEO، الأرجنتين</w:t>
            </w:r>
          </w:p>
        </w:tc>
      </w:tr>
      <w:tr w:rsidR="001010FD" w:rsidRPr="00981706" w14:paraId="57778C66" w14:textId="77777777" w:rsidTr="002242C7">
        <w:trPr>
          <w:jc w:val="center"/>
        </w:trPr>
        <w:tc>
          <w:tcPr>
            <w:tcW w:w="742" w:type="pct"/>
            <w:shd w:val="clear" w:color="auto" w:fill="auto"/>
          </w:tcPr>
          <w:p w14:paraId="04806F2B" w14:textId="77777777" w:rsidR="001010FD" w:rsidRPr="00E93A4B" w:rsidRDefault="001010FD" w:rsidP="001010FD">
            <w:pPr>
              <w:pStyle w:val="Tabletext"/>
              <w:jc w:val="center"/>
              <w:rPr>
                <w:spacing w:val="-6"/>
                <w:lang w:val="ar-SA" w:bidi="ar-EG"/>
              </w:rPr>
            </w:pPr>
            <w:r w:rsidRPr="00E93A4B">
              <w:rPr>
                <w:spacing w:val="-6"/>
                <w:rtl/>
              </w:rPr>
              <w:t>لجنة الدراسات 11</w:t>
            </w:r>
          </w:p>
        </w:tc>
        <w:tc>
          <w:tcPr>
            <w:tcW w:w="1936" w:type="pct"/>
            <w:shd w:val="clear" w:color="auto" w:fill="auto"/>
          </w:tcPr>
          <w:p w14:paraId="4E3565AA" w14:textId="77777777" w:rsidR="001010FD" w:rsidRPr="00981706" w:rsidRDefault="001010FD" w:rsidP="002242C7">
            <w:pPr>
              <w:pStyle w:val="Tabletext"/>
              <w:rPr>
                <w:lang w:val="ar-SA" w:bidi="ar-EG"/>
              </w:rPr>
            </w:pPr>
            <w:r w:rsidRPr="00981706">
              <w:rPr>
                <w:rtl/>
              </w:rPr>
              <w:t>جنيف، 6-15 يوليو 2022</w:t>
            </w:r>
          </w:p>
        </w:tc>
        <w:tc>
          <w:tcPr>
            <w:tcW w:w="2322" w:type="pct"/>
            <w:shd w:val="clear" w:color="auto" w:fill="auto"/>
          </w:tcPr>
          <w:p w14:paraId="718A0891" w14:textId="77777777" w:rsidR="001010FD" w:rsidRPr="00981706" w:rsidRDefault="001010FD" w:rsidP="002242C7">
            <w:pPr>
              <w:pStyle w:val="Tabletext"/>
              <w:rPr>
                <w:lang w:val="ar-SA" w:bidi="ar-EG"/>
              </w:rPr>
            </w:pPr>
            <w:proofErr w:type="spellStart"/>
            <w:r w:rsidRPr="00981706">
              <w:rPr>
                <w:rtl/>
              </w:rPr>
              <w:t>Juan</w:t>
            </w:r>
            <w:proofErr w:type="spellEnd"/>
            <w:r w:rsidRPr="00981706">
              <w:rPr>
                <w:rtl/>
              </w:rPr>
              <w:t xml:space="preserve"> </w:t>
            </w:r>
            <w:proofErr w:type="spellStart"/>
            <w:r w:rsidRPr="00981706">
              <w:rPr>
                <w:rtl/>
              </w:rPr>
              <w:t>Matias</w:t>
            </w:r>
            <w:proofErr w:type="spellEnd"/>
            <w:r w:rsidRPr="00981706">
              <w:rPr>
                <w:rtl/>
              </w:rPr>
              <w:t xml:space="preserve"> CATTANEO، الأرجنتين</w:t>
            </w:r>
          </w:p>
        </w:tc>
      </w:tr>
      <w:tr w:rsidR="001010FD" w:rsidRPr="00981706" w14:paraId="4EF8BCE5" w14:textId="77777777" w:rsidTr="002242C7">
        <w:trPr>
          <w:jc w:val="center"/>
        </w:trPr>
        <w:tc>
          <w:tcPr>
            <w:tcW w:w="742" w:type="pct"/>
            <w:shd w:val="clear" w:color="auto" w:fill="auto"/>
            <w:hideMark/>
          </w:tcPr>
          <w:p w14:paraId="20520A49"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hideMark/>
          </w:tcPr>
          <w:p w14:paraId="06615536" w14:textId="77777777" w:rsidR="001010FD" w:rsidRPr="00981706" w:rsidRDefault="001010FD" w:rsidP="002242C7">
            <w:pPr>
              <w:pStyle w:val="Tabletext"/>
              <w:rPr>
                <w:lang w:val="ar-SA" w:bidi="ar-EG"/>
              </w:rPr>
            </w:pPr>
            <w:r w:rsidRPr="00981706">
              <w:rPr>
                <w:rtl/>
              </w:rPr>
              <w:t>مدينة مكسيكو، المكسيك، 19-28 سبتمبر 2023</w:t>
            </w:r>
          </w:p>
        </w:tc>
        <w:tc>
          <w:tcPr>
            <w:tcW w:w="2322" w:type="pct"/>
            <w:shd w:val="clear" w:color="auto" w:fill="auto"/>
            <w:hideMark/>
          </w:tcPr>
          <w:p w14:paraId="5F0E9F0E" w14:textId="77777777" w:rsidR="001010FD" w:rsidRPr="00981706" w:rsidRDefault="001010FD" w:rsidP="002242C7">
            <w:pPr>
              <w:pStyle w:val="Tabletext"/>
              <w:rPr>
                <w:lang w:val="ar-SA" w:bidi="ar-EG"/>
              </w:rPr>
            </w:pPr>
            <w:proofErr w:type="spellStart"/>
            <w:r w:rsidRPr="00981706">
              <w:rPr>
                <w:rtl/>
              </w:rPr>
              <w:t>Ammar</w:t>
            </w:r>
            <w:proofErr w:type="spellEnd"/>
            <w:r w:rsidRPr="00981706">
              <w:rPr>
                <w:rtl/>
              </w:rPr>
              <w:t xml:space="preserve"> ABDALLAH، السودان</w:t>
            </w:r>
          </w:p>
        </w:tc>
      </w:tr>
      <w:tr w:rsidR="001010FD" w:rsidRPr="00981706" w14:paraId="7F216D80" w14:textId="77777777" w:rsidTr="002242C7">
        <w:trPr>
          <w:jc w:val="center"/>
        </w:trPr>
        <w:tc>
          <w:tcPr>
            <w:tcW w:w="742" w:type="pct"/>
            <w:shd w:val="clear" w:color="auto" w:fill="auto"/>
          </w:tcPr>
          <w:p w14:paraId="37736ABE"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tcPr>
          <w:p w14:paraId="61D2D4C9" w14:textId="77777777" w:rsidR="001010FD" w:rsidRPr="00981706" w:rsidRDefault="001010FD" w:rsidP="002242C7">
            <w:pPr>
              <w:pStyle w:val="Tabletext"/>
              <w:rPr>
                <w:lang w:val="ar-SA" w:bidi="ar-EG"/>
              </w:rPr>
            </w:pPr>
            <w:r w:rsidRPr="00981706">
              <w:rPr>
                <w:rtl/>
              </w:rPr>
              <w:t>جنيف، 18-26 يناير 2023</w:t>
            </w:r>
          </w:p>
        </w:tc>
        <w:tc>
          <w:tcPr>
            <w:tcW w:w="2322" w:type="pct"/>
            <w:shd w:val="clear" w:color="auto" w:fill="auto"/>
          </w:tcPr>
          <w:p w14:paraId="703A1415" w14:textId="77777777" w:rsidR="001010FD" w:rsidRPr="00981706" w:rsidRDefault="001010FD" w:rsidP="002242C7">
            <w:pPr>
              <w:pStyle w:val="Tabletext"/>
              <w:rPr>
                <w:lang w:val="ar-SA" w:bidi="ar-EG"/>
              </w:rPr>
            </w:pPr>
            <w:proofErr w:type="spellStart"/>
            <w:r w:rsidRPr="00981706">
              <w:rPr>
                <w:rtl/>
              </w:rPr>
              <w:t>Collins</w:t>
            </w:r>
            <w:proofErr w:type="spellEnd"/>
            <w:r w:rsidRPr="00981706">
              <w:rPr>
                <w:rtl/>
              </w:rPr>
              <w:t xml:space="preserve"> MBULO، زامبيا</w:t>
            </w:r>
          </w:p>
        </w:tc>
      </w:tr>
      <w:tr w:rsidR="001010FD" w:rsidRPr="00981706" w14:paraId="2C600B91" w14:textId="77777777" w:rsidTr="002242C7">
        <w:trPr>
          <w:jc w:val="center"/>
        </w:trPr>
        <w:tc>
          <w:tcPr>
            <w:tcW w:w="742" w:type="pct"/>
            <w:shd w:val="clear" w:color="auto" w:fill="auto"/>
            <w:hideMark/>
          </w:tcPr>
          <w:p w14:paraId="4072BBB7"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hideMark/>
          </w:tcPr>
          <w:p w14:paraId="0C982AD5" w14:textId="77777777" w:rsidR="001010FD" w:rsidRPr="00981706" w:rsidRDefault="001010FD" w:rsidP="002242C7">
            <w:pPr>
              <w:pStyle w:val="Tabletext"/>
              <w:rPr>
                <w:lang w:val="ar-SA" w:bidi="ar-EG"/>
              </w:rPr>
            </w:pPr>
            <w:r w:rsidRPr="00981706">
              <w:rPr>
                <w:rtl/>
              </w:rPr>
              <w:t>مدينة مكسيكو، المكسيك، 19-28 سبتمبر 2023</w:t>
            </w:r>
          </w:p>
        </w:tc>
        <w:tc>
          <w:tcPr>
            <w:tcW w:w="2322" w:type="pct"/>
            <w:shd w:val="clear" w:color="auto" w:fill="auto"/>
            <w:hideMark/>
          </w:tcPr>
          <w:p w14:paraId="44AFEE91" w14:textId="77777777" w:rsidR="001010FD" w:rsidRPr="00981706" w:rsidRDefault="001010FD" w:rsidP="002242C7">
            <w:pPr>
              <w:pStyle w:val="Tabletext"/>
              <w:rPr>
                <w:lang w:val="ar-SA" w:bidi="ar-EG"/>
              </w:rPr>
            </w:pPr>
            <w:proofErr w:type="spellStart"/>
            <w:r w:rsidRPr="00981706">
              <w:rPr>
                <w:rtl/>
              </w:rPr>
              <w:t>Collins</w:t>
            </w:r>
            <w:proofErr w:type="spellEnd"/>
            <w:r w:rsidRPr="00981706">
              <w:rPr>
                <w:rtl/>
              </w:rPr>
              <w:t xml:space="preserve"> MBULO، زامبيا</w:t>
            </w:r>
          </w:p>
        </w:tc>
      </w:tr>
      <w:tr w:rsidR="001010FD" w:rsidRPr="00981706" w14:paraId="4E46A780" w14:textId="77777777" w:rsidTr="002242C7">
        <w:trPr>
          <w:jc w:val="center"/>
        </w:trPr>
        <w:tc>
          <w:tcPr>
            <w:tcW w:w="742" w:type="pct"/>
            <w:shd w:val="clear" w:color="auto" w:fill="auto"/>
          </w:tcPr>
          <w:p w14:paraId="7BA879D0"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tcPr>
          <w:p w14:paraId="09560CFD" w14:textId="77777777" w:rsidR="001010FD" w:rsidRPr="00981706" w:rsidRDefault="001010FD" w:rsidP="002242C7">
            <w:pPr>
              <w:pStyle w:val="Tabletext"/>
              <w:rPr>
                <w:lang w:val="ar-SA" w:bidi="ar-EG"/>
              </w:rPr>
            </w:pPr>
            <w:r w:rsidRPr="00981706">
              <w:rPr>
                <w:rtl/>
              </w:rPr>
              <w:t>جنيف، 16-25 أبريل 2024</w:t>
            </w:r>
          </w:p>
        </w:tc>
        <w:tc>
          <w:tcPr>
            <w:tcW w:w="2322" w:type="pct"/>
            <w:shd w:val="clear" w:color="auto" w:fill="auto"/>
          </w:tcPr>
          <w:p w14:paraId="453CF318" w14:textId="77777777" w:rsidR="001010FD" w:rsidRPr="00981706" w:rsidRDefault="001010FD" w:rsidP="002242C7">
            <w:pPr>
              <w:pStyle w:val="Tabletext"/>
              <w:rPr>
                <w:lang w:val="ar-SA" w:bidi="ar-EG"/>
              </w:rPr>
            </w:pPr>
            <w:proofErr w:type="spellStart"/>
            <w:r w:rsidRPr="00981706">
              <w:rPr>
                <w:rtl/>
              </w:rPr>
              <w:t>Edoyemi</w:t>
            </w:r>
            <w:proofErr w:type="spellEnd"/>
            <w:r w:rsidRPr="00981706">
              <w:rPr>
                <w:rtl/>
              </w:rPr>
              <w:t xml:space="preserve"> OGOH، نيجيريا</w:t>
            </w:r>
          </w:p>
        </w:tc>
      </w:tr>
      <w:tr w:rsidR="001010FD" w:rsidRPr="00981706" w14:paraId="20AF9598" w14:textId="77777777" w:rsidTr="002242C7">
        <w:trPr>
          <w:jc w:val="center"/>
        </w:trPr>
        <w:tc>
          <w:tcPr>
            <w:tcW w:w="742" w:type="pct"/>
            <w:shd w:val="clear" w:color="auto" w:fill="auto"/>
          </w:tcPr>
          <w:p w14:paraId="0794B3CB"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tcPr>
          <w:p w14:paraId="6EC22180" w14:textId="77777777" w:rsidR="001010FD" w:rsidRPr="00981706" w:rsidRDefault="001010FD" w:rsidP="002242C7">
            <w:pPr>
              <w:pStyle w:val="Tabletext"/>
              <w:rPr>
                <w:lang w:val="ar-SA" w:bidi="ar-EG"/>
              </w:rPr>
            </w:pPr>
            <w:r w:rsidRPr="00981706">
              <w:rPr>
                <w:rtl/>
              </w:rPr>
              <w:t>جنيف، 18-26 يناير 2023</w:t>
            </w:r>
          </w:p>
        </w:tc>
        <w:tc>
          <w:tcPr>
            <w:tcW w:w="2322" w:type="pct"/>
            <w:shd w:val="clear" w:color="auto" w:fill="auto"/>
          </w:tcPr>
          <w:p w14:paraId="288C1287" w14:textId="77777777" w:rsidR="001010FD" w:rsidRPr="00981706" w:rsidRDefault="001010FD" w:rsidP="002242C7">
            <w:pPr>
              <w:pStyle w:val="Tabletext"/>
              <w:rPr>
                <w:lang w:val="ar-SA" w:bidi="ar-EG"/>
              </w:rPr>
            </w:pPr>
            <w:proofErr w:type="spellStart"/>
            <w:r w:rsidRPr="00981706">
              <w:rPr>
                <w:rtl/>
              </w:rPr>
              <w:t>Edoyemi</w:t>
            </w:r>
            <w:proofErr w:type="spellEnd"/>
            <w:r w:rsidRPr="00981706">
              <w:rPr>
                <w:rtl/>
              </w:rPr>
              <w:t xml:space="preserve"> OGOH، نيجيريا</w:t>
            </w:r>
          </w:p>
        </w:tc>
      </w:tr>
      <w:tr w:rsidR="001010FD" w:rsidRPr="00981706" w14:paraId="3FF9A173" w14:textId="77777777" w:rsidTr="002242C7">
        <w:trPr>
          <w:jc w:val="center"/>
        </w:trPr>
        <w:tc>
          <w:tcPr>
            <w:tcW w:w="742" w:type="pct"/>
            <w:shd w:val="clear" w:color="auto" w:fill="auto"/>
          </w:tcPr>
          <w:p w14:paraId="0B0AA5D0" w14:textId="77777777" w:rsidR="001010FD" w:rsidRPr="00E93A4B" w:rsidRDefault="001010FD" w:rsidP="001010FD">
            <w:pPr>
              <w:pStyle w:val="Tabletext"/>
              <w:jc w:val="center"/>
              <w:rPr>
                <w:spacing w:val="-6"/>
                <w:lang w:val="ar-SA" w:bidi="ar-EG"/>
              </w:rPr>
            </w:pPr>
            <w:r w:rsidRPr="00E93A4B">
              <w:rPr>
                <w:spacing w:val="-6"/>
                <w:rtl/>
              </w:rPr>
              <w:t>لجنة الدراسات 12</w:t>
            </w:r>
          </w:p>
        </w:tc>
        <w:tc>
          <w:tcPr>
            <w:tcW w:w="1936" w:type="pct"/>
            <w:shd w:val="clear" w:color="auto" w:fill="auto"/>
          </w:tcPr>
          <w:p w14:paraId="3287DBE1" w14:textId="77777777" w:rsidR="001010FD" w:rsidRPr="00981706" w:rsidRDefault="001010FD" w:rsidP="002242C7">
            <w:pPr>
              <w:pStyle w:val="Tabletext"/>
              <w:rPr>
                <w:lang w:val="ar-SA" w:bidi="ar-EG"/>
              </w:rPr>
            </w:pPr>
            <w:r w:rsidRPr="00981706">
              <w:rPr>
                <w:rtl/>
              </w:rPr>
              <w:t>جنيف، 16-25 أبريل 2024</w:t>
            </w:r>
          </w:p>
        </w:tc>
        <w:tc>
          <w:tcPr>
            <w:tcW w:w="2322" w:type="pct"/>
            <w:shd w:val="clear" w:color="auto" w:fill="auto"/>
          </w:tcPr>
          <w:p w14:paraId="210B0CE0" w14:textId="77777777" w:rsidR="001010FD" w:rsidRPr="00981706" w:rsidDel="00EF3BAF" w:rsidRDefault="001010FD" w:rsidP="002242C7">
            <w:pPr>
              <w:pStyle w:val="Tabletext"/>
              <w:rPr>
                <w:lang w:val="ar-SA" w:bidi="ar-EG"/>
              </w:rPr>
            </w:pPr>
            <w:proofErr w:type="spellStart"/>
            <w:r w:rsidRPr="00981706">
              <w:rPr>
                <w:rtl/>
              </w:rPr>
              <w:t>Sergio</w:t>
            </w:r>
            <w:proofErr w:type="spellEnd"/>
            <w:r w:rsidRPr="00981706">
              <w:rPr>
                <w:rtl/>
              </w:rPr>
              <w:t xml:space="preserve"> </w:t>
            </w:r>
            <w:proofErr w:type="spellStart"/>
            <w:r w:rsidRPr="00981706">
              <w:rPr>
                <w:rtl/>
              </w:rPr>
              <w:t>Daniel</w:t>
            </w:r>
            <w:proofErr w:type="spellEnd"/>
            <w:r w:rsidRPr="00981706">
              <w:rPr>
                <w:rtl/>
              </w:rPr>
              <w:t xml:space="preserve"> D'UVA، الأرجنتين</w:t>
            </w:r>
          </w:p>
        </w:tc>
      </w:tr>
      <w:tr w:rsidR="001010FD" w:rsidRPr="00981706" w14:paraId="781F11A0" w14:textId="77777777" w:rsidTr="002242C7">
        <w:trPr>
          <w:jc w:val="center"/>
        </w:trPr>
        <w:tc>
          <w:tcPr>
            <w:tcW w:w="742" w:type="pct"/>
            <w:shd w:val="clear" w:color="auto" w:fill="auto"/>
          </w:tcPr>
          <w:p w14:paraId="66B39BD5"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136E192B" w14:textId="77777777" w:rsidR="001010FD" w:rsidRPr="00981706" w:rsidRDefault="001010FD" w:rsidP="002242C7">
            <w:pPr>
              <w:pStyle w:val="Tabletext"/>
              <w:rPr>
                <w:lang w:val="ar-SA" w:bidi="ar-EG"/>
              </w:rPr>
            </w:pPr>
            <w:r w:rsidRPr="00981706">
              <w:rPr>
                <w:rtl/>
              </w:rPr>
              <w:t>جنيف، 13-24 مارس 2023</w:t>
            </w:r>
          </w:p>
        </w:tc>
        <w:tc>
          <w:tcPr>
            <w:tcW w:w="2322" w:type="pct"/>
            <w:shd w:val="clear" w:color="auto" w:fill="auto"/>
          </w:tcPr>
          <w:p w14:paraId="01C8317C" w14:textId="77777777" w:rsidR="001010FD" w:rsidRPr="00981706" w:rsidRDefault="001010FD" w:rsidP="002242C7">
            <w:pPr>
              <w:pStyle w:val="Tabletext"/>
              <w:rPr>
                <w:lang w:val="ar-SA" w:bidi="ar-EG"/>
              </w:rPr>
            </w:pPr>
            <w:proofErr w:type="spellStart"/>
            <w:r w:rsidRPr="00981706">
              <w:rPr>
                <w:rtl/>
              </w:rPr>
              <w:t>Anabel</w:t>
            </w:r>
            <w:proofErr w:type="spellEnd"/>
            <w:r w:rsidRPr="00981706">
              <w:rPr>
                <w:rtl/>
              </w:rPr>
              <w:t xml:space="preserve"> DEL CARMEN CISNEROS، الأرجنتين</w:t>
            </w:r>
          </w:p>
        </w:tc>
      </w:tr>
      <w:tr w:rsidR="001010FD" w:rsidRPr="00981706" w14:paraId="0B29723C" w14:textId="77777777" w:rsidTr="002242C7">
        <w:trPr>
          <w:jc w:val="center"/>
        </w:trPr>
        <w:tc>
          <w:tcPr>
            <w:tcW w:w="742" w:type="pct"/>
            <w:shd w:val="clear" w:color="auto" w:fill="auto"/>
          </w:tcPr>
          <w:p w14:paraId="5AF40E14"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5FCCF5D9" w14:textId="77777777" w:rsidR="001010FD" w:rsidRPr="00981706" w:rsidRDefault="001010FD" w:rsidP="002242C7">
            <w:pPr>
              <w:pStyle w:val="Tabletext"/>
              <w:rPr>
                <w:lang w:val="ar-SA" w:bidi="ar-EG"/>
              </w:rPr>
            </w:pPr>
            <w:r w:rsidRPr="00981706">
              <w:rPr>
                <w:rtl/>
              </w:rPr>
              <w:t>جنيف، 14 نوفمبر 2022</w:t>
            </w:r>
          </w:p>
        </w:tc>
        <w:tc>
          <w:tcPr>
            <w:tcW w:w="2322" w:type="pct"/>
            <w:shd w:val="clear" w:color="auto" w:fill="auto"/>
          </w:tcPr>
          <w:p w14:paraId="550064D7" w14:textId="77777777" w:rsidR="001010FD" w:rsidRPr="00981706" w:rsidRDefault="001010FD" w:rsidP="002242C7">
            <w:pPr>
              <w:pStyle w:val="Tabletext"/>
              <w:rPr>
                <w:lang w:val="ar-SA" w:bidi="ar-EG"/>
              </w:rPr>
            </w:pPr>
            <w:proofErr w:type="spellStart"/>
            <w:r w:rsidRPr="00981706">
              <w:rPr>
                <w:rtl/>
              </w:rPr>
              <w:t>Anabel</w:t>
            </w:r>
            <w:proofErr w:type="spellEnd"/>
            <w:r w:rsidRPr="00981706">
              <w:rPr>
                <w:rtl/>
              </w:rPr>
              <w:t xml:space="preserve"> DEL CARMEN CISNEROS، الأرجنتين</w:t>
            </w:r>
          </w:p>
        </w:tc>
      </w:tr>
      <w:tr w:rsidR="001010FD" w:rsidRPr="00981706" w14:paraId="0B6EDFC9" w14:textId="77777777" w:rsidTr="002242C7">
        <w:trPr>
          <w:jc w:val="center"/>
        </w:trPr>
        <w:tc>
          <w:tcPr>
            <w:tcW w:w="742" w:type="pct"/>
            <w:shd w:val="clear" w:color="auto" w:fill="auto"/>
          </w:tcPr>
          <w:p w14:paraId="50103160"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184317F4" w14:textId="77777777" w:rsidR="001010FD" w:rsidRPr="00981706" w:rsidRDefault="001010FD" w:rsidP="002242C7">
            <w:pPr>
              <w:pStyle w:val="Tabletext"/>
              <w:rPr>
                <w:lang w:val="ar-SA" w:bidi="ar-EG"/>
              </w:rPr>
            </w:pPr>
            <w:r w:rsidRPr="00981706">
              <w:rPr>
                <w:rtl/>
              </w:rPr>
              <w:t>جنيف، 15-26 يوليو 2024</w:t>
            </w:r>
          </w:p>
        </w:tc>
        <w:tc>
          <w:tcPr>
            <w:tcW w:w="2322" w:type="pct"/>
            <w:shd w:val="clear" w:color="auto" w:fill="auto"/>
          </w:tcPr>
          <w:p w14:paraId="60FAAA94" w14:textId="77777777" w:rsidR="001010FD" w:rsidRPr="00981706" w:rsidRDefault="001010FD" w:rsidP="002242C7">
            <w:pPr>
              <w:pStyle w:val="Tabletext"/>
              <w:rPr>
                <w:lang w:val="ar-SA" w:bidi="ar-EG"/>
              </w:rPr>
            </w:pPr>
            <w:proofErr w:type="spellStart"/>
            <w:r w:rsidRPr="00981706">
              <w:rPr>
                <w:rtl/>
              </w:rPr>
              <w:t>Anabel</w:t>
            </w:r>
            <w:proofErr w:type="spellEnd"/>
            <w:r w:rsidRPr="00981706">
              <w:rPr>
                <w:rtl/>
              </w:rPr>
              <w:t xml:space="preserve"> DEL CARMEN CISNEROS، الأرجنتين</w:t>
            </w:r>
          </w:p>
        </w:tc>
      </w:tr>
      <w:tr w:rsidR="001010FD" w:rsidRPr="00981706" w14:paraId="3BBD4877" w14:textId="77777777" w:rsidTr="002242C7">
        <w:trPr>
          <w:jc w:val="center"/>
        </w:trPr>
        <w:tc>
          <w:tcPr>
            <w:tcW w:w="742" w:type="pct"/>
            <w:shd w:val="clear" w:color="auto" w:fill="auto"/>
            <w:hideMark/>
          </w:tcPr>
          <w:p w14:paraId="378BEAB3"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hideMark/>
          </w:tcPr>
          <w:p w14:paraId="0DB7B636" w14:textId="77777777" w:rsidR="001010FD" w:rsidRPr="00981706" w:rsidRDefault="001010FD" w:rsidP="002242C7">
            <w:pPr>
              <w:pStyle w:val="Tabletext"/>
              <w:rPr>
                <w:lang w:val="ar-SA" w:bidi="ar-EG"/>
              </w:rPr>
            </w:pPr>
            <w:r w:rsidRPr="00981706">
              <w:rPr>
                <w:rtl/>
              </w:rPr>
              <w:t>جنيف، 23 أكتوبر - 3 نوفمبر 2023</w:t>
            </w:r>
          </w:p>
        </w:tc>
        <w:tc>
          <w:tcPr>
            <w:tcW w:w="2322" w:type="pct"/>
            <w:shd w:val="clear" w:color="auto" w:fill="auto"/>
            <w:hideMark/>
          </w:tcPr>
          <w:p w14:paraId="5BD5FFA5" w14:textId="77777777" w:rsidR="001010FD" w:rsidRPr="00981706" w:rsidRDefault="001010FD" w:rsidP="002242C7">
            <w:pPr>
              <w:pStyle w:val="Tabletext"/>
              <w:rPr>
                <w:lang w:val="ar-SA" w:bidi="ar-EG"/>
              </w:rPr>
            </w:pPr>
            <w:proofErr w:type="spellStart"/>
            <w:r w:rsidRPr="00981706">
              <w:rPr>
                <w:rtl/>
              </w:rPr>
              <w:t>Anabel</w:t>
            </w:r>
            <w:proofErr w:type="spellEnd"/>
            <w:r w:rsidRPr="00981706">
              <w:rPr>
                <w:rtl/>
              </w:rPr>
              <w:t xml:space="preserve"> DEL CARMEN CISNEROS، الأرجنتين</w:t>
            </w:r>
          </w:p>
        </w:tc>
      </w:tr>
      <w:tr w:rsidR="001010FD" w:rsidRPr="00981706" w14:paraId="201F0B10" w14:textId="77777777" w:rsidTr="002242C7">
        <w:trPr>
          <w:jc w:val="center"/>
        </w:trPr>
        <w:tc>
          <w:tcPr>
            <w:tcW w:w="742" w:type="pct"/>
            <w:shd w:val="clear" w:color="auto" w:fill="auto"/>
          </w:tcPr>
          <w:p w14:paraId="6791C9CE"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5EF7D61A" w14:textId="77777777" w:rsidR="001010FD" w:rsidRPr="00981706" w:rsidRDefault="001010FD" w:rsidP="002242C7">
            <w:pPr>
              <w:pStyle w:val="Tabletext"/>
              <w:rPr>
                <w:lang w:val="ar-SA" w:bidi="ar-EG"/>
              </w:rPr>
            </w:pPr>
            <w:r w:rsidRPr="00981706">
              <w:rPr>
                <w:rtl/>
              </w:rPr>
              <w:t>جنيف، 4-15 مارس 2024</w:t>
            </w:r>
          </w:p>
        </w:tc>
        <w:tc>
          <w:tcPr>
            <w:tcW w:w="2322" w:type="pct"/>
            <w:shd w:val="clear" w:color="auto" w:fill="auto"/>
          </w:tcPr>
          <w:p w14:paraId="64DD7D5B" w14:textId="77777777" w:rsidR="001010FD" w:rsidRPr="00981706" w:rsidRDefault="001010FD" w:rsidP="002242C7">
            <w:pPr>
              <w:pStyle w:val="Tabletext"/>
              <w:rPr>
                <w:lang w:val="ar-SA" w:bidi="ar-EG"/>
              </w:rPr>
            </w:pPr>
            <w:proofErr w:type="spellStart"/>
            <w:r w:rsidRPr="00981706">
              <w:rPr>
                <w:rtl/>
              </w:rPr>
              <w:t>Anabel</w:t>
            </w:r>
            <w:proofErr w:type="spellEnd"/>
            <w:r w:rsidRPr="00981706">
              <w:rPr>
                <w:rtl/>
              </w:rPr>
              <w:t xml:space="preserve"> DEL CARMEN CISNEROS، الأرجنتين</w:t>
            </w:r>
          </w:p>
        </w:tc>
      </w:tr>
      <w:tr w:rsidR="001010FD" w:rsidRPr="00981706" w14:paraId="5F6ED07E" w14:textId="77777777" w:rsidTr="002242C7">
        <w:trPr>
          <w:jc w:val="center"/>
        </w:trPr>
        <w:tc>
          <w:tcPr>
            <w:tcW w:w="742" w:type="pct"/>
            <w:shd w:val="clear" w:color="auto" w:fill="auto"/>
          </w:tcPr>
          <w:p w14:paraId="61F83A14"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0AD9063B" w14:textId="77777777" w:rsidR="001010FD" w:rsidRPr="00981706" w:rsidRDefault="001010FD" w:rsidP="002242C7">
            <w:pPr>
              <w:pStyle w:val="Tabletext"/>
              <w:rPr>
                <w:lang w:val="ar-SA" w:bidi="ar-EG"/>
              </w:rPr>
            </w:pPr>
            <w:r w:rsidRPr="00981706">
              <w:rPr>
                <w:rtl/>
              </w:rPr>
              <w:t>جنيف، 14 نوفمبر 2022</w:t>
            </w:r>
          </w:p>
        </w:tc>
        <w:tc>
          <w:tcPr>
            <w:tcW w:w="2322" w:type="pct"/>
            <w:shd w:val="clear" w:color="auto" w:fill="auto"/>
          </w:tcPr>
          <w:p w14:paraId="42D0CDAA" w14:textId="77777777" w:rsidR="001010FD" w:rsidRPr="00981706" w:rsidRDefault="001010FD" w:rsidP="002242C7">
            <w:pPr>
              <w:pStyle w:val="Tabletext"/>
              <w:rPr>
                <w:lang w:val="ar-SA" w:bidi="ar-EG"/>
              </w:rPr>
            </w:pPr>
            <w:proofErr w:type="spellStart"/>
            <w:r w:rsidRPr="00981706">
              <w:rPr>
                <w:rtl/>
              </w:rPr>
              <w:t>Brice</w:t>
            </w:r>
            <w:proofErr w:type="spellEnd"/>
            <w:r w:rsidRPr="00981706">
              <w:rPr>
                <w:rtl/>
              </w:rPr>
              <w:t xml:space="preserve"> MURARA، رواندا</w:t>
            </w:r>
          </w:p>
        </w:tc>
      </w:tr>
      <w:tr w:rsidR="001010FD" w:rsidRPr="00981706" w14:paraId="2E66A5CC" w14:textId="77777777" w:rsidTr="002242C7">
        <w:trPr>
          <w:jc w:val="center"/>
        </w:trPr>
        <w:tc>
          <w:tcPr>
            <w:tcW w:w="742" w:type="pct"/>
            <w:shd w:val="clear" w:color="auto" w:fill="auto"/>
          </w:tcPr>
          <w:p w14:paraId="39415488"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1A54A852" w14:textId="77777777" w:rsidR="001010FD" w:rsidRPr="00981706" w:rsidRDefault="001010FD" w:rsidP="002242C7">
            <w:pPr>
              <w:pStyle w:val="Tabletext"/>
              <w:rPr>
                <w:lang w:val="ar-SA" w:bidi="ar-EG"/>
              </w:rPr>
            </w:pPr>
            <w:r w:rsidRPr="00981706">
              <w:rPr>
                <w:rtl/>
              </w:rPr>
              <w:t>جنيف، 15-26 يوليو 2024</w:t>
            </w:r>
          </w:p>
        </w:tc>
        <w:tc>
          <w:tcPr>
            <w:tcW w:w="2322" w:type="pct"/>
            <w:shd w:val="clear" w:color="auto" w:fill="auto"/>
          </w:tcPr>
          <w:p w14:paraId="3CCA0D22" w14:textId="77777777" w:rsidR="001010FD" w:rsidRPr="00981706" w:rsidRDefault="001010FD" w:rsidP="002242C7">
            <w:pPr>
              <w:pStyle w:val="Tabletext"/>
              <w:rPr>
                <w:lang w:val="ar-SA" w:bidi="ar-EG"/>
              </w:rPr>
            </w:pPr>
            <w:proofErr w:type="spellStart"/>
            <w:r w:rsidRPr="00981706">
              <w:rPr>
                <w:rtl/>
              </w:rPr>
              <w:t>Brice</w:t>
            </w:r>
            <w:proofErr w:type="spellEnd"/>
            <w:r w:rsidRPr="00981706">
              <w:rPr>
                <w:rtl/>
              </w:rPr>
              <w:t xml:space="preserve"> MURARA، رواندا</w:t>
            </w:r>
          </w:p>
        </w:tc>
      </w:tr>
      <w:tr w:rsidR="001010FD" w:rsidRPr="00981706" w14:paraId="0A6A3623" w14:textId="77777777" w:rsidTr="002242C7">
        <w:trPr>
          <w:jc w:val="center"/>
        </w:trPr>
        <w:tc>
          <w:tcPr>
            <w:tcW w:w="742" w:type="pct"/>
            <w:shd w:val="clear" w:color="auto" w:fill="auto"/>
          </w:tcPr>
          <w:p w14:paraId="32F351C9"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3B955B38" w14:textId="77777777" w:rsidR="001010FD" w:rsidRPr="00981706" w:rsidRDefault="001010FD" w:rsidP="002242C7">
            <w:pPr>
              <w:pStyle w:val="Tabletext"/>
              <w:rPr>
                <w:lang w:val="ar-SA" w:bidi="ar-EG"/>
              </w:rPr>
            </w:pPr>
            <w:r w:rsidRPr="00981706">
              <w:rPr>
                <w:rtl/>
              </w:rPr>
              <w:t>جنيف، 4-15 مارس 2024</w:t>
            </w:r>
          </w:p>
        </w:tc>
        <w:tc>
          <w:tcPr>
            <w:tcW w:w="2322" w:type="pct"/>
            <w:shd w:val="clear" w:color="auto" w:fill="auto"/>
          </w:tcPr>
          <w:p w14:paraId="6BD94CF5" w14:textId="77777777" w:rsidR="001010FD" w:rsidRPr="00981706" w:rsidRDefault="001010FD" w:rsidP="002242C7">
            <w:pPr>
              <w:pStyle w:val="Tabletext"/>
              <w:rPr>
                <w:lang w:val="ar-SA" w:bidi="ar-EG"/>
              </w:rPr>
            </w:pPr>
            <w:proofErr w:type="spellStart"/>
            <w:r w:rsidRPr="00981706">
              <w:rPr>
                <w:rtl/>
              </w:rPr>
              <w:t>Brice</w:t>
            </w:r>
            <w:proofErr w:type="spellEnd"/>
            <w:r w:rsidRPr="00981706">
              <w:rPr>
                <w:rtl/>
              </w:rPr>
              <w:t xml:space="preserve"> MURARA، رواندا</w:t>
            </w:r>
          </w:p>
        </w:tc>
      </w:tr>
      <w:tr w:rsidR="001010FD" w:rsidRPr="00981706" w14:paraId="59427513" w14:textId="77777777" w:rsidTr="002242C7">
        <w:trPr>
          <w:jc w:val="center"/>
        </w:trPr>
        <w:tc>
          <w:tcPr>
            <w:tcW w:w="742" w:type="pct"/>
            <w:shd w:val="clear" w:color="auto" w:fill="auto"/>
          </w:tcPr>
          <w:p w14:paraId="27AB9C2E"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7D9364C7" w14:textId="77777777" w:rsidR="001010FD" w:rsidRPr="00981706" w:rsidRDefault="001010FD" w:rsidP="002242C7">
            <w:pPr>
              <w:pStyle w:val="Tabletext"/>
              <w:rPr>
                <w:lang w:val="ar-SA" w:bidi="ar-EG"/>
              </w:rPr>
            </w:pPr>
            <w:r w:rsidRPr="00981706">
              <w:rPr>
                <w:rtl/>
              </w:rPr>
              <w:t>جنيف، 4-15 يوليو 2022</w:t>
            </w:r>
          </w:p>
        </w:tc>
        <w:tc>
          <w:tcPr>
            <w:tcW w:w="2322" w:type="pct"/>
            <w:shd w:val="clear" w:color="auto" w:fill="auto"/>
          </w:tcPr>
          <w:p w14:paraId="1A8E1EDB" w14:textId="77777777" w:rsidR="001010FD" w:rsidRPr="00981706" w:rsidRDefault="001010FD" w:rsidP="002242C7">
            <w:pPr>
              <w:pStyle w:val="Tabletext"/>
              <w:rPr>
                <w:lang w:val="ar-SA" w:bidi="ar-EG"/>
              </w:rPr>
            </w:pPr>
            <w:proofErr w:type="spellStart"/>
            <w:r w:rsidRPr="00981706">
              <w:rPr>
                <w:rtl/>
              </w:rPr>
              <w:t>Brice</w:t>
            </w:r>
            <w:proofErr w:type="spellEnd"/>
            <w:r w:rsidRPr="00981706">
              <w:rPr>
                <w:rtl/>
              </w:rPr>
              <w:t xml:space="preserve"> MURARA، رواندا</w:t>
            </w:r>
          </w:p>
        </w:tc>
      </w:tr>
      <w:tr w:rsidR="001010FD" w:rsidRPr="00981706" w14:paraId="6E6F0B7D" w14:textId="77777777" w:rsidTr="002242C7">
        <w:trPr>
          <w:jc w:val="center"/>
        </w:trPr>
        <w:tc>
          <w:tcPr>
            <w:tcW w:w="742" w:type="pct"/>
            <w:shd w:val="clear" w:color="auto" w:fill="auto"/>
          </w:tcPr>
          <w:p w14:paraId="6592389C"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3592A94A" w14:textId="77777777" w:rsidR="001010FD" w:rsidRPr="00981706" w:rsidRDefault="001010FD" w:rsidP="002242C7">
            <w:pPr>
              <w:pStyle w:val="Tabletext"/>
              <w:rPr>
                <w:lang w:val="ar-SA" w:bidi="ar-EG"/>
              </w:rPr>
            </w:pPr>
            <w:r w:rsidRPr="00981706">
              <w:rPr>
                <w:rtl/>
              </w:rPr>
              <w:t>جنيف، 13-24 مارس 2023</w:t>
            </w:r>
          </w:p>
        </w:tc>
        <w:tc>
          <w:tcPr>
            <w:tcW w:w="2322" w:type="pct"/>
            <w:shd w:val="clear" w:color="auto" w:fill="auto"/>
          </w:tcPr>
          <w:p w14:paraId="567555F2"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28E0F5FF" w14:textId="77777777" w:rsidTr="002242C7">
        <w:trPr>
          <w:jc w:val="center"/>
        </w:trPr>
        <w:tc>
          <w:tcPr>
            <w:tcW w:w="742" w:type="pct"/>
            <w:shd w:val="clear" w:color="auto" w:fill="auto"/>
          </w:tcPr>
          <w:p w14:paraId="3518ADCD"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0ED060D3" w14:textId="77777777" w:rsidR="001010FD" w:rsidRPr="00981706" w:rsidRDefault="001010FD" w:rsidP="002242C7">
            <w:pPr>
              <w:pStyle w:val="Tabletext"/>
              <w:rPr>
                <w:lang w:val="ar-SA" w:bidi="ar-EG"/>
              </w:rPr>
            </w:pPr>
            <w:r w:rsidRPr="00981706">
              <w:rPr>
                <w:rtl/>
              </w:rPr>
              <w:t>جنيف، 14 نوفمبر 2022</w:t>
            </w:r>
          </w:p>
        </w:tc>
        <w:tc>
          <w:tcPr>
            <w:tcW w:w="2322" w:type="pct"/>
            <w:shd w:val="clear" w:color="auto" w:fill="auto"/>
          </w:tcPr>
          <w:p w14:paraId="6B1F3FD6"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29E1BDA3" w14:textId="77777777" w:rsidTr="002242C7">
        <w:trPr>
          <w:jc w:val="center"/>
        </w:trPr>
        <w:tc>
          <w:tcPr>
            <w:tcW w:w="742" w:type="pct"/>
            <w:shd w:val="clear" w:color="auto" w:fill="auto"/>
          </w:tcPr>
          <w:p w14:paraId="5949F7D9"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05B6333A" w14:textId="77777777" w:rsidR="001010FD" w:rsidRPr="00981706" w:rsidRDefault="001010FD" w:rsidP="002242C7">
            <w:pPr>
              <w:pStyle w:val="Tabletext"/>
              <w:rPr>
                <w:lang w:val="ar-SA" w:bidi="ar-EG"/>
              </w:rPr>
            </w:pPr>
            <w:r w:rsidRPr="00981706">
              <w:rPr>
                <w:rtl/>
              </w:rPr>
              <w:t>جنيف، 15-26 يوليو 2024</w:t>
            </w:r>
          </w:p>
        </w:tc>
        <w:tc>
          <w:tcPr>
            <w:tcW w:w="2322" w:type="pct"/>
            <w:shd w:val="clear" w:color="auto" w:fill="auto"/>
          </w:tcPr>
          <w:p w14:paraId="39D7E10F"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08773EB7" w14:textId="77777777" w:rsidTr="002242C7">
        <w:trPr>
          <w:jc w:val="center"/>
        </w:trPr>
        <w:tc>
          <w:tcPr>
            <w:tcW w:w="742" w:type="pct"/>
            <w:shd w:val="clear" w:color="auto" w:fill="auto"/>
            <w:hideMark/>
          </w:tcPr>
          <w:p w14:paraId="5434F11A"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hideMark/>
          </w:tcPr>
          <w:p w14:paraId="0E1258F3" w14:textId="77777777" w:rsidR="001010FD" w:rsidRPr="00981706" w:rsidRDefault="001010FD" w:rsidP="002242C7">
            <w:pPr>
              <w:pStyle w:val="Tabletext"/>
              <w:rPr>
                <w:lang w:val="ar-SA" w:bidi="ar-EG"/>
              </w:rPr>
            </w:pPr>
            <w:r w:rsidRPr="00981706">
              <w:rPr>
                <w:rtl/>
              </w:rPr>
              <w:t>جنيف، 23 أكتوبر - 3 نوفمبر 2023</w:t>
            </w:r>
          </w:p>
        </w:tc>
        <w:tc>
          <w:tcPr>
            <w:tcW w:w="2322" w:type="pct"/>
            <w:shd w:val="clear" w:color="auto" w:fill="auto"/>
            <w:hideMark/>
          </w:tcPr>
          <w:p w14:paraId="70EB2855"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7ED045E1" w14:textId="77777777" w:rsidTr="002242C7">
        <w:trPr>
          <w:jc w:val="center"/>
        </w:trPr>
        <w:tc>
          <w:tcPr>
            <w:tcW w:w="742" w:type="pct"/>
            <w:shd w:val="clear" w:color="auto" w:fill="auto"/>
          </w:tcPr>
          <w:p w14:paraId="61ADB371"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5FC9E265" w14:textId="77777777" w:rsidR="001010FD" w:rsidRPr="00981706" w:rsidRDefault="001010FD" w:rsidP="002242C7">
            <w:pPr>
              <w:pStyle w:val="Tabletext"/>
              <w:rPr>
                <w:lang w:val="ar-SA" w:bidi="ar-EG"/>
              </w:rPr>
            </w:pPr>
            <w:r w:rsidRPr="00981706">
              <w:rPr>
                <w:rtl/>
              </w:rPr>
              <w:t>جنيف، 4-15 مارس 2024</w:t>
            </w:r>
          </w:p>
        </w:tc>
        <w:tc>
          <w:tcPr>
            <w:tcW w:w="2322" w:type="pct"/>
            <w:shd w:val="clear" w:color="auto" w:fill="auto"/>
          </w:tcPr>
          <w:p w14:paraId="5EFF2F8E"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6031658D" w14:textId="77777777" w:rsidTr="002242C7">
        <w:trPr>
          <w:jc w:val="center"/>
        </w:trPr>
        <w:tc>
          <w:tcPr>
            <w:tcW w:w="742" w:type="pct"/>
            <w:shd w:val="clear" w:color="auto" w:fill="auto"/>
          </w:tcPr>
          <w:p w14:paraId="1715CD24"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3A6B900E" w14:textId="77777777" w:rsidR="001010FD" w:rsidRPr="00981706" w:rsidRDefault="001010FD" w:rsidP="002242C7">
            <w:pPr>
              <w:pStyle w:val="Tabletext"/>
              <w:rPr>
                <w:lang w:val="ar-SA" w:bidi="ar-EG"/>
              </w:rPr>
            </w:pPr>
            <w:r w:rsidRPr="00981706">
              <w:rPr>
                <w:rtl/>
              </w:rPr>
              <w:t>جنيف، 4-15 يوليو 2022</w:t>
            </w:r>
          </w:p>
        </w:tc>
        <w:tc>
          <w:tcPr>
            <w:tcW w:w="2322" w:type="pct"/>
            <w:shd w:val="clear" w:color="auto" w:fill="auto"/>
          </w:tcPr>
          <w:p w14:paraId="4B8248D8" w14:textId="77777777" w:rsidR="001010FD" w:rsidRPr="00981706" w:rsidRDefault="001010FD" w:rsidP="002242C7">
            <w:pPr>
              <w:pStyle w:val="Tabletext"/>
              <w:rPr>
                <w:lang w:val="ar-SA" w:bidi="ar-EG"/>
              </w:rPr>
            </w:pPr>
            <w:proofErr w:type="spellStart"/>
            <w:r w:rsidRPr="00981706">
              <w:rPr>
                <w:rtl/>
              </w:rPr>
              <w:t>Bülent</w:t>
            </w:r>
            <w:proofErr w:type="spellEnd"/>
            <w:r w:rsidRPr="00981706">
              <w:rPr>
                <w:rtl/>
              </w:rPr>
              <w:t xml:space="preserve"> ARSAL، تركيا</w:t>
            </w:r>
          </w:p>
        </w:tc>
      </w:tr>
      <w:tr w:rsidR="001010FD" w:rsidRPr="00981706" w14:paraId="6FBE9C05" w14:textId="77777777" w:rsidTr="002242C7">
        <w:trPr>
          <w:jc w:val="center"/>
        </w:trPr>
        <w:tc>
          <w:tcPr>
            <w:tcW w:w="742" w:type="pct"/>
            <w:shd w:val="clear" w:color="auto" w:fill="auto"/>
          </w:tcPr>
          <w:p w14:paraId="6211BF51"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5DE5723F" w14:textId="77777777" w:rsidR="001010FD" w:rsidRPr="00981706" w:rsidRDefault="001010FD" w:rsidP="002242C7">
            <w:pPr>
              <w:pStyle w:val="Tabletext"/>
              <w:rPr>
                <w:lang w:val="ar-SA" w:bidi="ar-EG"/>
              </w:rPr>
            </w:pPr>
            <w:r w:rsidRPr="00981706">
              <w:rPr>
                <w:rtl/>
              </w:rPr>
              <w:t>جنيف، 14 نوفمبر 2022</w:t>
            </w:r>
          </w:p>
        </w:tc>
        <w:tc>
          <w:tcPr>
            <w:tcW w:w="2322" w:type="pct"/>
            <w:shd w:val="clear" w:color="auto" w:fill="auto"/>
          </w:tcPr>
          <w:p w14:paraId="465CC356" w14:textId="77777777" w:rsidR="001010FD" w:rsidRPr="00981706" w:rsidRDefault="001010FD" w:rsidP="002242C7">
            <w:pPr>
              <w:pStyle w:val="Tabletext"/>
              <w:rPr>
                <w:lang w:val="ar-SA" w:bidi="ar-EG"/>
              </w:rPr>
            </w:pPr>
            <w:proofErr w:type="spellStart"/>
            <w:r w:rsidRPr="00981706">
              <w:rPr>
                <w:rtl/>
              </w:rPr>
              <w:t>Hyung-Soo</w:t>
            </w:r>
            <w:proofErr w:type="spellEnd"/>
            <w:r w:rsidRPr="00981706">
              <w:rPr>
                <w:rtl/>
              </w:rPr>
              <w:t xml:space="preserve"> (</w:t>
            </w:r>
            <w:proofErr w:type="spellStart"/>
            <w:r w:rsidRPr="00981706">
              <w:rPr>
                <w:rtl/>
              </w:rPr>
              <w:t>Hans</w:t>
            </w:r>
            <w:proofErr w:type="spellEnd"/>
            <w:r w:rsidRPr="00981706">
              <w:rPr>
                <w:rtl/>
              </w:rPr>
              <w:t>) KIM، جمهورية كوريا</w:t>
            </w:r>
          </w:p>
        </w:tc>
      </w:tr>
      <w:tr w:rsidR="001010FD" w:rsidRPr="00981706" w14:paraId="4C3BB3D3" w14:textId="77777777" w:rsidTr="002242C7">
        <w:trPr>
          <w:jc w:val="center"/>
        </w:trPr>
        <w:tc>
          <w:tcPr>
            <w:tcW w:w="742" w:type="pct"/>
            <w:shd w:val="clear" w:color="auto" w:fill="auto"/>
          </w:tcPr>
          <w:p w14:paraId="7E746D97"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539D2AC6" w14:textId="77777777" w:rsidR="001010FD" w:rsidRPr="00981706" w:rsidRDefault="001010FD" w:rsidP="002242C7">
            <w:pPr>
              <w:pStyle w:val="Tabletext"/>
              <w:rPr>
                <w:lang w:val="ar-SA" w:bidi="ar-EG"/>
              </w:rPr>
            </w:pPr>
            <w:r w:rsidRPr="00981706">
              <w:rPr>
                <w:rtl/>
              </w:rPr>
              <w:t>جنيف، 14 نوفمبر 2022</w:t>
            </w:r>
          </w:p>
        </w:tc>
        <w:tc>
          <w:tcPr>
            <w:tcW w:w="2322" w:type="pct"/>
            <w:shd w:val="clear" w:color="auto" w:fill="auto"/>
          </w:tcPr>
          <w:p w14:paraId="4F7EBD94" w14:textId="77777777" w:rsidR="001010FD" w:rsidRPr="00981706" w:rsidRDefault="001010FD" w:rsidP="002242C7">
            <w:pPr>
              <w:pStyle w:val="Tabletext"/>
              <w:rPr>
                <w:lang w:val="ar-SA" w:bidi="ar-EG"/>
              </w:rPr>
            </w:pPr>
            <w:proofErr w:type="spellStart"/>
            <w:r w:rsidRPr="00981706">
              <w:rPr>
                <w:rtl/>
              </w:rPr>
              <w:t>Mehmet</w:t>
            </w:r>
            <w:proofErr w:type="spellEnd"/>
            <w:r w:rsidRPr="00981706">
              <w:rPr>
                <w:rtl/>
              </w:rPr>
              <w:t xml:space="preserve"> TOY، الولايات المتحدة الأمريكية</w:t>
            </w:r>
          </w:p>
        </w:tc>
      </w:tr>
      <w:tr w:rsidR="001010FD" w:rsidRPr="00981706" w14:paraId="6702071B" w14:textId="77777777" w:rsidTr="002242C7">
        <w:trPr>
          <w:jc w:val="center"/>
        </w:trPr>
        <w:tc>
          <w:tcPr>
            <w:tcW w:w="742" w:type="pct"/>
            <w:shd w:val="clear" w:color="auto" w:fill="auto"/>
          </w:tcPr>
          <w:p w14:paraId="296E966C"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tcPr>
          <w:p w14:paraId="128D6EE0" w14:textId="77777777" w:rsidR="001010FD" w:rsidRPr="00981706" w:rsidRDefault="001010FD" w:rsidP="002242C7">
            <w:pPr>
              <w:pStyle w:val="Tabletext"/>
              <w:rPr>
                <w:lang w:val="ar-SA" w:bidi="ar-EG"/>
              </w:rPr>
            </w:pPr>
            <w:r w:rsidRPr="00981706">
              <w:rPr>
                <w:rtl/>
              </w:rPr>
              <w:t>جنيف، 15-26 يوليو 2024</w:t>
            </w:r>
          </w:p>
        </w:tc>
        <w:tc>
          <w:tcPr>
            <w:tcW w:w="2322" w:type="pct"/>
            <w:shd w:val="clear" w:color="auto" w:fill="auto"/>
          </w:tcPr>
          <w:p w14:paraId="56E33F58" w14:textId="77777777" w:rsidR="001010FD" w:rsidRPr="00981706" w:rsidRDefault="001010FD" w:rsidP="002242C7">
            <w:pPr>
              <w:pStyle w:val="Tabletext"/>
              <w:rPr>
                <w:lang w:val="ar-SA" w:bidi="ar-EG"/>
              </w:rPr>
            </w:pPr>
            <w:proofErr w:type="spellStart"/>
            <w:r w:rsidRPr="00981706">
              <w:rPr>
                <w:rtl/>
              </w:rPr>
              <w:t>Obid</w:t>
            </w:r>
            <w:proofErr w:type="spellEnd"/>
            <w:r w:rsidRPr="00981706">
              <w:rPr>
                <w:rtl/>
              </w:rPr>
              <w:t xml:space="preserve"> ASADOV، أوزبكستان</w:t>
            </w:r>
          </w:p>
        </w:tc>
      </w:tr>
      <w:tr w:rsidR="001010FD" w:rsidRPr="00981706" w14:paraId="7F153735" w14:textId="77777777" w:rsidTr="002242C7">
        <w:trPr>
          <w:jc w:val="center"/>
        </w:trPr>
        <w:tc>
          <w:tcPr>
            <w:tcW w:w="742" w:type="pct"/>
            <w:shd w:val="clear" w:color="auto" w:fill="auto"/>
            <w:hideMark/>
          </w:tcPr>
          <w:p w14:paraId="53D7857A" w14:textId="77777777" w:rsidR="001010FD" w:rsidRPr="00E93A4B" w:rsidRDefault="001010FD" w:rsidP="001010FD">
            <w:pPr>
              <w:pStyle w:val="Tabletext"/>
              <w:jc w:val="center"/>
              <w:rPr>
                <w:spacing w:val="-6"/>
                <w:lang w:val="ar-SA" w:bidi="ar-EG"/>
              </w:rPr>
            </w:pPr>
            <w:r w:rsidRPr="00E93A4B">
              <w:rPr>
                <w:spacing w:val="-6"/>
                <w:rtl/>
              </w:rPr>
              <w:t>لجنة الدراسات 13</w:t>
            </w:r>
          </w:p>
        </w:tc>
        <w:tc>
          <w:tcPr>
            <w:tcW w:w="1936" w:type="pct"/>
            <w:shd w:val="clear" w:color="auto" w:fill="auto"/>
            <w:hideMark/>
          </w:tcPr>
          <w:p w14:paraId="0E287E07" w14:textId="77777777" w:rsidR="001010FD" w:rsidRPr="00981706" w:rsidRDefault="001010FD" w:rsidP="002242C7">
            <w:pPr>
              <w:pStyle w:val="Tabletext"/>
              <w:rPr>
                <w:lang w:val="ar-SA" w:bidi="ar-EG"/>
              </w:rPr>
            </w:pPr>
            <w:r w:rsidRPr="00981706">
              <w:rPr>
                <w:rtl/>
              </w:rPr>
              <w:t>جنيف، 23 أكتوبر - 3 نوفمبر 2023</w:t>
            </w:r>
          </w:p>
        </w:tc>
        <w:tc>
          <w:tcPr>
            <w:tcW w:w="2322" w:type="pct"/>
            <w:shd w:val="clear" w:color="auto" w:fill="auto"/>
            <w:hideMark/>
          </w:tcPr>
          <w:p w14:paraId="42778AD0" w14:textId="77777777" w:rsidR="001010FD" w:rsidRPr="00981706" w:rsidRDefault="001010FD" w:rsidP="002242C7">
            <w:pPr>
              <w:pStyle w:val="Tabletext"/>
              <w:rPr>
                <w:lang w:val="ar-SA" w:bidi="ar-EG"/>
              </w:rPr>
            </w:pPr>
            <w:r w:rsidRPr="00981706">
              <w:rPr>
                <w:rtl/>
              </w:rPr>
              <w:t>Yuan ZHANG، الصين</w:t>
            </w:r>
          </w:p>
        </w:tc>
      </w:tr>
      <w:tr w:rsidR="001010FD" w:rsidRPr="00981706" w14:paraId="10AEB769" w14:textId="77777777" w:rsidTr="002242C7">
        <w:trPr>
          <w:jc w:val="center"/>
        </w:trPr>
        <w:tc>
          <w:tcPr>
            <w:tcW w:w="742" w:type="pct"/>
            <w:shd w:val="clear" w:color="auto" w:fill="auto"/>
          </w:tcPr>
          <w:p w14:paraId="6BF3F0CD" w14:textId="77777777" w:rsidR="001010FD" w:rsidRPr="00E93A4B" w:rsidRDefault="001010FD" w:rsidP="001010FD">
            <w:pPr>
              <w:pStyle w:val="Tabletext"/>
              <w:jc w:val="center"/>
              <w:rPr>
                <w:spacing w:val="-6"/>
                <w:lang w:val="ar-SA" w:bidi="ar-EG"/>
              </w:rPr>
            </w:pPr>
            <w:r w:rsidRPr="00E93A4B">
              <w:rPr>
                <w:spacing w:val="-6"/>
                <w:rtl/>
              </w:rPr>
              <w:lastRenderedPageBreak/>
              <w:t>لجنة الدراسات 15</w:t>
            </w:r>
          </w:p>
        </w:tc>
        <w:tc>
          <w:tcPr>
            <w:tcW w:w="1936" w:type="pct"/>
            <w:shd w:val="clear" w:color="auto" w:fill="auto"/>
          </w:tcPr>
          <w:p w14:paraId="0869CEC1" w14:textId="77777777" w:rsidR="001010FD" w:rsidRPr="00981706" w:rsidRDefault="001010FD" w:rsidP="002242C7">
            <w:pPr>
              <w:pStyle w:val="Tabletext"/>
              <w:rPr>
                <w:lang w:val="ar-SA" w:bidi="ar-EG"/>
              </w:rPr>
            </w:pPr>
            <w:r w:rsidRPr="00981706">
              <w:rPr>
                <w:rtl/>
              </w:rPr>
              <w:t>مونتريال، 1-12 يوليو 2024</w:t>
            </w:r>
          </w:p>
        </w:tc>
        <w:tc>
          <w:tcPr>
            <w:tcW w:w="2322" w:type="pct"/>
            <w:shd w:val="clear" w:color="auto" w:fill="auto"/>
          </w:tcPr>
          <w:p w14:paraId="5E2D7357" w14:textId="77777777" w:rsidR="001010FD" w:rsidRPr="00981706" w:rsidRDefault="001010FD" w:rsidP="002242C7">
            <w:pPr>
              <w:pStyle w:val="Tabletext"/>
              <w:rPr>
                <w:lang w:val="ar-SA" w:bidi="ar-EG"/>
              </w:rPr>
            </w:pPr>
            <w:proofErr w:type="spellStart"/>
            <w:r w:rsidRPr="00981706">
              <w:rPr>
                <w:rtl/>
              </w:rPr>
              <w:t>Emanuele</w:t>
            </w:r>
            <w:proofErr w:type="spellEnd"/>
            <w:r w:rsidRPr="00981706">
              <w:rPr>
                <w:rtl/>
              </w:rPr>
              <w:t xml:space="preserve"> NASTRI، إيطاليا</w:t>
            </w:r>
          </w:p>
        </w:tc>
      </w:tr>
      <w:tr w:rsidR="001010FD" w:rsidRPr="00981706" w14:paraId="3772DE9B" w14:textId="77777777" w:rsidTr="002242C7">
        <w:trPr>
          <w:jc w:val="center"/>
        </w:trPr>
        <w:tc>
          <w:tcPr>
            <w:tcW w:w="742" w:type="pct"/>
            <w:shd w:val="clear" w:color="auto" w:fill="auto"/>
            <w:hideMark/>
          </w:tcPr>
          <w:p w14:paraId="19BEF2B7"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hideMark/>
          </w:tcPr>
          <w:p w14:paraId="4D721977" w14:textId="77777777" w:rsidR="001010FD" w:rsidRPr="00981706" w:rsidRDefault="001010FD" w:rsidP="002242C7">
            <w:pPr>
              <w:pStyle w:val="Tabletext"/>
              <w:rPr>
                <w:lang w:val="ar-SA" w:bidi="ar-EG"/>
              </w:rPr>
            </w:pPr>
            <w:r w:rsidRPr="00981706">
              <w:rPr>
                <w:rtl/>
              </w:rPr>
              <w:t>جنيف، 10-21 يوليو 2023</w:t>
            </w:r>
          </w:p>
        </w:tc>
        <w:tc>
          <w:tcPr>
            <w:tcW w:w="2322" w:type="pct"/>
            <w:shd w:val="clear" w:color="auto" w:fill="auto"/>
            <w:hideMark/>
          </w:tcPr>
          <w:p w14:paraId="2D47D2E8" w14:textId="77777777" w:rsidR="001010FD" w:rsidRPr="00981706" w:rsidRDefault="001010FD" w:rsidP="002242C7">
            <w:pPr>
              <w:pStyle w:val="Tabletext"/>
              <w:rPr>
                <w:lang w:val="ar-SA" w:bidi="ar-EG"/>
              </w:rPr>
            </w:pPr>
            <w:proofErr w:type="spellStart"/>
            <w:r w:rsidRPr="00981706">
              <w:rPr>
                <w:rtl/>
              </w:rPr>
              <w:t>Akmal</w:t>
            </w:r>
            <w:proofErr w:type="spellEnd"/>
            <w:r w:rsidRPr="00981706">
              <w:rPr>
                <w:rtl/>
              </w:rPr>
              <w:t xml:space="preserve"> SAVURBAEV، أوزبكستان</w:t>
            </w:r>
          </w:p>
        </w:tc>
      </w:tr>
      <w:tr w:rsidR="001010FD" w:rsidRPr="00981706" w14:paraId="521D7125" w14:textId="77777777" w:rsidTr="002242C7">
        <w:trPr>
          <w:jc w:val="center"/>
        </w:trPr>
        <w:tc>
          <w:tcPr>
            <w:tcW w:w="742" w:type="pct"/>
            <w:shd w:val="clear" w:color="auto" w:fill="auto"/>
          </w:tcPr>
          <w:p w14:paraId="4CD2AF5C"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tcPr>
          <w:p w14:paraId="499E2819" w14:textId="77777777" w:rsidR="001010FD" w:rsidRPr="00981706" w:rsidRDefault="001010FD" w:rsidP="002242C7">
            <w:pPr>
              <w:pStyle w:val="Tabletext"/>
              <w:rPr>
                <w:lang w:val="ar-SA" w:bidi="ar-EG"/>
              </w:rPr>
            </w:pPr>
            <w:r w:rsidRPr="00981706">
              <w:rPr>
                <w:rtl/>
              </w:rPr>
              <w:t>جنيف، 17-28 أكتوبر 2022</w:t>
            </w:r>
          </w:p>
        </w:tc>
        <w:tc>
          <w:tcPr>
            <w:tcW w:w="2322" w:type="pct"/>
            <w:shd w:val="clear" w:color="auto" w:fill="auto"/>
          </w:tcPr>
          <w:p w14:paraId="53753274" w14:textId="77777777" w:rsidR="001010FD" w:rsidRPr="00981706" w:rsidRDefault="001010FD" w:rsidP="002242C7">
            <w:pPr>
              <w:pStyle w:val="Tabletext"/>
              <w:rPr>
                <w:lang w:val="ar-SA" w:bidi="ar-EG"/>
              </w:rPr>
            </w:pPr>
            <w:proofErr w:type="spellStart"/>
            <w:r w:rsidRPr="00981706">
              <w:rPr>
                <w:rtl/>
              </w:rPr>
              <w:t>Akmal</w:t>
            </w:r>
            <w:proofErr w:type="spellEnd"/>
            <w:r w:rsidRPr="00981706">
              <w:rPr>
                <w:rtl/>
              </w:rPr>
              <w:t xml:space="preserve"> SAVURBAEV، أوزبكستان</w:t>
            </w:r>
          </w:p>
        </w:tc>
      </w:tr>
      <w:tr w:rsidR="001010FD" w:rsidRPr="00981706" w14:paraId="1ED9E799" w14:textId="77777777" w:rsidTr="002242C7">
        <w:trPr>
          <w:jc w:val="center"/>
        </w:trPr>
        <w:tc>
          <w:tcPr>
            <w:tcW w:w="742" w:type="pct"/>
            <w:shd w:val="clear" w:color="auto" w:fill="auto"/>
          </w:tcPr>
          <w:p w14:paraId="4E8A6C96"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tcPr>
          <w:p w14:paraId="2F748FA8" w14:textId="77777777" w:rsidR="001010FD" w:rsidRPr="00981706" w:rsidRDefault="001010FD" w:rsidP="002242C7">
            <w:pPr>
              <w:pStyle w:val="Tabletext"/>
              <w:rPr>
                <w:lang w:val="ar-SA" w:bidi="ar-EG"/>
              </w:rPr>
            </w:pPr>
            <w:r w:rsidRPr="00981706">
              <w:rPr>
                <w:rtl/>
              </w:rPr>
              <w:t>رين، 15-26 أبريل 2024</w:t>
            </w:r>
          </w:p>
        </w:tc>
        <w:tc>
          <w:tcPr>
            <w:tcW w:w="2322" w:type="pct"/>
            <w:shd w:val="clear" w:color="auto" w:fill="auto"/>
          </w:tcPr>
          <w:p w14:paraId="25B7FFB7" w14:textId="77777777" w:rsidR="001010FD" w:rsidRPr="00981706" w:rsidRDefault="001010FD" w:rsidP="002242C7">
            <w:pPr>
              <w:pStyle w:val="Tabletext"/>
              <w:rPr>
                <w:lang w:val="ar-SA" w:bidi="ar-EG"/>
              </w:rPr>
            </w:pPr>
            <w:proofErr w:type="spellStart"/>
            <w:r w:rsidRPr="00981706">
              <w:rPr>
                <w:rtl/>
              </w:rPr>
              <w:t>Akmal</w:t>
            </w:r>
            <w:proofErr w:type="spellEnd"/>
            <w:r w:rsidRPr="00981706">
              <w:rPr>
                <w:rtl/>
              </w:rPr>
              <w:t xml:space="preserve"> SAVURBAEV، أوزبكستان</w:t>
            </w:r>
          </w:p>
        </w:tc>
      </w:tr>
      <w:tr w:rsidR="001010FD" w:rsidRPr="00981706" w14:paraId="67E86F27" w14:textId="77777777" w:rsidTr="002242C7">
        <w:trPr>
          <w:jc w:val="center"/>
        </w:trPr>
        <w:tc>
          <w:tcPr>
            <w:tcW w:w="742" w:type="pct"/>
            <w:shd w:val="clear" w:color="auto" w:fill="auto"/>
          </w:tcPr>
          <w:p w14:paraId="2896A370"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tcPr>
          <w:p w14:paraId="3608C4C6" w14:textId="77777777" w:rsidR="001010FD" w:rsidRPr="00981706" w:rsidRDefault="001010FD" w:rsidP="002242C7">
            <w:pPr>
              <w:pStyle w:val="Tabletext"/>
              <w:rPr>
                <w:lang w:val="ar-SA" w:bidi="ar-EG"/>
              </w:rPr>
            </w:pPr>
            <w:r w:rsidRPr="00981706">
              <w:rPr>
                <w:rtl/>
              </w:rPr>
              <w:t>رين، 15-26 أبريل 2024</w:t>
            </w:r>
          </w:p>
        </w:tc>
        <w:tc>
          <w:tcPr>
            <w:tcW w:w="2322" w:type="pct"/>
            <w:shd w:val="clear" w:color="auto" w:fill="auto"/>
          </w:tcPr>
          <w:p w14:paraId="0971A58B" w14:textId="77777777" w:rsidR="001010FD" w:rsidRPr="00981706" w:rsidRDefault="001010FD" w:rsidP="002242C7">
            <w:pPr>
              <w:pStyle w:val="Tabletext"/>
              <w:rPr>
                <w:lang w:val="ar-SA" w:bidi="ar-EG"/>
              </w:rPr>
            </w:pPr>
            <w:proofErr w:type="spellStart"/>
            <w:r w:rsidRPr="00981706">
              <w:rPr>
                <w:rtl/>
              </w:rPr>
              <w:t>Ashok</w:t>
            </w:r>
            <w:proofErr w:type="spellEnd"/>
            <w:r w:rsidRPr="00981706">
              <w:rPr>
                <w:rtl/>
              </w:rPr>
              <w:t xml:space="preserve"> KUMAR، الهند</w:t>
            </w:r>
          </w:p>
        </w:tc>
      </w:tr>
      <w:tr w:rsidR="001010FD" w:rsidRPr="00981706" w14:paraId="0D1D0BA6" w14:textId="77777777" w:rsidTr="002242C7">
        <w:trPr>
          <w:jc w:val="center"/>
        </w:trPr>
        <w:tc>
          <w:tcPr>
            <w:tcW w:w="742" w:type="pct"/>
            <w:shd w:val="clear" w:color="auto" w:fill="auto"/>
            <w:hideMark/>
          </w:tcPr>
          <w:p w14:paraId="5AFD2B12"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hideMark/>
          </w:tcPr>
          <w:p w14:paraId="3D6A2DB4" w14:textId="77777777" w:rsidR="001010FD" w:rsidRPr="00981706" w:rsidRDefault="001010FD" w:rsidP="002242C7">
            <w:pPr>
              <w:pStyle w:val="Tabletext"/>
              <w:rPr>
                <w:lang w:val="ar-SA" w:bidi="ar-EG"/>
              </w:rPr>
            </w:pPr>
            <w:r w:rsidRPr="00981706">
              <w:rPr>
                <w:rtl/>
              </w:rPr>
              <w:t>جنيف، 10-21 يوليو 2023</w:t>
            </w:r>
          </w:p>
        </w:tc>
        <w:tc>
          <w:tcPr>
            <w:tcW w:w="2322" w:type="pct"/>
            <w:shd w:val="clear" w:color="auto" w:fill="auto"/>
            <w:hideMark/>
          </w:tcPr>
          <w:p w14:paraId="2D6815E7" w14:textId="77777777" w:rsidR="001010FD" w:rsidRPr="00981706" w:rsidRDefault="001010FD" w:rsidP="002242C7">
            <w:pPr>
              <w:pStyle w:val="Tabletext"/>
              <w:rPr>
                <w:lang w:val="ar-SA" w:bidi="ar-EG"/>
              </w:rPr>
            </w:pPr>
            <w:proofErr w:type="spellStart"/>
            <w:r w:rsidRPr="00981706">
              <w:rPr>
                <w:rtl/>
              </w:rPr>
              <w:t>Charles</w:t>
            </w:r>
            <w:proofErr w:type="spellEnd"/>
            <w:r w:rsidRPr="00981706">
              <w:rPr>
                <w:rtl/>
              </w:rPr>
              <w:t xml:space="preserve"> </w:t>
            </w:r>
            <w:proofErr w:type="spellStart"/>
            <w:r w:rsidRPr="00981706">
              <w:rPr>
                <w:rtl/>
              </w:rPr>
              <w:t>Zoé</w:t>
            </w:r>
            <w:proofErr w:type="spellEnd"/>
            <w:r w:rsidRPr="00981706">
              <w:rPr>
                <w:rtl/>
              </w:rPr>
              <w:t xml:space="preserve"> BANGA، جمهورية إفريقيا الوسطى</w:t>
            </w:r>
          </w:p>
        </w:tc>
      </w:tr>
      <w:tr w:rsidR="001010FD" w:rsidRPr="00981706" w14:paraId="2B585995" w14:textId="77777777" w:rsidTr="002242C7">
        <w:trPr>
          <w:jc w:val="center"/>
        </w:trPr>
        <w:tc>
          <w:tcPr>
            <w:tcW w:w="742" w:type="pct"/>
            <w:shd w:val="clear" w:color="auto" w:fill="auto"/>
          </w:tcPr>
          <w:p w14:paraId="2E5492C8"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tcPr>
          <w:p w14:paraId="7D8FD453" w14:textId="77777777" w:rsidR="001010FD" w:rsidRPr="00981706" w:rsidRDefault="001010FD" w:rsidP="002242C7">
            <w:pPr>
              <w:pStyle w:val="Tabletext"/>
              <w:rPr>
                <w:lang w:val="ar-SA" w:bidi="ar-EG"/>
              </w:rPr>
            </w:pPr>
            <w:r w:rsidRPr="00981706">
              <w:rPr>
                <w:rtl/>
              </w:rPr>
              <w:t>جنيف، 17-28 أكتوبر 2022</w:t>
            </w:r>
          </w:p>
        </w:tc>
        <w:tc>
          <w:tcPr>
            <w:tcW w:w="2322" w:type="pct"/>
            <w:shd w:val="clear" w:color="auto" w:fill="auto"/>
          </w:tcPr>
          <w:p w14:paraId="11D173E9" w14:textId="77777777" w:rsidR="001010FD" w:rsidRPr="00981706" w:rsidRDefault="001010FD" w:rsidP="002242C7">
            <w:pPr>
              <w:pStyle w:val="Tabletext"/>
              <w:rPr>
                <w:lang w:val="ar-SA" w:bidi="ar-EG"/>
              </w:rPr>
            </w:pPr>
            <w:proofErr w:type="spellStart"/>
            <w:r w:rsidRPr="00981706">
              <w:rPr>
                <w:rtl/>
              </w:rPr>
              <w:t>Charles</w:t>
            </w:r>
            <w:proofErr w:type="spellEnd"/>
            <w:r w:rsidRPr="00981706">
              <w:rPr>
                <w:rtl/>
              </w:rPr>
              <w:t xml:space="preserve"> </w:t>
            </w:r>
            <w:proofErr w:type="spellStart"/>
            <w:r w:rsidRPr="00981706">
              <w:rPr>
                <w:rtl/>
              </w:rPr>
              <w:t>Zoé</w:t>
            </w:r>
            <w:proofErr w:type="spellEnd"/>
            <w:r w:rsidRPr="00981706">
              <w:rPr>
                <w:rtl/>
              </w:rPr>
              <w:t xml:space="preserve"> BANGA، جمهورية إفريقيا الوسطى</w:t>
            </w:r>
          </w:p>
        </w:tc>
      </w:tr>
      <w:tr w:rsidR="001010FD" w:rsidRPr="00981706" w14:paraId="32CFA70E" w14:textId="77777777" w:rsidTr="002242C7">
        <w:trPr>
          <w:jc w:val="center"/>
        </w:trPr>
        <w:tc>
          <w:tcPr>
            <w:tcW w:w="742" w:type="pct"/>
            <w:shd w:val="clear" w:color="auto" w:fill="auto"/>
          </w:tcPr>
          <w:p w14:paraId="77717BD9" w14:textId="77777777" w:rsidR="001010FD" w:rsidRPr="00E93A4B" w:rsidRDefault="001010FD" w:rsidP="001010FD">
            <w:pPr>
              <w:pStyle w:val="Tabletext"/>
              <w:jc w:val="center"/>
              <w:rPr>
                <w:spacing w:val="-6"/>
                <w:lang w:val="ar-SA" w:bidi="ar-EG"/>
              </w:rPr>
            </w:pPr>
            <w:r w:rsidRPr="00E93A4B">
              <w:rPr>
                <w:spacing w:val="-6"/>
                <w:rtl/>
              </w:rPr>
              <w:t>لجنة الدراسات 16</w:t>
            </w:r>
          </w:p>
        </w:tc>
        <w:tc>
          <w:tcPr>
            <w:tcW w:w="1936" w:type="pct"/>
            <w:shd w:val="clear" w:color="auto" w:fill="auto"/>
          </w:tcPr>
          <w:p w14:paraId="57A9220D" w14:textId="77777777" w:rsidR="001010FD" w:rsidRPr="00981706" w:rsidRDefault="001010FD" w:rsidP="002242C7">
            <w:pPr>
              <w:pStyle w:val="Tabletext"/>
              <w:rPr>
                <w:lang w:val="ar-SA" w:bidi="ar-EG"/>
              </w:rPr>
            </w:pPr>
            <w:r w:rsidRPr="00981706">
              <w:rPr>
                <w:rtl/>
              </w:rPr>
              <w:t>رين، 15-26 أبريل 2024</w:t>
            </w:r>
          </w:p>
        </w:tc>
        <w:tc>
          <w:tcPr>
            <w:tcW w:w="2322" w:type="pct"/>
            <w:shd w:val="clear" w:color="auto" w:fill="auto"/>
          </w:tcPr>
          <w:p w14:paraId="0E8C2E0F" w14:textId="77777777" w:rsidR="001010FD" w:rsidRPr="00981706" w:rsidRDefault="001010FD" w:rsidP="002242C7">
            <w:pPr>
              <w:pStyle w:val="Tabletext"/>
              <w:rPr>
                <w:lang w:val="ar-SA" w:bidi="ar-EG"/>
              </w:rPr>
            </w:pPr>
            <w:proofErr w:type="spellStart"/>
            <w:r w:rsidRPr="00981706">
              <w:rPr>
                <w:rtl/>
              </w:rPr>
              <w:t>Charles</w:t>
            </w:r>
            <w:proofErr w:type="spellEnd"/>
            <w:r w:rsidRPr="00981706">
              <w:rPr>
                <w:rtl/>
              </w:rPr>
              <w:t xml:space="preserve"> </w:t>
            </w:r>
            <w:proofErr w:type="spellStart"/>
            <w:r w:rsidRPr="00981706">
              <w:rPr>
                <w:rtl/>
              </w:rPr>
              <w:t>Zoé</w:t>
            </w:r>
            <w:proofErr w:type="spellEnd"/>
            <w:r w:rsidRPr="00981706">
              <w:rPr>
                <w:rtl/>
              </w:rPr>
              <w:t xml:space="preserve"> BANGA، جمهورية إفريقيا الوسطى</w:t>
            </w:r>
          </w:p>
        </w:tc>
      </w:tr>
      <w:tr w:rsidR="001010FD" w:rsidRPr="00981706" w14:paraId="4F3F8B09" w14:textId="77777777" w:rsidTr="002242C7">
        <w:trPr>
          <w:jc w:val="center"/>
        </w:trPr>
        <w:tc>
          <w:tcPr>
            <w:tcW w:w="742" w:type="pct"/>
            <w:shd w:val="clear" w:color="auto" w:fill="auto"/>
          </w:tcPr>
          <w:p w14:paraId="63488100"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6F89D0B0" w14:textId="77777777" w:rsidR="001010FD" w:rsidRPr="00981706" w:rsidRDefault="001010FD" w:rsidP="002242C7">
            <w:pPr>
              <w:pStyle w:val="Tabletext"/>
              <w:rPr>
                <w:lang w:val="ar-SA" w:bidi="ar-EG"/>
              </w:rPr>
            </w:pPr>
            <w:r w:rsidRPr="00981706">
              <w:rPr>
                <w:rtl/>
              </w:rPr>
              <w:t>جنيف، 23 أغسطس – 2 سبتمبر 2022</w:t>
            </w:r>
          </w:p>
        </w:tc>
        <w:tc>
          <w:tcPr>
            <w:tcW w:w="2322" w:type="pct"/>
            <w:shd w:val="clear" w:color="auto" w:fill="auto"/>
          </w:tcPr>
          <w:p w14:paraId="1517DB2A" w14:textId="77777777" w:rsidR="001010FD" w:rsidRPr="00A975A1" w:rsidRDefault="001010FD" w:rsidP="002242C7">
            <w:pPr>
              <w:pStyle w:val="Tabletext"/>
              <w:rPr>
                <w:spacing w:val="-2"/>
                <w:lang w:val="ar-SA" w:bidi="ar-EG"/>
              </w:rPr>
            </w:pPr>
            <w:proofErr w:type="spellStart"/>
            <w:r w:rsidRPr="00A975A1">
              <w:rPr>
                <w:spacing w:val="-2"/>
                <w:rtl/>
              </w:rPr>
              <w:t>Abderrazak</w:t>
            </w:r>
            <w:proofErr w:type="spellEnd"/>
            <w:r w:rsidRPr="00A975A1">
              <w:rPr>
                <w:spacing w:val="-2"/>
                <w:rtl/>
              </w:rPr>
              <w:t xml:space="preserve"> BACHIR BOUIADJRA، شركة اتصالات الجزائر</w:t>
            </w:r>
          </w:p>
        </w:tc>
      </w:tr>
      <w:tr w:rsidR="001010FD" w:rsidRPr="00981706" w14:paraId="2C1F5FE6" w14:textId="77777777" w:rsidTr="002242C7">
        <w:trPr>
          <w:jc w:val="center"/>
        </w:trPr>
        <w:tc>
          <w:tcPr>
            <w:tcW w:w="742" w:type="pct"/>
            <w:shd w:val="clear" w:color="auto" w:fill="auto"/>
          </w:tcPr>
          <w:p w14:paraId="53C5BBA0"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63BBBD6B" w14:textId="77777777" w:rsidR="001010FD" w:rsidRPr="00981706" w:rsidRDefault="001010FD" w:rsidP="002242C7">
            <w:pPr>
              <w:pStyle w:val="Tabletext"/>
              <w:rPr>
                <w:lang w:val="ar-SA" w:bidi="ar-EG"/>
              </w:rPr>
            </w:pPr>
            <w:r w:rsidRPr="00981706">
              <w:rPr>
                <w:rtl/>
              </w:rPr>
              <w:t>اجتماع افتراضي، 10-20 مايو 2022</w:t>
            </w:r>
          </w:p>
        </w:tc>
        <w:tc>
          <w:tcPr>
            <w:tcW w:w="2322" w:type="pct"/>
            <w:shd w:val="clear" w:color="auto" w:fill="auto"/>
          </w:tcPr>
          <w:p w14:paraId="345E98F9" w14:textId="77777777" w:rsidR="001010FD" w:rsidRPr="00981706" w:rsidRDefault="001010FD" w:rsidP="002242C7">
            <w:pPr>
              <w:pStyle w:val="Tabletext"/>
              <w:rPr>
                <w:lang w:val="ar-SA" w:bidi="ar-EG"/>
              </w:rPr>
            </w:pPr>
            <w:proofErr w:type="spellStart"/>
            <w:r w:rsidRPr="00981706">
              <w:rPr>
                <w:rtl/>
              </w:rPr>
              <w:t>Afnan</w:t>
            </w:r>
            <w:proofErr w:type="spellEnd"/>
            <w:r w:rsidRPr="00981706">
              <w:rPr>
                <w:rtl/>
              </w:rPr>
              <w:t xml:space="preserve"> ALROMI، المملكة العربية السعودية</w:t>
            </w:r>
          </w:p>
        </w:tc>
      </w:tr>
      <w:tr w:rsidR="001010FD" w:rsidRPr="00981706" w14:paraId="01E536F1" w14:textId="77777777" w:rsidTr="002242C7">
        <w:trPr>
          <w:jc w:val="center"/>
        </w:trPr>
        <w:tc>
          <w:tcPr>
            <w:tcW w:w="742" w:type="pct"/>
            <w:shd w:val="clear" w:color="auto" w:fill="auto"/>
          </w:tcPr>
          <w:p w14:paraId="4AAED36B"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2FF19A0C" w14:textId="77777777" w:rsidR="001010FD" w:rsidRPr="00981706" w:rsidRDefault="001010FD" w:rsidP="002242C7">
            <w:pPr>
              <w:pStyle w:val="Tabletext"/>
              <w:rPr>
                <w:lang w:val="ar-SA" w:bidi="ar-EG"/>
              </w:rPr>
            </w:pPr>
            <w:r w:rsidRPr="00981706">
              <w:rPr>
                <w:rtl/>
              </w:rPr>
              <w:t>جنيف، 20 فبراير – 1 مارس 2024</w:t>
            </w:r>
          </w:p>
        </w:tc>
        <w:tc>
          <w:tcPr>
            <w:tcW w:w="2322" w:type="pct"/>
            <w:shd w:val="clear" w:color="auto" w:fill="auto"/>
          </w:tcPr>
          <w:p w14:paraId="62AF8098" w14:textId="77777777" w:rsidR="001010FD" w:rsidRPr="00981706" w:rsidRDefault="001010FD" w:rsidP="002242C7">
            <w:pPr>
              <w:pStyle w:val="Tabletext"/>
              <w:rPr>
                <w:lang w:val="ar-SA" w:bidi="ar-EG"/>
              </w:rPr>
            </w:pPr>
            <w:proofErr w:type="spellStart"/>
            <w:r w:rsidRPr="00981706">
              <w:rPr>
                <w:rtl/>
              </w:rPr>
              <w:t>Francisco</w:t>
            </w:r>
            <w:proofErr w:type="spellEnd"/>
            <w:r w:rsidRPr="00981706">
              <w:rPr>
                <w:rtl/>
              </w:rPr>
              <w:t xml:space="preserve"> </w:t>
            </w:r>
            <w:proofErr w:type="spellStart"/>
            <w:r w:rsidRPr="00981706">
              <w:rPr>
                <w:rtl/>
              </w:rPr>
              <w:t>Javier</w:t>
            </w:r>
            <w:proofErr w:type="spellEnd"/>
            <w:r w:rsidRPr="00981706">
              <w:rPr>
                <w:rtl/>
              </w:rPr>
              <w:t xml:space="preserve"> DÍAZ، الأرجنتين</w:t>
            </w:r>
          </w:p>
        </w:tc>
      </w:tr>
      <w:tr w:rsidR="001010FD" w:rsidRPr="00981706" w14:paraId="00F974FE" w14:textId="77777777" w:rsidTr="002242C7">
        <w:trPr>
          <w:jc w:val="center"/>
        </w:trPr>
        <w:tc>
          <w:tcPr>
            <w:tcW w:w="742" w:type="pct"/>
            <w:shd w:val="clear" w:color="auto" w:fill="auto"/>
          </w:tcPr>
          <w:p w14:paraId="5179685B"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39A55CBA" w14:textId="77777777" w:rsidR="001010FD" w:rsidRPr="00981706" w:rsidRDefault="001010FD" w:rsidP="002242C7">
            <w:pPr>
              <w:pStyle w:val="Tabletext"/>
              <w:rPr>
                <w:lang w:val="ar-SA" w:bidi="ar-EG"/>
              </w:rPr>
            </w:pPr>
            <w:r w:rsidRPr="00981706">
              <w:rPr>
                <w:rtl/>
              </w:rPr>
              <w:t>جنيف، 21 فبراير - 3 مارس 2023</w:t>
            </w:r>
          </w:p>
        </w:tc>
        <w:tc>
          <w:tcPr>
            <w:tcW w:w="2322" w:type="pct"/>
            <w:shd w:val="clear" w:color="auto" w:fill="auto"/>
          </w:tcPr>
          <w:p w14:paraId="17E32B1B" w14:textId="77777777" w:rsidR="001010FD" w:rsidRPr="00981706" w:rsidRDefault="001010FD" w:rsidP="002242C7">
            <w:pPr>
              <w:pStyle w:val="Tabletext"/>
              <w:rPr>
                <w:lang w:val="ar-SA" w:bidi="ar-EG"/>
              </w:rPr>
            </w:pPr>
            <w:proofErr w:type="spellStart"/>
            <w:r w:rsidRPr="00981706">
              <w:rPr>
                <w:rtl/>
              </w:rPr>
              <w:t>Francisco</w:t>
            </w:r>
            <w:proofErr w:type="spellEnd"/>
            <w:r w:rsidRPr="00981706">
              <w:rPr>
                <w:rtl/>
              </w:rPr>
              <w:t xml:space="preserve"> </w:t>
            </w:r>
            <w:proofErr w:type="spellStart"/>
            <w:r w:rsidRPr="00981706">
              <w:rPr>
                <w:rtl/>
              </w:rPr>
              <w:t>Javier</w:t>
            </w:r>
            <w:proofErr w:type="spellEnd"/>
            <w:r w:rsidRPr="00981706">
              <w:rPr>
                <w:rtl/>
              </w:rPr>
              <w:t xml:space="preserve"> DÍAZ، الأرجنتين</w:t>
            </w:r>
          </w:p>
        </w:tc>
      </w:tr>
      <w:tr w:rsidR="001010FD" w:rsidRPr="00981706" w14:paraId="60933C42" w14:textId="77777777" w:rsidTr="002242C7">
        <w:trPr>
          <w:jc w:val="center"/>
        </w:trPr>
        <w:tc>
          <w:tcPr>
            <w:tcW w:w="742" w:type="pct"/>
            <w:shd w:val="clear" w:color="auto" w:fill="auto"/>
          </w:tcPr>
          <w:p w14:paraId="7D09E101"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7F09CE0F" w14:textId="77777777" w:rsidR="001010FD" w:rsidRPr="00981706" w:rsidRDefault="001010FD" w:rsidP="002242C7">
            <w:pPr>
              <w:pStyle w:val="Tabletext"/>
              <w:rPr>
                <w:lang w:val="ar-SA" w:bidi="ar-EG"/>
              </w:rPr>
            </w:pPr>
            <w:r w:rsidRPr="00981706">
              <w:rPr>
                <w:rtl/>
              </w:rPr>
              <w:t>جنيف، 2-6 سبتمبر 2024</w:t>
            </w:r>
          </w:p>
        </w:tc>
        <w:tc>
          <w:tcPr>
            <w:tcW w:w="2322" w:type="pct"/>
            <w:shd w:val="clear" w:color="auto" w:fill="auto"/>
          </w:tcPr>
          <w:p w14:paraId="36331401" w14:textId="77777777" w:rsidR="001010FD" w:rsidRPr="00981706" w:rsidRDefault="001010FD" w:rsidP="002242C7">
            <w:pPr>
              <w:pStyle w:val="Tabletext"/>
              <w:rPr>
                <w:lang w:val="ar-SA" w:bidi="ar-EG"/>
              </w:rPr>
            </w:pPr>
            <w:proofErr w:type="spellStart"/>
            <w:r w:rsidRPr="00981706">
              <w:rPr>
                <w:rtl/>
              </w:rPr>
              <w:t>Francisco</w:t>
            </w:r>
            <w:proofErr w:type="spellEnd"/>
            <w:r w:rsidRPr="00981706">
              <w:rPr>
                <w:rtl/>
              </w:rPr>
              <w:t xml:space="preserve"> </w:t>
            </w:r>
            <w:proofErr w:type="spellStart"/>
            <w:r w:rsidRPr="00981706">
              <w:rPr>
                <w:rtl/>
              </w:rPr>
              <w:t>Javier</w:t>
            </w:r>
            <w:proofErr w:type="spellEnd"/>
            <w:r w:rsidRPr="00981706">
              <w:rPr>
                <w:rtl/>
              </w:rPr>
              <w:t xml:space="preserve"> DÍAZ، الأرجنتين</w:t>
            </w:r>
          </w:p>
        </w:tc>
      </w:tr>
      <w:tr w:rsidR="001010FD" w:rsidRPr="00981706" w14:paraId="7AE6BC09" w14:textId="77777777" w:rsidTr="002242C7">
        <w:trPr>
          <w:jc w:val="center"/>
        </w:trPr>
        <w:tc>
          <w:tcPr>
            <w:tcW w:w="742" w:type="pct"/>
            <w:shd w:val="clear" w:color="auto" w:fill="auto"/>
            <w:hideMark/>
          </w:tcPr>
          <w:p w14:paraId="0B7B9E46"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hideMark/>
          </w:tcPr>
          <w:p w14:paraId="2073A54B" w14:textId="77777777" w:rsidR="001010FD" w:rsidRPr="00A975A1" w:rsidRDefault="001010FD" w:rsidP="002242C7">
            <w:pPr>
              <w:pStyle w:val="Tabletext"/>
              <w:rPr>
                <w:spacing w:val="-8"/>
                <w:lang w:val="ar-SA" w:bidi="ar-EG"/>
              </w:rPr>
            </w:pPr>
            <w:proofErr w:type="spellStart"/>
            <w:r w:rsidRPr="00A975A1">
              <w:rPr>
                <w:spacing w:val="-8"/>
                <w:rtl/>
              </w:rPr>
              <w:t>غويانغ</w:t>
            </w:r>
            <w:proofErr w:type="spellEnd"/>
            <w:r w:rsidRPr="00A975A1">
              <w:rPr>
                <w:spacing w:val="-8"/>
                <w:rtl/>
              </w:rPr>
              <w:t>، جمهورية كوريا، 29 أغسطس - 8 سبتمبر 2023</w:t>
            </w:r>
          </w:p>
        </w:tc>
        <w:tc>
          <w:tcPr>
            <w:tcW w:w="2322" w:type="pct"/>
            <w:shd w:val="clear" w:color="auto" w:fill="auto"/>
            <w:hideMark/>
          </w:tcPr>
          <w:p w14:paraId="0F98FB20" w14:textId="77777777" w:rsidR="001010FD" w:rsidRPr="00981706" w:rsidRDefault="001010FD" w:rsidP="002242C7">
            <w:pPr>
              <w:pStyle w:val="Tabletext"/>
              <w:rPr>
                <w:lang w:val="ar-SA" w:bidi="ar-EG"/>
              </w:rPr>
            </w:pPr>
            <w:proofErr w:type="spellStart"/>
            <w:r w:rsidRPr="00981706">
              <w:rPr>
                <w:rtl/>
              </w:rPr>
              <w:t>Francisco</w:t>
            </w:r>
            <w:proofErr w:type="spellEnd"/>
            <w:r w:rsidRPr="00981706">
              <w:rPr>
                <w:rtl/>
              </w:rPr>
              <w:t xml:space="preserve"> </w:t>
            </w:r>
            <w:proofErr w:type="spellStart"/>
            <w:r w:rsidRPr="00981706">
              <w:rPr>
                <w:rtl/>
              </w:rPr>
              <w:t>Javier</w:t>
            </w:r>
            <w:proofErr w:type="spellEnd"/>
            <w:r w:rsidRPr="00981706">
              <w:rPr>
                <w:rtl/>
              </w:rPr>
              <w:t xml:space="preserve"> DÍAZ، الأرجنتين</w:t>
            </w:r>
          </w:p>
        </w:tc>
      </w:tr>
      <w:tr w:rsidR="001010FD" w:rsidRPr="00981706" w14:paraId="57D16E0F" w14:textId="77777777" w:rsidTr="002242C7">
        <w:trPr>
          <w:jc w:val="center"/>
        </w:trPr>
        <w:tc>
          <w:tcPr>
            <w:tcW w:w="742" w:type="pct"/>
            <w:shd w:val="clear" w:color="auto" w:fill="auto"/>
          </w:tcPr>
          <w:p w14:paraId="00C89511"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2A0B60F4" w14:textId="77777777" w:rsidR="001010FD" w:rsidRPr="00981706" w:rsidRDefault="001010FD" w:rsidP="002242C7">
            <w:pPr>
              <w:pStyle w:val="Tabletext"/>
              <w:rPr>
                <w:lang w:val="ar-SA" w:bidi="ar-EG"/>
              </w:rPr>
            </w:pPr>
            <w:r w:rsidRPr="00981706">
              <w:rPr>
                <w:rtl/>
              </w:rPr>
              <w:t>اجتماع افتراضي، 11 - 12 يوليو 2024</w:t>
            </w:r>
          </w:p>
        </w:tc>
        <w:tc>
          <w:tcPr>
            <w:tcW w:w="2322" w:type="pct"/>
            <w:shd w:val="clear" w:color="auto" w:fill="auto"/>
          </w:tcPr>
          <w:p w14:paraId="119337D4" w14:textId="77777777" w:rsidR="001010FD" w:rsidRPr="00981706" w:rsidRDefault="001010FD" w:rsidP="002242C7">
            <w:pPr>
              <w:pStyle w:val="Tabletext"/>
              <w:rPr>
                <w:lang w:val="ar-SA" w:bidi="ar-EG"/>
              </w:rPr>
            </w:pPr>
            <w:proofErr w:type="spellStart"/>
            <w:r w:rsidRPr="00981706">
              <w:rPr>
                <w:rtl/>
              </w:rPr>
              <w:t>Francisco</w:t>
            </w:r>
            <w:proofErr w:type="spellEnd"/>
            <w:r w:rsidRPr="00981706">
              <w:rPr>
                <w:rtl/>
              </w:rPr>
              <w:t xml:space="preserve"> </w:t>
            </w:r>
            <w:proofErr w:type="spellStart"/>
            <w:r w:rsidRPr="00981706">
              <w:rPr>
                <w:rtl/>
              </w:rPr>
              <w:t>Javier</w:t>
            </w:r>
            <w:proofErr w:type="spellEnd"/>
            <w:r w:rsidRPr="00981706">
              <w:rPr>
                <w:rtl/>
              </w:rPr>
              <w:t xml:space="preserve"> DÍAZ، الأرجنتين</w:t>
            </w:r>
          </w:p>
        </w:tc>
      </w:tr>
      <w:tr w:rsidR="001010FD" w:rsidRPr="00981706" w14:paraId="7EDB175D" w14:textId="77777777" w:rsidTr="002242C7">
        <w:trPr>
          <w:jc w:val="center"/>
        </w:trPr>
        <w:tc>
          <w:tcPr>
            <w:tcW w:w="742" w:type="pct"/>
            <w:shd w:val="clear" w:color="auto" w:fill="auto"/>
          </w:tcPr>
          <w:p w14:paraId="187813D3"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519D43B1" w14:textId="77777777" w:rsidR="001010FD" w:rsidRPr="00981706" w:rsidRDefault="001010FD" w:rsidP="002242C7">
            <w:pPr>
              <w:pStyle w:val="Tabletext"/>
              <w:rPr>
                <w:lang w:val="ar-SA" w:bidi="ar-EG"/>
              </w:rPr>
            </w:pPr>
            <w:r w:rsidRPr="00981706">
              <w:rPr>
                <w:rtl/>
              </w:rPr>
              <w:t>جنيف، 20 فبراير – 1 مارس 2024</w:t>
            </w:r>
          </w:p>
        </w:tc>
        <w:tc>
          <w:tcPr>
            <w:tcW w:w="2322" w:type="pct"/>
            <w:shd w:val="clear" w:color="auto" w:fill="auto"/>
          </w:tcPr>
          <w:p w14:paraId="193AC66E"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1571AC24" w14:textId="77777777" w:rsidTr="002242C7">
        <w:trPr>
          <w:jc w:val="center"/>
        </w:trPr>
        <w:tc>
          <w:tcPr>
            <w:tcW w:w="742" w:type="pct"/>
            <w:shd w:val="clear" w:color="auto" w:fill="auto"/>
          </w:tcPr>
          <w:p w14:paraId="361C4DD6"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76E2D8BD" w14:textId="77777777" w:rsidR="001010FD" w:rsidRPr="00981706" w:rsidRDefault="001010FD" w:rsidP="002242C7">
            <w:pPr>
              <w:pStyle w:val="Tabletext"/>
              <w:rPr>
                <w:lang w:val="ar-SA" w:bidi="ar-EG"/>
              </w:rPr>
            </w:pPr>
            <w:r w:rsidRPr="00981706">
              <w:rPr>
                <w:rtl/>
              </w:rPr>
              <w:t>جنيف، 21 فبراير - 3 مارس 2023</w:t>
            </w:r>
          </w:p>
        </w:tc>
        <w:tc>
          <w:tcPr>
            <w:tcW w:w="2322" w:type="pct"/>
            <w:shd w:val="clear" w:color="auto" w:fill="auto"/>
          </w:tcPr>
          <w:p w14:paraId="77A1CE3B"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2B9B2299" w14:textId="77777777" w:rsidTr="002242C7">
        <w:trPr>
          <w:jc w:val="center"/>
        </w:trPr>
        <w:tc>
          <w:tcPr>
            <w:tcW w:w="742" w:type="pct"/>
            <w:shd w:val="clear" w:color="auto" w:fill="auto"/>
          </w:tcPr>
          <w:p w14:paraId="44E59A8C"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3766D2EA" w14:textId="77777777" w:rsidR="001010FD" w:rsidRPr="00981706" w:rsidRDefault="001010FD" w:rsidP="002242C7">
            <w:pPr>
              <w:pStyle w:val="Tabletext"/>
              <w:rPr>
                <w:lang w:val="ar-SA" w:bidi="ar-EG"/>
              </w:rPr>
            </w:pPr>
            <w:r w:rsidRPr="00981706">
              <w:rPr>
                <w:rtl/>
              </w:rPr>
              <w:t>جنيف، 23 أغسطس – 2 سبتمبر 2022</w:t>
            </w:r>
          </w:p>
        </w:tc>
        <w:tc>
          <w:tcPr>
            <w:tcW w:w="2322" w:type="pct"/>
            <w:shd w:val="clear" w:color="auto" w:fill="auto"/>
          </w:tcPr>
          <w:p w14:paraId="7EB61D9E"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5388F8A5" w14:textId="77777777" w:rsidTr="002242C7">
        <w:trPr>
          <w:jc w:val="center"/>
        </w:trPr>
        <w:tc>
          <w:tcPr>
            <w:tcW w:w="742" w:type="pct"/>
            <w:shd w:val="clear" w:color="auto" w:fill="auto"/>
          </w:tcPr>
          <w:p w14:paraId="798B0625"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6577ACFB" w14:textId="77777777" w:rsidR="001010FD" w:rsidRPr="00981706" w:rsidRDefault="001010FD" w:rsidP="002242C7">
            <w:pPr>
              <w:pStyle w:val="Tabletext"/>
              <w:rPr>
                <w:lang w:val="ar-SA" w:bidi="ar-EG"/>
              </w:rPr>
            </w:pPr>
            <w:r w:rsidRPr="00981706">
              <w:rPr>
                <w:rtl/>
              </w:rPr>
              <w:t>جنيف، 2-6 سبتمبر 2024</w:t>
            </w:r>
          </w:p>
        </w:tc>
        <w:tc>
          <w:tcPr>
            <w:tcW w:w="2322" w:type="pct"/>
            <w:shd w:val="clear" w:color="auto" w:fill="auto"/>
          </w:tcPr>
          <w:p w14:paraId="3B33F69F"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1A2CE512" w14:textId="77777777" w:rsidTr="002242C7">
        <w:trPr>
          <w:jc w:val="center"/>
        </w:trPr>
        <w:tc>
          <w:tcPr>
            <w:tcW w:w="742" w:type="pct"/>
            <w:shd w:val="clear" w:color="auto" w:fill="auto"/>
            <w:hideMark/>
          </w:tcPr>
          <w:p w14:paraId="48B7A556"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hideMark/>
          </w:tcPr>
          <w:p w14:paraId="484EB473" w14:textId="77777777" w:rsidR="001010FD" w:rsidRPr="00A975A1" w:rsidRDefault="001010FD" w:rsidP="002242C7">
            <w:pPr>
              <w:pStyle w:val="Tabletext"/>
              <w:rPr>
                <w:spacing w:val="-8"/>
                <w:lang w:val="ar-SA" w:bidi="ar-EG"/>
              </w:rPr>
            </w:pPr>
            <w:proofErr w:type="spellStart"/>
            <w:r w:rsidRPr="00A975A1">
              <w:rPr>
                <w:spacing w:val="-8"/>
                <w:rtl/>
              </w:rPr>
              <w:t>غويانغ</w:t>
            </w:r>
            <w:proofErr w:type="spellEnd"/>
            <w:r w:rsidRPr="00A975A1">
              <w:rPr>
                <w:spacing w:val="-8"/>
                <w:rtl/>
              </w:rPr>
              <w:t>، جمهورية كوريا، 29 أغسطس - 8 سبتمبر 2023</w:t>
            </w:r>
          </w:p>
        </w:tc>
        <w:tc>
          <w:tcPr>
            <w:tcW w:w="2322" w:type="pct"/>
            <w:shd w:val="clear" w:color="auto" w:fill="auto"/>
            <w:hideMark/>
          </w:tcPr>
          <w:p w14:paraId="0E6D8250"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33BFE56D" w14:textId="77777777" w:rsidTr="002242C7">
        <w:trPr>
          <w:jc w:val="center"/>
        </w:trPr>
        <w:tc>
          <w:tcPr>
            <w:tcW w:w="742" w:type="pct"/>
            <w:shd w:val="clear" w:color="auto" w:fill="auto"/>
          </w:tcPr>
          <w:p w14:paraId="475CAB3F"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49226335" w14:textId="77777777" w:rsidR="001010FD" w:rsidRPr="00981706" w:rsidRDefault="001010FD" w:rsidP="002242C7">
            <w:pPr>
              <w:pStyle w:val="Tabletext"/>
              <w:rPr>
                <w:lang w:val="ar-SA" w:bidi="ar-EG"/>
              </w:rPr>
            </w:pPr>
            <w:r w:rsidRPr="00981706">
              <w:rPr>
                <w:rtl/>
              </w:rPr>
              <w:t>اجتماع افتراضي، 10-20 مايو 2022</w:t>
            </w:r>
          </w:p>
        </w:tc>
        <w:tc>
          <w:tcPr>
            <w:tcW w:w="2322" w:type="pct"/>
            <w:shd w:val="clear" w:color="auto" w:fill="auto"/>
          </w:tcPr>
          <w:p w14:paraId="4744C17E"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17AB2E0D" w14:textId="77777777" w:rsidTr="002242C7">
        <w:trPr>
          <w:jc w:val="center"/>
        </w:trPr>
        <w:tc>
          <w:tcPr>
            <w:tcW w:w="742" w:type="pct"/>
            <w:shd w:val="clear" w:color="auto" w:fill="auto"/>
          </w:tcPr>
          <w:p w14:paraId="63D15A97"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718D4472" w14:textId="77777777" w:rsidR="001010FD" w:rsidRPr="00981706" w:rsidRDefault="001010FD" w:rsidP="002242C7">
            <w:pPr>
              <w:pStyle w:val="Tabletext"/>
              <w:rPr>
                <w:lang w:val="ar-SA" w:bidi="ar-EG"/>
              </w:rPr>
            </w:pPr>
            <w:r w:rsidRPr="00981706">
              <w:rPr>
                <w:rtl/>
              </w:rPr>
              <w:t>اجتماع افتراضي، 11 - 12 يوليو 2024</w:t>
            </w:r>
          </w:p>
        </w:tc>
        <w:tc>
          <w:tcPr>
            <w:tcW w:w="2322" w:type="pct"/>
            <w:shd w:val="clear" w:color="auto" w:fill="auto"/>
          </w:tcPr>
          <w:p w14:paraId="5387B157" w14:textId="77777777" w:rsidR="001010FD" w:rsidRPr="00981706" w:rsidRDefault="001010FD" w:rsidP="002242C7">
            <w:pPr>
              <w:pStyle w:val="Tabletext"/>
              <w:rPr>
                <w:lang w:val="ar-SA" w:bidi="ar-EG"/>
              </w:rPr>
            </w:pPr>
            <w:proofErr w:type="spellStart"/>
            <w:r w:rsidRPr="00981706">
              <w:rPr>
                <w:rtl/>
              </w:rPr>
              <w:t>Gökhan</w:t>
            </w:r>
            <w:proofErr w:type="spellEnd"/>
            <w:r w:rsidRPr="00981706">
              <w:rPr>
                <w:rtl/>
              </w:rPr>
              <w:t xml:space="preserve"> EVREN، تركيا</w:t>
            </w:r>
          </w:p>
        </w:tc>
      </w:tr>
      <w:tr w:rsidR="001010FD" w:rsidRPr="00981706" w14:paraId="76B9CDF5" w14:textId="77777777" w:rsidTr="002242C7">
        <w:trPr>
          <w:jc w:val="center"/>
        </w:trPr>
        <w:tc>
          <w:tcPr>
            <w:tcW w:w="742" w:type="pct"/>
            <w:shd w:val="clear" w:color="auto" w:fill="auto"/>
            <w:hideMark/>
          </w:tcPr>
          <w:p w14:paraId="1D125B3A"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hideMark/>
          </w:tcPr>
          <w:p w14:paraId="644283E1" w14:textId="77777777" w:rsidR="001010FD" w:rsidRPr="00A975A1" w:rsidRDefault="001010FD" w:rsidP="002242C7">
            <w:pPr>
              <w:pStyle w:val="Tabletext"/>
              <w:rPr>
                <w:spacing w:val="-8"/>
                <w:lang w:val="ar-SA" w:bidi="ar-EG"/>
              </w:rPr>
            </w:pPr>
            <w:proofErr w:type="spellStart"/>
            <w:r w:rsidRPr="00A975A1">
              <w:rPr>
                <w:spacing w:val="-8"/>
                <w:rtl/>
              </w:rPr>
              <w:t>غويانغ</w:t>
            </w:r>
            <w:proofErr w:type="spellEnd"/>
            <w:r w:rsidRPr="00A975A1">
              <w:rPr>
                <w:spacing w:val="-8"/>
                <w:rtl/>
              </w:rPr>
              <w:t>، جمهورية كوريا، 29 أغسطس - 8 سبتمبر 2023</w:t>
            </w:r>
          </w:p>
        </w:tc>
        <w:tc>
          <w:tcPr>
            <w:tcW w:w="2322" w:type="pct"/>
            <w:shd w:val="clear" w:color="auto" w:fill="auto"/>
            <w:hideMark/>
          </w:tcPr>
          <w:p w14:paraId="66CA3756" w14:textId="77777777" w:rsidR="001010FD" w:rsidRPr="00981706" w:rsidRDefault="001010FD" w:rsidP="002242C7">
            <w:pPr>
              <w:pStyle w:val="Tabletext"/>
              <w:rPr>
                <w:lang w:val="ar-SA" w:bidi="ar-EG"/>
              </w:rPr>
            </w:pPr>
            <w:proofErr w:type="spellStart"/>
            <w:r w:rsidRPr="00981706">
              <w:rPr>
                <w:rtl/>
              </w:rPr>
              <w:t>Laial</w:t>
            </w:r>
            <w:proofErr w:type="spellEnd"/>
            <w:r w:rsidRPr="00981706">
              <w:rPr>
                <w:rtl/>
              </w:rPr>
              <w:t xml:space="preserve"> ALMANSOURY، الكويت</w:t>
            </w:r>
          </w:p>
        </w:tc>
      </w:tr>
      <w:tr w:rsidR="001010FD" w:rsidRPr="00981706" w14:paraId="3826865F" w14:textId="77777777" w:rsidTr="002242C7">
        <w:trPr>
          <w:jc w:val="center"/>
        </w:trPr>
        <w:tc>
          <w:tcPr>
            <w:tcW w:w="742" w:type="pct"/>
            <w:shd w:val="clear" w:color="auto" w:fill="auto"/>
          </w:tcPr>
          <w:p w14:paraId="511F2989"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33895E96" w14:textId="77777777" w:rsidR="001010FD" w:rsidRPr="00981706" w:rsidRDefault="001010FD" w:rsidP="002242C7">
            <w:pPr>
              <w:pStyle w:val="Tabletext"/>
              <w:rPr>
                <w:lang w:val="ar-SA" w:bidi="ar-EG"/>
              </w:rPr>
            </w:pPr>
            <w:r w:rsidRPr="00981706">
              <w:rPr>
                <w:rtl/>
              </w:rPr>
              <w:t>اجتماع افتراضي، 11 - 12 يوليو 2024</w:t>
            </w:r>
          </w:p>
        </w:tc>
        <w:tc>
          <w:tcPr>
            <w:tcW w:w="2322" w:type="pct"/>
            <w:shd w:val="clear" w:color="auto" w:fill="auto"/>
          </w:tcPr>
          <w:p w14:paraId="37FE76F6" w14:textId="77777777" w:rsidR="001010FD" w:rsidRPr="00981706" w:rsidRDefault="001010FD" w:rsidP="002242C7">
            <w:pPr>
              <w:pStyle w:val="Tabletext"/>
              <w:rPr>
                <w:lang w:val="ar-SA" w:bidi="ar-EG"/>
              </w:rPr>
            </w:pPr>
            <w:proofErr w:type="spellStart"/>
            <w:r w:rsidRPr="00981706">
              <w:rPr>
                <w:rtl/>
              </w:rPr>
              <w:t>Laial</w:t>
            </w:r>
            <w:proofErr w:type="spellEnd"/>
            <w:r w:rsidRPr="00981706">
              <w:rPr>
                <w:rtl/>
              </w:rPr>
              <w:t xml:space="preserve"> ALMANSOURY، الكويت</w:t>
            </w:r>
          </w:p>
        </w:tc>
      </w:tr>
      <w:tr w:rsidR="001010FD" w:rsidRPr="00981706" w14:paraId="1695DF0F" w14:textId="77777777" w:rsidTr="002242C7">
        <w:trPr>
          <w:jc w:val="center"/>
        </w:trPr>
        <w:tc>
          <w:tcPr>
            <w:tcW w:w="742" w:type="pct"/>
            <w:shd w:val="clear" w:color="auto" w:fill="auto"/>
          </w:tcPr>
          <w:p w14:paraId="38FDBD88"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795CEE22" w14:textId="77777777" w:rsidR="001010FD" w:rsidRPr="00981706" w:rsidRDefault="001010FD" w:rsidP="002242C7">
            <w:pPr>
              <w:pStyle w:val="Tabletext"/>
              <w:rPr>
                <w:lang w:val="ar-SA" w:bidi="ar-EG"/>
              </w:rPr>
            </w:pPr>
            <w:r w:rsidRPr="00981706">
              <w:rPr>
                <w:rtl/>
              </w:rPr>
              <w:t>جنيف، 23 أغسطس – 2 سبتمبر 2022</w:t>
            </w:r>
          </w:p>
        </w:tc>
        <w:tc>
          <w:tcPr>
            <w:tcW w:w="2322" w:type="pct"/>
            <w:shd w:val="clear" w:color="auto" w:fill="auto"/>
          </w:tcPr>
          <w:p w14:paraId="7D28857C" w14:textId="77777777" w:rsidR="001010FD" w:rsidRPr="00981706" w:rsidRDefault="001010FD" w:rsidP="002242C7">
            <w:pPr>
              <w:pStyle w:val="Tabletext"/>
              <w:rPr>
                <w:lang w:val="ar-SA" w:bidi="ar-EG"/>
              </w:rPr>
            </w:pPr>
            <w:proofErr w:type="spellStart"/>
            <w:r w:rsidRPr="00981706">
              <w:rPr>
                <w:rtl/>
              </w:rPr>
              <w:t>Lia</w:t>
            </w:r>
            <w:proofErr w:type="spellEnd"/>
            <w:r w:rsidRPr="00981706">
              <w:rPr>
                <w:rtl/>
              </w:rPr>
              <w:t xml:space="preserve"> MOLINARI، الأرجنتين</w:t>
            </w:r>
          </w:p>
        </w:tc>
      </w:tr>
      <w:tr w:rsidR="001010FD" w:rsidRPr="00981706" w14:paraId="4F5495CD" w14:textId="77777777" w:rsidTr="002242C7">
        <w:trPr>
          <w:jc w:val="center"/>
        </w:trPr>
        <w:tc>
          <w:tcPr>
            <w:tcW w:w="742" w:type="pct"/>
            <w:shd w:val="clear" w:color="auto" w:fill="auto"/>
          </w:tcPr>
          <w:p w14:paraId="0E9B036A"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6BDEBF7D" w14:textId="77777777" w:rsidR="001010FD" w:rsidRPr="00981706" w:rsidRDefault="001010FD" w:rsidP="002242C7">
            <w:pPr>
              <w:pStyle w:val="Tabletext"/>
              <w:rPr>
                <w:lang w:val="ar-SA" w:bidi="ar-EG"/>
              </w:rPr>
            </w:pPr>
            <w:r w:rsidRPr="00981706">
              <w:rPr>
                <w:rtl/>
              </w:rPr>
              <w:t>اجتماع افتراضي، 11 - 12 يوليو 2024</w:t>
            </w:r>
          </w:p>
        </w:tc>
        <w:tc>
          <w:tcPr>
            <w:tcW w:w="2322" w:type="pct"/>
            <w:shd w:val="clear" w:color="auto" w:fill="auto"/>
          </w:tcPr>
          <w:p w14:paraId="5B651146" w14:textId="77777777" w:rsidR="001010FD" w:rsidRPr="00981706" w:rsidRDefault="001010FD" w:rsidP="002242C7">
            <w:pPr>
              <w:pStyle w:val="Tabletext"/>
              <w:rPr>
                <w:lang w:val="ar-SA" w:bidi="ar-EG"/>
              </w:rPr>
            </w:pPr>
            <w:proofErr w:type="spellStart"/>
            <w:r w:rsidRPr="00981706">
              <w:rPr>
                <w:rtl/>
              </w:rPr>
              <w:t>Pushpendra</w:t>
            </w:r>
            <w:proofErr w:type="spellEnd"/>
            <w:r w:rsidRPr="00981706">
              <w:rPr>
                <w:rtl/>
              </w:rPr>
              <w:t xml:space="preserve"> </w:t>
            </w:r>
            <w:proofErr w:type="spellStart"/>
            <w:r w:rsidRPr="00981706">
              <w:rPr>
                <w:rtl/>
              </w:rPr>
              <w:t>Kumar</w:t>
            </w:r>
            <w:proofErr w:type="spellEnd"/>
            <w:r w:rsidRPr="00981706">
              <w:rPr>
                <w:rtl/>
              </w:rPr>
              <w:t xml:space="preserve"> SINGH، الهند</w:t>
            </w:r>
          </w:p>
        </w:tc>
      </w:tr>
      <w:tr w:rsidR="001010FD" w:rsidRPr="00981706" w14:paraId="17B3CA40" w14:textId="77777777" w:rsidTr="002242C7">
        <w:trPr>
          <w:jc w:val="center"/>
        </w:trPr>
        <w:tc>
          <w:tcPr>
            <w:tcW w:w="742" w:type="pct"/>
            <w:shd w:val="clear" w:color="auto" w:fill="auto"/>
          </w:tcPr>
          <w:p w14:paraId="7B03BE79"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59AF2277" w14:textId="77777777" w:rsidR="001010FD" w:rsidRPr="00981706" w:rsidRDefault="001010FD" w:rsidP="002242C7">
            <w:pPr>
              <w:pStyle w:val="Tabletext"/>
              <w:rPr>
                <w:lang w:val="ar-SA" w:bidi="ar-EG"/>
              </w:rPr>
            </w:pPr>
            <w:r w:rsidRPr="00981706">
              <w:rPr>
                <w:rtl/>
              </w:rPr>
              <w:t>جنيف، 23 أغسطس – 2 سبتمبر 2022</w:t>
            </w:r>
          </w:p>
        </w:tc>
        <w:tc>
          <w:tcPr>
            <w:tcW w:w="2322" w:type="pct"/>
            <w:shd w:val="clear" w:color="auto" w:fill="auto"/>
          </w:tcPr>
          <w:p w14:paraId="2ECA0879" w14:textId="77777777" w:rsidR="001010FD" w:rsidRPr="00981706" w:rsidRDefault="001010FD" w:rsidP="002242C7">
            <w:pPr>
              <w:pStyle w:val="Tabletext"/>
              <w:rPr>
                <w:lang w:val="ar-SA" w:bidi="ar-EG"/>
              </w:rPr>
            </w:pPr>
            <w:r w:rsidRPr="00981706">
              <w:rPr>
                <w:rtl/>
              </w:rPr>
              <w:t>Samir ABDELGAWAD، مصر</w:t>
            </w:r>
          </w:p>
        </w:tc>
      </w:tr>
      <w:tr w:rsidR="001010FD" w:rsidRPr="00981706" w14:paraId="06197B6C" w14:textId="77777777" w:rsidTr="002242C7">
        <w:trPr>
          <w:jc w:val="center"/>
        </w:trPr>
        <w:tc>
          <w:tcPr>
            <w:tcW w:w="742" w:type="pct"/>
            <w:shd w:val="clear" w:color="auto" w:fill="auto"/>
          </w:tcPr>
          <w:p w14:paraId="6762A6E1"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4EA8F754" w14:textId="77777777" w:rsidR="001010FD" w:rsidRPr="00981706" w:rsidRDefault="001010FD" w:rsidP="002242C7">
            <w:pPr>
              <w:pStyle w:val="Tabletext"/>
              <w:rPr>
                <w:lang w:val="ar-SA" w:bidi="ar-EG"/>
              </w:rPr>
            </w:pPr>
            <w:r w:rsidRPr="00981706">
              <w:rPr>
                <w:rtl/>
              </w:rPr>
              <w:t>جنيف، 23 أغسطس – 2 سبتمبر 2022</w:t>
            </w:r>
          </w:p>
        </w:tc>
        <w:tc>
          <w:tcPr>
            <w:tcW w:w="2322" w:type="pct"/>
            <w:shd w:val="clear" w:color="auto" w:fill="auto"/>
          </w:tcPr>
          <w:p w14:paraId="43253971" w14:textId="77777777" w:rsidR="001010FD" w:rsidRPr="00981706" w:rsidRDefault="001010FD" w:rsidP="002242C7">
            <w:pPr>
              <w:pStyle w:val="Tabletext"/>
              <w:rPr>
                <w:lang w:val="ar-SA" w:bidi="ar-EG"/>
              </w:rPr>
            </w:pPr>
            <w:proofErr w:type="spellStart"/>
            <w:r w:rsidRPr="00981706">
              <w:rPr>
                <w:rtl/>
              </w:rPr>
              <w:t>Wala</w:t>
            </w:r>
            <w:proofErr w:type="spellEnd"/>
            <w:r w:rsidRPr="00981706">
              <w:rPr>
                <w:rtl/>
              </w:rPr>
              <w:t xml:space="preserve"> TURKI LATROUS، تونس</w:t>
            </w:r>
          </w:p>
        </w:tc>
      </w:tr>
      <w:tr w:rsidR="001010FD" w:rsidRPr="00981706" w14:paraId="108F0EAA" w14:textId="77777777" w:rsidTr="002242C7">
        <w:trPr>
          <w:jc w:val="center"/>
        </w:trPr>
        <w:tc>
          <w:tcPr>
            <w:tcW w:w="742" w:type="pct"/>
            <w:shd w:val="clear" w:color="auto" w:fill="auto"/>
          </w:tcPr>
          <w:p w14:paraId="1AA089C5"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1BD21280" w14:textId="77777777" w:rsidR="001010FD" w:rsidRPr="00981706" w:rsidRDefault="001010FD" w:rsidP="002242C7">
            <w:pPr>
              <w:pStyle w:val="Tabletext"/>
              <w:rPr>
                <w:lang w:val="ar-SA" w:bidi="ar-EG"/>
              </w:rPr>
            </w:pPr>
            <w:r w:rsidRPr="00981706">
              <w:rPr>
                <w:rtl/>
              </w:rPr>
              <w:t>جنيف، 2-6 سبتمبر 2024</w:t>
            </w:r>
          </w:p>
        </w:tc>
        <w:tc>
          <w:tcPr>
            <w:tcW w:w="2322" w:type="pct"/>
            <w:shd w:val="clear" w:color="auto" w:fill="auto"/>
          </w:tcPr>
          <w:p w14:paraId="651C7A5C" w14:textId="77777777" w:rsidR="001010FD" w:rsidRPr="00981706" w:rsidRDefault="001010FD" w:rsidP="002242C7">
            <w:pPr>
              <w:pStyle w:val="Tabletext"/>
              <w:rPr>
                <w:lang w:val="ar-SA" w:bidi="ar-EG"/>
              </w:rPr>
            </w:pPr>
            <w:proofErr w:type="spellStart"/>
            <w:r w:rsidRPr="00981706">
              <w:rPr>
                <w:rtl/>
              </w:rPr>
              <w:t>Wala</w:t>
            </w:r>
            <w:proofErr w:type="spellEnd"/>
            <w:r w:rsidRPr="00981706">
              <w:rPr>
                <w:rtl/>
              </w:rPr>
              <w:t xml:space="preserve"> TURKI LATROUS، تونس</w:t>
            </w:r>
          </w:p>
        </w:tc>
      </w:tr>
      <w:tr w:rsidR="001010FD" w:rsidRPr="00981706" w14:paraId="0295B17E" w14:textId="77777777" w:rsidTr="002242C7">
        <w:trPr>
          <w:jc w:val="center"/>
        </w:trPr>
        <w:tc>
          <w:tcPr>
            <w:tcW w:w="742" w:type="pct"/>
            <w:shd w:val="clear" w:color="auto" w:fill="auto"/>
          </w:tcPr>
          <w:p w14:paraId="5B32512B"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3460CE6A" w14:textId="77777777" w:rsidR="001010FD" w:rsidRPr="00981706" w:rsidRDefault="001010FD" w:rsidP="002242C7">
            <w:pPr>
              <w:pStyle w:val="Tabletext"/>
              <w:rPr>
                <w:lang w:val="ar-SA" w:bidi="ar-EG"/>
              </w:rPr>
            </w:pPr>
            <w:r w:rsidRPr="00981706">
              <w:rPr>
                <w:rtl/>
              </w:rPr>
              <w:t>اجتماع افتراضي، 10-20 مايو 2022</w:t>
            </w:r>
          </w:p>
        </w:tc>
        <w:tc>
          <w:tcPr>
            <w:tcW w:w="2322" w:type="pct"/>
            <w:shd w:val="clear" w:color="auto" w:fill="auto"/>
          </w:tcPr>
          <w:p w14:paraId="00DB92A7" w14:textId="77777777" w:rsidR="001010FD" w:rsidRPr="00981706" w:rsidRDefault="001010FD" w:rsidP="002242C7">
            <w:pPr>
              <w:pStyle w:val="Tabletext"/>
              <w:rPr>
                <w:lang w:val="ar-SA" w:bidi="ar-EG"/>
              </w:rPr>
            </w:pPr>
            <w:proofErr w:type="spellStart"/>
            <w:r w:rsidRPr="00981706">
              <w:rPr>
                <w:rtl/>
              </w:rPr>
              <w:t>Wala</w:t>
            </w:r>
            <w:proofErr w:type="spellEnd"/>
            <w:r w:rsidRPr="00981706">
              <w:rPr>
                <w:rtl/>
              </w:rPr>
              <w:t xml:space="preserve"> TURKI LATROUS، تونس</w:t>
            </w:r>
          </w:p>
        </w:tc>
      </w:tr>
      <w:tr w:rsidR="001010FD" w:rsidRPr="00981706" w14:paraId="36FA4EE2" w14:textId="77777777" w:rsidTr="002242C7">
        <w:trPr>
          <w:jc w:val="center"/>
        </w:trPr>
        <w:tc>
          <w:tcPr>
            <w:tcW w:w="742" w:type="pct"/>
            <w:shd w:val="clear" w:color="auto" w:fill="auto"/>
          </w:tcPr>
          <w:p w14:paraId="43C6D151" w14:textId="77777777" w:rsidR="001010FD" w:rsidRPr="00E93A4B" w:rsidRDefault="001010FD" w:rsidP="001010FD">
            <w:pPr>
              <w:pStyle w:val="Tabletext"/>
              <w:jc w:val="center"/>
              <w:rPr>
                <w:spacing w:val="-6"/>
                <w:lang w:val="ar-SA" w:bidi="ar-EG"/>
              </w:rPr>
            </w:pPr>
            <w:r w:rsidRPr="00E93A4B">
              <w:rPr>
                <w:spacing w:val="-6"/>
                <w:rtl/>
              </w:rPr>
              <w:t>لجنة الدراسات 17</w:t>
            </w:r>
          </w:p>
        </w:tc>
        <w:tc>
          <w:tcPr>
            <w:tcW w:w="1936" w:type="pct"/>
            <w:shd w:val="clear" w:color="auto" w:fill="auto"/>
          </w:tcPr>
          <w:p w14:paraId="3D58EBA6" w14:textId="77777777" w:rsidR="001010FD" w:rsidRPr="00981706" w:rsidRDefault="001010FD" w:rsidP="002242C7">
            <w:pPr>
              <w:pStyle w:val="Tabletext"/>
              <w:rPr>
                <w:lang w:val="ar-SA" w:bidi="ar-EG"/>
              </w:rPr>
            </w:pPr>
            <w:r w:rsidRPr="00981706">
              <w:rPr>
                <w:rtl/>
              </w:rPr>
              <w:t>اجتماع افتراضي، 11 - 12 يوليو 2024</w:t>
            </w:r>
          </w:p>
        </w:tc>
        <w:tc>
          <w:tcPr>
            <w:tcW w:w="2322" w:type="pct"/>
            <w:shd w:val="clear" w:color="auto" w:fill="auto"/>
          </w:tcPr>
          <w:p w14:paraId="17551B05" w14:textId="77777777" w:rsidR="001010FD" w:rsidRPr="00981706" w:rsidRDefault="001010FD" w:rsidP="002242C7">
            <w:pPr>
              <w:pStyle w:val="Tabletext"/>
              <w:rPr>
                <w:lang w:val="ar-SA" w:bidi="ar-EG"/>
              </w:rPr>
            </w:pPr>
            <w:proofErr w:type="spellStart"/>
            <w:r w:rsidRPr="00981706">
              <w:rPr>
                <w:rtl/>
              </w:rPr>
              <w:t>Wala</w:t>
            </w:r>
            <w:proofErr w:type="spellEnd"/>
            <w:r w:rsidRPr="00981706">
              <w:rPr>
                <w:rtl/>
              </w:rPr>
              <w:t xml:space="preserve"> TURKI LATROUS، تونس</w:t>
            </w:r>
          </w:p>
        </w:tc>
      </w:tr>
      <w:tr w:rsidR="001010FD" w:rsidRPr="00981706" w14:paraId="03BDF0EC" w14:textId="77777777" w:rsidTr="002242C7">
        <w:trPr>
          <w:jc w:val="center"/>
        </w:trPr>
        <w:tc>
          <w:tcPr>
            <w:tcW w:w="742" w:type="pct"/>
            <w:shd w:val="clear" w:color="auto" w:fill="auto"/>
          </w:tcPr>
          <w:p w14:paraId="3BB0F331" w14:textId="77777777" w:rsidR="001010FD" w:rsidRPr="00E93A4B" w:rsidRDefault="001010FD" w:rsidP="001010FD">
            <w:pPr>
              <w:pStyle w:val="Tabletext"/>
              <w:jc w:val="center"/>
              <w:rPr>
                <w:spacing w:val="-6"/>
                <w:lang w:val="ar-SA" w:bidi="ar-EG"/>
              </w:rPr>
            </w:pPr>
            <w:r w:rsidRPr="00E93A4B">
              <w:rPr>
                <w:spacing w:val="-6"/>
                <w:rtl/>
              </w:rPr>
              <w:t>لجنة الدراسات 20</w:t>
            </w:r>
          </w:p>
        </w:tc>
        <w:tc>
          <w:tcPr>
            <w:tcW w:w="1936" w:type="pct"/>
            <w:shd w:val="clear" w:color="auto" w:fill="auto"/>
          </w:tcPr>
          <w:p w14:paraId="0E6E7665" w14:textId="77777777" w:rsidR="001010FD" w:rsidRPr="00981706" w:rsidRDefault="001010FD" w:rsidP="002242C7">
            <w:pPr>
              <w:pStyle w:val="Tabletext"/>
              <w:rPr>
                <w:lang w:val="ar-SA" w:bidi="ar-EG"/>
              </w:rPr>
            </w:pPr>
            <w:r w:rsidRPr="00981706">
              <w:rPr>
                <w:rtl/>
              </w:rPr>
              <w:t>جنيف، 18-28 يوليو 2022</w:t>
            </w:r>
          </w:p>
        </w:tc>
        <w:tc>
          <w:tcPr>
            <w:tcW w:w="2322" w:type="pct"/>
            <w:shd w:val="clear" w:color="auto" w:fill="auto"/>
          </w:tcPr>
          <w:p w14:paraId="3EC0C121" w14:textId="77777777" w:rsidR="001010FD" w:rsidRPr="00981706" w:rsidRDefault="001010FD" w:rsidP="002242C7">
            <w:pPr>
              <w:pStyle w:val="Tabletext"/>
              <w:rPr>
                <w:lang w:val="ar-SA" w:bidi="ar-EG"/>
              </w:rPr>
            </w:pPr>
            <w:proofErr w:type="spellStart"/>
            <w:r w:rsidRPr="00981706">
              <w:rPr>
                <w:rtl/>
              </w:rPr>
              <w:t>Achime</w:t>
            </w:r>
            <w:proofErr w:type="spellEnd"/>
            <w:r w:rsidRPr="00981706">
              <w:rPr>
                <w:rtl/>
              </w:rPr>
              <w:t xml:space="preserve"> </w:t>
            </w:r>
            <w:proofErr w:type="spellStart"/>
            <w:r w:rsidRPr="00981706">
              <w:rPr>
                <w:rtl/>
              </w:rPr>
              <w:t>Malick</w:t>
            </w:r>
            <w:proofErr w:type="spellEnd"/>
            <w:r w:rsidRPr="00981706">
              <w:rPr>
                <w:rtl/>
              </w:rPr>
              <w:t xml:space="preserve"> NDIAYE، السنغال</w:t>
            </w:r>
          </w:p>
        </w:tc>
      </w:tr>
      <w:tr w:rsidR="001010FD" w:rsidRPr="00981706" w14:paraId="47678BA1" w14:textId="77777777" w:rsidTr="002242C7">
        <w:trPr>
          <w:jc w:val="center"/>
        </w:trPr>
        <w:tc>
          <w:tcPr>
            <w:tcW w:w="742" w:type="pct"/>
            <w:shd w:val="clear" w:color="auto" w:fill="auto"/>
          </w:tcPr>
          <w:p w14:paraId="28D050B9" w14:textId="77777777" w:rsidR="001010FD" w:rsidRPr="00E93A4B" w:rsidRDefault="001010FD" w:rsidP="001010FD">
            <w:pPr>
              <w:pStyle w:val="Tabletext"/>
              <w:jc w:val="center"/>
              <w:rPr>
                <w:spacing w:val="-6"/>
                <w:lang w:val="ar-SA" w:bidi="ar-EG"/>
              </w:rPr>
            </w:pPr>
            <w:r w:rsidRPr="00E93A4B">
              <w:rPr>
                <w:spacing w:val="-6"/>
                <w:rtl/>
              </w:rPr>
              <w:t>لجنة الدراسات 20</w:t>
            </w:r>
          </w:p>
        </w:tc>
        <w:tc>
          <w:tcPr>
            <w:tcW w:w="1936" w:type="pct"/>
            <w:shd w:val="clear" w:color="auto" w:fill="auto"/>
          </w:tcPr>
          <w:p w14:paraId="5AB58B84" w14:textId="77777777" w:rsidR="001010FD" w:rsidRPr="00981706" w:rsidRDefault="001010FD" w:rsidP="002242C7">
            <w:pPr>
              <w:pStyle w:val="Tabletext"/>
              <w:rPr>
                <w:lang w:val="ar-SA" w:bidi="ar-EG"/>
              </w:rPr>
            </w:pPr>
            <w:r w:rsidRPr="00981706">
              <w:rPr>
                <w:rtl/>
              </w:rPr>
              <w:t>جنيف، 1-12 يوليو 2024</w:t>
            </w:r>
          </w:p>
        </w:tc>
        <w:tc>
          <w:tcPr>
            <w:tcW w:w="2322" w:type="pct"/>
            <w:shd w:val="clear" w:color="auto" w:fill="auto"/>
          </w:tcPr>
          <w:p w14:paraId="01B63DA5" w14:textId="77777777" w:rsidR="001010FD" w:rsidRPr="00981706" w:rsidRDefault="001010FD" w:rsidP="002242C7">
            <w:pPr>
              <w:pStyle w:val="Tabletext"/>
              <w:rPr>
                <w:lang w:val="ar-SA" w:bidi="ar-EG"/>
              </w:rPr>
            </w:pPr>
            <w:proofErr w:type="spellStart"/>
            <w:r w:rsidRPr="00981706">
              <w:rPr>
                <w:rtl/>
              </w:rPr>
              <w:t>Héctor</w:t>
            </w:r>
            <w:proofErr w:type="spellEnd"/>
            <w:r w:rsidRPr="00981706">
              <w:rPr>
                <w:rtl/>
              </w:rPr>
              <w:t xml:space="preserve"> </w:t>
            </w:r>
            <w:proofErr w:type="spellStart"/>
            <w:r w:rsidRPr="00981706">
              <w:rPr>
                <w:rtl/>
              </w:rPr>
              <w:t>Mario</w:t>
            </w:r>
            <w:proofErr w:type="spellEnd"/>
            <w:r w:rsidRPr="00981706">
              <w:rPr>
                <w:rtl/>
              </w:rPr>
              <w:t xml:space="preserve"> CARRIL، الأرجنتين</w:t>
            </w:r>
          </w:p>
        </w:tc>
      </w:tr>
      <w:tr w:rsidR="001010FD" w:rsidRPr="00981706" w14:paraId="2843005A" w14:textId="77777777" w:rsidTr="002242C7">
        <w:trPr>
          <w:jc w:val="center"/>
        </w:trPr>
        <w:tc>
          <w:tcPr>
            <w:tcW w:w="742" w:type="pct"/>
            <w:shd w:val="clear" w:color="auto" w:fill="auto"/>
          </w:tcPr>
          <w:p w14:paraId="6A646B2A" w14:textId="77777777" w:rsidR="001010FD" w:rsidRPr="00E93A4B" w:rsidRDefault="001010FD" w:rsidP="001010FD">
            <w:pPr>
              <w:pStyle w:val="Tabletext"/>
              <w:jc w:val="center"/>
              <w:rPr>
                <w:spacing w:val="-6"/>
                <w:lang w:val="ar-SA" w:bidi="ar-EG"/>
              </w:rPr>
            </w:pPr>
            <w:r w:rsidRPr="00E93A4B">
              <w:rPr>
                <w:spacing w:val="-6"/>
                <w:rtl/>
              </w:rPr>
              <w:t>الفريق الاستشاري لتقييس الاتصالات</w:t>
            </w:r>
          </w:p>
        </w:tc>
        <w:tc>
          <w:tcPr>
            <w:tcW w:w="1936" w:type="pct"/>
            <w:shd w:val="clear" w:color="auto" w:fill="auto"/>
          </w:tcPr>
          <w:p w14:paraId="29702CA2" w14:textId="77777777" w:rsidR="001010FD" w:rsidRPr="00981706" w:rsidRDefault="001010FD" w:rsidP="002242C7">
            <w:pPr>
              <w:pStyle w:val="Tabletext"/>
              <w:rPr>
                <w:lang w:val="ar-SA" w:bidi="ar-EG"/>
              </w:rPr>
            </w:pPr>
            <w:r w:rsidRPr="00981706">
              <w:rPr>
                <w:rtl/>
              </w:rPr>
              <w:t>جنيف، 22-26 يناير 2024</w:t>
            </w:r>
          </w:p>
        </w:tc>
        <w:tc>
          <w:tcPr>
            <w:tcW w:w="2322" w:type="pct"/>
            <w:shd w:val="clear" w:color="auto" w:fill="auto"/>
          </w:tcPr>
          <w:p w14:paraId="4F6D1ECA" w14:textId="77777777" w:rsidR="001010FD" w:rsidRPr="00981706" w:rsidRDefault="001010FD" w:rsidP="002242C7">
            <w:pPr>
              <w:pStyle w:val="Tabletext"/>
              <w:rPr>
                <w:lang w:val="ar-SA" w:bidi="ar-EG"/>
              </w:rPr>
            </w:pPr>
            <w:proofErr w:type="spellStart"/>
            <w:r w:rsidRPr="00981706">
              <w:rPr>
                <w:rtl/>
              </w:rPr>
              <w:t>Khalid</w:t>
            </w:r>
            <w:proofErr w:type="spellEnd"/>
            <w:r w:rsidRPr="00981706">
              <w:rPr>
                <w:rtl/>
              </w:rPr>
              <w:t xml:space="preserve"> Al-</w:t>
            </w:r>
            <w:proofErr w:type="spellStart"/>
            <w:r w:rsidRPr="00981706">
              <w:rPr>
                <w:rtl/>
              </w:rPr>
              <w:t>Hmoud</w:t>
            </w:r>
            <w:proofErr w:type="spellEnd"/>
            <w:r w:rsidRPr="00981706">
              <w:rPr>
                <w:rtl/>
              </w:rPr>
              <w:t>، الأردن</w:t>
            </w:r>
          </w:p>
        </w:tc>
      </w:tr>
      <w:tr w:rsidR="001010FD" w:rsidRPr="00981706" w14:paraId="62EED252" w14:textId="77777777" w:rsidTr="002242C7">
        <w:trPr>
          <w:jc w:val="center"/>
        </w:trPr>
        <w:tc>
          <w:tcPr>
            <w:tcW w:w="742" w:type="pct"/>
            <w:shd w:val="clear" w:color="auto" w:fill="auto"/>
          </w:tcPr>
          <w:p w14:paraId="2D7155C9" w14:textId="77777777" w:rsidR="001010FD" w:rsidRPr="00E93A4B" w:rsidRDefault="001010FD" w:rsidP="001010FD">
            <w:pPr>
              <w:pStyle w:val="Tabletext"/>
              <w:jc w:val="center"/>
              <w:rPr>
                <w:spacing w:val="-6"/>
                <w:lang w:val="ar-SA" w:bidi="ar-EG"/>
              </w:rPr>
            </w:pPr>
            <w:r w:rsidRPr="00E93A4B">
              <w:rPr>
                <w:spacing w:val="-6"/>
                <w:rtl/>
              </w:rPr>
              <w:t>الفريق الاستشاري لتقييس الاتصالات</w:t>
            </w:r>
          </w:p>
        </w:tc>
        <w:tc>
          <w:tcPr>
            <w:tcW w:w="1936" w:type="pct"/>
            <w:shd w:val="clear" w:color="auto" w:fill="auto"/>
          </w:tcPr>
          <w:p w14:paraId="6FF4D8BB" w14:textId="77777777" w:rsidR="001010FD" w:rsidRPr="00981706" w:rsidRDefault="001010FD" w:rsidP="002242C7">
            <w:pPr>
              <w:pStyle w:val="Tabletext"/>
              <w:rPr>
                <w:lang w:val="ar-SA" w:bidi="ar-EG"/>
              </w:rPr>
            </w:pPr>
            <w:r w:rsidRPr="00981706">
              <w:rPr>
                <w:rtl/>
              </w:rPr>
              <w:t>جنيف، 29 يوليو - 2 أغسطس 2024</w:t>
            </w:r>
          </w:p>
        </w:tc>
        <w:tc>
          <w:tcPr>
            <w:tcW w:w="2322" w:type="pct"/>
            <w:shd w:val="clear" w:color="auto" w:fill="auto"/>
          </w:tcPr>
          <w:p w14:paraId="1F2B8089" w14:textId="77777777" w:rsidR="001010FD" w:rsidRPr="00981706" w:rsidRDefault="001010FD" w:rsidP="002242C7">
            <w:pPr>
              <w:pStyle w:val="Tabletext"/>
              <w:rPr>
                <w:lang w:val="ar-SA" w:bidi="ar-EG"/>
              </w:rPr>
            </w:pPr>
            <w:proofErr w:type="spellStart"/>
            <w:r w:rsidRPr="00981706">
              <w:rPr>
                <w:rtl/>
              </w:rPr>
              <w:t>Khalid</w:t>
            </w:r>
            <w:proofErr w:type="spellEnd"/>
            <w:r w:rsidRPr="00981706">
              <w:rPr>
                <w:rtl/>
              </w:rPr>
              <w:t xml:space="preserve"> Al-</w:t>
            </w:r>
            <w:proofErr w:type="spellStart"/>
            <w:r w:rsidRPr="00981706">
              <w:rPr>
                <w:rtl/>
              </w:rPr>
              <w:t>Hmoud</w:t>
            </w:r>
            <w:proofErr w:type="spellEnd"/>
            <w:r w:rsidRPr="00981706">
              <w:rPr>
                <w:rtl/>
              </w:rPr>
              <w:t>، الأردن</w:t>
            </w:r>
          </w:p>
        </w:tc>
      </w:tr>
      <w:tr w:rsidR="001010FD" w:rsidRPr="00981706" w14:paraId="5B7783A7" w14:textId="77777777" w:rsidTr="002242C7">
        <w:trPr>
          <w:jc w:val="center"/>
        </w:trPr>
        <w:tc>
          <w:tcPr>
            <w:tcW w:w="742" w:type="pct"/>
            <w:shd w:val="clear" w:color="auto" w:fill="auto"/>
          </w:tcPr>
          <w:p w14:paraId="7F0789B9" w14:textId="77777777" w:rsidR="001010FD" w:rsidRPr="00E93A4B" w:rsidRDefault="001010FD" w:rsidP="001010FD">
            <w:pPr>
              <w:pStyle w:val="Tabletext"/>
              <w:jc w:val="center"/>
              <w:rPr>
                <w:spacing w:val="-6"/>
                <w:lang w:val="ar-SA" w:bidi="ar-EG"/>
              </w:rPr>
            </w:pPr>
            <w:r w:rsidRPr="00E93A4B">
              <w:rPr>
                <w:spacing w:val="-6"/>
                <w:rtl/>
              </w:rPr>
              <w:lastRenderedPageBreak/>
              <w:t>الفريق الاستشاري لتقييس الاتصالات</w:t>
            </w:r>
          </w:p>
        </w:tc>
        <w:tc>
          <w:tcPr>
            <w:tcW w:w="1936" w:type="pct"/>
            <w:shd w:val="clear" w:color="auto" w:fill="auto"/>
          </w:tcPr>
          <w:p w14:paraId="5F3B7AA9" w14:textId="77777777" w:rsidR="001010FD" w:rsidRPr="00981706" w:rsidRDefault="001010FD" w:rsidP="002242C7">
            <w:pPr>
              <w:pStyle w:val="Tabletext"/>
              <w:rPr>
                <w:lang w:val="ar-SA" w:bidi="ar-EG"/>
              </w:rPr>
            </w:pPr>
            <w:r w:rsidRPr="00981706">
              <w:rPr>
                <w:rtl/>
              </w:rPr>
              <w:t>جنيف، 30 مايو – 2 يونيو 2023</w:t>
            </w:r>
          </w:p>
        </w:tc>
        <w:tc>
          <w:tcPr>
            <w:tcW w:w="2322" w:type="pct"/>
            <w:shd w:val="clear" w:color="auto" w:fill="auto"/>
          </w:tcPr>
          <w:p w14:paraId="07DD9A5D" w14:textId="77777777" w:rsidR="001010FD" w:rsidRPr="00981706" w:rsidRDefault="001010FD" w:rsidP="002242C7">
            <w:pPr>
              <w:pStyle w:val="Tabletext"/>
              <w:rPr>
                <w:lang w:val="ar-SA" w:bidi="ar-EG"/>
              </w:rPr>
            </w:pPr>
            <w:proofErr w:type="spellStart"/>
            <w:r w:rsidRPr="00981706">
              <w:rPr>
                <w:rtl/>
              </w:rPr>
              <w:t>Khalid</w:t>
            </w:r>
            <w:proofErr w:type="spellEnd"/>
            <w:r w:rsidRPr="00981706">
              <w:rPr>
                <w:rtl/>
              </w:rPr>
              <w:t xml:space="preserve"> Al-</w:t>
            </w:r>
            <w:proofErr w:type="spellStart"/>
            <w:r w:rsidRPr="00981706">
              <w:rPr>
                <w:rtl/>
              </w:rPr>
              <w:t>Hmoud</w:t>
            </w:r>
            <w:proofErr w:type="spellEnd"/>
            <w:r w:rsidRPr="00981706">
              <w:rPr>
                <w:rtl/>
              </w:rPr>
              <w:t>، الأردن</w:t>
            </w:r>
          </w:p>
        </w:tc>
      </w:tr>
      <w:tr w:rsidR="001010FD" w:rsidRPr="00981706" w14:paraId="663D6BAE" w14:textId="77777777" w:rsidTr="002242C7">
        <w:trPr>
          <w:jc w:val="center"/>
        </w:trPr>
        <w:tc>
          <w:tcPr>
            <w:tcW w:w="742" w:type="pct"/>
            <w:shd w:val="clear" w:color="auto" w:fill="auto"/>
          </w:tcPr>
          <w:p w14:paraId="13027B68" w14:textId="77777777" w:rsidR="001010FD" w:rsidRPr="00E93A4B" w:rsidRDefault="001010FD" w:rsidP="001010FD">
            <w:pPr>
              <w:pStyle w:val="Tabletext"/>
              <w:jc w:val="center"/>
              <w:rPr>
                <w:spacing w:val="-6"/>
                <w:lang w:val="ar-SA" w:bidi="ar-EG"/>
              </w:rPr>
            </w:pPr>
            <w:r w:rsidRPr="00E93A4B">
              <w:rPr>
                <w:spacing w:val="-6"/>
                <w:rtl/>
              </w:rPr>
              <w:t>الفريق الاستشاري لتقييس الاتصالات</w:t>
            </w:r>
          </w:p>
        </w:tc>
        <w:tc>
          <w:tcPr>
            <w:tcW w:w="1936" w:type="pct"/>
            <w:shd w:val="clear" w:color="auto" w:fill="auto"/>
          </w:tcPr>
          <w:p w14:paraId="6145012C" w14:textId="77777777" w:rsidR="001010FD" w:rsidRPr="00981706" w:rsidRDefault="001010FD" w:rsidP="002242C7">
            <w:pPr>
              <w:pStyle w:val="Tabletext"/>
              <w:rPr>
                <w:lang w:val="ar-SA" w:bidi="ar-EG"/>
              </w:rPr>
            </w:pPr>
            <w:r w:rsidRPr="00981706">
              <w:rPr>
                <w:rtl/>
              </w:rPr>
              <w:t>جنيف، 22-26 يناير 2024</w:t>
            </w:r>
          </w:p>
        </w:tc>
        <w:tc>
          <w:tcPr>
            <w:tcW w:w="2322" w:type="pct"/>
            <w:shd w:val="clear" w:color="auto" w:fill="auto"/>
          </w:tcPr>
          <w:p w14:paraId="2F4ADE43" w14:textId="77777777" w:rsidR="001010FD" w:rsidRPr="00981706" w:rsidRDefault="001010FD" w:rsidP="002242C7">
            <w:pPr>
              <w:pStyle w:val="Tabletext"/>
              <w:rPr>
                <w:lang w:val="ar-SA" w:bidi="ar-EG"/>
              </w:rPr>
            </w:pPr>
            <w:proofErr w:type="spellStart"/>
            <w:r w:rsidRPr="00981706">
              <w:rPr>
                <w:rtl/>
              </w:rPr>
              <w:t>Ulugbek</w:t>
            </w:r>
            <w:proofErr w:type="spellEnd"/>
            <w:r w:rsidRPr="00981706">
              <w:rPr>
                <w:rtl/>
              </w:rPr>
              <w:t xml:space="preserve"> </w:t>
            </w:r>
            <w:proofErr w:type="spellStart"/>
            <w:r w:rsidRPr="00981706">
              <w:rPr>
                <w:rtl/>
              </w:rPr>
              <w:t>Azimov</w:t>
            </w:r>
            <w:proofErr w:type="spellEnd"/>
            <w:r w:rsidRPr="00981706">
              <w:rPr>
                <w:rtl/>
              </w:rPr>
              <w:t>، أوزبكستان</w:t>
            </w:r>
          </w:p>
        </w:tc>
      </w:tr>
      <w:tr w:rsidR="001010FD" w:rsidRPr="00981706" w14:paraId="7E343911" w14:textId="77777777" w:rsidTr="002242C7">
        <w:trPr>
          <w:jc w:val="center"/>
        </w:trPr>
        <w:tc>
          <w:tcPr>
            <w:tcW w:w="742" w:type="pct"/>
            <w:shd w:val="clear" w:color="auto" w:fill="auto"/>
          </w:tcPr>
          <w:p w14:paraId="5D58ED04" w14:textId="77777777" w:rsidR="001010FD" w:rsidRPr="00E93A4B" w:rsidRDefault="001010FD" w:rsidP="001010FD">
            <w:pPr>
              <w:pStyle w:val="Tabletext"/>
              <w:jc w:val="center"/>
              <w:rPr>
                <w:spacing w:val="-6"/>
                <w:lang w:val="ar-SA" w:bidi="ar-EG"/>
              </w:rPr>
            </w:pPr>
            <w:r w:rsidRPr="00E93A4B">
              <w:rPr>
                <w:spacing w:val="-6"/>
                <w:rtl/>
              </w:rPr>
              <w:t>الفريق الاستشاري لتقييس الاتصالات</w:t>
            </w:r>
          </w:p>
        </w:tc>
        <w:tc>
          <w:tcPr>
            <w:tcW w:w="1936" w:type="pct"/>
            <w:shd w:val="clear" w:color="auto" w:fill="auto"/>
          </w:tcPr>
          <w:p w14:paraId="3789A77E" w14:textId="77777777" w:rsidR="001010FD" w:rsidRPr="00981706" w:rsidRDefault="001010FD" w:rsidP="002242C7">
            <w:pPr>
              <w:pStyle w:val="Tabletext"/>
              <w:rPr>
                <w:lang w:val="ar-SA" w:bidi="ar-EG"/>
              </w:rPr>
            </w:pPr>
            <w:r w:rsidRPr="00981706">
              <w:rPr>
                <w:rtl/>
              </w:rPr>
              <w:t>جنيف، 29 يوليو - 2 أغسطس 2024</w:t>
            </w:r>
          </w:p>
        </w:tc>
        <w:tc>
          <w:tcPr>
            <w:tcW w:w="2322" w:type="pct"/>
            <w:shd w:val="clear" w:color="auto" w:fill="auto"/>
          </w:tcPr>
          <w:p w14:paraId="36EB5BF9" w14:textId="77777777" w:rsidR="001010FD" w:rsidRPr="00981706" w:rsidRDefault="001010FD" w:rsidP="002242C7">
            <w:pPr>
              <w:pStyle w:val="Tabletext"/>
              <w:rPr>
                <w:lang w:val="ar-SA" w:bidi="ar-EG"/>
              </w:rPr>
            </w:pPr>
            <w:proofErr w:type="spellStart"/>
            <w:r w:rsidRPr="00981706">
              <w:rPr>
                <w:rtl/>
              </w:rPr>
              <w:t>Ulugbek</w:t>
            </w:r>
            <w:proofErr w:type="spellEnd"/>
            <w:r w:rsidRPr="00981706">
              <w:rPr>
                <w:rtl/>
              </w:rPr>
              <w:t xml:space="preserve"> </w:t>
            </w:r>
            <w:proofErr w:type="spellStart"/>
            <w:r w:rsidRPr="00981706">
              <w:rPr>
                <w:rtl/>
              </w:rPr>
              <w:t>Azimov</w:t>
            </w:r>
            <w:proofErr w:type="spellEnd"/>
            <w:r w:rsidRPr="00981706">
              <w:rPr>
                <w:rtl/>
              </w:rPr>
              <w:t>، أوزبكستان</w:t>
            </w:r>
          </w:p>
        </w:tc>
      </w:tr>
    </w:tbl>
    <w:p w14:paraId="4DA05A3F" w14:textId="1A6B0A36" w:rsidR="0089246B" w:rsidRPr="00A76789" w:rsidRDefault="0089246B" w:rsidP="00A76789"/>
    <w:sectPr w:rsidR="0089246B" w:rsidRPr="00A76789" w:rsidSect="004D4AE6">
      <w:headerReference w:type="even" r:id="rId363"/>
      <w:headerReference w:type="default" r:id="rId364"/>
      <w:footerReference w:type="default" r:id="rId365"/>
      <w:footerReference w:type="first" r:id="rId36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FE6C" w14:textId="77777777" w:rsidR="00A915ED" w:rsidRDefault="00A915ED" w:rsidP="002919E1">
      <w:r>
        <w:separator/>
      </w:r>
    </w:p>
    <w:p w14:paraId="57267E47" w14:textId="77777777" w:rsidR="00A915ED" w:rsidRDefault="00A915ED" w:rsidP="002919E1"/>
    <w:p w14:paraId="7AC74C2C" w14:textId="77777777" w:rsidR="00A915ED" w:rsidRDefault="00A915ED" w:rsidP="002919E1"/>
    <w:p w14:paraId="4AC220C8" w14:textId="77777777" w:rsidR="00A915ED" w:rsidRDefault="00A915ED"/>
  </w:endnote>
  <w:endnote w:type="continuationSeparator" w:id="0">
    <w:p w14:paraId="3769D4E1" w14:textId="77777777" w:rsidR="00A915ED" w:rsidRDefault="00A915ED" w:rsidP="002919E1">
      <w:r>
        <w:continuationSeparator/>
      </w:r>
    </w:p>
    <w:p w14:paraId="72189C05" w14:textId="77777777" w:rsidR="00A915ED" w:rsidRDefault="00A915ED" w:rsidP="002919E1"/>
    <w:p w14:paraId="35265551" w14:textId="77777777" w:rsidR="00A915ED" w:rsidRDefault="00A915ED" w:rsidP="002919E1"/>
    <w:p w14:paraId="1AA3D4AD" w14:textId="77777777" w:rsidR="00A915ED" w:rsidRDefault="00A91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1292"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FE1E"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127D" w14:textId="77777777" w:rsidR="00A915ED" w:rsidRDefault="00A915ED" w:rsidP="002919E1">
      <w:r>
        <w:t>___________________</w:t>
      </w:r>
    </w:p>
  </w:footnote>
  <w:footnote w:type="continuationSeparator" w:id="0">
    <w:p w14:paraId="0C5269A7" w14:textId="77777777" w:rsidR="00A915ED" w:rsidRDefault="00A915ED" w:rsidP="002919E1">
      <w:r>
        <w:continuationSeparator/>
      </w:r>
    </w:p>
    <w:p w14:paraId="50ABF326" w14:textId="77777777" w:rsidR="00A915ED" w:rsidRDefault="00A915ED" w:rsidP="002919E1"/>
    <w:p w14:paraId="6F9BDD95" w14:textId="77777777" w:rsidR="00A915ED" w:rsidRDefault="00A915ED" w:rsidP="002919E1"/>
    <w:p w14:paraId="499082BB" w14:textId="77777777" w:rsidR="00A915ED" w:rsidRDefault="00A91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5243" w14:textId="77777777" w:rsidR="00281F5F" w:rsidRDefault="00281F5F" w:rsidP="002919E1"/>
  <w:p w14:paraId="1CE998FA" w14:textId="77777777" w:rsidR="00281F5F" w:rsidRDefault="00281F5F" w:rsidP="002919E1"/>
  <w:p w14:paraId="489E70F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E91F" w14:textId="63EE537E" w:rsidR="00281F5F" w:rsidRPr="00834AD9" w:rsidRDefault="00281F5F" w:rsidP="00834AD9">
    <w:pPr>
      <w:pStyle w:val="Header"/>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A76789">
      <w:rPr>
        <w:rStyle w:val="PageNumber"/>
        <w:sz w:val="18"/>
        <w:szCs w:val="18"/>
      </w:rPr>
      <w:t>29</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E0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B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2E6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08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E83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3454B"/>
    <w:multiLevelType w:val="hybridMultilevel"/>
    <w:tmpl w:val="CB680DDE"/>
    <w:lvl w:ilvl="0" w:tplc="56D22982">
      <w:start w:val="4"/>
      <w:numFmt w:val="bullet"/>
      <w:lvlText w:val="-"/>
      <w:lvlJc w:val="left"/>
      <w:pPr>
        <w:ind w:left="369" w:hanging="360"/>
      </w:pPr>
      <w:rPr>
        <w:rFonts w:ascii="Dubai" w:eastAsia="Batang" w:hAnsi="Dubai" w:cs="Dubai" w:hint="default"/>
        <w:sz w:val="22"/>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6E37008C"/>
    <w:multiLevelType w:val="multilevel"/>
    <w:tmpl w:val="776AC288"/>
    <w:lvl w:ilvl="0">
      <w:start w:val="4"/>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75BB56C1"/>
    <w:multiLevelType w:val="hybridMultilevel"/>
    <w:tmpl w:val="11D0C3A8"/>
    <w:lvl w:ilvl="0" w:tplc="8D7AE738">
      <w:start w:val="9"/>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775832">
    <w:abstractNumId w:val="9"/>
  </w:num>
  <w:num w:numId="2" w16cid:durableId="1352608845">
    <w:abstractNumId w:val="14"/>
  </w:num>
  <w:num w:numId="3" w16cid:durableId="1921743954">
    <w:abstractNumId w:val="10"/>
  </w:num>
  <w:num w:numId="4" w16cid:durableId="1858959430">
    <w:abstractNumId w:val="15"/>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 w:numId="14" w16cid:durableId="1989699310">
    <w:abstractNumId w:val="12"/>
    <w:lvlOverride w:ilvl="0">
      <w:lvl w:ilvl="0" w:tplc="BBF6815E">
        <w:start w:val="1"/>
        <w:numFmt w:val="bullet"/>
        <w:lvlText w:val=""/>
        <w:lvlJc w:val="left"/>
        <w:pPr>
          <w:ind w:left="720" w:hanging="360"/>
        </w:pPr>
        <w:rPr>
          <w:rFonts w:ascii="Symbol" w:hAnsi="Symbol" w:hint="default"/>
        </w:rPr>
      </w:lvl>
    </w:lvlOverride>
  </w:num>
  <w:num w:numId="15" w16cid:durableId="1674722823">
    <w:abstractNumId w:val="11"/>
    <w:lvlOverride w:ilvl="0">
      <w:lvl w:ilvl="0">
        <w:start w:val="1"/>
        <w:numFmt w:val="bullet"/>
        <w:lvlText w:val="–"/>
        <w:lvlJc w:val="left"/>
        <w:pPr>
          <w:tabs>
            <w:tab w:val="num" w:pos="720"/>
          </w:tabs>
          <w:ind w:left="720" w:hanging="360"/>
        </w:pPr>
        <w:rPr>
          <w:rFonts w:ascii="Times New Roman" w:hAnsi="Times New Roman" w:cs="Times New Roman" w:hint="default"/>
          <w:sz w:val="20"/>
        </w:rPr>
      </w:lvl>
    </w:lvlOverride>
  </w:num>
  <w:num w:numId="16" w16cid:durableId="41945929">
    <w:abstractNumId w:val="16"/>
  </w:num>
  <w:num w:numId="17" w16cid:durableId="340787379">
    <w:abstractNumId w:val="13"/>
  </w:num>
  <w:num w:numId="18" w16cid:durableId="16251168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ED"/>
    <w:rsid w:val="00002794"/>
    <w:rsid w:val="00011021"/>
    <w:rsid w:val="000114EC"/>
    <w:rsid w:val="00011F8C"/>
    <w:rsid w:val="000141FF"/>
    <w:rsid w:val="00022B74"/>
    <w:rsid w:val="0002327C"/>
    <w:rsid w:val="00034B65"/>
    <w:rsid w:val="00040C94"/>
    <w:rsid w:val="000425FC"/>
    <w:rsid w:val="00044D43"/>
    <w:rsid w:val="00051907"/>
    <w:rsid w:val="00075A3F"/>
    <w:rsid w:val="000A1B16"/>
    <w:rsid w:val="000B3896"/>
    <w:rsid w:val="000B5404"/>
    <w:rsid w:val="000C03C3"/>
    <w:rsid w:val="000D1708"/>
    <w:rsid w:val="000D73CF"/>
    <w:rsid w:val="000E2AFC"/>
    <w:rsid w:val="000E6D30"/>
    <w:rsid w:val="000F05F5"/>
    <w:rsid w:val="000F518F"/>
    <w:rsid w:val="0010081C"/>
    <w:rsid w:val="001010FD"/>
    <w:rsid w:val="001013E3"/>
    <w:rsid w:val="0010363F"/>
    <w:rsid w:val="00123AA6"/>
    <w:rsid w:val="0012545F"/>
    <w:rsid w:val="00130DBE"/>
    <w:rsid w:val="00136B82"/>
    <w:rsid w:val="001464F2"/>
    <w:rsid w:val="00167364"/>
    <w:rsid w:val="001903B2"/>
    <w:rsid w:val="001B5953"/>
    <w:rsid w:val="001D64A1"/>
    <w:rsid w:val="001D746E"/>
    <w:rsid w:val="001E190C"/>
    <w:rsid w:val="001E51EE"/>
    <w:rsid w:val="001E54F6"/>
    <w:rsid w:val="001E5A8C"/>
    <w:rsid w:val="001F69F8"/>
    <w:rsid w:val="00201A0A"/>
    <w:rsid w:val="0020650C"/>
    <w:rsid w:val="002075D4"/>
    <w:rsid w:val="00211B2A"/>
    <w:rsid w:val="00217403"/>
    <w:rsid w:val="00223C6C"/>
    <w:rsid w:val="00230D1D"/>
    <w:rsid w:val="0023289F"/>
    <w:rsid w:val="002333A0"/>
    <w:rsid w:val="002543CF"/>
    <w:rsid w:val="00257B4A"/>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2FA4"/>
    <w:rsid w:val="002D5F64"/>
    <w:rsid w:val="002D6BB4"/>
    <w:rsid w:val="002D6FBF"/>
    <w:rsid w:val="002E3887"/>
    <w:rsid w:val="002E48BF"/>
    <w:rsid w:val="002E61C2"/>
    <w:rsid w:val="002F3E46"/>
    <w:rsid w:val="00311E3F"/>
    <w:rsid w:val="00314B1E"/>
    <w:rsid w:val="0033737F"/>
    <w:rsid w:val="00353652"/>
    <w:rsid w:val="003569E1"/>
    <w:rsid w:val="003815E2"/>
    <w:rsid w:val="00381FAD"/>
    <w:rsid w:val="00382A66"/>
    <w:rsid w:val="00384AE2"/>
    <w:rsid w:val="00390692"/>
    <w:rsid w:val="003923B1"/>
    <w:rsid w:val="003965FE"/>
    <w:rsid w:val="00396F22"/>
    <w:rsid w:val="00397C17"/>
    <w:rsid w:val="003B27AD"/>
    <w:rsid w:val="003B4F23"/>
    <w:rsid w:val="003C12F6"/>
    <w:rsid w:val="003C3A13"/>
    <w:rsid w:val="003C6D51"/>
    <w:rsid w:val="003D6523"/>
    <w:rsid w:val="003E02EF"/>
    <w:rsid w:val="003E1D90"/>
    <w:rsid w:val="00400CD4"/>
    <w:rsid w:val="004147B9"/>
    <w:rsid w:val="00422C04"/>
    <w:rsid w:val="00423A40"/>
    <w:rsid w:val="00426144"/>
    <w:rsid w:val="00441488"/>
    <w:rsid w:val="004636E2"/>
    <w:rsid w:val="00470CBD"/>
    <w:rsid w:val="0047407D"/>
    <w:rsid w:val="00486B2B"/>
    <w:rsid w:val="004909DD"/>
    <w:rsid w:val="00497B8A"/>
    <w:rsid w:val="004A05E6"/>
    <w:rsid w:val="004A6230"/>
    <w:rsid w:val="004A6C66"/>
    <w:rsid w:val="004A7AA0"/>
    <w:rsid w:val="004B2400"/>
    <w:rsid w:val="004C11BC"/>
    <w:rsid w:val="004C5C04"/>
    <w:rsid w:val="004D0448"/>
    <w:rsid w:val="004D1D9B"/>
    <w:rsid w:val="004D4AE6"/>
    <w:rsid w:val="004E2A5D"/>
    <w:rsid w:val="00504D52"/>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674B3"/>
    <w:rsid w:val="0057029B"/>
    <w:rsid w:val="005730DF"/>
    <w:rsid w:val="00576D0A"/>
    <w:rsid w:val="00576FCC"/>
    <w:rsid w:val="00584333"/>
    <w:rsid w:val="00586B66"/>
    <w:rsid w:val="005953EC"/>
    <w:rsid w:val="005B00A1"/>
    <w:rsid w:val="005C29C8"/>
    <w:rsid w:val="005C3880"/>
    <w:rsid w:val="005C5D25"/>
    <w:rsid w:val="005D044F"/>
    <w:rsid w:val="005D2606"/>
    <w:rsid w:val="005D6D48"/>
    <w:rsid w:val="005D72A4"/>
    <w:rsid w:val="005F05CC"/>
    <w:rsid w:val="005F65DE"/>
    <w:rsid w:val="00613492"/>
    <w:rsid w:val="00620A07"/>
    <w:rsid w:val="00621D07"/>
    <w:rsid w:val="00630905"/>
    <w:rsid w:val="006315B5"/>
    <w:rsid w:val="00653585"/>
    <w:rsid w:val="0065562F"/>
    <w:rsid w:val="00664F03"/>
    <w:rsid w:val="0067070C"/>
    <w:rsid w:val="006734F3"/>
    <w:rsid w:val="006779A4"/>
    <w:rsid w:val="00680A38"/>
    <w:rsid w:val="00680A66"/>
    <w:rsid w:val="00681391"/>
    <w:rsid w:val="00694690"/>
    <w:rsid w:val="0069526C"/>
    <w:rsid w:val="006A12AC"/>
    <w:rsid w:val="006A2162"/>
    <w:rsid w:val="006A58DB"/>
    <w:rsid w:val="006B4B90"/>
    <w:rsid w:val="006B5CD1"/>
    <w:rsid w:val="006B600C"/>
    <w:rsid w:val="006B658C"/>
    <w:rsid w:val="006D2674"/>
    <w:rsid w:val="006E38D0"/>
    <w:rsid w:val="006E465B"/>
    <w:rsid w:val="006E482A"/>
    <w:rsid w:val="006E7C21"/>
    <w:rsid w:val="006F70BF"/>
    <w:rsid w:val="0070140C"/>
    <w:rsid w:val="00716B1D"/>
    <w:rsid w:val="00723029"/>
    <w:rsid w:val="007248EC"/>
    <w:rsid w:val="007263B4"/>
    <w:rsid w:val="00726744"/>
    <w:rsid w:val="00731150"/>
    <w:rsid w:val="00734E41"/>
    <w:rsid w:val="00736DCC"/>
    <w:rsid w:val="00741855"/>
    <w:rsid w:val="00742B73"/>
    <w:rsid w:val="00742D47"/>
    <w:rsid w:val="00751251"/>
    <w:rsid w:val="007610E7"/>
    <w:rsid w:val="00761770"/>
    <w:rsid w:val="00764079"/>
    <w:rsid w:val="00770AA0"/>
    <w:rsid w:val="007710F5"/>
    <w:rsid w:val="00771F7E"/>
    <w:rsid w:val="00773E9C"/>
    <w:rsid w:val="00776F6B"/>
    <w:rsid w:val="00777694"/>
    <w:rsid w:val="00786A7E"/>
    <w:rsid w:val="00787A92"/>
    <w:rsid w:val="00787F4D"/>
    <w:rsid w:val="00790154"/>
    <w:rsid w:val="007A0802"/>
    <w:rsid w:val="007A3A06"/>
    <w:rsid w:val="007B03FB"/>
    <w:rsid w:val="007B1FCA"/>
    <w:rsid w:val="007C2C12"/>
    <w:rsid w:val="007C3CFA"/>
    <w:rsid w:val="007E0E8B"/>
    <w:rsid w:val="007E6847"/>
    <w:rsid w:val="007E6B0A"/>
    <w:rsid w:val="007F08CA"/>
    <w:rsid w:val="007F3D16"/>
    <w:rsid w:val="007F6388"/>
    <w:rsid w:val="007F7FC3"/>
    <w:rsid w:val="00810482"/>
    <w:rsid w:val="00817568"/>
    <w:rsid w:val="008204AC"/>
    <w:rsid w:val="008261C2"/>
    <w:rsid w:val="00830D96"/>
    <w:rsid w:val="00834AD9"/>
    <w:rsid w:val="00835741"/>
    <w:rsid w:val="0085569D"/>
    <w:rsid w:val="00855B59"/>
    <w:rsid w:val="0085774F"/>
    <w:rsid w:val="008614B8"/>
    <w:rsid w:val="008657CB"/>
    <w:rsid w:val="00867632"/>
    <w:rsid w:val="00873A6F"/>
    <w:rsid w:val="0088384B"/>
    <w:rsid w:val="00884282"/>
    <w:rsid w:val="0089246B"/>
    <w:rsid w:val="00893E53"/>
    <w:rsid w:val="008A1137"/>
    <w:rsid w:val="008A1788"/>
    <w:rsid w:val="008A1E64"/>
    <w:rsid w:val="008A3E57"/>
    <w:rsid w:val="008A4185"/>
    <w:rsid w:val="008A6552"/>
    <w:rsid w:val="008B12C7"/>
    <w:rsid w:val="008B4E93"/>
    <w:rsid w:val="008B52B7"/>
    <w:rsid w:val="008C257E"/>
    <w:rsid w:val="008C3818"/>
    <w:rsid w:val="008D6ACC"/>
    <w:rsid w:val="008D7AF0"/>
    <w:rsid w:val="008E2CBE"/>
    <w:rsid w:val="008E32DD"/>
    <w:rsid w:val="008F4626"/>
    <w:rsid w:val="009004DF"/>
    <w:rsid w:val="00904AA5"/>
    <w:rsid w:val="00906B2C"/>
    <w:rsid w:val="00951718"/>
    <w:rsid w:val="00960962"/>
    <w:rsid w:val="00972CE0"/>
    <w:rsid w:val="00987933"/>
    <w:rsid w:val="00992E35"/>
    <w:rsid w:val="009A3D30"/>
    <w:rsid w:val="009B544E"/>
    <w:rsid w:val="009C13BE"/>
    <w:rsid w:val="009D6348"/>
    <w:rsid w:val="009E5007"/>
    <w:rsid w:val="009E613F"/>
    <w:rsid w:val="009F042B"/>
    <w:rsid w:val="009F1076"/>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505C"/>
    <w:rsid w:val="00A75D8C"/>
    <w:rsid w:val="00A76789"/>
    <w:rsid w:val="00A809E8"/>
    <w:rsid w:val="00A870AD"/>
    <w:rsid w:val="00A90843"/>
    <w:rsid w:val="00A915ED"/>
    <w:rsid w:val="00A9645C"/>
    <w:rsid w:val="00AA6493"/>
    <w:rsid w:val="00AA6EF1"/>
    <w:rsid w:val="00AA7BA0"/>
    <w:rsid w:val="00AB2A33"/>
    <w:rsid w:val="00AC1275"/>
    <w:rsid w:val="00AC1898"/>
    <w:rsid w:val="00AC7395"/>
    <w:rsid w:val="00AD162B"/>
    <w:rsid w:val="00AD538E"/>
    <w:rsid w:val="00AD690F"/>
    <w:rsid w:val="00AD69DD"/>
    <w:rsid w:val="00AE6B26"/>
    <w:rsid w:val="00AF22C1"/>
    <w:rsid w:val="00AF3253"/>
    <w:rsid w:val="00AF3EFA"/>
    <w:rsid w:val="00AF41D1"/>
    <w:rsid w:val="00B01623"/>
    <w:rsid w:val="00B033DF"/>
    <w:rsid w:val="00B039AD"/>
    <w:rsid w:val="00B07CEE"/>
    <w:rsid w:val="00B12661"/>
    <w:rsid w:val="00B16045"/>
    <w:rsid w:val="00B1667D"/>
    <w:rsid w:val="00B1714C"/>
    <w:rsid w:val="00B31F13"/>
    <w:rsid w:val="00B357E9"/>
    <w:rsid w:val="00B4164D"/>
    <w:rsid w:val="00B425C1"/>
    <w:rsid w:val="00B51DC7"/>
    <w:rsid w:val="00B606BA"/>
    <w:rsid w:val="00B63EAC"/>
    <w:rsid w:val="00B66817"/>
    <w:rsid w:val="00B71E3B"/>
    <w:rsid w:val="00B721D5"/>
    <w:rsid w:val="00B81CB5"/>
    <w:rsid w:val="00B8351F"/>
    <w:rsid w:val="00B86C44"/>
    <w:rsid w:val="00B9727C"/>
    <w:rsid w:val="00BA7D44"/>
    <w:rsid w:val="00BD2BD7"/>
    <w:rsid w:val="00BD6291"/>
    <w:rsid w:val="00BD6EF3"/>
    <w:rsid w:val="00BD77A4"/>
    <w:rsid w:val="00BD7FAA"/>
    <w:rsid w:val="00BE69C3"/>
    <w:rsid w:val="00C1165E"/>
    <w:rsid w:val="00C22074"/>
    <w:rsid w:val="00C2377B"/>
    <w:rsid w:val="00C34E09"/>
    <w:rsid w:val="00C3693C"/>
    <w:rsid w:val="00C50CFE"/>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1F86"/>
    <w:rsid w:val="00D62C78"/>
    <w:rsid w:val="00D81703"/>
    <w:rsid w:val="00D82929"/>
    <w:rsid w:val="00D84214"/>
    <w:rsid w:val="00D870CF"/>
    <w:rsid w:val="00D943E5"/>
    <w:rsid w:val="00DA1AE0"/>
    <w:rsid w:val="00DC29DD"/>
    <w:rsid w:val="00DC7C0E"/>
    <w:rsid w:val="00DE1E82"/>
    <w:rsid w:val="00DE7387"/>
    <w:rsid w:val="00DF2A6A"/>
    <w:rsid w:val="00DF3B72"/>
    <w:rsid w:val="00E10821"/>
    <w:rsid w:val="00E2489D"/>
    <w:rsid w:val="00E26520"/>
    <w:rsid w:val="00E343A3"/>
    <w:rsid w:val="00E51BFA"/>
    <w:rsid w:val="00E55959"/>
    <w:rsid w:val="00E621A3"/>
    <w:rsid w:val="00E833BC"/>
    <w:rsid w:val="00E8580E"/>
    <w:rsid w:val="00E86AC3"/>
    <w:rsid w:val="00E8778C"/>
    <w:rsid w:val="00E97E21"/>
    <w:rsid w:val="00EA152E"/>
    <w:rsid w:val="00EA1B76"/>
    <w:rsid w:val="00EA4390"/>
    <w:rsid w:val="00EA77D7"/>
    <w:rsid w:val="00EC09B9"/>
    <w:rsid w:val="00EC7921"/>
    <w:rsid w:val="00ED048C"/>
    <w:rsid w:val="00EE60E9"/>
    <w:rsid w:val="00EF38AF"/>
    <w:rsid w:val="00EF4380"/>
    <w:rsid w:val="00F00143"/>
    <w:rsid w:val="00F055F8"/>
    <w:rsid w:val="00F1020C"/>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E074B"/>
    <w:rsid w:val="00FE07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7BB88"/>
  <w15:docId w15:val="{41E0F07A-115B-4B9B-9929-D29B699D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B51DC7"/>
    <w:pPr>
      <w:keepLines/>
      <w:tabs>
        <w:tab w:val="clear" w:pos="794"/>
        <w:tab w:val="clear" w:pos="1191"/>
        <w:tab w:val="clear" w:pos="1588"/>
        <w:tab w:val="clear" w:pos="1985"/>
        <w:tab w:val="left" w:pos="1134"/>
        <w:tab w:val="left" w:leader="dot" w:pos="9072"/>
        <w:tab w:val="right" w:pos="9639"/>
      </w:tabs>
      <w:spacing w:before="80"/>
      <w:ind w:left="1701" w:right="567" w:hanging="1134"/>
    </w:pPr>
  </w:style>
  <w:style w:type="paragraph" w:styleId="TOC1">
    <w:name w:val="toc 1"/>
    <w:basedOn w:val="Normal"/>
    <w:uiPriority w:val="39"/>
    <w:rsid w:val="00B51DC7"/>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rsid w:val="00834AD9"/>
    <w:rPr>
      <w:rFonts w:ascii="Dubai" w:hAnsi="Dubai" w:cs="Dubai"/>
      <w:sz w:val="18"/>
      <w:szCs w:val="18"/>
      <w:lang w:eastAsia="en-US"/>
    </w:rPr>
  </w:style>
  <w:style w:type="paragraph" w:customStyle="1" w:styleId="Note">
    <w:name w:val="Note"/>
    <w:basedOn w:val="Normal"/>
    <w:qFormat/>
    <w:rsid w:val="000D73CF"/>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AA7BA0"/>
    <w:pPr>
      <w:keepNext/>
      <w:keepLines/>
      <w:bidi/>
      <w:spacing w:before="120" w:after="24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 w:type="paragraph" w:customStyle="1" w:styleId="Figure">
    <w:name w:val="Figure"/>
    <w:basedOn w:val="Figurelegend"/>
    <w:rsid w:val="00AA7BA0"/>
    <w:pPr>
      <w:bidi/>
      <w:spacing w:before="100" w:beforeAutospacing="1" w:after="100" w:afterAutospacing="1" w:line="240" w:lineRule="auto"/>
      <w:jc w:val="center"/>
    </w:pPr>
    <w:rPr>
      <w:lang w:val="en-US"/>
    </w:rPr>
  </w:style>
  <w:style w:type="paragraph" w:customStyle="1" w:styleId="Headingb0">
    <w:name w:val="Heading b"/>
    <w:basedOn w:val="Normal"/>
    <w:rsid w:val="001D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nn/Pages/default.aspx" TargetMode="External"/><Relationship Id="rId299" Type="http://schemas.openxmlformats.org/officeDocument/2006/relationships/hyperlink" Target="https://www.itu.int/en/ITU-T/NoW/events/20240123/Pages/default.aspx" TargetMode="External"/><Relationship Id="rId21" Type="http://schemas.openxmlformats.org/officeDocument/2006/relationships/hyperlink" Target="https://aiforgood.itu.int/" TargetMode="External"/><Relationship Id="rId63" Type="http://schemas.openxmlformats.org/officeDocument/2006/relationships/hyperlink" Target="https://www.who.int/publications/i/item/9789240094161" TargetMode="External"/><Relationship Id="rId159" Type="http://schemas.openxmlformats.org/officeDocument/2006/relationships/hyperlink" Target="https://www.itu.int/en/ITU-T/focusgroups/ai4h/Pages/default.aspx" TargetMode="External"/><Relationship Id="rId324" Type="http://schemas.openxmlformats.org/officeDocument/2006/relationships/hyperlink" Target="https://www.itu.int/myworkspace/" TargetMode="External"/><Relationship Id="rId366" Type="http://schemas.openxmlformats.org/officeDocument/2006/relationships/footer" Target="footer2.xml"/><Relationship Id="rId170" Type="http://schemas.openxmlformats.org/officeDocument/2006/relationships/hyperlink" Target="https://aiforgood.itu.int/robotics-for-good-youth-challenge/" TargetMode="External"/><Relationship Id="rId226" Type="http://schemas.openxmlformats.org/officeDocument/2006/relationships/hyperlink" Target="https://www.itu.int/en/ITU-T/climatechange/task-force-sc/Pages/default.aspx" TargetMode="External"/><Relationship Id="rId268" Type="http://schemas.openxmlformats.org/officeDocument/2006/relationships/hyperlink" Target="https://ilac.org/about-ilac/partnerships/international-partners/itu/" TargetMode="External"/><Relationship Id="rId32" Type="http://schemas.openxmlformats.org/officeDocument/2006/relationships/hyperlink" Target="https://www.itu.int/en/ITU-T/extcoop/ai4resilience/Pages/default.aspx" TargetMode="External"/><Relationship Id="rId74" Type="http://schemas.openxmlformats.org/officeDocument/2006/relationships/hyperlink" Target="https://www.itu.int/en/ITU-T/gap/Pages/default.aspx" TargetMode="External"/><Relationship Id="rId128" Type="http://schemas.openxmlformats.org/officeDocument/2006/relationships/hyperlink" Target="https://aiforgood.itu.int/" TargetMode="External"/><Relationship Id="rId335" Type="http://schemas.openxmlformats.org/officeDocument/2006/relationships/hyperlink" Target="https://www.itu.int/myworkspace/" TargetMode="External"/><Relationship Id="rId5" Type="http://schemas.openxmlformats.org/officeDocument/2006/relationships/customXml" Target="../customXml/item5.xml"/><Relationship Id="rId181" Type="http://schemas.openxmlformats.org/officeDocument/2006/relationships/hyperlink" Target="https://www.itu.int/cities/digitaltransformationdialogues/" TargetMode="External"/><Relationship Id="rId237" Type="http://schemas.openxmlformats.org/officeDocument/2006/relationships/hyperlink" Target="https://www.who.int/ar/publications/i/item" TargetMode="External"/><Relationship Id="rId279" Type="http://schemas.openxmlformats.org/officeDocument/2006/relationships/hyperlink" Target="https://www.itu.int/net/itu-t/cdb/ConformityDB.aspx" TargetMode="External"/><Relationship Id="rId43" Type="http://schemas.openxmlformats.org/officeDocument/2006/relationships/hyperlink" Target="https://www.itu.int/en/ITU-T/ssc/united/Pages/default.aspx" TargetMode="External"/><Relationship Id="rId139" Type="http://schemas.openxmlformats.org/officeDocument/2006/relationships/hyperlink" Target="https://www.worldstandardscooperation.org/wp-content/uploads/2023/11/WSC_Statement_Standards-Digital_8_Nov_2023.pdf" TargetMode="External"/><Relationship Id="rId290" Type="http://schemas.openxmlformats.org/officeDocument/2006/relationships/hyperlink" Target="https://www.itu.int/net4/iwm?p0=0&amp;p11=ITU&amp;p12=ITU-SEP-ITU-T-SEP-Other%20Groups-SEP-Network%20of%20Women%20in%20ITU-T&amp;p21=ITU&amp;p22=ITU" TargetMode="External"/><Relationship Id="rId304" Type="http://schemas.openxmlformats.org/officeDocument/2006/relationships/hyperlink" Target="https://www.itu.int/md/T22-TSAG-240122-TD-GEN-0423/en" TargetMode="External"/><Relationship Id="rId346" Type="http://schemas.openxmlformats.org/officeDocument/2006/relationships/hyperlink" Target="https://www.itu.int/itu-t/landscape" TargetMode="External"/><Relationship Id="rId85" Type="http://schemas.openxmlformats.org/officeDocument/2006/relationships/hyperlink" Target="https://www.itu.int/md/meetingdoc.asp?lang=en&amp;parent=T22-WTSA.24-C-0002" TargetMode="External"/><Relationship Id="rId150" Type="http://schemas.openxmlformats.org/officeDocument/2006/relationships/hyperlink" Target="https://aiforgood.itu.int/summit24/programme/" TargetMode="External"/><Relationship Id="rId192" Type="http://schemas.openxmlformats.org/officeDocument/2006/relationships/hyperlink" Target="https://www.itu.int/md/T22-WTSA.24-INF-0005/en" TargetMode="External"/><Relationship Id="rId206" Type="http://schemas.openxmlformats.org/officeDocument/2006/relationships/hyperlink" Target="https://www.itu.int/en/ITU-T/extcoop/dcgi/Pages/default.aspx" TargetMode="External"/><Relationship Id="rId248" Type="http://schemas.openxmlformats.org/officeDocument/2006/relationships/hyperlink" Target="https://www.itu.int/en/journal/j-fet/webinars/Pages/default.aspx" TargetMode="External"/><Relationship Id="rId12" Type="http://schemas.openxmlformats.org/officeDocument/2006/relationships/image" Target="media/image1.png"/><Relationship Id="rId108" Type="http://schemas.openxmlformats.org/officeDocument/2006/relationships/hyperlink" Target="https://www.itu.int/md/meetingdoc.asp?lang=en&amp;parent=T22-WTSA.24-C-0017" TargetMode="External"/><Relationship Id="rId315" Type="http://schemas.openxmlformats.org/officeDocument/2006/relationships/hyperlink" Target="https://itu.int/go/itu-t/rgm" TargetMode="External"/><Relationship Id="rId357" Type="http://schemas.openxmlformats.org/officeDocument/2006/relationships/hyperlink" Target="https://www.itu.int/itu-t/nnp/" TargetMode="External"/><Relationship Id="rId54" Type="http://schemas.openxmlformats.org/officeDocument/2006/relationships/hyperlink" Target="https://www.itu.int/en/ITU-T/extcoop/cits/Pages/egcomad.aspx" TargetMode="External"/><Relationship Id="rId96" Type="http://schemas.openxmlformats.org/officeDocument/2006/relationships/hyperlink" Target="https://www.itu.int/md/meetingdoc.asp?lang=en&amp;parent=T22-WTSA.24-C-0009" TargetMode="External"/><Relationship Id="rId161" Type="http://schemas.openxmlformats.org/officeDocument/2006/relationships/hyperlink" Target="https://www.itu.int/en/ITU-T/focusgroups/ai4ndm/Pages/default.aspx" TargetMode="External"/><Relationship Id="rId217" Type="http://schemas.openxmlformats.org/officeDocument/2006/relationships/hyperlink" Target="https://www.itu.int/initiatives/green-digital-action-atcop28/" TargetMode="External"/><Relationship Id="rId259" Type="http://schemas.openxmlformats.org/officeDocument/2006/relationships/hyperlink" Target="https://www.itu.int/pub/T-SP-OB.1283-2024" TargetMode="External"/><Relationship Id="rId23" Type="http://schemas.openxmlformats.org/officeDocument/2006/relationships/hyperlink" Target="https://aiforgood.itu.int/" TargetMode="External"/><Relationship Id="rId119" Type="http://schemas.openxmlformats.org/officeDocument/2006/relationships/hyperlink" Target="https://www.itu.int/en/ITU-T/focusgroups/ai4a/Pages/default.aspx" TargetMode="External"/><Relationship Id="rId270" Type="http://schemas.openxmlformats.org/officeDocument/2006/relationships/hyperlink" Target="https://www.itu.int/pub/T-SP" TargetMode="External"/><Relationship Id="rId326" Type="http://schemas.openxmlformats.org/officeDocument/2006/relationships/hyperlink" Target="https://www.itu.int/ITU-T/recommendations/" TargetMode="External"/><Relationship Id="rId65" Type="http://schemas.openxmlformats.org/officeDocument/2006/relationships/hyperlink" Target="https://www.itu.int/en/ITU-T/tsbdir/CxO/Pages/CxO-20231205.aspx" TargetMode="External"/><Relationship Id="rId130" Type="http://schemas.openxmlformats.org/officeDocument/2006/relationships/hyperlink" Target="https://www.itu.int/cities/digitaltransformationdialogues/" TargetMode="External"/><Relationship Id="rId368" Type="http://schemas.openxmlformats.org/officeDocument/2006/relationships/theme" Target="theme/theme1.xml"/><Relationship Id="rId172" Type="http://schemas.openxmlformats.org/officeDocument/2006/relationships/hyperlink" Target="https://aiforgood.itu.int/innovate-for-impact/" TargetMode="External"/><Relationship Id="rId228" Type="http://schemas.openxmlformats.org/officeDocument/2006/relationships/hyperlink" Target="https://www.itu.int/ITU-T/recommendations/rec.aspx?rec=16050" TargetMode="External"/><Relationship Id="rId281" Type="http://schemas.openxmlformats.org/officeDocument/2006/relationships/image" Target="media/image4.png"/><Relationship Id="rId337" Type="http://schemas.openxmlformats.org/officeDocument/2006/relationships/hyperlink" Target="https://tsbcloud.itu.int/" TargetMode="External"/><Relationship Id="rId34" Type="http://schemas.openxmlformats.org/officeDocument/2006/relationships/hyperlink" Target="https://www.itu.int/en/ITU-T/focusgroups/ai4ndm/Pages/default.aspx" TargetMode="External"/><Relationship Id="rId76" Type="http://schemas.openxmlformats.org/officeDocument/2006/relationships/hyperlink" Target="https://itu.int/go/tldb" TargetMode="External"/><Relationship Id="rId141" Type="http://schemas.openxmlformats.org/officeDocument/2006/relationships/hyperlink" Target="https://www.worldstandardscooperation.org/g20/" TargetMode="External"/><Relationship Id="rId7" Type="http://schemas.openxmlformats.org/officeDocument/2006/relationships/styles" Target="styles.xml"/><Relationship Id="rId183" Type="http://schemas.openxmlformats.org/officeDocument/2006/relationships/hyperlink" Target="https://www.itu.int/en/ITU-T/ssc/united/Pages/publication-U4SSC-KPIs.aspx" TargetMode="External"/><Relationship Id="rId239" Type="http://schemas.openxmlformats.org/officeDocument/2006/relationships/hyperlink" Target="https://www.itu.int/en/ITU-T/tsbdir/CxO/Pages/CxO-20231205.aspx" TargetMode="External"/><Relationship Id="rId250" Type="http://schemas.openxmlformats.org/officeDocument/2006/relationships/hyperlink" Target="https://www.itu.int/en/ITU-T/academia/kaleidoscope/2022/Pages/default.aspx" TargetMode="External"/><Relationship Id="rId292" Type="http://schemas.openxmlformats.org/officeDocument/2006/relationships/hyperlink" Target="https://www.itu.int/md/S24-CL-C-0035" TargetMode="External"/><Relationship Id="rId306" Type="http://schemas.openxmlformats.org/officeDocument/2006/relationships/hyperlink" Target="https://unece.org/gender-responsive-standards-initiative" TargetMode="External"/><Relationship Id="rId45" Type="http://schemas.openxmlformats.org/officeDocument/2006/relationships/hyperlink" Target="https://www.itu.int/en/ITU-T/ssc/united/Pages/publication-U4SSC-KPIs.aspx" TargetMode="External"/><Relationship Id="rId87" Type="http://schemas.openxmlformats.org/officeDocument/2006/relationships/hyperlink" Target="https://www.itu.int/md/meetingdoc.asp?lang=en&amp;parent=T22-WTSA.24-C-0003" TargetMode="External"/><Relationship Id="rId110" Type="http://schemas.openxmlformats.org/officeDocument/2006/relationships/hyperlink" Target="https://www.itu.int/go/tsg17" TargetMode="External"/><Relationship Id="rId348" Type="http://schemas.openxmlformats.org/officeDocument/2006/relationships/hyperlink" Target="https://www.itu.int/itu-t/landscape/?topic=tx378" TargetMode="External"/><Relationship Id="rId152" Type="http://schemas.openxmlformats.org/officeDocument/2006/relationships/hyperlink" Target="https://www.itu.int/en/itu-wsis/Pages/default.aspx" TargetMode="External"/><Relationship Id="rId194" Type="http://schemas.openxmlformats.org/officeDocument/2006/relationships/hyperlink" Target="https://itu.int/en/ITU-T/dfs/Documents/Security%20recommendations%20for%20regulators%20and%20DFS%20providers%20developed%20under%20FIGI-updated%20March%202023.pdf" TargetMode="External"/><Relationship Id="rId208" Type="http://schemas.openxmlformats.org/officeDocument/2006/relationships/hyperlink" Target="https://www.itu.int/en/ITU-T/Workshops-and-Seminars/2022/0125/Pages/default.aspx" TargetMode="External"/><Relationship Id="rId261" Type="http://schemas.openxmlformats.org/officeDocument/2006/relationships/hyperlink" Target="https://www.itu.int/pub/T-SP-OB.1293-2024" TargetMode="External"/><Relationship Id="rId14" Type="http://schemas.openxmlformats.org/officeDocument/2006/relationships/hyperlink" Target="mailto:tsbdir@itu.int" TargetMode="External"/><Relationship Id="rId56" Type="http://schemas.openxmlformats.org/officeDocument/2006/relationships/hyperlink" Target="https://www.itu.int/initiatives/green-digital-action/" TargetMode="External"/><Relationship Id="rId317" Type="http://schemas.openxmlformats.org/officeDocument/2006/relationships/hyperlink" Target="https://itu.int/go/itu-t/rgm-guide" TargetMode="External"/><Relationship Id="rId359" Type="http://schemas.openxmlformats.org/officeDocument/2006/relationships/hyperlink" Target="https://www.itu.int/en/ITU-T/inr/unum/Pages/default.aspx" TargetMode="External"/><Relationship Id="rId98" Type="http://schemas.openxmlformats.org/officeDocument/2006/relationships/hyperlink" Target="https://www.itu.int/go/tsg12" TargetMode="External"/><Relationship Id="rId121" Type="http://schemas.openxmlformats.org/officeDocument/2006/relationships/hyperlink" Target="https://www.itu.int/en/ITU-T/focusgroups/tbfxg/Pages/default.aspx" TargetMode="External"/><Relationship Id="rId163" Type="http://schemas.openxmlformats.org/officeDocument/2006/relationships/hyperlink" Target="https://aiforgood.itu.int/ai-skills-coalition/" TargetMode="External"/><Relationship Id="rId219" Type="http://schemas.openxmlformats.org/officeDocument/2006/relationships/hyperlink" Target="https://www.itu.int/initiatives/green-digital-action-atcop28/about/outcomes/" TargetMode="External"/><Relationship Id="rId230" Type="http://schemas.openxmlformats.org/officeDocument/2006/relationships/hyperlink" Target="https://www.itu.int/en/ITU-T/Workshops-and-Seminars/2024/1017-SL/Pages/default.aspx" TargetMode="External"/><Relationship Id="rId25" Type="http://schemas.openxmlformats.org/officeDocument/2006/relationships/hyperlink" Target="https://aiforgood.itu.int/summit24/" TargetMode="External"/><Relationship Id="rId67" Type="http://schemas.openxmlformats.org/officeDocument/2006/relationships/hyperlink" Target="https://www.itu.int/en/ITU-T/tsbdir/CxO/Pages/CxO-20221206.aspx" TargetMode="External"/><Relationship Id="rId272" Type="http://schemas.openxmlformats.org/officeDocument/2006/relationships/hyperlink" Target="https://www.itu.int/net/itu-t/cdb/secured/Register16.aspx" TargetMode="External"/><Relationship Id="rId328" Type="http://schemas.openxmlformats.org/officeDocument/2006/relationships/hyperlink" Target="https://www.itu.int/myworkspace/" TargetMode="External"/><Relationship Id="rId132" Type="http://schemas.openxmlformats.org/officeDocument/2006/relationships/hyperlink" Target="https://www.itu.int/en/ITU-T/extcoop/Pages/mou.aspx" TargetMode="External"/><Relationship Id="rId174" Type="http://schemas.openxmlformats.org/officeDocument/2006/relationships/hyperlink" Target="https://www.itu.int/metaverse/virtual-worlds/" TargetMode="External"/><Relationship Id="rId220" Type="http://schemas.openxmlformats.org/officeDocument/2006/relationships/hyperlink" Target="https://www.worldstandardscooperation.org/" TargetMode="External"/><Relationship Id="rId241" Type="http://schemas.openxmlformats.org/officeDocument/2006/relationships/hyperlink" Target="https://www.itu.int/en/ITU-T/tsbdir/CxO/Pages/CxO-20221206.aspx" TargetMode="External"/><Relationship Id="rId15" Type="http://schemas.openxmlformats.org/officeDocument/2006/relationships/hyperlink" Target="https://www.itu.int/ITU-T/workprog/wp_search.aspx?isn_sp=8265&amp;isn_status=-1,2&amp;details=0&amp;field=acdefghijo" TargetMode="External"/><Relationship Id="rId36" Type="http://schemas.openxmlformats.org/officeDocument/2006/relationships/hyperlink" Target="https://aiforgood.itu.int/ai-skills-coalition/" TargetMode="External"/><Relationship Id="rId57" Type="http://schemas.openxmlformats.org/officeDocument/2006/relationships/hyperlink" Target="https://www.itu.int/initiatives/green-digital-action-atcop28/" TargetMode="External"/><Relationship Id="rId262" Type="http://schemas.openxmlformats.org/officeDocument/2006/relationships/hyperlink" Target="https://www.itu.int/en/ITU-T/studygroups/com11/casc/Documents/TL-RP_pub_2022-07-15.pdf" TargetMode="External"/><Relationship Id="rId283" Type="http://schemas.openxmlformats.org/officeDocument/2006/relationships/hyperlink" Target="https://www.itu.int/en/ITU-T/gap/Documents/nss-rep-may.pdf" TargetMode="External"/><Relationship Id="rId318" Type="http://schemas.openxmlformats.org/officeDocument/2006/relationships/hyperlink" Target="https://extranet.itu.int/sites/ITU-T/" TargetMode="External"/><Relationship Id="rId339" Type="http://schemas.openxmlformats.org/officeDocument/2006/relationships/hyperlink" Target="https://www.itu.int/en/ITU-T/ewm/Pages/sync-app.aspx" TargetMode="External"/><Relationship Id="rId78" Type="http://schemas.openxmlformats.org/officeDocument/2006/relationships/hyperlink" Target="https://www.itu.int/en/ITU-T/C-I/Pages/default.aspx" TargetMode="External"/><Relationship Id="rId99" Type="http://schemas.openxmlformats.org/officeDocument/2006/relationships/hyperlink" Target="https://www.itu.int/md/meetingdoc.asp?lang=en&amp;parent=T22-WTSA.24-C-0011" TargetMode="External"/><Relationship Id="rId101" Type="http://schemas.openxmlformats.org/officeDocument/2006/relationships/hyperlink" Target="https://www.itu.int/go/tsg13" TargetMode="External"/><Relationship Id="rId122" Type="http://schemas.openxmlformats.org/officeDocument/2006/relationships/hyperlink" Target="https://www.itu.int/en/ITU-T/focusgroups/ai4ndm/Pages/default.aspx" TargetMode="External"/><Relationship Id="rId143" Type="http://schemas.openxmlformats.org/officeDocument/2006/relationships/hyperlink" Target="https://www.worldstandardsday.org/home.html" TargetMode="External"/><Relationship Id="rId164" Type="http://schemas.openxmlformats.org/officeDocument/2006/relationships/hyperlink" Target="https://aiforgood.itu.int/event/ai-for-good-impact-india/" TargetMode="External"/><Relationship Id="rId185" Type="http://schemas.openxmlformats.org/officeDocument/2006/relationships/hyperlink" Target="https://u4ssc.itu.int/u4ssc-hub/" TargetMode="External"/><Relationship Id="rId350" Type="http://schemas.openxmlformats.org/officeDocument/2006/relationships/hyperlink" Target="https://www.itu.int/itu-t/landscape/?topic=tx279" TargetMode="External"/><Relationship Id="rId9" Type="http://schemas.openxmlformats.org/officeDocument/2006/relationships/webSettings" Target="webSettings.xml"/><Relationship Id="rId210" Type="http://schemas.openxmlformats.org/officeDocument/2006/relationships/hyperlink" Target="https://www.itu.int/en/ITU-T/extcoop/cits/Pages/default.aspx" TargetMode="External"/><Relationship Id="rId26" Type="http://schemas.openxmlformats.org/officeDocument/2006/relationships/hyperlink" Target="https://aiforgood.itu.int/summit24/programme/" TargetMode="External"/><Relationship Id="rId231" Type="http://schemas.openxmlformats.org/officeDocument/2006/relationships/hyperlink" Target="https://www.itu.int/ITU-T/workprog/wp_item.aspx?isn=19011" TargetMode="External"/><Relationship Id="rId252" Type="http://schemas.openxmlformats.org/officeDocument/2006/relationships/hyperlink" Target="https://www.itu.int/ar/ITU-T/C-I/Pages/default.aspx" TargetMode="External"/><Relationship Id="rId273" Type="http://schemas.openxmlformats.org/officeDocument/2006/relationships/hyperlink" Target="https://www.itu.int/en/ITU-T/C-I/conformity/Pages/cdb.aspx" TargetMode="External"/><Relationship Id="rId294" Type="http://schemas.openxmlformats.org/officeDocument/2006/relationships/hyperlink" Target="https://www.itu.int/en/ITU-T/NoW/events/20241017/Pages/default.aspx" TargetMode="External"/><Relationship Id="rId308" Type="http://schemas.openxmlformats.org/officeDocument/2006/relationships/hyperlink" Target="mailto:NoW-T@itu.int" TargetMode="External"/><Relationship Id="rId329" Type="http://schemas.openxmlformats.org/officeDocument/2006/relationships/hyperlink" Target="https://www.itu.int/myworkspace/" TargetMode="External"/><Relationship Id="rId47" Type="http://schemas.openxmlformats.org/officeDocument/2006/relationships/hyperlink" Target="https://www.itu.int/cities/publications/" TargetMode="External"/><Relationship Id="rId68" Type="http://schemas.openxmlformats.org/officeDocument/2006/relationships/hyperlink" Target="https://www.itu.int/en/ITU-T/tsbdir/cto/Documents/Communique_ITU_CxO_2022_06.12_Final.pdf" TargetMode="External"/><Relationship Id="rId89" Type="http://schemas.openxmlformats.org/officeDocument/2006/relationships/hyperlink" Target="https://www.itu.int/go/tsg5" TargetMode="External"/><Relationship Id="rId112" Type="http://schemas.openxmlformats.org/officeDocument/2006/relationships/hyperlink" Target="https://www.itu.int/md/meetingdoc.asp?lang=en&amp;parent=T22-WTSA.24-C-0020" TargetMode="External"/><Relationship Id="rId133" Type="http://schemas.openxmlformats.org/officeDocument/2006/relationships/hyperlink" Target="https://www.worldstandardscooperation.org/" TargetMode="External"/><Relationship Id="rId154" Type="http://schemas.openxmlformats.org/officeDocument/2006/relationships/hyperlink" Target="https://aiforgood.itu.int/summit23/" TargetMode="External"/><Relationship Id="rId175" Type="http://schemas.openxmlformats.org/officeDocument/2006/relationships/hyperlink" Target="https://www.itu.int/metaverse/un-virtual-worlds-day/" TargetMode="External"/><Relationship Id="rId340" Type="http://schemas.openxmlformats.org/officeDocument/2006/relationships/hyperlink" Target="https://www.itu.int/search" TargetMode="External"/><Relationship Id="rId361" Type="http://schemas.openxmlformats.org/officeDocument/2006/relationships/hyperlink" Target="https://www.itu.int/search" TargetMode="External"/><Relationship Id="rId196" Type="http://schemas.openxmlformats.org/officeDocument/2006/relationships/hyperlink" Target="https://itu.int/en/ITU-T/dfs/seclab/Pages/default.aspx" TargetMode="External"/><Relationship Id="rId200" Type="http://schemas.openxmlformats.org/officeDocument/2006/relationships/hyperlink" Target="https://itu.int/en/ITU-T/dfs/Documents/Security%20recommendations%20for%20regulators%20and%20DFS%20providers%20developed%20under%20FIGI-updated%20March%202023.pdf" TargetMode="External"/><Relationship Id="rId16" Type="http://schemas.openxmlformats.org/officeDocument/2006/relationships/hyperlink" Target="https://www.itu.int/en/ITU-T/publications/Pages/recs.aspx" TargetMode="External"/><Relationship Id="rId221" Type="http://schemas.openxmlformats.org/officeDocument/2006/relationships/hyperlink" Target="https://www.itu.int/initiatives/green-digital-action-atcop28/wp-content/uploads/sites/4/2023/12/Call-to-Action-Pillar4-Green-standards.pdf" TargetMode="External"/><Relationship Id="rId242" Type="http://schemas.openxmlformats.org/officeDocument/2006/relationships/hyperlink" Target="https://www.itu.int/en/ITU-T/tsbdir/cto/Documents/Communique_ITU_CxO_2022_06.12_Final.pdf" TargetMode="External"/><Relationship Id="rId263" Type="http://schemas.openxmlformats.org/officeDocument/2006/relationships/hyperlink" Target="https://www.itu.int/en/ITU-T/studygroups/com11/casc/Documents/Guideline_CASC_EXP_RP-10-2019.pdf" TargetMode="External"/><Relationship Id="rId284" Type="http://schemas.openxmlformats.org/officeDocument/2006/relationships/hyperlink" Target="https://www.itu.int/ar/ITU-T/regionalgroups/Pages/default.aspx" TargetMode="External"/><Relationship Id="rId319" Type="http://schemas.openxmlformats.org/officeDocument/2006/relationships/hyperlink" Target="https://extranet.itu.int/ITU-T/support/" TargetMode="External"/><Relationship Id="rId37" Type="http://schemas.openxmlformats.org/officeDocument/2006/relationships/hyperlink" Target="https://www.itu.int/metaverse/virtual-worlds/" TargetMode="External"/><Relationship Id="rId58" Type="http://schemas.openxmlformats.org/officeDocument/2006/relationships/hyperlink" Target="https://www.itu.int/en/ITU-T/climatechange/task-force-sc/Pages/default.aspx" TargetMode="External"/><Relationship Id="rId79" Type="http://schemas.openxmlformats.org/officeDocument/2006/relationships/hyperlink" Target="https://www.itu.int/br_tsb_terms/" TargetMode="External"/><Relationship Id="rId102" Type="http://schemas.openxmlformats.org/officeDocument/2006/relationships/hyperlink" Target="https://www.itu.int/md/meetingdoc.asp?lang=en&amp;parent=T22-WTSA.24-C-0013" TargetMode="External"/><Relationship Id="rId123" Type="http://schemas.openxmlformats.org/officeDocument/2006/relationships/hyperlink" Target="https://www.itu.int/en/ITU-T/focusgroups/an/Pages/default.aspx" TargetMode="External"/><Relationship Id="rId144" Type="http://schemas.openxmlformats.org/officeDocument/2006/relationships/hyperlink" Target="https://www.worldstandardscooperation.org/what-we-do/world-standards-day/" TargetMode="External"/><Relationship Id="rId330" Type="http://schemas.openxmlformats.org/officeDocument/2006/relationships/hyperlink" Target="https://www.itu.int/myworkspace/" TargetMode="External"/><Relationship Id="rId90" Type="http://schemas.openxmlformats.org/officeDocument/2006/relationships/hyperlink" Target="https://www.itu.int/md/meetingdoc.asp?lang=en&amp;parent=T22-WTSA.24-C-0005" TargetMode="External"/><Relationship Id="rId165" Type="http://schemas.openxmlformats.org/officeDocument/2006/relationships/hyperlink" Target="https://aiforgood.itu.int/about-ai-for-good/innovation-factory/" TargetMode="External"/><Relationship Id="rId186" Type="http://schemas.openxmlformats.org/officeDocument/2006/relationships/hyperlink" Target="https://www.itu.int/cities/publications/" TargetMode="External"/><Relationship Id="rId351" Type="http://schemas.openxmlformats.org/officeDocument/2006/relationships/hyperlink" Target="https://www.itu.int/itu-t/landscape/?topic=tx379" TargetMode="External"/><Relationship Id="rId211" Type="http://schemas.openxmlformats.org/officeDocument/2006/relationships/hyperlink" Target="https://www.itu.int/en/ITU-T/extcoop/cits/Pages/egcomad.aspx" TargetMode="External"/><Relationship Id="rId232" Type="http://schemas.openxmlformats.org/officeDocument/2006/relationships/hyperlink" Target="https://www.itu.int/ITU-T/recommendations/rec.aspx?rec=14953&amp;lang=en" TargetMode="External"/><Relationship Id="rId253" Type="http://schemas.openxmlformats.org/officeDocument/2006/relationships/hyperlink" Target="https://www.itu.int/md/meetingdoc.asp?lang=en&amp;parent=T17-TSB-CIR-0368" TargetMode="External"/><Relationship Id="rId274" Type="http://schemas.openxmlformats.org/officeDocument/2006/relationships/hyperlink" Target="https://www.itu.int/md/T22-SG11-230510-TD-GEN-0507/en" TargetMode="External"/><Relationship Id="rId295" Type="http://schemas.openxmlformats.org/officeDocument/2006/relationships/hyperlink" Target="https://www.itu.int/en/ITU-T/NoW/Documents/Draft%20programme%20for%20NoW%20in%20ITU-T%20CITEL._.pdf" TargetMode="External"/><Relationship Id="rId309" Type="http://schemas.openxmlformats.org/officeDocument/2006/relationships/image" Target="media/image7.png"/><Relationship Id="rId27" Type="http://schemas.openxmlformats.org/officeDocument/2006/relationships/hyperlink" Target="https://aiforgood.itu.int/newsroom/publications-and-reports/" TargetMode="External"/><Relationship Id="rId48" Type="http://schemas.openxmlformats.org/officeDocument/2006/relationships/hyperlink" Target="https://figi.itu.int/itu-dfs-security-clinics/" TargetMode="External"/><Relationship Id="rId69" Type="http://schemas.openxmlformats.org/officeDocument/2006/relationships/hyperlink" Target="https://www.itu.int/hub/membership/" TargetMode="External"/><Relationship Id="rId113" Type="http://schemas.openxmlformats.org/officeDocument/2006/relationships/hyperlink" Target="https://www.itu.int/go/tsg20" TargetMode="External"/><Relationship Id="rId134" Type="http://schemas.openxmlformats.org/officeDocument/2006/relationships/hyperlink" Target="https://aiforgood.itu.int/summit24/" TargetMode="External"/><Relationship Id="rId320" Type="http://schemas.openxmlformats.org/officeDocument/2006/relationships/hyperlink" Target="https://www.itu.int/myworkspace/" TargetMode="External"/><Relationship Id="rId80" Type="http://schemas.openxmlformats.org/officeDocument/2006/relationships/hyperlink" Target="https://www.itu.int/ITU-T/workprog/wp_search.aspx?isn_sp=8265&amp;isn_status=-1,2&amp;details=0&amp;field=acdefghijo" TargetMode="External"/><Relationship Id="rId155" Type="http://schemas.openxmlformats.org/officeDocument/2006/relationships/hyperlink" Target="https://s41721.pcdn.co/wp-content/uploads/2021/06/SNAPSHOT-REPORT-2023-FINAL.pdf" TargetMode="External"/><Relationship Id="rId176" Type="http://schemas.openxmlformats.org/officeDocument/2006/relationships/hyperlink" Target="https://www.itu.int/en/ITU-T/focusgroups/mv/Pages/default.aspx" TargetMode="External"/><Relationship Id="rId197" Type="http://schemas.openxmlformats.org/officeDocument/2006/relationships/hyperlink" Target="https://www.itu.int/en/ITU-T/webinars/dfs/sc/Pages/default.aspx" TargetMode="External"/><Relationship Id="rId341" Type="http://schemas.openxmlformats.org/officeDocument/2006/relationships/hyperlink" Target="https://www.itu.int/net/ITU-T/info/faqs.aspx" TargetMode="External"/><Relationship Id="rId362" Type="http://schemas.openxmlformats.org/officeDocument/2006/relationships/hyperlink" Target="https://www.itu.int/net4/itu-t/search/" TargetMode="External"/><Relationship Id="rId201" Type="http://schemas.openxmlformats.org/officeDocument/2006/relationships/hyperlink" Target="https://www.itu.int/en/ITU-T/dfs/Documents/ITU%20Cyber%20Security%20Resilience%20Assessment%20toolkit%20for%20DFS%20Critical%20Infrastructure.pdf" TargetMode="External"/><Relationship Id="rId222" Type="http://schemas.openxmlformats.org/officeDocument/2006/relationships/hyperlink" Target="https://aiforgood.itu.int/about-ai-for-good/aiml-solutions-for-climate-change/" TargetMode="External"/><Relationship Id="rId243" Type="http://schemas.openxmlformats.org/officeDocument/2006/relationships/hyperlink" Target="https://www.itu.int/hub/membership/" TargetMode="External"/><Relationship Id="rId264" Type="http://schemas.openxmlformats.org/officeDocument/2006/relationships/hyperlink" Target="https://www.itu.int/en/ITU-T/studygroups/com11/casc/Documents/List-ITU-technical%20experts-CASC-Oct23.pdf" TargetMode="External"/><Relationship Id="rId285" Type="http://schemas.openxmlformats.org/officeDocument/2006/relationships/image" Target="media/image5.png"/><Relationship Id="rId17" Type="http://schemas.openxmlformats.org/officeDocument/2006/relationships/hyperlink" Target="https://www.itu.int/en/ITU-T/studygroups/Pages/default.aspx" TargetMode="External"/><Relationship Id="rId38" Type="http://schemas.openxmlformats.org/officeDocument/2006/relationships/hyperlink" Target="https://www.itu.int/metaverse/un-virtual-worlds-day/" TargetMode="External"/><Relationship Id="rId59" Type="http://schemas.openxmlformats.org/officeDocument/2006/relationships/hyperlink" Target="https://www.itu.int/ITU-T/recommendations/rec.aspx?rec=16051" TargetMode="External"/><Relationship Id="rId103" Type="http://schemas.openxmlformats.org/officeDocument/2006/relationships/hyperlink" Target="https://www.itu.int/md/meetingdoc.asp?lang=en&amp;parent=T22-WTSA.24-C-0014" TargetMode="External"/><Relationship Id="rId124" Type="http://schemas.openxmlformats.org/officeDocument/2006/relationships/hyperlink" Target="https://www.itu.int/en/ITU-T/focusgroups/ai4h/Pages/default.aspx" TargetMode="External"/><Relationship Id="rId310" Type="http://schemas.openxmlformats.org/officeDocument/2006/relationships/image" Target="media/image8.png"/><Relationship Id="rId70" Type="http://schemas.openxmlformats.org/officeDocument/2006/relationships/hyperlink" Target="https://www.itu.int/en/journal/j-fet/Pages/default.aspx" TargetMode="External"/><Relationship Id="rId91" Type="http://schemas.openxmlformats.org/officeDocument/2006/relationships/hyperlink" Target="https://www.itu.int/md/meetingdoc.asp?lang=en&amp;parent=T22-WTSA.24-C-0006" TargetMode="External"/><Relationship Id="rId145" Type="http://schemas.openxmlformats.org/officeDocument/2006/relationships/hyperlink" Target="https://aiforgood.itu.int/ai-standards/" TargetMode="External"/><Relationship Id="rId166" Type="http://schemas.openxmlformats.org/officeDocument/2006/relationships/hyperlink" Target="https://aiforgood.itu.int/about-ai-for-good/innovation-factory/startup-acceleration-programme/" TargetMode="External"/><Relationship Id="rId187" Type="http://schemas.openxmlformats.org/officeDocument/2006/relationships/hyperlink" Target="https://toolkit-dt4c.itu.int/" TargetMode="External"/><Relationship Id="rId331" Type="http://schemas.openxmlformats.org/officeDocument/2006/relationships/hyperlink" Target="https://www.itu.int/myworkspace/" TargetMode="External"/><Relationship Id="rId352" Type="http://schemas.openxmlformats.org/officeDocument/2006/relationships/hyperlink" Target="https://www.itu.int/itu-t/landscape/?topic=tx21" TargetMode="External"/><Relationship Id="rId1" Type="http://schemas.openxmlformats.org/officeDocument/2006/relationships/customXml" Target="../customXml/item1.xml"/><Relationship Id="rId212" Type="http://schemas.openxmlformats.org/officeDocument/2006/relationships/hyperlink" Target="https://www.itu.int/en/ITU-T/extcoop/cits/egcomad/wg01/Pages/default.aspx" TargetMode="External"/><Relationship Id="rId233" Type="http://schemas.openxmlformats.org/officeDocument/2006/relationships/hyperlink" Target="https://www.itu.int/hub/publication/d-phcb-safe_lis-01-2019/" TargetMode="External"/><Relationship Id="rId254" Type="http://schemas.openxmlformats.org/officeDocument/2006/relationships/hyperlink" Target="https://itu.int/go/tldb" TargetMode="External"/><Relationship Id="rId28" Type="http://schemas.openxmlformats.org/officeDocument/2006/relationships/hyperlink" Target="https://www.itu.int/en/itu-wsis/Pages/default.aspx" TargetMode="External"/><Relationship Id="rId49" Type="http://schemas.openxmlformats.org/officeDocument/2006/relationships/hyperlink" Target="https://figi.itu.int/itu-dfs-security-clinics/" TargetMode="External"/><Relationship Id="rId114" Type="http://schemas.openxmlformats.org/officeDocument/2006/relationships/hyperlink" Target="https://www.itu.int/md/meetingdoc.asp?lang=en&amp;parent=T22-WTSA.24-C-0021" TargetMode="External"/><Relationship Id="rId275" Type="http://schemas.openxmlformats.org/officeDocument/2006/relationships/hyperlink" Target="https://itu.int/go/tcdb" TargetMode="External"/><Relationship Id="rId296" Type="http://schemas.openxmlformats.org/officeDocument/2006/relationships/hyperlink" Target="https://www.itu.int/en/ITU-T/NoW/Documents/Draft%20Programme%20for%20NoW%20in%20ITU-T%20at%20APT%20WTSA-24-5.pdf" TargetMode="External"/><Relationship Id="rId300" Type="http://schemas.openxmlformats.org/officeDocument/2006/relationships/hyperlink" Target="https://youtu.be/z1EngabIA4E" TargetMode="External"/><Relationship Id="rId60" Type="http://schemas.openxmlformats.org/officeDocument/2006/relationships/hyperlink" Target="https://www.itu.int/ITU-T/recommendations/rec.aspx?rec=16050" TargetMode="External"/><Relationship Id="rId81" Type="http://schemas.openxmlformats.org/officeDocument/2006/relationships/hyperlink" Target="https://www.itu.int/en/ITU-T/publications/Pages/recs.aspx" TargetMode="External"/><Relationship Id="rId135" Type="http://schemas.openxmlformats.org/officeDocument/2006/relationships/hyperlink" Target="https://www.worldstandardscooperation.org/standards-collaboration-on-ai-watermarking-multimedia-authenticity-and-deepfake-detection/" TargetMode="External"/><Relationship Id="rId156" Type="http://schemas.openxmlformats.org/officeDocument/2006/relationships/hyperlink" Target="https://www.worldstandardscooperation.org/standards-collaboration-on-ai-watermarking-multimedia-authenticity-and-deepfake-detection/" TargetMode="External"/><Relationship Id="rId177" Type="http://schemas.openxmlformats.org/officeDocument/2006/relationships/hyperlink" Target="https://www.itu.int/en/ITU-T/about/groups/2022-2024/Pages/sg20.aspx" TargetMode="External"/><Relationship Id="rId198" Type="http://schemas.openxmlformats.org/officeDocument/2006/relationships/hyperlink" Target="https://www.itu.int/en/ITU-T/webinars/dfs/sc/Pages/default.aspx" TargetMode="External"/><Relationship Id="rId321" Type="http://schemas.openxmlformats.org/officeDocument/2006/relationships/hyperlink" Target="https://www.itu.int/myworkspace/" TargetMode="External"/><Relationship Id="rId342" Type="http://schemas.openxmlformats.org/officeDocument/2006/relationships/hyperlink" Target="https://www.itu.int/t/aap/aap-recs" TargetMode="External"/><Relationship Id="rId363" Type="http://schemas.openxmlformats.org/officeDocument/2006/relationships/header" Target="header1.xml"/><Relationship Id="rId202" Type="http://schemas.openxmlformats.org/officeDocument/2006/relationships/hyperlink" Target="https://www.itu.int/en/ITU-T/dfs/seclab/Pages/challenge.aspx" TargetMode="External"/><Relationship Id="rId223" Type="http://schemas.openxmlformats.org/officeDocument/2006/relationships/hyperlink" Target="https://aiforgood.itu.int/about-ai-for-good/innovation-factory/" TargetMode="External"/><Relationship Id="rId244" Type="http://schemas.openxmlformats.org/officeDocument/2006/relationships/hyperlink" Target="https://www.itu.int/en/journal/j-fet/Pages/default.aspx" TargetMode="External"/><Relationship Id="rId18" Type="http://schemas.openxmlformats.org/officeDocument/2006/relationships/hyperlink" Target="https://www.itu.int/md/T22-WTSA.24-C" TargetMode="External"/><Relationship Id="rId39" Type="http://schemas.openxmlformats.org/officeDocument/2006/relationships/hyperlink" Target="https://www.itu.int/en/ITU-T/focusgroups/mv/Pages/default.aspx" TargetMode="External"/><Relationship Id="rId265" Type="http://schemas.openxmlformats.org/officeDocument/2006/relationships/hyperlink" Target="https://www.itu.int/en/ITU-T/extcoop/Documents/mou/MoU-ITU-T-IAF-ILAC-20220824.pdf" TargetMode="External"/><Relationship Id="rId286" Type="http://schemas.openxmlformats.org/officeDocument/2006/relationships/image" Target="media/image6.png"/><Relationship Id="rId50" Type="http://schemas.openxmlformats.org/officeDocument/2006/relationships/hyperlink" Target="https://figi.itu.int/figi-resources/dfs-security-lab/" TargetMode="External"/><Relationship Id="rId104" Type="http://schemas.openxmlformats.org/officeDocument/2006/relationships/hyperlink" Target="https://www.itu.int/go/tsg15" TargetMode="External"/><Relationship Id="rId125" Type="http://schemas.openxmlformats.org/officeDocument/2006/relationships/hyperlink" Target="https://www.itu.int/en/ITU-T/focusgroups/ai4ee/Pages/default.aspx" TargetMode="External"/><Relationship Id="rId146" Type="http://schemas.openxmlformats.org/officeDocument/2006/relationships/hyperlink" Target="https://aiforgood.itu.int/programme/" TargetMode="External"/><Relationship Id="rId167" Type="http://schemas.openxmlformats.org/officeDocument/2006/relationships/hyperlink" Target="https://www.itu.int/dms_pub/itu-t/opb/ai4g/T-AI4G-AI4GOOD-2024-6-PDF-E.pdf" TargetMode="External"/><Relationship Id="rId188" Type="http://schemas.openxmlformats.org/officeDocument/2006/relationships/hyperlink" Target="https://www.itu.int/cities/dt-resource-hub/" TargetMode="External"/><Relationship Id="rId311" Type="http://schemas.openxmlformats.org/officeDocument/2006/relationships/image" Target="media/image9.png"/><Relationship Id="rId332" Type="http://schemas.openxmlformats.org/officeDocument/2006/relationships/hyperlink" Target="https://www.itu.int/myworkspace/" TargetMode="External"/><Relationship Id="rId353" Type="http://schemas.openxmlformats.org/officeDocument/2006/relationships/hyperlink" Target="https://www.itu.int/itu-t/landscape/?topic=tx380" TargetMode="External"/><Relationship Id="rId71" Type="http://schemas.openxmlformats.org/officeDocument/2006/relationships/hyperlink" Target="https://www.itu.int/en/ITU-T/academia/kaleidoscope/Pages/default.aspx" TargetMode="External"/><Relationship Id="rId92" Type="http://schemas.openxmlformats.org/officeDocument/2006/relationships/hyperlink" Target="https://www.itu.int/go/tsg9" TargetMode="External"/><Relationship Id="rId213" Type="http://schemas.openxmlformats.org/officeDocument/2006/relationships/hyperlink" Target="https://www.itu.int/en/ITU-T/extcoop/cits/egcomad/wg02/Pages/default.aspx" TargetMode="External"/><Relationship Id="rId234" Type="http://schemas.openxmlformats.org/officeDocument/2006/relationships/hyperlink" Target="https://www.who.int/activities/making-listening-safe" TargetMode="External"/><Relationship Id="rId2" Type="http://schemas.openxmlformats.org/officeDocument/2006/relationships/customXml" Target="../customXml/item2.xml"/><Relationship Id="rId29" Type="http://schemas.openxmlformats.org/officeDocument/2006/relationships/hyperlink" Target="https://www.worldstandardscooperation.org/standards-collaboration-on-ai-watermarking-multimedia-authenticity-and-deepfake-detection/" TargetMode="External"/><Relationship Id="rId255" Type="http://schemas.openxmlformats.org/officeDocument/2006/relationships/hyperlink" Target="https://www.itu.int/pub/T-SP-OB.1253-2022" TargetMode="External"/><Relationship Id="rId276" Type="http://schemas.openxmlformats.org/officeDocument/2006/relationships/hyperlink" Target="https://itu.int/go/TT-TLRP" TargetMode="External"/><Relationship Id="rId297" Type="http://schemas.openxmlformats.org/officeDocument/2006/relationships/hyperlink" Target="https://ituint.sharepoint.com/:p:/r/sites/TSB-GenderDreamTeam/_layouts/15/Doc.aspx?sourcedoc=%7bCCF5A17C-A395-4C75-A788-D9A85615D9FA%7d&amp;file=Part%202.1-1-WTSA%20-%20Getting%20the%20most%20of%20it%20%25u00fb%20During%20and%20after_Adelaide%20Australia%20-%20June%202024-v2a.pptx&amp;action=edit&amp;mobileredirect=true" TargetMode="External"/><Relationship Id="rId40" Type="http://schemas.openxmlformats.org/officeDocument/2006/relationships/hyperlink" Target="https://www.itu.int/en/ITU-T/about/groups/2022-2024/Pages/sg20.aspx" TargetMode="External"/><Relationship Id="rId115" Type="http://schemas.openxmlformats.org/officeDocument/2006/relationships/hyperlink" Target="https://www.itu.int/md/meetingdoc.asp?lang=en&amp;parent=T22-WTSA.24-C-0022" TargetMode="External"/><Relationship Id="rId136" Type="http://schemas.openxmlformats.org/officeDocument/2006/relationships/hyperlink" Target="https://www.itu.int/hub/publication/t-ai4g-ai4good-2024-7/" TargetMode="External"/><Relationship Id="rId157" Type="http://schemas.openxmlformats.org/officeDocument/2006/relationships/hyperlink" Target="https://www.itu.int/hub/publication/t-ai4g-ai4good-2024-7/" TargetMode="External"/><Relationship Id="rId178" Type="http://schemas.openxmlformats.org/officeDocument/2006/relationships/hyperlink" Target="https://u4ssc.itu.int/" TargetMode="External"/><Relationship Id="rId301" Type="http://schemas.openxmlformats.org/officeDocument/2006/relationships/hyperlink" Target="https://www.itu.int/en/ITU-T/NoW/events/20240123/Pages/default.aspx" TargetMode="External"/><Relationship Id="rId322" Type="http://schemas.openxmlformats.org/officeDocument/2006/relationships/hyperlink" Target="https://www.itu.int/myworkspace/" TargetMode="External"/><Relationship Id="rId343" Type="http://schemas.openxmlformats.org/officeDocument/2006/relationships/hyperlink" Target="https://www.itu.int/itu-t/workprog/" TargetMode="External"/><Relationship Id="rId364" Type="http://schemas.openxmlformats.org/officeDocument/2006/relationships/header" Target="header2.xml"/><Relationship Id="rId61" Type="http://schemas.openxmlformats.org/officeDocument/2006/relationships/hyperlink" Target="https://www.who.int/activities/making-listening-safe" TargetMode="External"/><Relationship Id="rId82" Type="http://schemas.openxmlformats.org/officeDocument/2006/relationships/hyperlink" Target="https://www.itu.int/en/ITU-T/studygroups/Pages/default.aspx" TargetMode="External"/><Relationship Id="rId199" Type="http://schemas.openxmlformats.org/officeDocument/2006/relationships/hyperlink" Target="https://itu.int/en/publications/Documents/tsb/2021-FIGI-Digital-Financial-Services-security-assurance-framework/index.html" TargetMode="External"/><Relationship Id="rId203" Type="http://schemas.openxmlformats.org/officeDocument/2006/relationships/hyperlink" Target="https://zindi.africa/competitions/itu-digital-financial-services-blockchain-secure-authentication-application-challenge/discussions/20438" TargetMode="External"/><Relationship Id="rId19" Type="http://schemas.openxmlformats.org/officeDocument/2006/relationships/hyperlink" Target="https://www.itu.int/en/ITU-T/focusgroups/Pages/default.aspx" TargetMode="External"/><Relationship Id="rId224" Type="http://schemas.openxmlformats.org/officeDocument/2006/relationships/hyperlink" Target="https://unfccc.int/cop27" TargetMode="External"/><Relationship Id="rId245" Type="http://schemas.openxmlformats.org/officeDocument/2006/relationships/hyperlink" Target="https://www.itu.int/en/ITU-T/academia/kaleidoscope/Pages/default.aspx" TargetMode="External"/><Relationship Id="rId266" Type="http://schemas.openxmlformats.org/officeDocument/2006/relationships/hyperlink" Target="https://ilac.org/ilac-mra-and-signatories/" TargetMode="External"/><Relationship Id="rId287" Type="http://schemas.openxmlformats.org/officeDocument/2006/relationships/hyperlink" Target="https://www.itu.int/md/T22-TSAG-240729-TD-GEN-0556/en" TargetMode="External"/><Relationship Id="rId30" Type="http://schemas.openxmlformats.org/officeDocument/2006/relationships/hyperlink" Target="https://aiforgood.itu.int/ai-standards/" TargetMode="External"/><Relationship Id="rId105" Type="http://schemas.openxmlformats.org/officeDocument/2006/relationships/hyperlink" Target="https://www.itu.int/md/meetingdoc.asp?lang=en&amp;parent=T22-WTSA.24-C-0015" TargetMode="External"/><Relationship Id="rId126" Type="http://schemas.openxmlformats.org/officeDocument/2006/relationships/hyperlink" Target="https://www.itu.int/en/ITU-T/focusgroups/ai4ad/Pages/default.aspx" TargetMode="External"/><Relationship Id="rId147" Type="http://schemas.openxmlformats.org/officeDocument/2006/relationships/hyperlink" Target="https://aiforgood.itu.int/neural-network/" TargetMode="External"/><Relationship Id="rId168" Type="http://schemas.openxmlformats.org/officeDocument/2006/relationships/hyperlink" Target="https://github.com/ITU-AI-ML-in-5G-Challenge" TargetMode="External"/><Relationship Id="rId312" Type="http://schemas.openxmlformats.org/officeDocument/2006/relationships/image" Target="media/image10.png"/><Relationship Id="rId333" Type="http://schemas.openxmlformats.org/officeDocument/2006/relationships/hyperlink" Target="https://www.itu.int/myworkspace/" TargetMode="External"/><Relationship Id="rId354" Type="http://schemas.openxmlformats.org/officeDocument/2006/relationships/hyperlink" Target="https://www.itu.int/net4/ipr/search.aspx" TargetMode="External"/><Relationship Id="rId51" Type="http://schemas.openxmlformats.org/officeDocument/2006/relationships/hyperlink" Target="https://www.itu.int/en/ITU-T/dfs/seclab/Pages/challenge.aspx" TargetMode="External"/><Relationship Id="rId72" Type="http://schemas.openxmlformats.org/officeDocument/2006/relationships/hyperlink" Target="https://www.itu.int/en/journal/j-fet/webinars/Pages/default.aspx" TargetMode="External"/><Relationship Id="rId93" Type="http://schemas.openxmlformats.org/officeDocument/2006/relationships/hyperlink" Target="https://www.itu.int/md/meetingdoc.asp?lang=en&amp;parent=T22-WTSA.24-C-0007" TargetMode="External"/><Relationship Id="rId189" Type="http://schemas.openxmlformats.org/officeDocument/2006/relationships/hyperlink" Target="https://www.itu.int/cities/dt-digest/" TargetMode="External"/><Relationship Id="rId3" Type="http://schemas.openxmlformats.org/officeDocument/2006/relationships/customXml" Target="../customXml/item3.xml"/><Relationship Id="rId214" Type="http://schemas.openxmlformats.org/officeDocument/2006/relationships/hyperlink" Target="https://www.itu.int/net4/ITU-T/landscape" TargetMode="External"/><Relationship Id="rId235" Type="http://schemas.openxmlformats.org/officeDocument/2006/relationships/hyperlink" Target="https://www.itu.int/en/ITU-T/Workshops-and-Seminars/safelistening/Pages/default.aspx" TargetMode="External"/><Relationship Id="rId256" Type="http://schemas.openxmlformats.org/officeDocument/2006/relationships/hyperlink" Target="https://www.itu.int/pub/T-SP-OB.1256-2022" TargetMode="External"/><Relationship Id="rId277" Type="http://schemas.openxmlformats.org/officeDocument/2006/relationships/hyperlink" Target="https://www.itu.int/webcast/archive/t2022-24sg11" TargetMode="External"/><Relationship Id="rId298" Type="http://schemas.openxmlformats.org/officeDocument/2006/relationships/hyperlink" Target="https://ituint.sharepoint.com/:p:/r/sites/TSB-GenderDreamTeam/_layouts/15/Doc.aspx?sourcedoc=%7bD0D6C5E0-5630-4203-8AB0-1140F0B301E4%7d&amp;file=Part%202.1-2_Breaking%20Barriers-%20Women%25u00c6s%20participation%20and%20leadership%20in%20ITU-T%20and%20WTSA24-Qi%20Shuguang.pptx&amp;action=edit&amp;mobileredirect=true" TargetMode="External"/><Relationship Id="rId116" Type="http://schemas.openxmlformats.org/officeDocument/2006/relationships/hyperlink" Target="https://www.itu.int/en/ITU-T/focusgroups/cd/Pages/default.aspx" TargetMode="External"/><Relationship Id="rId137" Type="http://schemas.openxmlformats.org/officeDocument/2006/relationships/hyperlink" Target="https://aiforgood.itu.int/ai-standards/" TargetMode="External"/><Relationship Id="rId158" Type="http://schemas.openxmlformats.org/officeDocument/2006/relationships/hyperlink" Target="https://www.itu.int/hub/2023/07/new-un-initiative-aims-to-step-up-ais-contribution-to-health/" TargetMode="External"/><Relationship Id="rId302"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323" Type="http://schemas.openxmlformats.org/officeDocument/2006/relationships/hyperlink" Target="https://www.itu.int/itu-t/workprog/wp_search.aspx" TargetMode="External"/><Relationship Id="rId344" Type="http://schemas.openxmlformats.org/officeDocument/2006/relationships/hyperlink" Target="https://www.itu.int/net4/ITU-T/ls" TargetMode="External"/><Relationship Id="rId20" Type="http://schemas.openxmlformats.org/officeDocument/2006/relationships/hyperlink" Target="https://www.itu.int/en/ITU-T/Workshops-and-Seminars/Pages/default.aspx" TargetMode="External"/><Relationship Id="rId41" Type="http://schemas.openxmlformats.org/officeDocument/2006/relationships/hyperlink" Target="https://u4ssc.itu.int/" TargetMode="External"/><Relationship Id="rId62" Type="http://schemas.openxmlformats.org/officeDocument/2006/relationships/hyperlink" Target="https://www.itu.int/en/ITU-T/Workshops-and-Seminars/safelistening/Pages/default.aspx" TargetMode="External"/><Relationship Id="rId83" Type="http://schemas.openxmlformats.org/officeDocument/2006/relationships/hyperlink" Target="https://www.itu.int/go/tsg2/" TargetMode="External"/><Relationship Id="rId179" Type="http://schemas.openxmlformats.org/officeDocument/2006/relationships/hyperlink" Target="https://www.itu.int/net/epub/TSB/2024-UN-Executive-Briefing-on-unlocking-potential/index.html" TargetMode="External"/><Relationship Id="rId365" Type="http://schemas.openxmlformats.org/officeDocument/2006/relationships/footer" Target="footer1.xml"/><Relationship Id="rId190" Type="http://schemas.openxmlformats.org/officeDocument/2006/relationships/hyperlink" Target="https://www.itu.int/cities/meetings/" TargetMode="External"/><Relationship Id="rId204" Type="http://schemas.openxmlformats.org/officeDocument/2006/relationships/hyperlink" Target="https://www.itu.int/en/ITU-T/dfs/seclab/sar/Pages/bsa.aspx" TargetMode="External"/><Relationship Id="rId225" Type="http://schemas.openxmlformats.org/officeDocument/2006/relationships/hyperlink" Target="https://www.itu.int/ar/ITU-T/climatechange/Pages/default.aspx" TargetMode="External"/><Relationship Id="rId246" Type="http://schemas.openxmlformats.org/officeDocument/2006/relationships/hyperlink" Target="https://www.itu.int/en/journal/j-fet/Pages/default.aspx" TargetMode="External"/><Relationship Id="rId267" Type="http://schemas.openxmlformats.org/officeDocument/2006/relationships/hyperlink" Target="https://ilac.org/?ddownload=125179" TargetMode="External"/><Relationship Id="rId288" Type="http://schemas.openxmlformats.org/officeDocument/2006/relationships/hyperlink" Target="https://www.itu.int/en/ITU-T/NoW/Pages/default.aspx" TargetMode="External"/><Relationship Id="rId106" Type="http://schemas.openxmlformats.org/officeDocument/2006/relationships/hyperlink" Target="https://www.itu.int/md/meetingdoc.asp?lang=en&amp;parent=T22-WTSA.24-C-0016" TargetMode="External"/><Relationship Id="rId127" Type="http://schemas.openxmlformats.org/officeDocument/2006/relationships/hyperlink" Target="https://www.itu.int/en/ITU-T/focusgroups/vm/Pages/default.aspx" TargetMode="External"/><Relationship Id="rId313" Type="http://schemas.openxmlformats.org/officeDocument/2006/relationships/hyperlink" Target="https://www.itu.int/br_tsb_terms/" TargetMode="External"/><Relationship Id="rId10" Type="http://schemas.openxmlformats.org/officeDocument/2006/relationships/footnotes" Target="footnotes.xml"/><Relationship Id="rId31" Type="http://schemas.openxmlformats.org/officeDocument/2006/relationships/hyperlink" Target="https://www.itu.int/hub/2023/07/new-un-initiative-aims-to-step-up-ais-contribution-to-health/" TargetMode="External"/><Relationship Id="rId52" Type="http://schemas.openxmlformats.org/officeDocument/2006/relationships/hyperlink" Target="https://www.itu.int/hub/2024/05/itu-and-linux-foundation-join-forces-to-create-openwallet-forum/" TargetMode="External"/><Relationship Id="rId73" Type="http://schemas.openxmlformats.org/officeDocument/2006/relationships/hyperlink" Target="https://www.itu.int/en/ITU-T/academia/kaleidoscope/2024/Pages/default.aspx" TargetMode="External"/><Relationship Id="rId94" Type="http://schemas.openxmlformats.org/officeDocument/2006/relationships/hyperlink" Target="https://www.itu.int/md/meetingdoc.asp?lang=en&amp;parent=T22-WTSA.24-C-0008" TargetMode="External"/><Relationship Id="rId148" Type="http://schemas.openxmlformats.org/officeDocument/2006/relationships/hyperlink" Target="https://aiforgood.itu.int/newsroom/publications-and-reports/" TargetMode="External"/><Relationship Id="rId169" Type="http://schemas.openxmlformats.org/officeDocument/2006/relationships/hyperlink" Target="https://www.itu.int/en/journal/j-fet/Pages/default.aspx" TargetMode="External"/><Relationship Id="rId334" Type="http://schemas.openxmlformats.org/officeDocument/2006/relationships/hyperlink" Target="https://www.itu.int/myworkspace/" TargetMode="External"/><Relationship Id="rId355" Type="http://schemas.openxmlformats.org/officeDocument/2006/relationships/hyperlink" Target="https://www.itu.int/br_tsb_terms/" TargetMode="External"/><Relationship Id="rId4" Type="http://schemas.openxmlformats.org/officeDocument/2006/relationships/customXml" Target="../customXml/item4.xml"/><Relationship Id="rId180" Type="http://schemas.openxmlformats.org/officeDocument/2006/relationships/hyperlink" Target="https://s43678.pcdn.co/wp-content/uploads/2024/07/UN-Virtual-World-Day-Event-highlights.pdf" TargetMode="External"/><Relationship Id="rId215" Type="http://schemas.openxmlformats.org/officeDocument/2006/relationships/hyperlink" Target="https://www.itu.int/en/ITU-T/ITS/Pages/default.aspx" TargetMode="External"/><Relationship Id="rId236" Type="http://schemas.openxmlformats.org/officeDocument/2006/relationships/hyperlink" Target="https://www.itu.int/itu-t/recommendations/rec.aspx?rec=15547&amp;lang=en" TargetMode="External"/><Relationship Id="rId257" Type="http://schemas.openxmlformats.org/officeDocument/2006/relationships/hyperlink" Target="https://www.itu.int/pub/T-SP/publications.aspx?parent=T-SP-OB.1263-2023" TargetMode="External"/><Relationship Id="rId278" Type="http://schemas.openxmlformats.org/officeDocument/2006/relationships/hyperlink" Target="https://itu.int/go/tldb" TargetMode="External"/><Relationship Id="rId303" Type="http://schemas.openxmlformats.org/officeDocument/2006/relationships/hyperlink" Target="https://youtu.be/M_1eXhEXC2M" TargetMode="External"/><Relationship Id="rId42" Type="http://schemas.openxmlformats.org/officeDocument/2006/relationships/hyperlink" Target="https://www.itu.int/net/epub/TSB/2024-UN-Executive-Briefing-on-unlocking-potential/index.html" TargetMode="External"/><Relationship Id="rId84" Type="http://schemas.openxmlformats.org/officeDocument/2006/relationships/hyperlink" Target="https://www.itu.int/md/meetingdoc.asp?lang=en&amp;parent=T22-WTSA.24-C-0001" TargetMode="External"/><Relationship Id="rId138" Type="http://schemas.openxmlformats.org/officeDocument/2006/relationships/hyperlink" Target="https://www.worldstandardscooperation.org/wp-content/uploads/2024/03/Statement-GDC-WSC_March-202496.pdf" TargetMode="External"/><Relationship Id="rId345" Type="http://schemas.openxmlformats.org/officeDocument/2006/relationships/hyperlink" Target="https://www.itu.int/itu-t/recommendations" TargetMode="External"/><Relationship Id="rId191" Type="http://schemas.openxmlformats.org/officeDocument/2006/relationships/hyperlink" Target="https://www.itu.int/en/ITU-T/dfs/Pages/default.aspx" TargetMode="External"/><Relationship Id="rId205" Type="http://schemas.openxmlformats.org/officeDocument/2006/relationships/hyperlink" Target="https://www.itu.int/hub/2024/05/itu-and-linux-foundation-join-forces-to-create-openwallet-forum/" TargetMode="External"/><Relationship Id="rId247" Type="http://schemas.openxmlformats.org/officeDocument/2006/relationships/hyperlink" Target="https://www.itu.int/en/journal/j-fet/Pages/editorial-board.aspx" TargetMode="External"/><Relationship Id="rId107" Type="http://schemas.openxmlformats.org/officeDocument/2006/relationships/hyperlink" Target="https://www.itu.int/go/tsg16" TargetMode="External"/><Relationship Id="rId289" Type="http://schemas.openxmlformats.org/officeDocument/2006/relationships/hyperlink" Target="mailto:nowinitut@lists.itu.int" TargetMode="External"/><Relationship Id="rId11" Type="http://schemas.openxmlformats.org/officeDocument/2006/relationships/endnotes" Target="endnotes.xml"/><Relationship Id="rId53" Type="http://schemas.openxmlformats.org/officeDocument/2006/relationships/hyperlink" Target="https://fnc.itu.int/" TargetMode="External"/><Relationship Id="rId149" Type="http://schemas.openxmlformats.org/officeDocument/2006/relationships/hyperlink" Target="https://aiforgood.itu.int/summit24/" TargetMode="External"/><Relationship Id="rId314" Type="http://schemas.openxmlformats.org/officeDocument/2006/relationships/hyperlink" Target="https://www.itu.int/wtsa/2024/now/" TargetMode="External"/><Relationship Id="rId356" Type="http://schemas.openxmlformats.org/officeDocument/2006/relationships/hyperlink" Target="https://www.itu.int/en/ITU-R/study-groups/rccv/Pages/default.aspx" TargetMode="External"/><Relationship Id="rId95" Type="http://schemas.openxmlformats.org/officeDocument/2006/relationships/hyperlink" Target="https://www.itu.int/go/tsg11" TargetMode="External"/><Relationship Id="rId160" Type="http://schemas.openxmlformats.org/officeDocument/2006/relationships/hyperlink" Target="https://www.itu.int/hub/2024/08/new-un-initiative-to-reduce-disaster-risk-with-ai/" TargetMode="External"/><Relationship Id="rId216" Type="http://schemas.openxmlformats.org/officeDocument/2006/relationships/hyperlink" Target="https://www.itu.int/initiatives/green-digital-action/" TargetMode="External"/><Relationship Id="rId258" Type="http://schemas.openxmlformats.org/officeDocument/2006/relationships/hyperlink" Target="https://www.itu.int/pub/T-SP-OB.1266-2023" TargetMode="External"/><Relationship Id="rId22" Type="http://schemas.openxmlformats.org/officeDocument/2006/relationships/hyperlink" Target="https://www.itu.int/myworkspace" TargetMode="External"/><Relationship Id="rId64" Type="http://schemas.openxmlformats.org/officeDocument/2006/relationships/hyperlink" Target="https://www.itu.int/en/ITU-T/tsbdir/cto/Pages/default.aspx" TargetMode="External"/><Relationship Id="rId118" Type="http://schemas.openxmlformats.org/officeDocument/2006/relationships/hyperlink" Target="https://www.itu.int/en/ITU-T/focusgroups/Pages/default.aspx" TargetMode="External"/><Relationship Id="rId325" Type="http://schemas.openxmlformats.org/officeDocument/2006/relationships/hyperlink" Target="http://rec-external" TargetMode="External"/><Relationship Id="rId367" Type="http://schemas.openxmlformats.org/officeDocument/2006/relationships/fontTable" Target="fontTable.xml"/><Relationship Id="rId171" Type="http://schemas.openxmlformats.org/officeDocument/2006/relationships/hyperlink" Target="https://aiforgood.itu.int/summit25" TargetMode="External"/><Relationship Id="rId227" Type="http://schemas.openxmlformats.org/officeDocument/2006/relationships/hyperlink" Target="https://www.itu.int/ITU-T/recommendations/rec.aspx?rec=16051" TargetMode="External"/><Relationship Id="rId269" Type="http://schemas.openxmlformats.org/officeDocument/2006/relationships/hyperlink" Target="https://www.itu.int/net/itu-t/cdb/secured/reg-tldb.aspx" TargetMode="External"/><Relationship Id="rId33" Type="http://schemas.openxmlformats.org/officeDocument/2006/relationships/hyperlink" Target="https://www.itu.int/en/ITU-T/focusgroups/ai4h/Pages/default.aspx" TargetMode="External"/><Relationship Id="rId129" Type="http://schemas.openxmlformats.org/officeDocument/2006/relationships/hyperlink" Target="https://www.itu.int/en/ITU-T/Workshops-and-Seminars/Pages/default.aspx" TargetMode="External"/><Relationship Id="rId280" Type="http://schemas.openxmlformats.org/officeDocument/2006/relationships/hyperlink" Target="https://www.itu.int/ar/ITU-T/C-I/Pages/default.aspx" TargetMode="External"/><Relationship Id="rId336" Type="http://schemas.openxmlformats.org/officeDocument/2006/relationships/hyperlink" Target="https://www.itu.int/myworkspace/" TargetMode="External"/><Relationship Id="rId75" Type="http://schemas.openxmlformats.org/officeDocument/2006/relationships/hyperlink" Target="https://www.itu.int/en/ITU-T/NoW/Pages/default.aspx" TargetMode="External"/><Relationship Id="rId140" Type="http://schemas.openxmlformats.org/officeDocument/2006/relationships/hyperlink" Target="https://www.itu.int/initiatives/green-digital-action/" TargetMode="External"/><Relationship Id="rId182" Type="http://schemas.openxmlformats.org/officeDocument/2006/relationships/hyperlink" Target="https://www.itu.int/en/ITU-T/ssc/united/Pages/default.aspx" TargetMode="External"/><Relationship Id="rId6" Type="http://schemas.openxmlformats.org/officeDocument/2006/relationships/numbering" Target="numbering.xml"/><Relationship Id="rId238" Type="http://schemas.openxmlformats.org/officeDocument/2006/relationships/hyperlink" Target="https://www.itu.int/en/ITU-T/tsbdir/cto/Pages/default.aspx" TargetMode="External"/><Relationship Id="rId291" Type="http://schemas.openxmlformats.org/officeDocument/2006/relationships/hyperlink" Target="https://www.itu.int/md/S24-CL-C-0006/en" TargetMode="External"/><Relationship Id="rId305" Type="http://schemas.openxmlformats.org/officeDocument/2006/relationships/hyperlink" Target="https://www.itu.int/md/T22-TSAG-230530-TD-GEN-0196/en" TargetMode="External"/><Relationship Id="rId347" Type="http://schemas.openxmlformats.org/officeDocument/2006/relationships/hyperlink" Target="https://www.itu.int/itu-t/landscape/?topic=tx356" TargetMode="External"/><Relationship Id="rId44" Type="http://schemas.openxmlformats.org/officeDocument/2006/relationships/hyperlink" Target="https://www.itu.int/en/ITU-T/ssc/united/Pages/publication-U4SSC-KPIs.aspx" TargetMode="External"/><Relationship Id="rId86" Type="http://schemas.openxmlformats.org/officeDocument/2006/relationships/hyperlink" Target="https://www.itu.int/go/tsg3" TargetMode="External"/><Relationship Id="rId151" Type="http://schemas.openxmlformats.org/officeDocument/2006/relationships/hyperlink" Target="https://s41721.pcdn.co/wp-content/uploads/2021/06/AI-for-Good-Global-Summit-Snapshot-Report-2024_vF.pdf" TargetMode="External"/><Relationship Id="rId193" Type="http://schemas.openxmlformats.org/officeDocument/2006/relationships/hyperlink" Target="https://itu.int/en/ITU-T/dfs/seclab/Pages/default.aspx" TargetMode="External"/><Relationship Id="rId207" Type="http://schemas.openxmlformats.org/officeDocument/2006/relationships/hyperlink" Target="https://www.itu.int/en/ITU-T/Workshops-and-Seminars/2023/0124/Pages/default.aspx" TargetMode="External"/><Relationship Id="rId249" Type="http://schemas.openxmlformats.org/officeDocument/2006/relationships/hyperlink" Target="https://www.itu.int/en/ITU-T/academia/kaleidoscope/Pages/default.aspx" TargetMode="External"/><Relationship Id="rId13" Type="http://schemas.openxmlformats.org/officeDocument/2006/relationships/image" Target="media/image2.jpeg"/><Relationship Id="rId109" Type="http://schemas.openxmlformats.org/officeDocument/2006/relationships/hyperlink" Target="https://www.itu.int/md/meetingdoc.asp?lang=en&amp;parent=T22-WTSA.24-C-0018" TargetMode="External"/><Relationship Id="rId260" Type="http://schemas.openxmlformats.org/officeDocument/2006/relationships/hyperlink" Target="https://www.itu.int/pub/T-SP-OB.1286-2024" TargetMode="External"/><Relationship Id="rId316" Type="http://schemas.openxmlformats.org/officeDocument/2006/relationships/hyperlink" Target="https://itu.int/go/itu-t/rgm-support" TargetMode="External"/><Relationship Id="rId55" Type="http://schemas.openxmlformats.org/officeDocument/2006/relationships/hyperlink" Target="https://www.itu.int/en/ITU-T/extcoop/cits/Pages/default.aspx" TargetMode="External"/><Relationship Id="rId97" Type="http://schemas.openxmlformats.org/officeDocument/2006/relationships/hyperlink" Target="https://www.itu.int/md/meetingdoc.asp?lang=en&amp;parent=T22-WTSA.24-C-0010" TargetMode="External"/><Relationship Id="rId120" Type="http://schemas.openxmlformats.org/officeDocument/2006/relationships/hyperlink" Target="https://www.itu.int/en/ITU-T/focusgroups/mv/Pages/default.aspx" TargetMode="External"/><Relationship Id="rId358" Type="http://schemas.openxmlformats.org/officeDocument/2006/relationships/hyperlink" Target="https://www.itu.int/ar/ITU-T/inr/Pages/default.aspx" TargetMode="External"/><Relationship Id="rId162" Type="http://schemas.openxmlformats.org/officeDocument/2006/relationships/hyperlink" Target="https://aiforgood.itu.int/impact-initiative/" TargetMode="External"/><Relationship Id="rId218" Type="http://schemas.openxmlformats.org/officeDocument/2006/relationships/hyperlink" Target="https://www.itu.int/initiatives/green-digital-action/programme/" TargetMode="External"/><Relationship Id="rId271" Type="http://schemas.openxmlformats.org/officeDocument/2006/relationships/hyperlink" Target="https://www.itu.int/en/ITU-T/studygroups/com11/casc/Pages/default.aspx" TargetMode="External"/><Relationship Id="rId24" Type="http://schemas.openxmlformats.org/officeDocument/2006/relationships/hyperlink" Target="https://aiforgood.itu.int/neural-network/" TargetMode="External"/><Relationship Id="rId66" Type="http://schemas.openxmlformats.org/officeDocument/2006/relationships/hyperlink" Target="https://www.itu.int/en/ITU-T/tsbdir/cto/Documents/Communique_ITU_CxO_2023.pdf" TargetMode="External"/><Relationship Id="rId131" Type="http://schemas.openxmlformats.org/officeDocument/2006/relationships/image" Target="media/image3.png"/><Relationship Id="rId327" Type="http://schemas.openxmlformats.org/officeDocument/2006/relationships/hyperlink" Target="https://www.itu.int/myworkspace/" TargetMode="External"/><Relationship Id="rId173" Type="http://schemas.openxmlformats.org/officeDocument/2006/relationships/hyperlink" Target="https://s41721.pcdn.co/wp-content/uploads/2021/06/2400805_Use-cases-collection.pdf" TargetMode="External"/><Relationship Id="rId229" Type="http://schemas.openxmlformats.org/officeDocument/2006/relationships/hyperlink" Target="https://www.itu.int/ITU-T/workprog/wp_item.aspx?isn=18961" TargetMode="External"/><Relationship Id="rId240" Type="http://schemas.openxmlformats.org/officeDocument/2006/relationships/hyperlink" Target="https://www.itu.int/en/ITU-T/tsbdir/cto/Documents/Communique_ITU_CxO_2023.pdf" TargetMode="External"/><Relationship Id="rId35" Type="http://schemas.openxmlformats.org/officeDocument/2006/relationships/hyperlink" Target="https://aiforgood.itu.int/impact-initiative/" TargetMode="External"/><Relationship Id="rId77" Type="http://schemas.openxmlformats.org/officeDocument/2006/relationships/hyperlink" Target="https://www.itu.int/en/ITU-T/studygroups/com11/casc/Pages/default.aspx" TargetMode="External"/><Relationship Id="rId100" Type="http://schemas.openxmlformats.org/officeDocument/2006/relationships/hyperlink" Target="https://www.itu.int/md/meetingdoc.asp?lang=en&amp;parent=T22-WTSA.24-C-0012" TargetMode="External"/><Relationship Id="rId282" Type="http://schemas.openxmlformats.org/officeDocument/2006/relationships/hyperlink" Target="https://www.itu.int/bsg/" TargetMode="External"/><Relationship Id="rId338" Type="http://schemas.openxmlformats.org/officeDocument/2006/relationships/hyperlink" Target="https://www.itu.int/ar/ITU-T/publications/Pages/dbase.aspx" TargetMode="External"/><Relationship Id="rId8" Type="http://schemas.openxmlformats.org/officeDocument/2006/relationships/settings" Target="settings.xml"/><Relationship Id="rId142" Type="http://schemas.openxmlformats.org/officeDocument/2006/relationships/hyperlink" Target="https://g7g20-documents.org/database/document/2024-g20-brazil-sherpa-track-digital-economy-ministers-ministers-language-g20-dewg-maceio-ministerial-declaration" TargetMode="External"/><Relationship Id="rId184" Type="http://schemas.openxmlformats.org/officeDocument/2006/relationships/hyperlink" Target="https://www.itu.int/en/ITU-T/ssc/united/Pages/publication-U4SSC-KPIs.aspx" TargetMode="External"/><Relationship Id="rId251" Type="http://schemas.openxmlformats.org/officeDocument/2006/relationships/hyperlink" Target="https://www.itu.int/en/ITU-T/academia/kaleidoscope/2024/Pages/default.aspx" TargetMode="External"/><Relationship Id="rId46" Type="http://schemas.openxmlformats.org/officeDocument/2006/relationships/hyperlink" Target="https://www.itu.int/cities/digitaltransformationdialogues/" TargetMode="External"/><Relationship Id="rId293" Type="http://schemas.openxmlformats.org/officeDocument/2006/relationships/hyperlink" Target="https://www.itu.int/wtsa/2024/now/" TargetMode="External"/><Relationship Id="rId307" Type="http://schemas.openxmlformats.org/officeDocument/2006/relationships/hyperlink" Target="https://learnqi.unece.org/courses/gender-responsive-standards/" TargetMode="External"/><Relationship Id="rId349" Type="http://schemas.openxmlformats.org/officeDocument/2006/relationships/hyperlink" Target="https://www.itu.int/itu-t/landscape/?topic=tx153" TargetMode="External"/><Relationship Id="rId88" Type="http://schemas.openxmlformats.org/officeDocument/2006/relationships/hyperlink" Target="https://www.itu.int/md/meetingdoc.asp?lang=en&amp;parent=T22-WTSA.24-C-0004" TargetMode="External"/><Relationship Id="rId111" Type="http://schemas.openxmlformats.org/officeDocument/2006/relationships/hyperlink" Target="https://www.itu.int/md/meetingdoc.asp?lang=en&amp;parent=T22-WTSA.24-C-0019" TargetMode="External"/><Relationship Id="rId153" Type="http://schemas.openxmlformats.org/officeDocument/2006/relationships/hyperlink" Target="https://www.itu.int/pub/S-GEN-UNACT-2023" TargetMode="External"/><Relationship Id="rId195" Type="http://schemas.openxmlformats.org/officeDocument/2006/relationships/hyperlink" Target="https://figi.itu.int/" TargetMode="External"/><Relationship Id="rId209" Type="http://schemas.openxmlformats.org/officeDocument/2006/relationships/hyperlink" Target="https://fnc.itu.int/" TargetMode="External"/><Relationship Id="rId360" Type="http://schemas.openxmlformats.org/officeDocument/2006/relationships/hyperlink" Target="https://www.itu.int/net/itu-t/inrdb/secured/e118i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WTSA2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PA_WTSA24-Report.dotx</Template>
  <TotalTime>72</TotalTime>
  <Pages>38</Pages>
  <Words>15313</Words>
  <Characters>116308</Characters>
  <Application>Microsoft Office Word</Application>
  <DocSecurity>0</DocSecurity>
  <Lines>969</Lines>
  <Paragraphs>262</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PA_I.R</dc:creator>
  <cp:keywords>DPM_v2019.11.13.1_test</cp:keywords>
  <cp:lastModifiedBy>PA_I.R</cp:lastModifiedBy>
  <cp:revision>15</cp:revision>
  <cp:lastPrinted>2019-06-26T10:10:00Z</cp:lastPrinted>
  <dcterms:created xsi:type="dcterms:W3CDTF">2024-10-13T14:40:00Z</dcterms:created>
  <dcterms:modified xsi:type="dcterms:W3CDTF">2024-10-13T15:54:00Z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