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FF69D0" w14:paraId="3E614195" w14:textId="77777777" w:rsidTr="00267BFB">
        <w:trPr>
          <w:cantSplit/>
          <w:trHeight w:val="1132"/>
        </w:trPr>
        <w:tc>
          <w:tcPr>
            <w:tcW w:w="1290" w:type="dxa"/>
            <w:vAlign w:val="center"/>
          </w:tcPr>
          <w:p w14:paraId="4DB8BC7E" w14:textId="77777777" w:rsidR="00D2023F" w:rsidRPr="00FF69D0" w:rsidRDefault="0018215C" w:rsidP="003F7052">
            <w:pPr>
              <w:spacing w:before="0"/>
              <w:rPr>
                <w:lang w:val="fr-FR"/>
              </w:rPr>
            </w:pPr>
            <w:r w:rsidRPr="00FF69D0">
              <w:rPr>
                <w:noProof/>
                <w:lang w:val="fr-FR"/>
              </w:rPr>
              <w:drawing>
                <wp:inline distT="0" distB="0" distL="0" distR="0" wp14:anchorId="4D015C7D" wp14:editId="484608BE">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43240C1C" w14:textId="77777777" w:rsidR="00D2023F" w:rsidRPr="00FF69D0" w:rsidRDefault="006F0DB7" w:rsidP="003F7052">
            <w:pPr>
              <w:pStyle w:val="TopHeader"/>
              <w:rPr>
                <w:lang w:val="fr-FR"/>
              </w:rPr>
            </w:pPr>
            <w:r w:rsidRPr="00FF69D0">
              <w:rPr>
                <w:lang w:val="fr-FR"/>
              </w:rPr>
              <w:t>Assemblée mondiale de normalisation des télécommunications (AMNT-24)</w:t>
            </w:r>
            <w:r w:rsidRPr="00FF69D0">
              <w:rPr>
                <w:sz w:val="26"/>
                <w:szCs w:val="26"/>
                <w:lang w:val="fr-FR"/>
              </w:rPr>
              <w:br/>
            </w:r>
            <w:r w:rsidRPr="00FF69D0">
              <w:rPr>
                <w:sz w:val="18"/>
                <w:szCs w:val="18"/>
                <w:lang w:val="fr-FR"/>
              </w:rPr>
              <w:t>New Delhi, 15</w:t>
            </w:r>
            <w:r w:rsidR="00BC053B" w:rsidRPr="00FF69D0">
              <w:rPr>
                <w:sz w:val="18"/>
                <w:szCs w:val="18"/>
                <w:lang w:val="fr-FR"/>
              </w:rPr>
              <w:t>-</w:t>
            </w:r>
            <w:r w:rsidRPr="00FF69D0">
              <w:rPr>
                <w:sz w:val="18"/>
                <w:szCs w:val="18"/>
                <w:lang w:val="fr-FR"/>
              </w:rPr>
              <w:t>24 octobre 2024</w:t>
            </w:r>
          </w:p>
        </w:tc>
        <w:tc>
          <w:tcPr>
            <w:tcW w:w="1306" w:type="dxa"/>
            <w:tcBorders>
              <w:left w:val="nil"/>
            </w:tcBorders>
            <w:vAlign w:val="center"/>
          </w:tcPr>
          <w:p w14:paraId="58F15BF2" w14:textId="77777777" w:rsidR="00D2023F" w:rsidRPr="00FF69D0" w:rsidRDefault="00D2023F" w:rsidP="003F7052">
            <w:pPr>
              <w:spacing w:before="0"/>
              <w:rPr>
                <w:lang w:val="fr-FR"/>
              </w:rPr>
            </w:pPr>
            <w:r w:rsidRPr="00FF69D0">
              <w:rPr>
                <w:noProof/>
                <w:lang w:val="fr-FR" w:eastAsia="zh-CN"/>
              </w:rPr>
              <w:drawing>
                <wp:inline distT="0" distB="0" distL="0" distR="0" wp14:anchorId="41CA38FD" wp14:editId="05F92532">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FF69D0" w14:paraId="77A12B03" w14:textId="77777777" w:rsidTr="00267BFB">
        <w:trPr>
          <w:cantSplit/>
        </w:trPr>
        <w:tc>
          <w:tcPr>
            <w:tcW w:w="9811" w:type="dxa"/>
            <w:gridSpan w:val="4"/>
            <w:tcBorders>
              <w:bottom w:val="single" w:sz="12" w:space="0" w:color="auto"/>
            </w:tcBorders>
          </w:tcPr>
          <w:p w14:paraId="341DD5D5" w14:textId="77777777" w:rsidR="00D2023F" w:rsidRPr="00FF69D0" w:rsidRDefault="00D2023F" w:rsidP="003F7052">
            <w:pPr>
              <w:spacing w:before="0"/>
              <w:rPr>
                <w:lang w:val="fr-FR"/>
              </w:rPr>
            </w:pPr>
          </w:p>
        </w:tc>
      </w:tr>
      <w:tr w:rsidR="00931298" w:rsidRPr="00FF69D0" w14:paraId="0570877E" w14:textId="77777777" w:rsidTr="00267BFB">
        <w:trPr>
          <w:cantSplit/>
        </w:trPr>
        <w:tc>
          <w:tcPr>
            <w:tcW w:w="6237" w:type="dxa"/>
            <w:gridSpan w:val="2"/>
            <w:tcBorders>
              <w:top w:val="single" w:sz="12" w:space="0" w:color="auto"/>
            </w:tcBorders>
          </w:tcPr>
          <w:p w14:paraId="7CFBFBBC" w14:textId="77777777" w:rsidR="00931298" w:rsidRPr="00FF69D0" w:rsidRDefault="00931298" w:rsidP="003F7052">
            <w:pPr>
              <w:spacing w:before="0"/>
              <w:rPr>
                <w:lang w:val="fr-FR"/>
              </w:rPr>
            </w:pPr>
          </w:p>
        </w:tc>
        <w:tc>
          <w:tcPr>
            <w:tcW w:w="3574" w:type="dxa"/>
            <w:gridSpan w:val="2"/>
          </w:tcPr>
          <w:p w14:paraId="69F55FFE" w14:textId="77777777" w:rsidR="00931298" w:rsidRPr="00FF69D0" w:rsidRDefault="00931298" w:rsidP="003F7052">
            <w:pPr>
              <w:spacing w:before="0"/>
              <w:rPr>
                <w:sz w:val="20"/>
                <w:szCs w:val="16"/>
                <w:lang w:val="fr-FR"/>
              </w:rPr>
            </w:pPr>
          </w:p>
        </w:tc>
      </w:tr>
      <w:tr w:rsidR="00752D4D" w:rsidRPr="00FF69D0" w14:paraId="1A734C8B" w14:textId="77777777" w:rsidTr="00267BFB">
        <w:trPr>
          <w:cantSplit/>
        </w:trPr>
        <w:tc>
          <w:tcPr>
            <w:tcW w:w="6237" w:type="dxa"/>
            <w:gridSpan w:val="2"/>
          </w:tcPr>
          <w:p w14:paraId="490A95AF" w14:textId="77777777" w:rsidR="00752D4D" w:rsidRPr="00FF69D0" w:rsidRDefault="007F4179" w:rsidP="003F7052">
            <w:pPr>
              <w:pStyle w:val="Committee"/>
              <w:spacing w:line="240" w:lineRule="auto"/>
              <w:rPr>
                <w:lang w:val="fr-FR"/>
              </w:rPr>
            </w:pPr>
            <w:r w:rsidRPr="00FF69D0">
              <w:rPr>
                <w:lang w:val="fr-FR"/>
              </w:rPr>
              <w:t>SÉANCE PLÉNIÈRE</w:t>
            </w:r>
          </w:p>
        </w:tc>
        <w:tc>
          <w:tcPr>
            <w:tcW w:w="3574" w:type="dxa"/>
            <w:gridSpan w:val="2"/>
          </w:tcPr>
          <w:p w14:paraId="361D3B28" w14:textId="44FB1042" w:rsidR="00752D4D" w:rsidRPr="00FF69D0" w:rsidRDefault="007F4179" w:rsidP="003F7052">
            <w:pPr>
              <w:pStyle w:val="Docnumber"/>
              <w:rPr>
                <w:lang w:val="fr-FR"/>
              </w:rPr>
            </w:pPr>
            <w:r w:rsidRPr="00FF69D0">
              <w:rPr>
                <w:lang w:val="fr-FR"/>
              </w:rPr>
              <w:t xml:space="preserve">Document </w:t>
            </w:r>
            <w:r w:rsidR="007F5689" w:rsidRPr="00FF69D0">
              <w:rPr>
                <w:lang w:val="fr-FR"/>
              </w:rPr>
              <w:t>27-F</w:t>
            </w:r>
          </w:p>
        </w:tc>
      </w:tr>
      <w:tr w:rsidR="00931298" w:rsidRPr="00FF69D0" w14:paraId="150E7673" w14:textId="77777777" w:rsidTr="00267BFB">
        <w:trPr>
          <w:cantSplit/>
        </w:trPr>
        <w:tc>
          <w:tcPr>
            <w:tcW w:w="6237" w:type="dxa"/>
            <w:gridSpan w:val="2"/>
          </w:tcPr>
          <w:p w14:paraId="544C3042" w14:textId="77777777" w:rsidR="00931298" w:rsidRPr="00FF69D0" w:rsidRDefault="00931298" w:rsidP="003F7052">
            <w:pPr>
              <w:spacing w:before="0"/>
              <w:rPr>
                <w:lang w:val="fr-FR"/>
              </w:rPr>
            </w:pPr>
          </w:p>
        </w:tc>
        <w:tc>
          <w:tcPr>
            <w:tcW w:w="3574" w:type="dxa"/>
            <w:gridSpan w:val="2"/>
          </w:tcPr>
          <w:p w14:paraId="09E443EC" w14:textId="5540912D" w:rsidR="00931298" w:rsidRPr="00FF69D0" w:rsidRDefault="007F5689" w:rsidP="003F7052">
            <w:pPr>
              <w:pStyle w:val="TopHeader"/>
              <w:spacing w:before="0"/>
              <w:rPr>
                <w:sz w:val="20"/>
                <w:szCs w:val="20"/>
                <w:lang w:val="fr-FR"/>
              </w:rPr>
            </w:pPr>
            <w:r w:rsidRPr="00FF69D0">
              <w:rPr>
                <w:sz w:val="20"/>
                <w:szCs w:val="16"/>
                <w:lang w:val="fr-FR"/>
              </w:rPr>
              <w:t>S</w:t>
            </w:r>
            <w:r w:rsidR="007F4179" w:rsidRPr="00FF69D0">
              <w:rPr>
                <w:sz w:val="20"/>
                <w:szCs w:val="16"/>
                <w:lang w:val="fr-FR"/>
              </w:rPr>
              <w:t>eptembre 2024</w:t>
            </w:r>
          </w:p>
        </w:tc>
      </w:tr>
      <w:tr w:rsidR="00931298" w:rsidRPr="00FF69D0" w14:paraId="6004FB2E" w14:textId="77777777" w:rsidTr="00267BFB">
        <w:trPr>
          <w:cantSplit/>
        </w:trPr>
        <w:tc>
          <w:tcPr>
            <w:tcW w:w="6237" w:type="dxa"/>
            <w:gridSpan w:val="2"/>
          </w:tcPr>
          <w:p w14:paraId="66E2D8B7" w14:textId="77777777" w:rsidR="00931298" w:rsidRPr="00FF69D0" w:rsidRDefault="00931298" w:rsidP="003F7052">
            <w:pPr>
              <w:spacing w:before="0"/>
              <w:rPr>
                <w:lang w:val="fr-FR"/>
              </w:rPr>
            </w:pPr>
          </w:p>
        </w:tc>
        <w:tc>
          <w:tcPr>
            <w:tcW w:w="3574" w:type="dxa"/>
            <w:gridSpan w:val="2"/>
          </w:tcPr>
          <w:p w14:paraId="27A0D480" w14:textId="77777777" w:rsidR="00931298" w:rsidRPr="00FF69D0" w:rsidRDefault="007F4179" w:rsidP="003F7052">
            <w:pPr>
              <w:pStyle w:val="TopHeader"/>
              <w:spacing w:before="0"/>
              <w:rPr>
                <w:sz w:val="20"/>
                <w:szCs w:val="20"/>
                <w:lang w:val="fr-FR"/>
              </w:rPr>
            </w:pPr>
            <w:r w:rsidRPr="00FF69D0">
              <w:rPr>
                <w:sz w:val="20"/>
                <w:szCs w:val="16"/>
                <w:lang w:val="fr-FR"/>
              </w:rPr>
              <w:t>Original: anglais</w:t>
            </w:r>
          </w:p>
        </w:tc>
      </w:tr>
      <w:tr w:rsidR="00931298" w:rsidRPr="00FF69D0" w14:paraId="36D3BF39" w14:textId="77777777" w:rsidTr="00267BFB">
        <w:trPr>
          <w:cantSplit/>
        </w:trPr>
        <w:tc>
          <w:tcPr>
            <w:tcW w:w="9811" w:type="dxa"/>
            <w:gridSpan w:val="4"/>
          </w:tcPr>
          <w:p w14:paraId="3A24F4E5" w14:textId="77777777" w:rsidR="00931298" w:rsidRPr="00FF69D0" w:rsidRDefault="00931298" w:rsidP="003F7052">
            <w:pPr>
              <w:spacing w:before="0"/>
              <w:rPr>
                <w:sz w:val="20"/>
                <w:szCs w:val="16"/>
                <w:lang w:val="fr-FR"/>
              </w:rPr>
            </w:pPr>
          </w:p>
        </w:tc>
      </w:tr>
      <w:tr w:rsidR="007F4179" w:rsidRPr="00FF69D0" w14:paraId="7CE9BB39" w14:textId="77777777" w:rsidTr="00267BFB">
        <w:trPr>
          <w:cantSplit/>
        </w:trPr>
        <w:tc>
          <w:tcPr>
            <w:tcW w:w="9811" w:type="dxa"/>
            <w:gridSpan w:val="4"/>
          </w:tcPr>
          <w:p w14:paraId="745BB2DD" w14:textId="5FE62A45" w:rsidR="007F4179" w:rsidRPr="00FF69D0" w:rsidRDefault="007F5689" w:rsidP="003F7052">
            <w:pPr>
              <w:pStyle w:val="Source"/>
              <w:rPr>
                <w:lang w:val="fr-FR"/>
              </w:rPr>
            </w:pPr>
            <w:r w:rsidRPr="00FF69D0">
              <w:rPr>
                <w:lang w:val="fr-FR"/>
              </w:rPr>
              <w:t>Directeur du TSB</w:t>
            </w:r>
          </w:p>
        </w:tc>
      </w:tr>
      <w:tr w:rsidR="007F4179" w:rsidRPr="00FF69D0" w14:paraId="4A00C930" w14:textId="77777777" w:rsidTr="00267BFB">
        <w:trPr>
          <w:cantSplit/>
        </w:trPr>
        <w:tc>
          <w:tcPr>
            <w:tcW w:w="9811" w:type="dxa"/>
            <w:gridSpan w:val="4"/>
          </w:tcPr>
          <w:p w14:paraId="2DC06C20" w14:textId="6B094E11" w:rsidR="007F4179" w:rsidRPr="00FF69D0" w:rsidRDefault="007F5689" w:rsidP="003F7052">
            <w:pPr>
              <w:pStyle w:val="Title1"/>
              <w:rPr>
                <w:lang w:val="fr-FR"/>
              </w:rPr>
            </w:pPr>
            <w:r w:rsidRPr="00FF69D0">
              <w:rPr>
                <w:lang w:val="fr-FR"/>
              </w:rPr>
              <w:t>Rapport du Groupe consultatif de la normalisation</w:t>
            </w:r>
            <w:r w:rsidR="002208AE" w:rsidRPr="00FF69D0">
              <w:rPr>
                <w:lang w:val="fr-FR"/>
              </w:rPr>
              <w:br/>
            </w:r>
            <w:r w:rsidRPr="00FF69D0">
              <w:rPr>
                <w:lang w:val="fr-FR"/>
              </w:rPr>
              <w:t>des télécommunications à l'Assemblée mondiale</w:t>
            </w:r>
            <w:r w:rsidR="008F016D" w:rsidRPr="00FF69D0">
              <w:rPr>
                <w:lang w:val="fr-FR"/>
              </w:rPr>
              <w:t xml:space="preserve"> </w:t>
            </w:r>
            <w:r w:rsidRPr="00FF69D0">
              <w:rPr>
                <w:lang w:val="fr-FR"/>
              </w:rPr>
              <w:t>de normalisation des télécommunications (</w:t>
            </w:r>
            <w:r w:rsidRPr="00FF69D0">
              <w:rPr>
                <w:caps w:val="0"/>
                <w:lang w:val="fr-FR"/>
              </w:rPr>
              <w:t>AMNT-24),</w:t>
            </w:r>
            <w:r w:rsidR="002208AE" w:rsidRPr="00FF69D0">
              <w:rPr>
                <w:caps w:val="0"/>
                <w:lang w:val="fr-FR"/>
              </w:rPr>
              <w:br/>
            </w:r>
            <w:r w:rsidRPr="00FF69D0">
              <w:rPr>
                <w:lang w:val="fr-FR"/>
              </w:rPr>
              <w:t>Partie IV: Rapport du GCNT concernant</w:t>
            </w:r>
            <w:r w:rsidR="008F016D" w:rsidRPr="00FF69D0">
              <w:rPr>
                <w:lang w:val="fr-FR"/>
              </w:rPr>
              <w:br/>
            </w:r>
            <w:r w:rsidRPr="00FF69D0">
              <w:rPr>
                <w:lang w:val="fr-FR"/>
              </w:rPr>
              <w:t>la Résolution 22</w:t>
            </w:r>
          </w:p>
        </w:tc>
      </w:tr>
      <w:tr w:rsidR="00657CDA" w:rsidRPr="00FF69D0" w14:paraId="10A569BC" w14:textId="77777777" w:rsidTr="00267BFB">
        <w:trPr>
          <w:cantSplit/>
          <w:trHeight w:hRule="exact" w:val="240"/>
        </w:trPr>
        <w:tc>
          <w:tcPr>
            <w:tcW w:w="9811" w:type="dxa"/>
            <w:gridSpan w:val="4"/>
          </w:tcPr>
          <w:p w14:paraId="1B330DCE" w14:textId="77777777" w:rsidR="00657CDA" w:rsidRPr="00FF69D0" w:rsidRDefault="00657CDA" w:rsidP="003F7052">
            <w:pPr>
              <w:pStyle w:val="Title2"/>
              <w:spacing w:before="0"/>
              <w:rPr>
                <w:lang w:val="fr-FR"/>
              </w:rPr>
            </w:pPr>
          </w:p>
        </w:tc>
      </w:tr>
      <w:tr w:rsidR="00657CDA" w:rsidRPr="00FF69D0" w14:paraId="1492AE4C" w14:textId="77777777" w:rsidTr="00267BFB">
        <w:trPr>
          <w:cantSplit/>
          <w:trHeight w:hRule="exact" w:val="240"/>
        </w:trPr>
        <w:tc>
          <w:tcPr>
            <w:tcW w:w="9811" w:type="dxa"/>
            <w:gridSpan w:val="4"/>
          </w:tcPr>
          <w:p w14:paraId="34D6193B" w14:textId="77777777" w:rsidR="00657CDA" w:rsidRPr="00FF69D0" w:rsidRDefault="00657CDA" w:rsidP="003F7052">
            <w:pPr>
              <w:pStyle w:val="Agendaitem"/>
              <w:spacing w:before="0"/>
              <w:rPr>
                <w:lang w:val="fr-FR"/>
              </w:rPr>
            </w:pPr>
          </w:p>
        </w:tc>
      </w:tr>
    </w:tbl>
    <w:p w14:paraId="5A35667C" w14:textId="77777777" w:rsidR="00931298" w:rsidRPr="00FF69D0" w:rsidRDefault="00931298" w:rsidP="003F7052">
      <w:pPr>
        <w:rPr>
          <w:lang w:val="fr-FR"/>
        </w:rPr>
      </w:pPr>
    </w:p>
    <w:tbl>
      <w:tblPr>
        <w:tblW w:w="5000" w:type="pct"/>
        <w:tblLayout w:type="fixed"/>
        <w:tblLook w:val="0000" w:firstRow="0" w:lastRow="0" w:firstColumn="0" w:lastColumn="0" w:noHBand="0" w:noVBand="0"/>
      </w:tblPr>
      <w:tblGrid>
        <w:gridCol w:w="1885"/>
        <w:gridCol w:w="3877"/>
        <w:gridCol w:w="3877"/>
      </w:tblGrid>
      <w:tr w:rsidR="00931298" w:rsidRPr="00FF69D0" w14:paraId="2CA121C5" w14:textId="77777777" w:rsidTr="007F5689">
        <w:trPr>
          <w:cantSplit/>
        </w:trPr>
        <w:tc>
          <w:tcPr>
            <w:tcW w:w="1885" w:type="dxa"/>
          </w:tcPr>
          <w:p w14:paraId="4DA98AD2" w14:textId="77777777" w:rsidR="00931298" w:rsidRPr="00FF69D0" w:rsidRDefault="006F0DB7" w:rsidP="003F7052">
            <w:pPr>
              <w:rPr>
                <w:lang w:val="fr-FR"/>
              </w:rPr>
            </w:pPr>
            <w:r w:rsidRPr="00FF69D0">
              <w:rPr>
                <w:b/>
                <w:bCs/>
                <w:lang w:val="fr-FR"/>
              </w:rPr>
              <w:t>Résumé:</w:t>
            </w:r>
          </w:p>
        </w:tc>
        <w:tc>
          <w:tcPr>
            <w:tcW w:w="7754" w:type="dxa"/>
            <w:gridSpan w:val="2"/>
          </w:tcPr>
          <w:p w14:paraId="7C3F8A14" w14:textId="401104AC" w:rsidR="00931298" w:rsidRPr="00FF69D0" w:rsidRDefault="007F5689" w:rsidP="003F7052">
            <w:pPr>
              <w:pStyle w:val="Abstract"/>
              <w:rPr>
                <w:lang w:val="fr-FR"/>
              </w:rPr>
            </w:pPr>
            <w:r w:rsidRPr="00FF69D0">
              <w:rPr>
                <w:lang w:val="fr-FR"/>
              </w:rPr>
              <w:t>L'AMNT-20 a confié au GCNT l'étude de questions spécifiques au sujet desquelles il peut prendre des mesures entre l'AMNT-20 et l'Assemblée suivante. Conformément au numéro 197I de la Convention et aux paragraphes</w:t>
            </w:r>
            <w:r w:rsidR="008F016D" w:rsidRPr="00FF69D0">
              <w:rPr>
                <w:lang w:val="fr-FR"/>
              </w:rPr>
              <w:t> </w:t>
            </w:r>
            <w:r w:rsidRPr="00FF69D0">
              <w:rPr>
                <w:lang w:val="fr-FR"/>
              </w:rPr>
              <w:t xml:space="preserve">1.11.1, 4.4 et 4.9 de la Résolution 1 (Rév. Genève, 2022) de l'AMNT, le Directeur du TSB soumet le rapport ci-joint du Groupe consultatif de la normalisation des télécommunications (GCNT) du Secteur de la normalisation des télécommunications (UIT-T) à l'AMNT-24 pour examen et suite à donner. Le présent document contient le rapport que le GCNT doit présenter à l'AMNT-24 en ce qui concerne les mesures qu'il a prises à cet égard. Chaque titre de paragraphe renvoie aux points correspondants du </w:t>
            </w:r>
            <w:r w:rsidRPr="00FF69D0">
              <w:rPr>
                <w:i/>
                <w:iCs/>
                <w:lang w:val="fr-FR"/>
              </w:rPr>
              <w:t>décide</w:t>
            </w:r>
            <w:r w:rsidRPr="00FF69D0">
              <w:rPr>
                <w:lang w:val="fr-FR"/>
              </w:rPr>
              <w:t xml:space="preserve"> de la Résolution 22.</w:t>
            </w:r>
          </w:p>
        </w:tc>
      </w:tr>
      <w:tr w:rsidR="00931298" w:rsidRPr="00FF69D0" w14:paraId="2D279759" w14:textId="77777777" w:rsidTr="007F5689">
        <w:trPr>
          <w:cantSplit/>
        </w:trPr>
        <w:tc>
          <w:tcPr>
            <w:tcW w:w="1885" w:type="dxa"/>
          </w:tcPr>
          <w:p w14:paraId="3C9949D3" w14:textId="77777777" w:rsidR="00931298" w:rsidRPr="00FF69D0" w:rsidRDefault="00931298" w:rsidP="003F7052">
            <w:pPr>
              <w:rPr>
                <w:b/>
                <w:bCs/>
                <w:szCs w:val="24"/>
                <w:lang w:val="fr-FR"/>
              </w:rPr>
            </w:pPr>
            <w:r w:rsidRPr="00FF69D0">
              <w:rPr>
                <w:b/>
                <w:bCs/>
                <w:szCs w:val="24"/>
                <w:lang w:val="fr-FR"/>
              </w:rPr>
              <w:t>Contact:</w:t>
            </w:r>
          </w:p>
        </w:tc>
        <w:tc>
          <w:tcPr>
            <w:tcW w:w="3877" w:type="dxa"/>
          </w:tcPr>
          <w:p w14:paraId="5FB1F386" w14:textId="444FCAB0" w:rsidR="00FE5494" w:rsidRPr="00FF69D0" w:rsidRDefault="007F5689" w:rsidP="003F7052">
            <w:pPr>
              <w:rPr>
                <w:lang w:val="fr-FR"/>
              </w:rPr>
            </w:pPr>
            <w:r w:rsidRPr="00FF69D0">
              <w:rPr>
                <w:lang w:val="fr-FR"/>
              </w:rPr>
              <w:t>M. Abdurahman M. AL HASSAN</w:t>
            </w:r>
            <w:r w:rsidR="006F0DB7" w:rsidRPr="00FF69D0">
              <w:rPr>
                <w:lang w:val="fr-FR"/>
              </w:rPr>
              <w:br/>
            </w:r>
            <w:r w:rsidRPr="00FF69D0">
              <w:rPr>
                <w:lang w:val="fr-FR"/>
              </w:rPr>
              <w:t>Arabie saoudite (Royaume d')</w:t>
            </w:r>
            <w:r w:rsidRPr="00FF69D0">
              <w:rPr>
                <w:lang w:val="fr-FR"/>
              </w:rPr>
              <w:br/>
              <w:t>Président du GCNT</w:t>
            </w:r>
          </w:p>
        </w:tc>
        <w:tc>
          <w:tcPr>
            <w:tcW w:w="3877" w:type="dxa"/>
          </w:tcPr>
          <w:p w14:paraId="48D84DA5" w14:textId="440A59E2" w:rsidR="00931298" w:rsidRPr="00FF69D0" w:rsidRDefault="007F5689" w:rsidP="002208AE">
            <w:pPr>
              <w:rPr>
                <w:lang w:val="fr-FR"/>
              </w:rPr>
            </w:pPr>
            <w:r w:rsidRPr="00FF69D0">
              <w:rPr>
                <w:lang w:val="fr-FR"/>
              </w:rPr>
              <w:t>Tél.:</w:t>
            </w:r>
            <w:r w:rsidRPr="00FF69D0">
              <w:rPr>
                <w:lang w:val="fr-FR"/>
              </w:rPr>
              <w:tab/>
              <w:t>+996 11 461 8015</w:t>
            </w:r>
            <w:r w:rsidRPr="00FF69D0">
              <w:rPr>
                <w:lang w:val="fr-FR"/>
              </w:rPr>
              <w:br/>
              <w:t>Courriel:</w:t>
            </w:r>
            <w:r w:rsidRPr="00FF69D0">
              <w:rPr>
                <w:lang w:val="fr-FR"/>
              </w:rPr>
              <w:tab/>
            </w:r>
            <w:hyperlink r:id="rId14" w:history="1">
              <w:r w:rsidR="002208AE" w:rsidRPr="00FF69D0">
                <w:rPr>
                  <w:rStyle w:val="Hyperlink"/>
                  <w:lang w:val="fr-FR"/>
                </w:rPr>
                <w:t>tsagch</w:t>
              </w:r>
              <w:r w:rsidR="002208AE" w:rsidRPr="00FF69D0">
                <w:rPr>
                  <w:rStyle w:val="Hyperlink"/>
                  <w:lang w:val="fr-FR"/>
                </w:rPr>
                <w:t>a</w:t>
              </w:r>
              <w:r w:rsidR="002208AE" w:rsidRPr="00FF69D0">
                <w:rPr>
                  <w:rStyle w:val="Hyperlink"/>
                  <w:lang w:val="fr-FR"/>
                </w:rPr>
                <w:t>ir@nca.gov.sa</w:t>
              </w:r>
            </w:hyperlink>
          </w:p>
        </w:tc>
      </w:tr>
    </w:tbl>
    <w:p w14:paraId="7254C672" w14:textId="0F3ADF4F" w:rsidR="007F5689" w:rsidRPr="00FF69D0" w:rsidRDefault="007F5689" w:rsidP="003F7052">
      <w:pPr>
        <w:pStyle w:val="Headingb"/>
        <w:rPr>
          <w:lang w:val="fr-FR"/>
        </w:rPr>
      </w:pPr>
      <w:r w:rsidRPr="00FF69D0">
        <w:rPr>
          <w:lang w:val="fr-FR"/>
        </w:rPr>
        <w:t>Note du TSB:</w:t>
      </w:r>
    </w:p>
    <w:p w14:paraId="394DE62C" w14:textId="77777777" w:rsidR="007F5689" w:rsidRPr="00FF69D0" w:rsidRDefault="007F5689" w:rsidP="003F7052">
      <w:pPr>
        <w:rPr>
          <w:szCs w:val="24"/>
          <w:lang w:val="fr-FR"/>
        </w:rPr>
      </w:pPr>
      <w:r w:rsidRPr="00FF69D0">
        <w:rPr>
          <w:color w:val="333333"/>
          <w:szCs w:val="24"/>
          <w:shd w:val="clear" w:color="auto" w:fill="FFFFFF"/>
          <w:lang w:val="fr-FR"/>
        </w:rPr>
        <w:t>Le rapport du Groupe consultatif de la normalisation des télécommunications à l'AMNT-24 est présenté dans les documents suivants:</w:t>
      </w:r>
    </w:p>
    <w:p w14:paraId="7C83E90B" w14:textId="77777777" w:rsidR="007F5689" w:rsidRPr="00FF69D0" w:rsidRDefault="007F5689" w:rsidP="003F7052">
      <w:pPr>
        <w:rPr>
          <w:lang w:val="fr-FR"/>
        </w:rPr>
      </w:pPr>
      <w:r w:rsidRPr="00FF69D0">
        <w:rPr>
          <w:lang w:val="fr-FR"/>
        </w:rPr>
        <w:t>Partie I:</w:t>
      </w:r>
      <w:r w:rsidRPr="00FF69D0">
        <w:rPr>
          <w:lang w:val="fr-FR"/>
        </w:rPr>
        <w:tab/>
      </w:r>
      <w:r w:rsidRPr="00FF69D0">
        <w:rPr>
          <w:b/>
          <w:bCs/>
          <w:lang w:val="fr-FR"/>
        </w:rPr>
        <w:t>Document 24</w:t>
      </w:r>
      <w:r w:rsidRPr="00FF69D0">
        <w:rPr>
          <w:lang w:val="fr-FR"/>
        </w:rPr>
        <w:t xml:space="preserve"> – </w:t>
      </w:r>
      <w:r w:rsidRPr="00FF69D0">
        <w:rPr>
          <w:color w:val="333333"/>
          <w:szCs w:val="24"/>
          <w:shd w:val="clear" w:color="auto" w:fill="FFFFFF"/>
          <w:lang w:val="fr-FR"/>
        </w:rPr>
        <w:t>Considérations générales</w:t>
      </w:r>
    </w:p>
    <w:p w14:paraId="6B903AA3" w14:textId="77777777" w:rsidR="007F5689" w:rsidRPr="00FF69D0" w:rsidRDefault="007F5689" w:rsidP="003F7052">
      <w:pPr>
        <w:rPr>
          <w:lang w:val="fr-FR"/>
        </w:rPr>
      </w:pPr>
      <w:r w:rsidRPr="00FF69D0">
        <w:rPr>
          <w:lang w:val="fr-FR"/>
        </w:rPr>
        <w:t>Partie II:</w:t>
      </w:r>
      <w:r w:rsidRPr="00FF69D0">
        <w:rPr>
          <w:lang w:val="fr-FR"/>
        </w:rPr>
        <w:tab/>
      </w:r>
      <w:r w:rsidRPr="00FF69D0">
        <w:rPr>
          <w:b/>
          <w:bCs/>
          <w:lang w:val="fr-FR"/>
        </w:rPr>
        <w:t>Document 25</w:t>
      </w:r>
      <w:r w:rsidRPr="00FF69D0">
        <w:rPr>
          <w:lang w:val="fr-FR"/>
        </w:rPr>
        <w:t xml:space="preserve"> – </w:t>
      </w:r>
      <w:r w:rsidRPr="00FF69D0">
        <w:rPr>
          <w:color w:val="333333"/>
          <w:szCs w:val="24"/>
          <w:shd w:val="clear" w:color="auto" w:fill="FFFFFF"/>
          <w:lang w:val="fr-FR"/>
        </w:rPr>
        <w:t>Projets de Résolutions révisées</w:t>
      </w:r>
    </w:p>
    <w:p w14:paraId="172671EF" w14:textId="77777777" w:rsidR="007F5689" w:rsidRPr="00FF69D0" w:rsidRDefault="007F5689" w:rsidP="003F7052">
      <w:pPr>
        <w:rPr>
          <w:lang w:val="fr-FR"/>
        </w:rPr>
      </w:pPr>
      <w:r w:rsidRPr="00FF69D0">
        <w:rPr>
          <w:lang w:val="fr-FR"/>
        </w:rPr>
        <w:t>Partie III:</w:t>
      </w:r>
      <w:r w:rsidRPr="00FF69D0">
        <w:rPr>
          <w:lang w:val="fr-FR"/>
        </w:rPr>
        <w:tab/>
      </w:r>
      <w:r w:rsidRPr="00FF69D0">
        <w:rPr>
          <w:b/>
          <w:bCs/>
          <w:lang w:val="fr-FR"/>
        </w:rPr>
        <w:t>Document 26</w:t>
      </w:r>
      <w:r w:rsidRPr="00FF69D0">
        <w:rPr>
          <w:lang w:val="fr-FR"/>
        </w:rPr>
        <w:t xml:space="preserve"> – </w:t>
      </w:r>
      <w:r w:rsidRPr="00FF69D0">
        <w:rPr>
          <w:color w:val="333333"/>
          <w:szCs w:val="24"/>
          <w:shd w:val="clear" w:color="auto" w:fill="FFFFFF"/>
          <w:lang w:val="fr-FR"/>
        </w:rPr>
        <w:t>Projets de Recommandations UIT-T révisées de la Série A</w:t>
      </w:r>
    </w:p>
    <w:p w14:paraId="38ED94E6" w14:textId="77777777" w:rsidR="007F5689" w:rsidRPr="00FF69D0" w:rsidRDefault="007F5689" w:rsidP="003F7052">
      <w:pPr>
        <w:rPr>
          <w:lang w:val="fr-FR"/>
        </w:rPr>
      </w:pPr>
      <w:r w:rsidRPr="00FF69D0">
        <w:rPr>
          <w:lang w:val="fr-FR"/>
        </w:rPr>
        <w:t>Partie IV:</w:t>
      </w:r>
      <w:r w:rsidRPr="00FF69D0">
        <w:rPr>
          <w:lang w:val="fr-FR"/>
        </w:rPr>
        <w:tab/>
      </w:r>
      <w:r w:rsidRPr="00FF69D0">
        <w:rPr>
          <w:b/>
          <w:bCs/>
          <w:lang w:val="fr-FR"/>
        </w:rPr>
        <w:t>Document 27</w:t>
      </w:r>
      <w:r w:rsidRPr="00FF69D0">
        <w:rPr>
          <w:lang w:val="fr-FR"/>
        </w:rPr>
        <w:t xml:space="preserve"> – </w:t>
      </w:r>
      <w:r w:rsidRPr="00FF69D0">
        <w:rPr>
          <w:color w:val="333333"/>
          <w:szCs w:val="24"/>
          <w:shd w:val="clear" w:color="auto" w:fill="FFFFFF"/>
          <w:lang w:val="fr-FR"/>
        </w:rPr>
        <w:t>Rapport du GCNT concernant la Résolution 22</w:t>
      </w:r>
    </w:p>
    <w:p w14:paraId="2AD2107D" w14:textId="77777777" w:rsidR="009F4801" w:rsidRPr="00FF69D0" w:rsidRDefault="009F4801" w:rsidP="003F7052">
      <w:pPr>
        <w:tabs>
          <w:tab w:val="clear" w:pos="1134"/>
          <w:tab w:val="clear" w:pos="1871"/>
          <w:tab w:val="clear" w:pos="2268"/>
        </w:tabs>
        <w:overflowPunct/>
        <w:autoSpaceDE/>
        <w:autoSpaceDN/>
        <w:adjustRightInd/>
        <w:spacing w:before="0"/>
        <w:textAlignment w:val="auto"/>
        <w:rPr>
          <w:lang w:val="fr-FR"/>
        </w:rPr>
      </w:pPr>
      <w:r w:rsidRPr="00FF69D0">
        <w:rPr>
          <w:lang w:val="fr-FR"/>
        </w:rPr>
        <w:br w:type="page"/>
      </w:r>
    </w:p>
    <w:p w14:paraId="6339A859" w14:textId="3B20B55D" w:rsidR="007F5689" w:rsidRPr="00FF69D0" w:rsidRDefault="00E528BF" w:rsidP="003F7052">
      <w:pPr>
        <w:rPr>
          <w:color w:val="000000" w:themeColor="text1"/>
          <w:lang w:val="fr-FR"/>
        </w:rPr>
      </w:pPr>
      <w:bookmarkStart w:id="0" w:name="_Toc320869650"/>
      <w:bookmarkStart w:id="1" w:name="_Toc159919805"/>
      <w:r w:rsidRPr="00FF69D0">
        <w:rPr>
          <w:color w:val="000000" w:themeColor="text1"/>
          <w:lang w:val="fr-FR"/>
        </w:rPr>
        <w:lastRenderedPageBreak/>
        <w:t>Conformément au numéro 197I de la Convention et aux paragraphes 1.11.1, 4.4 et 4.9 de la Résolution 1 (Rév. Genève, 2022) de l'AMNT, le Directeur du TSB soumet le rapport ci-joint du Groupe consultatif de la normalisation des télécommunications (GCNT) du Secteur de la normalisation des télécommunications (UIT-T) à l'AMNT-24 pour examen et suite à donner</w:t>
      </w:r>
      <w:r w:rsidR="007F5689" w:rsidRPr="00FF69D0">
        <w:rPr>
          <w:color w:val="000000" w:themeColor="text1"/>
          <w:lang w:val="fr-FR"/>
        </w:rPr>
        <w:t>.</w:t>
      </w:r>
    </w:p>
    <w:bookmarkEnd w:id="0"/>
    <w:bookmarkEnd w:id="1"/>
    <w:p w14:paraId="2D50849E" w14:textId="69A38DFE" w:rsidR="007F5689" w:rsidRPr="00FF69D0" w:rsidRDefault="007F5689" w:rsidP="008F016D">
      <w:pPr>
        <w:spacing w:before="240"/>
        <w:rPr>
          <w:szCs w:val="24"/>
          <w:lang w:val="fr-FR"/>
        </w:rPr>
      </w:pPr>
      <w:r w:rsidRPr="00FF69D0">
        <w:rPr>
          <w:szCs w:val="24"/>
          <w:lang w:val="fr-FR"/>
        </w:rPr>
        <w:t>1</w:t>
      </w:r>
      <w:r w:rsidRPr="00FF69D0">
        <w:rPr>
          <w:szCs w:val="24"/>
          <w:lang w:val="fr-FR"/>
        </w:rPr>
        <w:tab/>
      </w:r>
      <w:r w:rsidR="00E528BF" w:rsidRPr="00FF69D0">
        <w:rPr>
          <w:szCs w:val="24"/>
          <w:lang w:val="fr-FR"/>
        </w:rPr>
        <w:t>de confier au GCNT les questions spécifiques suivantes relevant de sa compétence entre la présente Assemblée et la prochaine pour agir dans les domaines suivants, en consultation avec le Directeur du TSB</w:t>
      </w:r>
      <w:r w:rsidRPr="00FF69D0">
        <w:rPr>
          <w:szCs w:val="24"/>
          <w:lang w:val="fr-FR"/>
        </w:rPr>
        <w:t>:</w:t>
      </w:r>
    </w:p>
    <w:p w14:paraId="04FC5FD1" w14:textId="6B9E5704" w:rsidR="007F5689" w:rsidRPr="00FF69D0" w:rsidRDefault="007F5689" w:rsidP="003F7052">
      <w:pPr>
        <w:pStyle w:val="enumlev1"/>
        <w:rPr>
          <w:lang w:val="fr-FR"/>
        </w:rPr>
      </w:pPr>
      <w:r w:rsidRPr="00FF69D0">
        <w:rPr>
          <w:i/>
          <w:iCs/>
          <w:lang w:val="fr-FR"/>
        </w:rPr>
        <w:t>a)</w:t>
      </w:r>
      <w:r w:rsidRPr="00FF69D0">
        <w:rPr>
          <w:lang w:val="fr-FR"/>
        </w:rPr>
        <w:tab/>
      </w:r>
      <w:r w:rsidR="00E528BF" w:rsidRPr="00FF69D0">
        <w:rPr>
          <w:lang w:val="fr-FR"/>
        </w:rPr>
        <w:t>fournir des lignes directrices de travail et s'assurer qu'elles sont efficaces, souples et à jour</w:t>
      </w:r>
      <w:r w:rsidRPr="00FF69D0">
        <w:rPr>
          <w:lang w:val="fr-FR"/>
        </w:rPr>
        <w:t>;</w:t>
      </w:r>
    </w:p>
    <w:p w14:paraId="60F4942A" w14:textId="390EDDB5" w:rsidR="007F5689" w:rsidRPr="00FF69D0" w:rsidRDefault="007F5689" w:rsidP="003F7052">
      <w:pPr>
        <w:pStyle w:val="enumlev2"/>
        <w:rPr>
          <w:highlight w:val="yellow"/>
          <w:lang w:val="fr-FR"/>
        </w:rPr>
      </w:pPr>
      <w:r w:rsidRPr="00FF69D0">
        <w:rPr>
          <w:lang w:val="fr-FR"/>
        </w:rPr>
        <w:t>•</w:t>
      </w:r>
      <w:r w:rsidRPr="00FF69D0">
        <w:rPr>
          <w:lang w:val="fr-FR"/>
        </w:rPr>
        <w:tab/>
      </w:r>
      <w:r w:rsidR="00E528BF" w:rsidRPr="00FF69D0">
        <w:rPr>
          <w:lang w:val="fr-FR"/>
        </w:rPr>
        <w:t xml:space="preserve">voir les paragraphes 2, 3.1, 3.2 et 3.3 du </w:t>
      </w:r>
      <w:hyperlink r:id="rId15" w:history="1">
        <w:r w:rsidRPr="00FF69D0">
          <w:rPr>
            <w:rStyle w:val="Hyperlink"/>
            <w:lang w:val="fr-FR"/>
          </w:rPr>
          <w:t>Doc</w:t>
        </w:r>
        <w:r w:rsidR="00E528BF" w:rsidRPr="00FF69D0">
          <w:rPr>
            <w:rStyle w:val="Hyperlink"/>
            <w:lang w:val="fr-FR"/>
          </w:rPr>
          <w:t>umen</w:t>
        </w:r>
        <w:r w:rsidR="00E528BF" w:rsidRPr="00FF69D0">
          <w:rPr>
            <w:rStyle w:val="Hyperlink"/>
            <w:lang w:val="fr-FR"/>
          </w:rPr>
          <w:t>t</w:t>
        </w:r>
        <w:r w:rsidR="00E528BF" w:rsidRPr="00FF69D0">
          <w:rPr>
            <w:rStyle w:val="Hyperlink"/>
            <w:lang w:val="fr-FR"/>
          </w:rPr>
          <w:t xml:space="preserve"> </w:t>
        </w:r>
        <w:r w:rsidRPr="00FF69D0">
          <w:rPr>
            <w:rStyle w:val="Hyperlink"/>
            <w:lang w:val="fr-FR"/>
          </w:rPr>
          <w:t>24</w:t>
        </w:r>
      </w:hyperlink>
      <w:r w:rsidRPr="00FF69D0">
        <w:rPr>
          <w:lang w:val="fr-FR"/>
        </w:rPr>
        <w:t xml:space="preserve"> </w:t>
      </w:r>
      <w:r w:rsidR="00E528BF" w:rsidRPr="00FF69D0">
        <w:rPr>
          <w:lang w:val="fr-FR"/>
        </w:rPr>
        <w:t>– Rapport du GCNT – Partie I: Considérations générales</w:t>
      </w:r>
      <w:r w:rsidR="00FF69D0" w:rsidRPr="00FF69D0">
        <w:rPr>
          <w:lang w:val="fr-FR"/>
        </w:rPr>
        <w:t>;</w:t>
      </w:r>
    </w:p>
    <w:p w14:paraId="21E4F4CA" w14:textId="3AE99E68" w:rsidR="007F5689" w:rsidRPr="00FF69D0" w:rsidRDefault="007F5689" w:rsidP="003F7052">
      <w:pPr>
        <w:pStyle w:val="enumlev1"/>
        <w:rPr>
          <w:lang w:val="fr-FR"/>
        </w:rPr>
      </w:pPr>
      <w:r w:rsidRPr="00FF69D0">
        <w:rPr>
          <w:i/>
          <w:iCs/>
          <w:lang w:val="fr-FR"/>
        </w:rPr>
        <w:t>b)</w:t>
      </w:r>
      <w:r w:rsidRPr="00FF69D0">
        <w:rPr>
          <w:lang w:val="fr-FR"/>
        </w:rPr>
        <w:tab/>
      </w:r>
      <w:r w:rsidR="00C42E9A" w:rsidRPr="00FF69D0">
        <w:rPr>
          <w:lang w:val="fr-FR"/>
        </w:rPr>
        <w:t>promouvoir les activités de normalisation hautement prioritaires, d'un point de vue mondial, relatives aux questions techniques, opérationnelles et tarifaires, sur la base des contributions soumises par les membres, et assurer la coordination entre les commissions d'études de l'UIT-T en la matière</w:t>
      </w:r>
      <w:r w:rsidRPr="00FF69D0">
        <w:rPr>
          <w:lang w:val="fr-FR"/>
        </w:rPr>
        <w:t>;</w:t>
      </w:r>
    </w:p>
    <w:p w14:paraId="678FA194" w14:textId="0F234206" w:rsidR="007F5689" w:rsidRPr="00FF69D0" w:rsidRDefault="007F5689" w:rsidP="003F7052">
      <w:pPr>
        <w:pStyle w:val="enumlev2"/>
        <w:rPr>
          <w:highlight w:val="yellow"/>
          <w:lang w:val="fr-FR"/>
        </w:rPr>
      </w:pPr>
      <w:r w:rsidRPr="00FF69D0">
        <w:rPr>
          <w:lang w:val="fr-FR"/>
        </w:rPr>
        <w:t>•</w:t>
      </w:r>
      <w:r w:rsidRPr="00FF69D0">
        <w:rPr>
          <w:lang w:val="fr-FR"/>
        </w:rPr>
        <w:tab/>
      </w:r>
      <w:r w:rsidR="00E528BF" w:rsidRPr="00FF69D0">
        <w:rPr>
          <w:lang w:val="fr-FR"/>
        </w:rPr>
        <w:t xml:space="preserve">voir les paragraphes 2, 3.2 et 3.3 du </w:t>
      </w:r>
      <w:hyperlink r:id="rId16" w:history="1">
        <w:r w:rsidRPr="00FF69D0">
          <w:rPr>
            <w:rStyle w:val="Hyperlink"/>
            <w:lang w:val="fr-FR"/>
          </w:rPr>
          <w:t>Doc</w:t>
        </w:r>
        <w:r w:rsidR="00E528BF" w:rsidRPr="00FF69D0">
          <w:rPr>
            <w:rStyle w:val="Hyperlink"/>
            <w:lang w:val="fr-FR"/>
          </w:rPr>
          <w:t xml:space="preserve">ument </w:t>
        </w:r>
        <w:r w:rsidRPr="00FF69D0">
          <w:rPr>
            <w:rStyle w:val="Hyperlink"/>
            <w:lang w:val="fr-FR"/>
          </w:rPr>
          <w:t>24</w:t>
        </w:r>
      </w:hyperlink>
      <w:r w:rsidRPr="00FF69D0">
        <w:rPr>
          <w:lang w:val="fr-FR"/>
        </w:rPr>
        <w:t xml:space="preserve"> </w:t>
      </w:r>
      <w:r w:rsidR="00E528BF" w:rsidRPr="00FF69D0">
        <w:rPr>
          <w:lang w:val="fr-FR"/>
        </w:rPr>
        <w:t>– Rapport du GCNT – Partie</w:t>
      </w:r>
      <w:r w:rsidR="002208AE" w:rsidRPr="00FF69D0">
        <w:rPr>
          <w:lang w:val="fr-FR"/>
        </w:rPr>
        <w:t> </w:t>
      </w:r>
      <w:r w:rsidR="00E528BF" w:rsidRPr="00FF69D0">
        <w:rPr>
          <w:lang w:val="fr-FR"/>
        </w:rPr>
        <w:t>I: Considérations générales</w:t>
      </w:r>
      <w:r w:rsidR="00FF69D0" w:rsidRPr="00FF69D0">
        <w:rPr>
          <w:lang w:val="fr-FR"/>
        </w:rPr>
        <w:t>;</w:t>
      </w:r>
    </w:p>
    <w:p w14:paraId="0C368D73" w14:textId="6FEB6ADA" w:rsidR="007F5689" w:rsidRPr="00FF69D0" w:rsidRDefault="007F5689" w:rsidP="003F7052">
      <w:pPr>
        <w:pStyle w:val="enumlev1"/>
        <w:rPr>
          <w:lang w:val="fr-FR"/>
        </w:rPr>
      </w:pPr>
      <w:r w:rsidRPr="00FF69D0">
        <w:rPr>
          <w:i/>
          <w:iCs/>
          <w:lang w:val="fr-FR"/>
        </w:rPr>
        <w:t>c)</w:t>
      </w:r>
      <w:r w:rsidRPr="00FF69D0">
        <w:rPr>
          <w:i/>
          <w:iCs/>
          <w:lang w:val="fr-FR"/>
        </w:rPr>
        <w:tab/>
      </w:r>
      <w:r w:rsidR="00C42E9A" w:rsidRPr="00FF69D0">
        <w:rPr>
          <w:lang w:val="fr-FR"/>
        </w:rPr>
        <w:t>assumer la responsabilité des Recommandations UIT‑T de la série A, et notamment celle de leur élaboration et de leur soumission pour approbation selon les procédures appropriées</w:t>
      </w:r>
      <w:r w:rsidRPr="00FF69D0">
        <w:rPr>
          <w:lang w:val="fr-FR"/>
        </w:rPr>
        <w:t>;</w:t>
      </w:r>
    </w:p>
    <w:p w14:paraId="23DD30B9" w14:textId="1F68A0D9" w:rsidR="007F5689" w:rsidRPr="00FF69D0" w:rsidRDefault="007F5689" w:rsidP="003F7052">
      <w:pPr>
        <w:pStyle w:val="enumlev2"/>
        <w:rPr>
          <w:highlight w:val="yellow"/>
          <w:lang w:val="fr-FR"/>
        </w:rPr>
      </w:pPr>
      <w:r w:rsidRPr="00FF69D0">
        <w:rPr>
          <w:lang w:val="fr-FR"/>
        </w:rPr>
        <w:t>•</w:t>
      </w:r>
      <w:r w:rsidRPr="00FF69D0">
        <w:rPr>
          <w:lang w:val="fr-FR"/>
        </w:rPr>
        <w:tab/>
      </w:r>
      <w:r w:rsidR="00C42E9A" w:rsidRPr="00FF69D0">
        <w:rPr>
          <w:lang w:val="fr-FR"/>
        </w:rPr>
        <w:t xml:space="preserve">voir les paragraphes 2, 3.1 et 3.2 du </w:t>
      </w:r>
      <w:hyperlink r:id="rId17" w:history="1">
        <w:r w:rsidRPr="00FF69D0">
          <w:rPr>
            <w:rStyle w:val="Hyperlink"/>
            <w:lang w:val="fr-FR"/>
          </w:rPr>
          <w:t>D</w:t>
        </w:r>
        <w:r w:rsidR="00C42E9A" w:rsidRPr="00FF69D0">
          <w:rPr>
            <w:rStyle w:val="Hyperlink"/>
            <w:lang w:val="fr-FR"/>
          </w:rPr>
          <w:t>ocument 2</w:t>
        </w:r>
        <w:r w:rsidRPr="00FF69D0">
          <w:rPr>
            <w:rStyle w:val="Hyperlink"/>
            <w:lang w:val="fr-FR"/>
          </w:rPr>
          <w:t>4</w:t>
        </w:r>
      </w:hyperlink>
      <w:r w:rsidRPr="00FF69D0">
        <w:rPr>
          <w:lang w:val="fr-FR"/>
        </w:rPr>
        <w:t xml:space="preserve"> </w:t>
      </w:r>
      <w:r w:rsidR="00C42E9A" w:rsidRPr="00FF69D0">
        <w:rPr>
          <w:lang w:val="fr-FR"/>
        </w:rPr>
        <w:t>– Rapport du GCNT – Partie</w:t>
      </w:r>
      <w:r w:rsidR="002208AE" w:rsidRPr="00FF69D0">
        <w:rPr>
          <w:lang w:val="fr-FR"/>
        </w:rPr>
        <w:t> </w:t>
      </w:r>
      <w:r w:rsidR="00C42E9A" w:rsidRPr="00FF69D0">
        <w:rPr>
          <w:lang w:val="fr-FR"/>
        </w:rPr>
        <w:t>I: Considérations générales</w:t>
      </w:r>
      <w:r w:rsidR="00FF69D0" w:rsidRPr="00FF69D0">
        <w:rPr>
          <w:lang w:val="fr-FR"/>
        </w:rPr>
        <w:t>;</w:t>
      </w:r>
    </w:p>
    <w:p w14:paraId="77A2E8AB" w14:textId="25651D12" w:rsidR="007F5689" w:rsidRPr="00FF69D0" w:rsidRDefault="007F5689" w:rsidP="003F7052">
      <w:pPr>
        <w:pStyle w:val="enumlev1"/>
        <w:rPr>
          <w:lang w:val="fr-FR"/>
        </w:rPr>
      </w:pPr>
      <w:r w:rsidRPr="00FF69D0">
        <w:rPr>
          <w:i/>
          <w:iCs/>
          <w:lang w:val="fr-FR"/>
        </w:rPr>
        <w:t>d)</w:t>
      </w:r>
      <w:r w:rsidRPr="00FF69D0">
        <w:rPr>
          <w:i/>
          <w:iCs/>
          <w:lang w:val="fr-FR"/>
        </w:rPr>
        <w:tab/>
      </w:r>
      <w:r w:rsidR="00C42E9A" w:rsidRPr="00FF69D0">
        <w:rPr>
          <w:lang w:val="fr-FR"/>
        </w:rPr>
        <w:t>restructurer et créer des commissions d'études de l'UIT-T, compte tenu des besoins des membres de l'UIT‑T et pour répondre à l'évolution du marché des télécommunications/TIC, et désigner les présidents et les vice‑présidents qui agiront jusqu'à la prochaine AMNT, conformément à la Résolution 208 (Dubaï, 2018) de la Conférence de plénipotentiaires</w:t>
      </w:r>
      <w:r w:rsidRPr="00FF69D0">
        <w:rPr>
          <w:lang w:val="fr-FR"/>
        </w:rPr>
        <w:t>;</w:t>
      </w:r>
    </w:p>
    <w:p w14:paraId="3FC4E28E" w14:textId="7A40A7AB" w:rsidR="007F5689" w:rsidRPr="00FF69D0" w:rsidRDefault="007F5689" w:rsidP="003F7052">
      <w:pPr>
        <w:pStyle w:val="enumlev2"/>
        <w:rPr>
          <w:highlight w:val="yellow"/>
          <w:lang w:val="fr-FR"/>
        </w:rPr>
      </w:pPr>
      <w:r w:rsidRPr="00FF69D0">
        <w:rPr>
          <w:lang w:val="fr-FR"/>
        </w:rPr>
        <w:t>•</w:t>
      </w:r>
      <w:r w:rsidRPr="00FF69D0">
        <w:rPr>
          <w:lang w:val="fr-FR"/>
        </w:rPr>
        <w:tab/>
      </w:r>
      <w:r w:rsidR="00C42E9A" w:rsidRPr="00FF69D0">
        <w:rPr>
          <w:lang w:val="fr-FR"/>
        </w:rPr>
        <w:t>voir les paragraphes</w:t>
      </w:r>
      <w:r w:rsidRPr="00FF69D0">
        <w:rPr>
          <w:lang w:val="fr-FR"/>
        </w:rPr>
        <w:t xml:space="preserve"> 2, 3.2</w:t>
      </w:r>
      <w:r w:rsidR="00C42E9A" w:rsidRPr="00FF69D0">
        <w:rPr>
          <w:lang w:val="fr-FR"/>
        </w:rPr>
        <w:t xml:space="preserve"> et </w:t>
      </w:r>
      <w:r w:rsidRPr="00FF69D0">
        <w:rPr>
          <w:lang w:val="fr-FR"/>
        </w:rPr>
        <w:t xml:space="preserve">3.4.1 </w:t>
      </w:r>
      <w:r w:rsidR="00C42E9A" w:rsidRPr="00FF69D0">
        <w:rPr>
          <w:lang w:val="fr-FR"/>
        </w:rPr>
        <w:t>du</w:t>
      </w:r>
      <w:r w:rsidRPr="00FF69D0">
        <w:rPr>
          <w:lang w:val="fr-FR"/>
        </w:rPr>
        <w:t xml:space="preserve"> </w:t>
      </w:r>
      <w:hyperlink r:id="rId18" w:history="1">
        <w:r w:rsidRPr="00FF69D0">
          <w:rPr>
            <w:rStyle w:val="Hyperlink"/>
            <w:lang w:val="fr-FR"/>
          </w:rPr>
          <w:t>D</w:t>
        </w:r>
        <w:r w:rsidR="00C42E9A" w:rsidRPr="00FF69D0">
          <w:rPr>
            <w:rStyle w:val="Hyperlink"/>
            <w:lang w:val="fr-FR"/>
          </w:rPr>
          <w:t>ocument 2</w:t>
        </w:r>
        <w:r w:rsidRPr="00FF69D0">
          <w:rPr>
            <w:rStyle w:val="Hyperlink"/>
            <w:lang w:val="fr-FR"/>
          </w:rPr>
          <w:t>4</w:t>
        </w:r>
      </w:hyperlink>
      <w:r w:rsidRPr="00FF69D0">
        <w:rPr>
          <w:lang w:val="fr-FR"/>
        </w:rPr>
        <w:t xml:space="preserve"> </w:t>
      </w:r>
      <w:r w:rsidR="00C42E9A" w:rsidRPr="00FF69D0">
        <w:rPr>
          <w:lang w:val="fr-FR"/>
        </w:rPr>
        <w:t>– Rapport du GCNT – Partie I: Considérations générales</w:t>
      </w:r>
      <w:r w:rsidR="00FF69D0" w:rsidRPr="00FF69D0">
        <w:rPr>
          <w:lang w:val="fr-FR"/>
        </w:rPr>
        <w:t>;</w:t>
      </w:r>
    </w:p>
    <w:p w14:paraId="7F3433EE" w14:textId="0D778C15" w:rsidR="007F5689" w:rsidRPr="00FF69D0" w:rsidRDefault="007F5689" w:rsidP="003F7052">
      <w:pPr>
        <w:pStyle w:val="enumlev1"/>
        <w:rPr>
          <w:lang w:val="fr-FR"/>
        </w:rPr>
      </w:pPr>
      <w:r w:rsidRPr="00FF69D0">
        <w:rPr>
          <w:i/>
          <w:iCs/>
          <w:lang w:val="fr-FR"/>
        </w:rPr>
        <w:t>e)</w:t>
      </w:r>
      <w:r w:rsidRPr="00FF69D0">
        <w:rPr>
          <w:i/>
          <w:iCs/>
          <w:lang w:val="fr-FR"/>
        </w:rPr>
        <w:tab/>
      </w:r>
      <w:r w:rsidR="00C42E9A" w:rsidRPr="00FF69D0">
        <w:rPr>
          <w:lang w:val="fr-FR"/>
        </w:rPr>
        <w:t>formuler des avis sur les calendriers de travail des commissions d'études pour respecter les priorités dans le domaine de la normalisation</w:t>
      </w:r>
      <w:r w:rsidRPr="00FF69D0">
        <w:rPr>
          <w:lang w:val="fr-FR"/>
        </w:rPr>
        <w:t>;</w:t>
      </w:r>
    </w:p>
    <w:p w14:paraId="10B92335" w14:textId="01E483E0" w:rsidR="007F5689" w:rsidRPr="00FF69D0" w:rsidRDefault="007F5689" w:rsidP="003F7052">
      <w:pPr>
        <w:pStyle w:val="enumlev2"/>
        <w:rPr>
          <w:highlight w:val="yellow"/>
          <w:lang w:val="fr-FR"/>
        </w:rPr>
      </w:pPr>
      <w:r w:rsidRPr="00FF69D0">
        <w:rPr>
          <w:lang w:val="fr-FR"/>
        </w:rPr>
        <w:t>•</w:t>
      </w:r>
      <w:r w:rsidRPr="00FF69D0">
        <w:rPr>
          <w:lang w:val="fr-FR"/>
        </w:rPr>
        <w:tab/>
      </w:r>
      <w:r w:rsidR="00C42E9A" w:rsidRPr="00FF69D0">
        <w:rPr>
          <w:lang w:val="fr-FR"/>
        </w:rPr>
        <w:t>voir le paragraphe</w:t>
      </w:r>
      <w:r w:rsidRPr="00FF69D0">
        <w:rPr>
          <w:lang w:val="fr-FR"/>
        </w:rPr>
        <w:t xml:space="preserve"> 3.4.6 </w:t>
      </w:r>
      <w:r w:rsidR="00C42E9A" w:rsidRPr="00FF69D0">
        <w:rPr>
          <w:lang w:val="fr-FR"/>
        </w:rPr>
        <w:t xml:space="preserve">du </w:t>
      </w:r>
      <w:hyperlink r:id="rId19" w:history="1">
        <w:r w:rsidRPr="00FF69D0">
          <w:rPr>
            <w:rStyle w:val="Hyperlink"/>
            <w:lang w:val="fr-FR"/>
          </w:rPr>
          <w:t>D</w:t>
        </w:r>
        <w:r w:rsidR="00C42E9A" w:rsidRPr="00FF69D0">
          <w:rPr>
            <w:rStyle w:val="Hyperlink"/>
            <w:lang w:val="fr-FR"/>
          </w:rPr>
          <w:t>ocument 2</w:t>
        </w:r>
        <w:r w:rsidRPr="00FF69D0">
          <w:rPr>
            <w:rStyle w:val="Hyperlink"/>
            <w:lang w:val="fr-FR"/>
          </w:rPr>
          <w:t>4</w:t>
        </w:r>
      </w:hyperlink>
      <w:r w:rsidRPr="00FF69D0">
        <w:rPr>
          <w:lang w:val="fr-FR"/>
        </w:rPr>
        <w:t xml:space="preserve"> </w:t>
      </w:r>
      <w:r w:rsidR="00C42E9A" w:rsidRPr="00FF69D0">
        <w:rPr>
          <w:lang w:val="fr-FR"/>
        </w:rPr>
        <w:t>– Rapport du GCNT – Partie I: Considérations générales</w:t>
      </w:r>
      <w:r w:rsidR="00FF69D0" w:rsidRPr="00FF69D0">
        <w:rPr>
          <w:lang w:val="fr-FR"/>
        </w:rPr>
        <w:t>;</w:t>
      </w:r>
    </w:p>
    <w:p w14:paraId="2988518B" w14:textId="22F6FF27" w:rsidR="007F5689" w:rsidRPr="00FF69D0" w:rsidRDefault="007F5689" w:rsidP="003F7052">
      <w:pPr>
        <w:pStyle w:val="enumlev1"/>
        <w:rPr>
          <w:lang w:val="fr-FR"/>
        </w:rPr>
      </w:pPr>
      <w:r w:rsidRPr="00FF69D0">
        <w:rPr>
          <w:i/>
          <w:iCs/>
          <w:lang w:val="fr-FR"/>
        </w:rPr>
        <w:t>f)</w:t>
      </w:r>
      <w:r w:rsidRPr="00FF69D0">
        <w:rPr>
          <w:i/>
          <w:iCs/>
          <w:lang w:val="fr-FR"/>
        </w:rPr>
        <w:tab/>
      </w:r>
      <w:r w:rsidR="00C42E9A" w:rsidRPr="00FF69D0">
        <w:rPr>
          <w:lang w:val="fr-FR"/>
        </w:rPr>
        <w:t>tout en reconnaissant que les commissions d'études sont responsables au premier chef de la réalisation des activités de l'UIT-T, créer, dissoudre ou maintenir d'autres groupes, y compris des groupes spécialisés, en désigner les présidents et vice‑présidents, en établir le mandat et ce, pour une durée définie, conformément aux numéros 191A et 191B de la Convention, afin de renforcer et d'améliorer l'efficacité des travaux de l'UIT</w:t>
      </w:r>
      <w:r w:rsidR="008F016D" w:rsidRPr="00FF69D0">
        <w:rPr>
          <w:lang w:val="fr-FR"/>
        </w:rPr>
        <w:noBreakHyphen/>
      </w:r>
      <w:r w:rsidR="00C42E9A" w:rsidRPr="00FF69D0">
        <w:rPr>
          <w:lang w:val="fr-FR"/>
        </w:rPr>
        <w:t>T et de ménager davantage de souplesse pour trouver rapidement une réponse aux questions hautement prioritaires. Ces groupes n'adoptent ni Questions ni Recommandations, conformément aux dispositions de l'article 14A de la Convention, mais ont un mandat précis</w:t>
      </w:r>
      <w:r w:rsidRPr="00FF69D0">
        <w:rPr>
          <w:lang w:val="fr-FR"/>
        </w:rPr>
        <w:t>;</w:t>
      </w:r>
    </w:p>
    <w:p w14:paraId="6DACF831" w14:textId="47C8A546" w:rsidR="007F5689" w:rsidRPr="00FF69D0" w:rsidRDefault="007F5689" w:rsidP="003F7052">
      <w:pPr>
        <w:pStyle w:val="enumlev2"/>
        <w:rPr>
          <w:highlight w:val="yellow"/>
          <w:lang w:val="fr-FR"/>
        </w:rPr>
      </w:pPr>
      <w:r w:rsidRPr="00FF69D0">
        <w:rPr>
          <w:lang w:val="fr-FR"/>
        </w:rPr>
        <w:t>•</w:t>
      </w:r>
      <w:r w:rsidRPr="00FF69D0">
        <w:rPr>
          <w:lang w:val="fr-FR"/>
        </w:rPr>
        <w:tab/>
      </w:r>
      <w:r w:rsidR="00C42E9A" w:rsidRPr="00FF69D0">
        <w:rPr>
          <w:lang w:val="fr-FR"/>
        </w:rPr>
        <w:t>voir les paragraphes</w:t>
      </w:r>
      <w:r w:rsidRPr="00FF69D0">
        <w:rPr>
          <w:lang w:val="fr-FR"/>
        </w:rPr>
        <w:t xml:space="preserve"> 3.3.2 </w:t>
      </w:r>
      <w:r w:rsidR="00C42E9A" w:rsidRPr="00FF69D0">
        <w:rPr>
          <w:lang w:val="fr-FR"/>
        </w:rPr>
        <w:t>et</w:t>
      </w:r>
      <w:r w:rsidRPr="00FF69D0">
        <w:rPr>
          <w:lang w:val="fr-FR"/>
        </w:rPr>
        <w:t xml:space="preserve"> 3.3.4 </w:t>
      </w:r>
      <w:r w:rsidR="00C42E9A" w:rsidRPr="00FF69D0">
        <w:rPr>
          <w:lang w:val="fr-FR"/>
        </w:rPr>
        <w:t xml:space="preserve">du </w:t>
      </w:r>
      <w:hyperlink r:id="rId20" w:history="1">
        <w:r w:rsidRPr="00FF69D0">
          <w:rPr>
            <w:rStyle w:val="Hyperlink"/>
            <w:lang w:val="fr-FR"/>
          </w:rPr>
          <w:t>D</w:t>
        </w:r>
        <w:r w:rsidR="00C42E9A" w:rsidRPr="00FF69D0">
          <w:rPr>
            <w:rStyle w:val="Hyperlink"/>
            <w:lang w:val="fr-FR"/>
          </w:rPr>
          <w:t>ocument 2</w:t>
        </w:r>
        <w:r w:rsidRPr="00FF69D0">
          <w:rPr>
            <w:rStyle w:val="Hyperlink"/>
            <w:lang w:val="fr-FR"/>
          </w:rPr>
          <w:t>4</w:t>
        </w:r>
      </w:hyperlink>
      <w:r w:rsidRPr="00FF69D0">
        <w:rPr>
          <w:lang w:val="fr-FR"/>
        </w:rPr>
        <w:t xml:space="preserve"> </w:t>
      </w:r>
      <w:r w:rsidR="00C42E9A" w:rsidRPr="00FF69D0">
        <w:rPr>
          <w:lang w:val="fr-FR"/>
        </w:rPr>
        <w:t>– Rapport du GCNT – Partie</w:t>
      </w:r>
      <w:r w:rsidR="00AF54E1" w:rsidRPr="00FF69D0">
        <w:rPr>
          <w:lang w:val="fr-FR"/>
        </w:rPr>
        <w:t> </w:t>
      </w:r>
      <w:r w:rsidR="00C42E9A" w:rsidRPr="00FF69D0">
        <w:rPr>
          <w:lang w:val="fr-FR"/>
        </w:rPr>
        <w:t>I: Considérations générales</w:t>
      </w:r>
      <w:r w:rsidR="00FF69D0" w:rsidRPr="00FF69D0">
        <w:rPr>
          <w:lang w:val="fr-FR"/>
        </w:rPr>
        <w:t>;</w:t>
      </w:r>
    </w:p>
    <w:p w14:paraId="1FBA6092" w14:textId="1E5A5256" w:rsidR="007F5689" w:rsidRPr="00FF69D0" w:rsidRDefault="007F5689" w:rsidP="003F7052">
      <w:pPr>
        <w:pStyle w:val="enumlev1"/>
        <w:rPr>
          <w:lang w:val="fr-FR"/>
        </w:rPr>
      </w:pPr>
      <w:r w:rsidRPr="00FF69D0">
        <w:rPr>
          <w:i/>
          <w:iCs/>
          <w:lang w:val="fr-FR"/>
        </w:rPr>
        <w:t>g)</w:t>
      </w:r>
      <w:r w:rsidRPr="00FF69D0">
        <w:rPr>
          <w:i/>
          <w:iCs/>
          <w:lang w:val="fr-FR"/>
        </w:rPr>
        <w:tab/>
      </w:r>
      <w:r w:rsidR="00C42E9A" w:rsidRPr="00FF69D0">
        <w:rPr>
          <w:lang w:val="fr-FR"/>
        </w:rPr>
        <w:t>déterminer l'évolution des besoins et donner des avis sur les modifications qu'il convient d'apporter à l'ordre de priorité des travaux des commissions d'études de l'UIT‑T ainsi qu'à la planification et à la répartition des travaux entre ces commissions, en tenant dûment compte des coûts et des ressources disponibles</w:t>
      </w:r>
      <w:r w:rsidRPr="00FF69D0">
        <w:rPr>
          <w:lang w:val="fr-FR"/>
        </w:rPr>
        <w:t>;</w:t>
      </w:r>
    </w:p>
    <w:p w14:paraId="4C1782C0" w14:textId="03774980" w:rsidR="007F5689" w:rsidRPr="00FF69D0" w:rsidRDefault="007F5689" w:rsidP="003F7052">
      <w:pPr>
        <w:pStyle w:val="enumlev2"/>
        <w:rPr>
          <w:highlight w:val="yellow"/>
          <w:lang w:val="fr-FR"/>
        </w:rPr>
      </w:pPr>
      <w:r w:rsidRPr="00FF69D0">
        <w:rPr>
          <w:lang w:val="fr-FR"/>
        </w:rPr>
        <w:lastRenderedPageBreak/>
        <w:t>•</w:t>
      </w:r>
      <w:r w:rsidRPr="00FF69D0">
        <w:rPr>
          <w:lang w:val="fr-FR"/>
        </w:rPr>
        <w:tab/>
      </w:r>
      <w:r w:rsidR="00C42E9A" w:rsidRPr="00FF69D0">
        <w:rPr>
          <w:lang w:val="fr-FR"/>
        </w:rPr>
        <w:t>voir les paragraphes</w:t>
      </w:r>
      <w:r w:rsidRPr="00FF69D0">
        <w:rPr>
          <w:lang w:val="fr-FR"/>
        </w:rPr>
        <w:t xml:space="preserve"> 2, 3.2, 3.4.1 </w:t>
      </w:r>
      <w:r w:rsidR="00C42E9A" w:rsidRPr="00FF69D0">
        <w:rPr>
          <w:lang w:val="fr-FR"/>
        </w:rPr>
        <w:t>et</w:t>
      </w:r>
      <w:r w:rsidRPr="00FF69D0">
        <w:rPr>
          <w:lang w:val="fr-FR"/>
        </w:rPr>
        <w:t xml:space="preserve"> 3.4.7 </w:t>
      </w:r>
      <w:r w:rsidR="00C42E9A" w:rsidRPr="00FF69D0">
        <w:rPr>
          <w:lang w:val="fr-FR"/>
        </w:rPr>
        <w:t xml:space="preserve">du </w:t>
      </w:r>
      <w:hyperlink r:id="rId21" w:history="1">
        <w:r w:rsidRPr="00FF69D0">
          <w:rPr>
            <w:rStyle w:val="Hyperlink"/>
            <w:lang w:val="fr-FR"/>
          </w:rPr>
          <w:t>D</w:t>
        </w:r>
        <w:r w:rsidR="00C42E9A" w:rsidRPr="00FF69D0">
          <w:rPr>
            <w:rStyle w:val="Hyperlink"/>
            <w:lang w:val="fr-FR"/>
          </w:rPr>
          <w:t>ocument 2</w:t>
        </w:r>
        <w:r w:rsidRPr="00FF69D0">
          <w:rPr>
            <w:rStyle w:val="Hyperlink"/>
            <w:lang w:val="fr-FR"/>
          </w:rPr>
          <w:t>4</w:t>
        </w:r>
      </w:hyperlink>
      <w:r w:rsidRPr="00FF69D0">
        <w:rPr>
          <w:lang w:val="fr-FR"/>
        </w:rPr>
        <w:t xml:space="preserve"> </w:t>
      </w:r>
      <w:r w:rsidR="00C42E9A" w:rsidRPr="00FF69D0">
        <w:rPr>
          <w:lang w:val="fr-FR"/>
        </w:rPr>
        <w:t>– Rapport du GCNT</w:t>
      </w:r>
      <w:r w:rsidR="001E78D7" w:rsidRPr="00FF69D0">
        <w:rPr>
          <w:lang w:val="fr-FR"/>
        </w:rPr>
        <w:t> </w:t>
      </w:r>
      <w:r w:rsidR="00C42E9A" w:rsidRPr="00FF69D0">
        <w:rPr>
          <w:lang w:val="fr-FR"/>
        </w:rPr>
        <w:t>– Partie I: Considérations générales</w:t>
      </w:r>
      <w:r w:rsidR="00FF69D0" w:rsidRPr="00FF69D0">
        <w:rPr>
          <w:lang w:val="fr-FR"/>
        </w:rPr>
        <w:t>;</w:t>
      </w:r>
    </w:p>
    <w:p w14:paraId="3CFFE50E" w14:textId="69A33A8D" w:rsidR="007F5689" w:rsidRPr="00FF69D0" w:rsidRDefault="007F5689" w:rsidP="003F7052">
      <w:pPr>
        <w:pStyle w:val="enumlev1"/>
        <w:rPr>
          <w:lang w:val="fr-FR"/>
        </w:rPr>
      </w:pPr>
      <w:r w:rsidRPr="00FF69D0">
        <w:rPr>
          <w:i/>
          <w:iCs/>
          <w:lang w:val="fr-FR"/>
        </w:rPr>
        <w:t>h)</w:t>
      </w:r>
      <w:r w:rsidRPr="00FF69D0">
        <w:rPr>
          <w:lang w:val="fr-FR"/>
        </w:rPr>
        <w:tab/>
      </w:r>
      <w:r w:rsidR="00C42E9A" w:rsidRPr="00FF69D0">
        <w:rPr>
          <w:lang w:val="fr-FR"/>
        </w:rPr>
        <w:t>contribuer activement à assurer une coordination entre les activités de l'UIT-T, en particulier sur les questions de normalisation étudiées par plusieurs commissions d'études;</w:t>
      </w:r>
    </w:p>
    <w:p w14:paraId="400313BE" w14:textId="7197D80B" w:rsidR="007F5689" w:rsidRPr="00FF69D0" w:rsidRDefault="007F5689" w:rsidP="003F7052">
      <w:pPr>
        <w:pStyle w:val="enumlev2"/>
        <w:rPr>
          <w:highlight w:val="yellow"/>
          <w:lang w:val="fr-FR"/>
        </w:rPr>
      </w:pPr>
      <w:r w:rsidRPr="00FF69D0">
        <w:rPr>
          <w:lang w:val="fr-FR"/>
        </w:rPr>
        <w:t>•</w:t>
      </w:r>
      <w:r w:rsidRPr="00FF69D0">
        <w:rPr>
          <w:lang w:val="fr-FR"/>
        </w:rPr>
        <w:tab/>
      </w:r>
      <w:r w:rsidR="00C42E9A" w:rsidRPr="00FF69D0">
        <w:rPr>
          <w:lang w:val="fr-FR"/>
        </w:rPr>
        <w:t>voir les paragraphes</w:t>
      </w:r>
      <w:r w:rsidRPr="00FF69D0">
        <w:rPr>
          <w:lang w:val="fr-FR"/>
        </w:rPr>
        <w:t xml:space="preserve"> 2, 3.2, 3.3 </w:t>
      </w:r>
      <w:r w:rsidR="00C42E9A" w:rsidRPr="00FF69D0">
        <w:rPr>
          <w:lang w:val="fr-FR"/>
        </w:rPr>
        <w:t>et</w:t>
      </w:r>
      <w:r w:rsidRPr="00FF69D0">
        <w:rPr>
          <w:lang w:val="fr-FR"/>
        </w:rPr>
        <w:t xml:space="preserve"> 3.4.1 </w:t>
      </w:r>
      <w:r w:rsidR="00C42E9A" w:rsidRPr="00FF69D0">
        <w:rPr>
          <w:lang w:val="fr-FR"/>
        </w:rPr>
        <w:t xml:space="preserve">du </w:t>
      </w:r>
      <w:hyperlink r:id="rId22" w:history="1">
        <w:r w:rsidRPr="00FF69D0">
          <w:rPr>
            <w:rStyle w:val="Hyperlink"/>
            <w:lang w:val="fr-FR"/>
          </w:rPr>
          <w:t>D</w:t>
        </w:r>
        <w:r w:rsidR="00C42E9A" w:rsidRPr="00FF69D0">
          <w:rPr>
            <w:rStyle w:val="Hyperlink"/>
            <w:lang w:val="fr-FR"/>
          </w:rPr>
          <w:t>ocument 2</w:t>
        </w:r>
        <w:r w:rsidRPr="00FF69D0">
          <w:rPr>
            <w:rStyle w:val="Hyperlink"/>
            <w:lang w:val="fr-FR"/>
          </w:rPr>
          <w:t>4</w:t>
        </w:r>
      </w:hyperlink>
      <w:r w:rsidRPr="00FF69D0">
        <w:rPr>
          <w:lang w:val="fr-FR"/>
        </w:rPr>
        <w:t xml:space="preserve"> </w:t>
      </w:r>
      <w:r w:rsidR="00C42E9A" w:rsidRPr="00FF69D0">
        <w:rPr>
          <w:lang w:val="fr-FR"/>
        </w:rPr>
        <w:t>– Rapport du GCNT – Partie I: Considérations générales</w:t>
      </w:r>
      <w:r w:rsidR="00FF69D0" w:rsidRPr="00FF69D0">
        <w:rPr>
          <w:lang w:val="fr-FR"/>
        </w:rPr>
        <w:t>;</w:t>
      </w:r>
    </w:p>
    <w:p w14:paraId="511928B4" w14:textId="2DB75E76" w:rsidR="007F5689" w:rsidRPr="00FF69D0" w:rsidRDefault="007F5689" w:rsidP="003F7052">
      <w:pPr>
        <w:pStyle w:val="enumlev1"/>
        <w:rPr>
          <w:lang w:val="fr-FR"/>
        </w:rPr>
      </w:pPr>
      <w:r w:rsidRPr="00FF69D0">
        <w:rPr>
          <w:i/>
          <w:iCs/>
          <w:lang w:val="fr-FR"/>
        </w:rPr>
        <w:t>i)</w:t>
      </w:r>
      <w:r w:rsidRPr="00FF69D0">
        <w:rPr>
          <w:lang w:val="fr-FR"/>
        </w:rPr>
        <w:tab/>
      </w:r>
      <w:r w:rsidR="00C42E9A" w:rsidRPr="00FF69D0">
        <w:rPr>
          <w:lang w:val="fr-FR"/>
        </w:rPr>
        <w:t xml:space="preserve">examiner les rapports et les propositions appropriées soumis par les groupes de coordination et les autres groupes, et mettre en </w:t>
      </w:r>
      <w:r w:rsidR="0022596B" w:rsidRPr="00FF69D0">
        <w:rPr>
          <w:lang w:val="fr-FR"/>
        </w:rPr>
        <w:t xml:space="preserve">œuvre </w:t>
      </w:r>
      <w:r w:rsidR="00C42E9A" w:rsidRPr="00FF69D0">
        <w:rPr>
          <w:lang w:val="fr-FR"/>
        </w:rPr>
        <w:t>ceux qui sont approuvés</w:t>
      </w:r>
      <w:r w:rsidRPr="00FF69D0">
        <w:rPr>
          <w:lang w:val="fr-FR"/>
        </w:rPr>
        <w:t>;</w:t>
      </w:r>
    </w:p>
    <w:p w14:paraId="4D3B6292" w14:textId="0A93CC21" w:rsidR="007F5689" w:rsidRPr="00FF69D0" w:rsidRDefault="007F5689" w:rsidP="003F7052">
      <w:pPr>
        <w:pStyle w:val="enumlev2"/>
        <w:rPr>
          <w:highlight w:val="yellow"/>
          <w:lang w:val="fr-FR"/>
        </w:rPr>
      </w:pPr>
      <w:r w:rsidRPr="00FF69D0">
        <w:rPr>
          <w:lang w:val="fr-FR"/>
        </w:rPr>
        <w:t>•</w:t>
      </w:r>
      <w:r w:rsidRPr="00FF69D0">
        <w:rPr>
          <w:lang w:val="fr-FR"/>
        </w:rPr>
        <w:tab/>
      </w:r>
      <w:r w:rsidR="00C42E9A" w:rsidRPr="00FF69D0">
        <w:rPr>
          <w:lang w:val="fr-FR"/>
        </w:rPr>
        <w:t>voir les paragraphes</w:t>
      </w:r>
      <w:r w:rsidRPr="00FF69D0">
        <w:rPr>
          <w:lang w:val="fr-FR"/>
        </w:rPr>
        <w:t xml:space="preserve"> 3.3</w:t>
      </w:r>
      <w:r w:rsidRPr="00FF69D0">
        <w:rPr>
          <w:lang w:val="fr-FR" w:eastAsia="ja-JP"/>
        </w:rPr>
        <w:t xml:space="preserve">, 3.4.8 </w:t>
      </w:r>
      <w:r w:rsidR="00C42E9A" w:rsidRPr="00FF69D0">
        <w:rPr>
          <w:lang w:val="fr-FR" w:eastAsia="ja-JP"/>
        </w:rPr>
        <w:t>et</w:t>
      </w:r>
      <w:r w:rsidRPr="00FF69D0">
        <w:rPr>
          <w:lang w:val="fr-FR" w:eastAsia="ja-JP"/>
        </w:rPr>
        <w:t xml:space="preserve"> 3.4.9</w:t>
      </w:r>
      <w:r w:rsidRPr="00FF69D0">
        <w:rPr>
          <w:lang w:val="fr-FR"/>
        </w:rPr>
        <w:t xml:space="preserve"> </w:t>
      </w:r>
      <w:r w:rsidR="00C42E9A" w:rsidRPr="00FF69D0">
        <w:rPr>
          <w:lang w:val="fr-FR"/>
        </w:rPr>
        <w:t xml:space="preserve">du </w:t>
      </w:r>
      <w:hyperlink r:id="rId23" w:history="1">
        <w:r w:rsidRPr="00FF69D0">
          <w:rPr>
            <w:rStyle w:val="Hyperlink"/>
            <w:lang w:val="fr-FR"/>
          </w:rPr>
          <w:t>D</w:t>
        </w:r>
        <w:r w:rsidR="00C42E9A" w:rsidRPr="00FF69D0">
          <w:rPr>
            <w:rStyle w:val="Hyperlink"/>
            <w:lang w:val="fr-FR"/>
          </w:rPr>
          <w:t>ocument 2</w:t>
        </w:r>
        <w:r w:rsidRPr="00FF69D0">
          <w:rPr>
            <w:rStyle w:val="Hyperlink"/>
            <w:lang w:val="fr-FR"/>
          </w:rPr>
          <w:t>4</w:t>
        </w:r>
      </w:hyperlink>
      <w:r w:rsidRPr="00FF69D0">
        <w:rPr>
          <w:lang w:val="fr-FR"/>
        </w:rPr>
        <w:t xml:space="preserve"> </w:t>
      </w:r>
      <w:r w:rsidR="00C42E9A" w:rsidRPr="00FF69D0">
        <w:rPr>
          <w:lang w:val="fr-FR"/>
        </w:rPr>
        <w:t>– Rapport du GCNT – Partie I: Considérations générales</w:t>
      </w:r>
      <w:r w:rsidR="00FF69D0" w:rsidRPr="00FF69D0">
        <w:rPr>
          <w:lang w:val="fr-FR"/>
        </w:rPr>
        <w:t>;</w:t>
      </w:r>
    </w:p>
    <w:p w14:paraId="7A416B6E" w14:textId="6A277F0C" w:rsidR="007F5689" w:rsidRPr="00FF69D0" w:rsidRDefault="007F5689" w:rsidP="003F7052">
      <w:pPr>
        <w:pStyle w:val="enumlev1"/>
        <w:rPr>
          <w:lang w:val="fr-FR"/>
        </w:rPr>
      </w:pPr>
      <w:r w:rsidRPr="00FF69D0">
        <w:rPr>
          <w:i/>
          <w:iCs/>
          <w:lang w:val="fr-FR"/>
        </w:rPr>
        <w:t>j)</w:t>
      </w:r>
      <w:r w:rsidRPr="00FF69D0">
        <w:rPr>
          <w:lang w:val="fr-FR"/>
        </w:rPr>
        <w:tab/>
      </w:r>
      <w:r w:rsidR="00C42E9A" w:rsidRPr="00FF69D0">
        <w:rPr>
          <w:lang w:val="fr-FR"/>
        </w:rPr>
        <w:t>recenser les besoins et déterminer les modifications qu'il convient d'apporter en cas de chevauchement des travaux, ce qui consiste, notamment, à charger une commission d'études de diriger les travaux de coordination</w:t>
      </w:r>
      <w:r w:rsidRPr="00FF69D0">
        <w:rPr>
          <w:lang w:val="fr-FR"/>
        </w:rPr>
        <w:t>;</w:t>
      </w:r>
    </w:p>
    <w:p w14:paraId="3AC3467C" w14:textId="2E312977" w:rsidR="007F5689" w:rsidRPr="00FF69D0" w:rsidRDefault="007F5689" w:rsidP="003F7052">
      <w:pPr>
        <w:pStyle w:val="enumlev2"/>
        <w:rPr>
          <w:highlight w:val="yellow"/>
          <w:lang w:val="fr-FR"/>
        </w:rPr>
      </w:pPr>
      <w:r w:rsidRPr="00FF69D0">
        <w:rPr>
          <w:lang w:val="fr-FR"/>
        </w:rPr>
        <w:t>•</w:t>
      </w:r>
      <w:r w:rsidRPr="00FF69D0">
        <w:rPr>
          <w:lang w:val="fr-FR"/>
        </w:rPr>
        <w:tab/>
      </w:r>
      <w:r w:rsidR="00C42E9A" w:rsidRPr="00FF69D0">
        <w:rPr>
          <w:lang w:val="fr-FR"/>
        </w:rPr>
        <w:t>voir les paragraphes</w:t>
      </w:r>
      <w:r w:rsidRPr="00FF69D0">
        <w:rPr>
          <w:lang w:val="fr-FR"/>
        </w:rPr>
        <w:t xml:space="preserve"> 2, 3.2, 3.3 </w:t>
      </w:r>
      <w:r w:rsidR="00C42E9A" w:rsidRPr="00FF69D0">
        <w:rPr>
          <w:lang w:val="fr-FR"/>
        </w:rPr>
        <w:t>et</w:t>
      </w:r>
      <w:r w:rsidRPr="00FF69D0">
        <w:rPr>
          <w:lang w:val="fr-FR"/>
        </w:rPr>
        <w:t xml:space="preserve"> 3.4.1 </w:t>
      </w:r>
      <w:r w:rsidR="00C42E9A" w:rsidRPr="00FF69D0">
        <w:rPr>
          <w:lang w:val="fr-FR"/>
        </w:rPr>
        <w:t xml:space="preserve">du </w:t>
      </w:r>
      <w:hyperlink r:id="rId24" w:history="1">
        <w:r w:rsidRPr="00FF69D0">
          <w:rPr>
            <w:rStyle w:val="Hyperlink"/>
            <w:lang w:val="fr-FR"/>
          </w:rPr>
          <w:t>D</w:t>
        </w:r>
        <w:r w:rsidR="00C42E9A" w:rsidRPr="00FF69D0">
          <w:rPr>
            <w:rStyle w:val="Hyperlink"/>
            <w:lang w:val="fr-FR"/>
          </w:rPr>
          <w:t>ocument 2</w:t>
        </w:r>
        <w:r w:rsidRPr="00FF69D0">
          <w:rPr>
            <w:rStyle w:val="Hyperlink"/>
            <w:lang w:val="fr-FR"/>
          </w:rPr>
          <w:t>4</w:t>
        </w:r>
      </w:hyperlink>
      <w:r w:rsidRPr="00FF69D0">
        <w:rPr>
          <w:lang w:val="fr-FR"/>
        </w:rPr>
        <w:t xml:space="preserve"> </w:t>
      </w:r>
      <w:r w:rsidR="00C42E9A" w:rsidRPr="00FF69D0">
        <w:rPr>
          <w:lang w:val="fr-FR"/>
        </w:rPr>
        <w:t>– Rapport du GCNT – Partie I: Considérations générales</w:t>
      </w:r>
      <w:r w:rsidR="00FF69D0" w:rsidRPr="00FF69D0">
        <w:rPr>
          <w:lang w:val="fr-FR"/>
        </w:rPr>
        <w:t>;</w:t>
      </w:r>
    </w:p>
    <w:p w14:paraId="7073CFB2" w14:textId="3F051B34" w:rsidR="007F5689" w:rsidRPr="00FF69D0" w:rsidRDefault="007F5689" w:rsidP="003F7052">
      <w:pPr>
        <w:pStyle w:val="enumlev1"/>
        <w:rPr>
          <w:lang w:val="fr-FR"/>
        </w:rPr>
      </w:pPr>
      <w:r w:rsidRPr="00FF69D0">
        <w:rPr>
          <w:i/>
          <w:iCs/>
          <w:lang w:val="fr-FR"/>
        </w:rPr>
        <w:t>k)</w:t>
      </w:r>
      <w:r w:rsidRPr="00FF69D0">
        <w:rPr>
          <w:lang w:val="fr-FR"/>
        </w:rPr>
        <w:tab/>
      </w:r>
      <w:r w:rsidR="00C42E9A" w:rsidRPr="00FF69D0">
        <w:rPr>
          <w:lang w:val="fr-FR"/>
        </w:rPr>
        <w:t>établir le mécanisme approprié et encourager l'utilisation, par exemple, des groupes de coordination ou d'autres groupes, pour l'examen de sujets d'étude de première</w:t>
      </w:r>
      <w:r w:rsidR="001E78D7" w:rsidRPr="00FF69D0">
        <w:rPr>
          <w:lang w:val="fr-FR"/>
        </w:rPr>
        <w:t> </w:t>
      </w:r>
      <w:r w:rsidR="00C42E9A" w:rsidRPr="00FF69D0">
        <w:rPr>
          <w:lang w:val="fr-FR"/>
        </w:rPr>
        <w:t>importance intéressant plusieurs commissions d'études, afin d'assurer une coordination efficace des questions de normalisation et de trouver ainsi des solutions appropriées à l'échelle mondiale</w:t>
      </w:r>
      <w:r w:rsidRPr="00FF69D0">
        <w:rPr>
          <w:lang w:val="fr-FR"/>
        </w:rPr>
        <w:t>;</w:t>
      </w:r>
    </w:p>
    <w:p w14:paraId="25F3D8E6" w14:textId="27CB8235" w:rsidR="007F5689" w:rsidRPr="00FF69D0" w:rsidRDefault="007F5689" w:rsidP="003F7052">
      <w:pPr>
        <w:pStyle w:val="enumlev2"/>
        <w:rPr>
          <w:highlight w:val="yellow"/>
          <w:lang w:val="fr-FR"/>
        </w:rPr>
      </w:pPr>
      <w:r w:rsidRPr="00FF69D0">
        <w:rPr>
          <w:lang w:val="fr-FR"/>
        </w:rPr>
        <w:t>•</w:t>
      </w:r>
      <w:r w:rsidRPr="00FF69D0">
        <w:rPr>
          <w:lang w:val="fr-FR"/>
        </w:rPr>
        <w:tab/>
      </w:r>
      <w:r w:rsidR="00C42E9A" w:rsidRPr="00FF69D0">
        <w:rPr>
          <w:lang w:val="fr-FR"/>
        </w:rPr>
        <w:t>voir les paragraphes</w:t>
      </w:r>
      <w:r w:rsidRPr="00FF69D0">
        <w:rPr>
          <w:lang w:val="fr-FR"/>
        </w:rPr>
        <w:t xml:space="preserve"> 2, 3.2, 3.3 </w:t>
      </w:r>
      <w:r w:rsidR="00C42E9A" w:rsidRPr="00FF69D0">
        <w:rPr>
          <w:lang w:val="fr-FR"/>
        </w:rPr>
        <w:t>et</w:t>
      </w:r>
      <w:r w:rsidRPr="00FF69D0">
        <w:rPr>
          <w:lang w:val="fr-FR"/>
        </w:rPr>
        <w:t xml:space="preserve"> 3.4.1 </w:t>
      </w:r>
      <w:r w:rsidR="00C42E9A" w:rsidRPr="00FF69D0">
        <w:rPr>
          <w:lang w:val="fr-FR"/>
        </w:rPr>
        <w:t xml:space="preserve">du </w:t>
      </w:r>
      <w:hyperlink r:id="rId25" w:history="1">
        <w:r w:rsidRPr="00FF69D0">
          <w:rPr>
            <w:rStyle w:val="Hyperlink"/>
            <w:lang w:val="fr-FR"/>
          </w:rPr>
          <w:t>D</w:t>
        </w:r>
        <w:r w:rsidR="00C42E9A" w:rsidRPr="00FF69D0">
          <w:rPr>
            <w:rStyle w:val="Hyperlink"/>
            <w:lang w:val="fr-FR"/>
          </w:rPr>
          <w:t>ocument 2</w:t>
        </w:r>
        <w:r w:rsidRPr="00FF69D0">
          <w:rPr>
            <w:rStyle w:val="Hyperlink"/>
            <w:lang w:val="fr-FR"/>
          </w:rPr>
          <w:t>4</w:t>
        </w:r>
      </w:hyperlink>
      <w:r w:rsidRPr="00FF69D0">
        <w:rPr>
          <w:lang w:val="fr-FR"/>
        </w:rPr>
        <w:t xml:space="preserve"> </w:t>
      </w:r>
      <w:r w:rsidR="00C42E9A" w:rsidRPr="00FF69D0">
        <w:rPr>
          <w:lang w:val="fr-FR"/>
        </w:rPr>
        <w:t>– Rapport du GCNT – Partie I: Considérations générales</w:t>
      </w:r>
      <w:r w:rsidR="00FF69D0" w:rsidRPr="00FF69D0">
        <w:rPr>
          <w:lang w:val="fr-FR"/>
        </w:rPr>
        <w:t>;</w:t>
      </w:r>
    </w:p>
    <w:p w14:paraId="16D4C580" w14:textId="7C7A102B" w:rsidR="007F5689" w:rsidRPr="00FF69D0" w:rsidRDefault="007F5689" w:rsidP="003F7052">
      <w:pPr>
        <w:pStyle w:val="enumlev1"/>
        <w:rPr>
          <w:lang w:val="fr-FR"/>
        </w:rPr>
      </w:pPr>
      <w:r w:rsidRPr="00FF69D0">
        <w:rPr>
          <w:i/>
          <w:iCs/>
          <w:lang w:val="fr-FR"/>
        </w:rPr>
        <w:t>l)</w:t>
      </w:r>
      <w:r w:rsidRPr="00FF69D0">
        <w:rPr>
          <w:lang w:val="fr-FR"/>
        </w:rPr>
        <w:tab/>
      </w:r>
      <w:r w:rsidR="00C42E9A" w:rsidRPr="00FF69D0">
        <w:rPr>
          <w:lang w:val="fr-FR"/>
        </w:rPr>
        <w:t>examiner les progrès accomplis dans l'exécution du programme de travail de l'UIT-T, notamment en encourageant la coordination et la collaboration avec les autres organismes concernées, par exemple des organisations de normalisation, des forums et des consortiums extérieurs à l'UIT</w:t>
      </w:r>
      <w:r w:rsidRPr="00FF69D0">
        <w:rPr>
          <w:lang w:val="fr-FR"/>
        </w:rPr>
        <w:t>;</w:t>
      </w:r>
    </w:p>
    <w:p w14:paraId="7BA98016" w14:textId="01193733" w:rsidR="007F5689" w:rsidRPr="00FF69D0" w:rsidRDefault="007F5689" w:rsidP="003F7052">
      <w:pPr>
        <w:pStyle w:val="enumlev2"/>
        <w:rPr>
          <w:highlight w:val="yellow"/>
          <w:lang w:val="fr-FR"/>
        </w:rPr>
      </w:pPr>
      <w:r w:rsidRPr="00FF69D0">
        <w:rPr>
          <w:lang w:val="fr-FR"/>
        </w:rPr>
        <w:t>•</w:t>
      </w:r>
      <w:r w:rsidRPr="00FF69D0">
        <w:rPr>
          <w:lang w:val="fr-FR"/>
        </w:rPr>
        <w:tab/>
      </w:r>
      <w:r w:rsidR="00C42E9A" w:rsidRPr="00FF69D0">
        <w:rPr>
          <w:lang w:val="fr-FR"/>
        </w:rPr>
        <w:t>voir les paragraphes</w:t>
      </w:r>
      <w:r w:rsidRPr="00FF69D0">
        <w:rPr>
          <w:lang w:val="fr-FR"/>
        </w:rPr>
        <w:t xml:space="preserve"> 2, 3.2, 3.3</w:t>
      </w:r>
      <w:r w:rsidRPr="00FF69D0">
        <w:rPr>
          <w:lang w:val="fr-FR" w:eastAsia="ja-JP"/>
        </w:rPr>
        <w:t xml:space="preserve">, 3.4.8 </w:t>
      </w:r>
      <w:r w:rsidR="00C42E9A" w:rsidRPr="00FF69D0">
        <w:rPr>
          <w:lang w:val="fr-FR" w:eastAsia="ja-JP"/>
        </w:rPr>
        <w:t>et</w:t>
      </w:r>
      <w:r w:rsidRPr="00FF69D0">
        <w:rPr>
          <w:lang w:val="fr-FR" w:eastAsia="ja-JP"/>
        </w:rPr>
        <w:t xml:space="preserve"> 3.4.9</w:t>
      </w:r>
      <w:r w:rsidRPr="00FF69D0">
        <w:rPr>
          <w:lang w:val="fr-FR"/>
        </w:rPr>
        <w:t xml:space="preserve"> </w:t>
      </w:r>
      <w:r w:rsidR="00C42E9A" w:rsidRPr="00FF69D0">
        <w:rPr>
          <w:lang w:val="fr-FR"/>
        </w:rPr>
        <w:t xml:space="preserve">du </w:t>
      </w:r>
      <w:hyperlink r:id="rId26" w:history="1">
        <w:r w:rsidRPr="00FF69D0">
          <w:rPr>
            <w:rStyle w:val="Hyperlink"/>
            <w:lang w:val="fr-FR"/>
          </w:rPr>
          <w:t>D</w:t>
        </w:r>
        <w:r w:rsidR="00C42E9A" w:rsidRPr="00FF69D0">
          <w:rPr>
            <w:rStyle w:val="Hyperlink"/>
            <w:lang w:val="fr-FR"/>
          </w:rPr>
          <w:t>ocument 2</w:t>
        </w:r>
        <w:r w:rsidRPr="00FF69D0">
          <w:rPr>
            <w:rStyle w:val="Hyperlink"/>
            <w:lang w:val="fr-FR"/>
          </w:rPr>
          <w:t>4</w:t>
        </w:r>
      </w:hyperlink>
      <w:r w:rsidRPr="00FF69D0">
        <w:rPr>
          <w:lang w:val="fr-FR"/>
        </w:rPr>
        <w:t xml:space="preserve"> </w:t>
      </w:r>
      <w:r w:rsidR="00C42E9A" w:rsidRPr="00FF69D0">
        <w:rPr>
          <w:lang w:val="fr-FR"/>
        </w:rPr>
        <w:t>– Rapport du GCNT – Partie I: Considérations générales</w:t>
      </w:r>
      <w:r w:rsidR="00FF69D0" w:rsidRPr="00FF69D0">
        <w:rPr>
          <w:lang w:val="fr-FR"/>
        </w:rPr>
        <w:t>;</w:t>
      </w:r>
    </w:p>
    <w:p w14:paraId="30A3BBDD" w14:textId="112452EB" w:rsidR="007F5689" w:rsidRPr="00FF69D0" w:rsidRDefault="007F5689" w:rsidP="003F7052">
      <w:pPr>
        <w:pStyle w:val="enumlev1"/>
        <w:rPr>
          <w:lang w:val="fr-FR"/>
        </w:rPr>
      </w:pPr>
      <w:r w:rsidRPr="00FF69D0">
        <w:rPr>
          <w:i/>
          <w:iCs/>
          <w:lang w:val="fr-FR"/>
        </w:rPr>
        <w:t>m)</w:t>
      </w:r>
      <w:r w:rsidRPr="00FF69D0">
        <w:rPr>
          <w:lang w:val="fr-FR"/>
        </w:rPr>
        <w:tab/>
      </w:r>
      <w:r w:rsidR="00C42E9A" w:rsidRPr="00FF69D0">
        <w:rPr>
          <w:lang w:val="fr-FR"/>
        </w:rPr>
        <w:t>assurer une coopération et une coordination avec l'UIT-R et l'UIT-D ainsi qu'avec d'autres organismes de normalisation extérieurs</w:t>
      </w:r>
      <w:r w:rsidRPr="00FF69D0">
        <w:rPr>
          <w:lang w:val="fr-FR"/>
        </w:rPr>
        <w:t>;</w:t>
      </w:r>
    </w:p>
    <w:p w14:paraId="146AC81B" w14:textId="7A63B979" w:rsidR="007F5689" w:rsidRPr="00FF69D0" w:rsidRDefault="007F5689" w:rsidP="003F7052">
      <w:pPr>
        <w:pStyle w:val="enumlev2"/>
        <w:rPr>
          <w:highlight w:val="yellow"/>
          <w:lang w:val="fr-FR"/>
        </w:rPr>
      </w:pPr>
      <w:r w:rsidRPr="00FF69D0">
        <w:rPr>
          <w:lang w:val="fr-FR"/>
        </w:rPr>
        <w:t>•</w:t>
      </w:r>
      <w:r w:rsidRPr="00FF69D0">
        <w:rPr>
          <w:lang w:val="fr-FR"/>
        </w:rPr>
        <w:tab/>
      </w:r>
      <w:r w:rsidR="00C42E9A" w:rsidRPr="00FF69D0">
        <w:rPr>
          <w:lang w:val="fr-FR"/>
        </w:rPr>
        <w:t>voir les paragraphes</w:t>
      </w:r>
      <w:r w:rsidRPr="00FF69D0">
        <w:rPr>
          <w:lang w:val="fr-FR"/>
        </w:rPr>
        <w:t xml:space="preserve"> 3.3</w:t>
      </w:r>
      <w:r w:rsidRPr="00FF69D0">
        <w:rPr>
          <w:lang w:val="fr-FR" w:eastAsia="ja-JP"/>
        </w:rPr>
        <w:t xml:space="preserve">, 3.4.8 </w:t>
      </w:r>
      <w:r w:rsidR="00C42E9A" w:rsidRPr="00FF69D0">
        <w:rPr>
          <w:lang w:val="fr-FR" w:eastAsia="ja-JP"/>
        </w:rPr>
        <w:t>et</w:t>
      </w:r>
      <w:r w:rsidRPr="00FF69D0">
        <w:rPr>
          <w:lang w:val="fr-FR" w:eastAsia="ja-JP"/>
        </w:rPr>
        <w:t xml:space="preserve"> 3.4.9</w:t>
      </w:r>
      <w:r w:rsidRPr="00FF69D0">
        <w:rPr>
          <w:lang w:val="fr-FR"/>
        </w:rPr>
        <w:t xml:space="preserve"> </w:t>
      </w:r>
      <w:r w:rsidR="00C42E9A" w:rsidRPr="00FF69D0">
        <w:rPr>
          <w:lang w:val="fr-FR"/>
        </w:rPr>
        <w:t xml:space="preserve">du </w:t>
      </w:r>
      <w:hyperlink r:id="rId27" w:history="1">
        <w:r w:rsidRPr="00FF69D0">
          <w:rPr>
            <w:rStyle w:val="Hyperlink"/>
            <w:lang w:val="fr-FR"/>
          </w:rPr>
          <w:t>D</w:t>
        </w:r>
        <w:r w:rsidR="00C42E9A" w:rsidRPr="00FF69D0">
          <w:rPr>
            <w:rStyle w:val="Hyperlink"/>
            <w:lang w:val="fr-FR"/>
          </w:rPr>
          <w:t>ocument 2</w:t>
        </w:r>
        <w:r w:rsidRPr="00FF69D0">
          <w:rPr>
            <w:rStyle w:val="Hyperlink"/>
            <w:lang w:val="fr-FR"/>
          </w:rPr>
          <w:t>4</w:t>
        </w:r>
      </w:hyperlink>
      <w:r w:rsidRPr="00FF69D0">
        <w:rPr>
          <w:lang w:val="fr-FR"/>
        </w:rPr>
        <w:t xml:space="preserve"> </w:t>
      </w:r>
      <w:r w:rsidR="00C42E9A" w:rsidRPr="00FF69D0">
        <w:rPr>
          <w:lang w:val="fr-FR"/>
        </w:rPr>
        <w:t>– Rapport du GCNT – Partie I: Considérations générales</w:t>
      </w:r>
      <w:r w:rsidR="00FF69D0" w:rsidRPr="00FF69D0">
        <w:rPr>
          <w:lang w:val="fr-FR"/>
        </w:rPr>
        <w:t>;</w:t>
      </w:r>
    </w:p>
    <w:p w14:paraId="5F8B7DD6" w14:textId="6F5030C4" w:rsidR="007F5689" w:rsidRPr="00FF69D0" w:rsidRDefault="007F5689" w:rsidP="003F7052">
      <w:pPr>
        <w:pStyle w:val="enumlev1"/>
        <w:rPr>
          <w:lang w:val="fr-FR"/>
        </w:rPr>
      </w:pPr>
      <w:r w:rsidRPr="00FF69D0">
        <w:rPr>
          <w:i/>
          <w:iCs/>
          <w:lang w:val="fr-FR"/>
        </w:rPr>
        <w:t>n)</w:t>
      </w:r>
      <w:r w:rsidRPr="00FF69D0">
        <w:rPr>
          <w:lang w:val="fr-FR"/>
        </w:rPr>
        <w:tab/>
      </w:r>
      <w:r w:rsidR="00C42E9A" w:rsidRPr="00FF69D0">
        <w:rPr>
          <w:lang w:val="fr-FR"/>
        </w:rPr>
        <w:t>donner des avis au Directeur du TSB sur les questions financières et autres</w:t>
      </w:r>
      <w:r w:rsidRPr="00FF69D0">
        <w:rPr>
          <w:lang w:val="fr-FR"/>
        </w:rPr>
        <w:t>;</w:t>
      </w:r>
    </w:p>
    <w:p w14:paraId="05676645" w14:textId="5166E7A0" w:rsidR="007F5689" w:rsidRPr="00FF69D0" w:rsidRDefault="007F5689" w:rsidP="003F7052">
      <w:pPr>
        <w:pStyle w:val="enumlev2"/>
        <w:rPr>
          <w:highlight w:val="yellow"/>
          <w:lang w:val="fr-FR"/>
        </w:rPr>
      </w:pPr>
      <w:r w:rsidRPr="00FF69D0">
        <w:rPr>
          <w:lang w:val="fr-FR"/>
        </w:rPr>
        <w:t>•</w:t>
      </w:r>
      <w:r w:rsidRPr="00FF69D0">
        <w:rPr>
          <w:lang w:val="fr-FR"/>
        </w:rPr>
        <w:tab/>
      </w:r>
      <w:r w:rsidR="00C42E9A" w:rsidRPr="00FF69D0">
        <w:rPr>
          <w:lang w:val="fr-FR"/>
        </w:rPr>
        <w:t>voir les paragraphes</w:t>
      </w:r>
      <w:r w:rsidRPr="00FF69D0">
        <w:rPr>
          <w:lang w:val="fr-FR"/>
        </w:rPr>
        <w:t xml:space="preserve"> 3.2 </w:t>
      </w:r>
      <w:r w:rsidR="00C42E9A" w:rsidRPr="00FF69D0">
        <w:rPr>
          <w:lang w:val="fr-FR"/>
        </w:rPr>
        <w:t>et</w:t>
      </w:r>
      <w:r w:rsidRPr="00FF69D0">
        <w:rPr>
          <w:lang w:val="fr-FR"/>
        </w:rPr>
        <w:t xml:space="preserve"> 3.4.7 </w:t>
      </w:r>
      <w:r w:rsidR="00C42E9A" w:rsidRPr="00FF69D0">
        <w:rPr>
          <w:lang w:val="fr-FR"/>
        </w:rPr>
        <w:t xml:space="preserve">du </w:t>
      </w:r>
      <w:hyperlink r:id="rId28" w:history="1">
        <w:r w:rsidRPr="00FF69D0">
          <w:rPr>
            <w:rStyle w:val="Hyperlink"/>
            <w:lang w:val="fr-FR"/>
          </w:rPr>
          <w:t>D</w:t>
        </w:r>
        <w:r w:rsidR="00C42E9A" w:rsidRPr="00FF69D0">
          <w:rPr>
            <w:rStyle w:val="Hyperlink"/>
            <w:lang w:val="fr-FR"/>
          </w:rPr>
          <w:t>ocument 2</w:t>
        </w:r>
        <w:r w:rsidRPr="00FF69D0">
          <w:rPr>
            <w:rStyle w:val="Hyperlink"/>
            <w:lang w:val="fr-FR"/>
          </w:rPr>
          <w:t>4</w:t>
        </w:r>
      </w:hyperlink>
      <w:r w:rsidRPr="00FF69D0">
        <w:rPr>
          <w:lang w:val="fr-FR"/>
        </w:rPr>
        <w:t xml:space="preserve"> </w:t>
      </w:r>
      <w:r w:rsidR="00C42E9A" w:rsidRPr="00FF69D0">
        <w:rPr>
          <w:lang w:val="fr-FR"/>
        </w:rPr>
        <w:t>– Rapport du GCNT – Partie I: Considérations générales</w:t>
      </w:r>
      <w:r w:rsidRPr="00FF69D0">
        <w:rPr>
          <w:lang w:val="fr-FR"/>
        </w:rPr>
        <w:t xml:space="preserve"> </w:t>
      </w:r>
      <w:r w:rsidR="00C42E9A" w:rsidRPr="00FF69D0">
        <w:rPr>
          <w:lang w:val="fr-FR"/>
        </w:rPr>
        <w:t xml:space="preserve">et </w:t>
      </w:r>
      <w:r w:rsidR="00151472" w:rsidRPr="00FF69D0">
        <w:rPr>
          <w:lang w:val="fr-FR"/>
        </w:rPr>
        <w:t>le</w:t>
      </w:r>
      <w:r w:rsidRPr="00FF69D0">
        <w:rPr>
          <w:lang w:val="fr-FR"/>
        </w:rPr>
        <w:t xml:space="preserve"> </w:t>
      </w:r>
      <w:hyperlink r:id="rId29" w:history="1">
        <w:r w:rsidRPr="00FF69D0">
          <w:rPr>
            <w:rStyle w:val="Hyperlink"/>
            <w:lang w:val="fr-FR"/>
          </w:rPr>
          <w:t>Doc</w:t>
        </w:r>
        <w:r w:rsidR="00C42E9A" w:rsidRPr="00FF69D0">
          <w:rPr>
            <w:rStyle w:val="Hyperlink"/>
            <w:lang w:val="fr-FR"/>
          </w:rPr>
          <w:t xml:space="preserve">ument </w:t>
        </w:r>
        <w:r w:rsidRPr="00FF69D0">
          <w:rPr>
            <w:rStyle w:val="Hyperlink"/>
            <w:lang w:val="fr-FR"/>
          </w:rPr>
          <w:t>30</w:t>
        </w:r>
      </w:hyperlink>
      <w:r w:rsidRPr="00FF69D0">
        <w:rPr>
          <w:lang w:val="fr-FR"/>
        </w:rPr>
        <w:t xml:space="preserve"> </w:t>
      </w:r>
      <w:r w:rsidR="00C42E9A" w:rsidRPr="00FF69D0">
        <w:rPr>
          <w:lang w:val="fr-FR"/>
        </w:rPr>
        <w:t>– Rapport sur les estimations des besoins financiers jusqu'à l'AMNT-28 et dépenses de l'UIT-T pendant la période</w:t>
      </w:r>
      <w:r w:rsidR="00BE634E" w:rsidRPr="00FF69D0">
        <w:rPr>
          <w:lang w:val="fr-FR"/>
        </w:rPr>
        <w:t> </w:t>
      </w:r>
      <w:r w:rsidR="00C42E9A" w:rsidRPr="00FF69D0">
        <w:rPr>
          <w:lang w:val="fr-FR"/>
        </w:rPr>
        <w:t>2022-2024</w:t>
      </w:r>
      <w:r w:rsidR="00FF69D0" w:rsidRPr="00FF69D0">
        <w:rPr>
          <w:lang w:val="fr-FR"/>
        </w:rPr>
        <w:t>;</w:t>
      </w:r>
    </w:p>
    <w:p w14:paraId="6ACB0B47" w14:textId="31B36957" w:rsidR="007F5689" w:rsidRPr="00FF69D0" w:rsidRDefault="007F5689" w:rsidP="003F7052">
      <w:pPr>
        <w:pStyle w:val="enumlev1"/>
        <w:rPr>
          <w:lang w:val="fr-FR"/>
        </w:rPr>
      </w:pPr>
      <w:r w:rsidRPr="00FF69D0">
        <w:rPr>
          <w:i/>
          <w:iCs/>
          <w:lang w:val="fr-FR"/>
        </w:rPr>
        <w:t>o)</w:t>
      </w:r>
      <w:r w:rsidRPr="00FF69D0">
        <w:rPr>
          <w:lang w:val="fr-FR"/>
        </w:rPr>
        <w:tab/>
      </w:r>
      <w:r w:rsidR="00C42E9A" w:rsidRPr="00FF69D0">
        <w:rPr>
          <w:lang w:val="fr-FR"/>
        </w:rPr>
        <w:t>approuver le programme de travail découlant de l'examen de Questions existantes ou nouvelles et déterminer la priorité, l'urgence, les incidences financières estimées et le délai imparti pour l'achèvement de leur étude</w:t>
      </w:r>
      <w:r w:rsidRPr="00FF69D0">
        <w:rPr>
          <w:lang w:val="fr-FR"/>
        </w:rPr>
        <w:t>;</w:t>
      </w:r>
    </w:p>
    <w:p w14:paraId="0A7C9510" w14:textId="2CB61ED3" w:rsidR="007F5689" w:rsidRPr="00FF69D0" w:rsidRDefault="007F5689" w:rsidP="003F7052">
      <w:pPr>
        <w:pStyle w:val="enumlev2"/>
        <w:rPr>
          <w:highlight w:val="yellow"/>
          <w:lang w:val="fr-FR"/>
        </w:rPr>
      </w:pPr>
      <w:r w:rsidRPr="00FF69D0">
        <w:rPr>
          <w:lang w:val="fr-FR"/>
        </w:rPr>
        <w:t>•</w:t>
      </w:r>
      <w:r w:rsidRPr="00FF69D0">
        <w:rPr>
          <w:lang w:val="fr-FR"/>
        </w:rPr>
        <w:tab/>
      </w:r>
      <w:r w:rsidR="00C42E9A" w:rsidRPr="00FF69D0">
        <w:rPr>
          <w:lang w:val="fr-FR"/>
        </w:rPr>
        <w:t>voir les paragraphes</w:t>
      </w:r>
      <w:r w:rsidRPr="00FF69D0">
        <w:rPr>
          <w:lang w:val="fr-FR"/>
        </w:rPr>
        <w:t xml:space="preserve"> 3.3</w:t>
      </w:r>
      <w:r w:rsidRPr="00FF69D0">
        <w:rPr>
          <w:lang w:val="fr-FR" w:eastAsia="ja-JP"/>
        </w:rPr>
        <w:t xml:space="preserve">, </w:t>
      </w:r>
      <w:r w:rsidRPr="00FF69D0">
        <w:rPr>
          <w:lang w:val="fr-FR"/>
        </w:rPr>
        <w:t>3.4.1</w:t>
      </w:r>
      <w:r w:rsidRPr="00FF69D0">
        <w:rPr>
          <w:lang w:val="fr-FR" w:eastAsia="ja-JP"/>
        </w:rPr>
        <w:t xml:space="preserve"> </w:t>
      </w:r>
      <w:r w:rsidR="00C42E9A" w:rsidRPr="00FF69D0">
        <w:rPr>
          <w:lang w:val="fr-FR" w:eastAsia="ja-JP"/>
        </w:rPr>
        <w:t>et</w:t>
      </w:r>
      <w:r w:rsidRPr="00FF69D0">
        <w:rPr>
          <w:lang w:val="fr-FR" w:eastAsia="ja-JP"/>
        </w:rPr>
        <w:t xml:space="preserve"> 3.4.7</w:t>
      </w:r>
      <w:r w:rsidRPr="00FF69D0">
        <w:rPr>
          <w:lang w:val="fr-FR"/>
        </w:rPr>
        <w:t xml:space="preserve"> </w:t>
      </w:r>
      <w:r w:rsidR="00C42E9A" w:rsidRPr="00FF69D0">
        <w:rPr>
          <w:lang w:val="fr-FR"/>
        </w:rPr>
        <w:t xml:space="preserve">du </w:t>
      </w:r>
      <w:hyperlink r:id="rId30" w:history="1">
        <w:r w:rsidRPr="00FF69D0">
          <w:rPr>
            <w:rStyle w:val="Hyperlink"/>
            <w:lang w:val="fr-FR"/>
          </w:rPr>
          <w:t>D</w:t>
        </w:r>
        <w:r w:rsidR="00C42E9A" w:rsidRPr="00FF69D0">
          <w:rPr>
            <w:rStyle w:val="Hyperlink"/>
            <w:lang w:val="fr-FR"/>
          </w:rPr>
          <w:t>ocument 2</w:t>
        </w:r>
        <w:r w:rsidRPr="00FF69D0">
          <w:rPr>
            <w:rStyle w:val="Hyperlink"/>
            <w:lang w:val="fr-FR"/>
          </w:rPr>
          <w:t>4</w:t>
        </w:r>
      </w:hyperlink>
      <w:r w:rsidRPr="00FF69D0">
        <w:rPr>
          <w:lang w:val="fr-FR"/>
        </w:rPr>
        <w:t xml:space="preserve"> </w:t>
      </w:r>
      <w:r w:rsidR="00C42E9A" w:rsidRPr="00FF69D0">
        <w:rPr>
          <w:lang w:val="fr-FR"/>
        </w:rPr>
        <w:t>– Rapport du GCNT – Partie I: Considérations générales</w:t>
      </w:r>
      <w:r w:rsidR="00FF69D0" w:rsidRPr="00FF69D0">
        <w:rPr>
          <w:lang w:val="fr-FR"/>
        </w:rPr>
        <w:t>;</w:t>
      </w:r>
    </w:p>
    <w:p w14:paraId="686F3A70" w14:textId="4C2EF808" w:rsidR="007F5689" w:rsidRPr="00FF69D0" w:rsidRDefault="007F5689" w:rsidP="003F7052">
      <w:pPr>
        <w:pStyle w:val="enumlev1"/>
        <w:rPr>
          <w:lang w:val="fr-FR"/>
        </w:rPr>
      </w:pPr>
      <w:r w:rsidRPr="00FF69D0">
        <w:rPr>
          <w:i/>
          <w:iCs/>
          <w:lang w:val="fr-FR"/>
        </w:rPr>
        <w:lastRenderedPageBreak/>
        <w:t>p)</w:t>
      </w:r>
      <w:r w:rsidRPr="00FF69D0">
        <w:rPr>
          <w:lang w:val="fr-FR"/>
        </w:rPr>
        <w:tab/>
      </w:r>
      <w:r w:rsidR="00C42E9A" w:rsidRPr="00FF69D0">
        <w:rPr>
          <w:lang w:val="fr-FR"/>
        </w:rPr>
        <w:t>regrouper, dans la mesure du possible, les Questions présentant de l'intérêt pour les pays en développement</w:t>
      </w:r>
      <w:r w:rsidRPr="00FF69D0">
        <w:rPr>
          <w:rStyle w:val="FootnoteReference"/>
          <w:lang w:val="fr-FR"/>
        </w:rPr>
        <w:footnoteReference w:customMarkFollows="1" w:id="1"/>
        <w:t>1</w:t>
      </w:r>
      <w:r w:rsidR="00C42E9A" w:rsidRPr="00FF69D0">
        <w:rPr>
          <w:lang w:val="fr-FR"/>
        </w:rPr>
        <w:t>, afin de faciliter leur participation à ces études</w:t>
      </w:r>
      <w:r w:rsidRPr="00FF69D0">
        <w:rPr>
          <w:lang w:val="fr-FR"/>
        </w:rPr>
        <w:t>;</w:t>
      </w:r>
    </w:p>
    <w:p w14:paraId="0E21BA4D" w14:textId="00EB0B1C" w:rsidR="007F5689" w:rsidRPr="00FF69D0" w:rsidRDefault="007F5689" w:rsidP="003F7052">
      <w:pPr>
        <w:pStyle w:val="enumlev2"/>
        <w:rPr>
          <w:highlight w:val="yellow"/>
          <w:lang w:val="fr-FR"/>
        </w:rPr>
      </w:pPr>
      <w:r w:rsidRPr="00FF69D0">
        <w:rPr>
          <w:lang w:val="fr-FR"/>
        </w:rPr>
        <w:t>•</w:t>
      </w:r>
      <w:r w:rsidRPr="00FF69D0">
        <w:rPr>
          <w:lang w:val="fr-FR"/>
        </w:rPr>
        <w:tab/>
      </w:r>
      <w:r w:rsidR="00C42E9A" w:rsidRPr="00FF69D0">
        <w:rPr>
          <w:lang w:val="fr-FR"/>
        </w:rPr>
        <w:t>voir le paragraphe</w:t>
      </w:r>
      <w:r w:rsidRPr="00FF69D0">
        <w:rPr>
          <w:lang w:val="fr-FR"/>
        </w:rPr>
        <w:t xml:space="preserve"> 3.4.3 </w:t>
      </w:r>
      <w:r w:rsidR="00C42E9A" w:rsidRPr="00FF69D0">
        <w:rPr>
          <w:lang w:val="fr-FR"/>
        </w:rPr>
        <w:t xml:space="preserve">du </w:t>
      </w:r>
      <w:hyperlink r:id="rId31" w:history="1">
        <w:r w:rsidRPr="00FF69D0">
          <w:rPr>
            <w:rStyle w:val="Hyperlink"/>
            <w:lang w:val="fr-FR"/>
          </w:rPr>
          <w:t>D</w:t>
        </w:r>
        <w:r w:rsidR="00C42E9A" w:rsidRPr="00FF69D0">
          <w:rPr>
            <w:rStyle w:val="Hyperlink"/>
            <w:lang w:val="fr-FR"/>
          </w:rPr>
          <w:t>ocument 2</w:t>
        </w:r>
        <w:r w:rsidRPr="00FF69D0">
          <w:rPr>
            <w:rStyle w:val="Hyperlink"/>
            <w:lang w:val="fr-FR"/>
          </w:rPr>
          <w:t>4</w:t>
        </w:r>
      </w:hyperlink>
      <w:r w:rsidRPr="00FF69D0">
        <w:rPr>
          <w:lang w:val="fr-FR"/>
        </w:rPr>
        <w:t xml:space="preserve"> </w:t>
      </w:r>
      <w:r w:rsidR="00C42E9A" w:rsidRPr="00FF69D0">
        <w:rPr>
          <w:lang w:val="fr-FR"/>
        </w:rPr>
        <w:t>– Rapport du GCNT – Partie I: Considérations générales</w:t>
      </w:r>
      <w:r w:rsidR="00FF69D0" w:rsidRPr="00FF69D0">
        <w:rPr>
          <w:lang w:val="fr-FR"/>
        </w:rPr>
        <w:t>;</w:t>
      </w:r>
    </w:p>
    <w:p w14:paraId="3EF4C6C2" w14:textId="703203BF" w:rsidR="007F5689" w:rsidRPr="00FF69D0" w:rsidRDefault="007F5689" w:rsidP="003F7052">
      <w:pPr>
        <w:pStyle w:val="enumlev1"/>
        <w:rPr>
          <w:lang w:val="fr-FR"/>
        </w:rPr>
      </w:pPr>
      <w:r w:rsidRPr="00FF69D0">
        <w:rPr>
          <w:i/>
          <w:iCs/>
          <w:lang w:val="fr-FR"/>
        </w:rPr>
        <w:t>q)</w:t>
      </w:r>
      <w:r w:rsidRPr="00FF69D0">
        <w:rPr>
          <w:lang w:val="fr-FR"/>
        </w:rPr>
        <w:tab/>
      </w:r>
      <w:r w:rsidR="00C42E9A" w:rsidRPr="00FF69D0">
        <w:rPr>
          <w:lang w:val="fr-FR"/>
        </w:rPr>
        <w:t>examiner d'autres questions particulières relevant de la compétence de l'AMNT, sous réserve de l'approbation des États Membres, moyennant l'application de la procédure d'approbation figurant dans la section 9 de la Résolution 1 (Rév. Genève,2022) de la présente Assemblée</w:t>
      </w:r>
      <w:r w:rsidRPr="00FF69D0">
        <w:rPr>
          <w:lang w:val="fr-FR"/>
        </w:rPr>
        <w:t>;</w:t>
      </w:r>
    </w:p>
    <w:p w14:paraId="4F79CF73" w14:textId="68503633" w:rsidR="007F5689" w:rsidRPr="00FF69D0" w:rsidRDefault="007F5689" w:rsidP="003F7052">
      <w:pPr>
        <w:pStyle w:val="enumlev2"/>
        <w:rPr>
          <w:highlight w:val="yellow"/>
          <w:lang w:val="fr-FR"/>
        </w:rPr>
      </w:pPr>
      <w:r w:rsidRPr="00FF69D0">
        <w:rPr>
          <w:lang w:val="fr-FR"/>
        </w:rPr>
        <w:t>•</w:t>
      </w:r>
      <w:r w:rsidRPr="00FF69D0">
        <w:rPr>
          <w:lang w:val="fr-FR"/>
        </w:rPr>
        <w:tab/>
      </w:r>
      <w:r w:rsidR="00C42E9A" w:rsidRPr="00FF69D0">
        <w:rPr>
          <w:lang w:val="fr-FR"/>
        </w:rPr>
        <w:t>voir les paragraphes</w:t>
      </w:r>
      <w:r w:rsidRPr="00FF69D0">
        <w:rPr>
          <w:lang w:val="fr-FR"/>
        </w:rPr>
        <w:t xml:space="preserve"> 2, </w:t>
      </w:r>
      <w:r w:rsidRPr="00FF69D0">
        <w:rPr>
          <w:lang w:val="fr-FR" w:eastAsia="ja-JP"/>
        </w:rPr>
        <w:t xml:space="preserve">3.1 </w:t>
      </w:r>
      <w:r w:rsidR="00C42E9A" w:rsidRPr="00FF69D0">
        <w:rPr>
          <w:lang w:val="fr-FR"/>
        </w:rPr>
        <w:t>et</w:t>
      </w:r>
      <w:r w:rsidRPr="00FF69D0">
        <w:rPr>
          <w:lang w:val="fr-FR"/>
        </w:rPr>
        <w:t xml:space="preserve"> 3.2 </w:t>
      </w:r>
      <w:r w:rsidR="00C42E9A" w:rsidRPr="00FF69D0">
        <w:rPr>
          <w:lang w:val="fr-FR"/>
        </w:rPr>
        <w:t xml:space="preserve">du </w:t>
      </w:r>
      <w:hyperlink r:id="rId32" w:history="1">
        <w:r w:rsidRPr="00FF69D0">
          <w:rPr>
            <w:rStyle w:val="Hyperlink"/>
            <w:lang w:val="fr-FR"/>
          </w:rPr>
          <w:t>D</w:t>
        </w:r>
        <w:r w:rsidR="00C42E9A" w:rsidRPr="00FF69D0">
          <w:rPr>
            <w:rStyle w:val="Hyperlink"/>
            <w:lang w:val="fr-FR"/>
          </w:rPr>
          <w:t>ocument 2</w:t>
        </w:r>
        <w:r w:rsidRPr="00FF69D0">
          <w:rPr>
            <w:rStyle w:val="Hyperlink"/>
            <w:lang w:val="fr-FR"/>
          </w:rPr>
          <w:t>4</w:t>
        </w:r>
      </w:hyperlink>
      <w:r w:rsidRPr="00FF69D0">
        <w:rPr>
          <w:lang w:val="fr-FR"/>
        </w:rPr>
        <w:t xml:space="preserve"> </w:t>
      </w:r>
      <w:r w:rsidR="00C42E9A" w:rsidRPr="00FF69D0">
        <w:rPr>
          <w:lang w:val="fr-FR"/>
        </w:rPr>
        <w:t>– Rapport du GCNT – Partie</w:t>
      </w:r>
      <w:r w:rsidR="006465FD" w:rsidRPr="00FF69D0">
        <w:rPr>
          <w:lang w:val="fr-FR"/>
        </w:rPr>
        <w:t> </w:t>
      </w:r>
      <w:r w:rsidR="00C42E9A" w:rsidRPr="00FF69D0">
        <w:rPr>
          <w:lang w:val="fr-FR"/>
        </w:rPr>
        <w:t>I: Considérations générales</w:t>
      </w:r>
      <w:r w:rsidR="00FF69D0" w:rsidRPr="00FF69D0">
        <w:rPr>
          <w:lang w:val="fr-FR"/>
        </w:rPr>
        <w:t>;</w:t>
      </w:r>
    </w:p>
    <w:p w14:paraId="0F1859DA" w14:textId="2D35CEE3" w:rsidR="007F5689" w:rsidRPr="00FF69D0" w:rsidRDefault="007F5689" w:rsidP="003F7052">
      <w:pPr>
        <w:pStyle w:val="enumlev1"/>
        <w:rPr>
          <w:lang w:val="fr-FR"/>
        </w:rPr>
      </w:pPr>
      <w:r w:rsidRPr="00FF69D0">
        <w:rPr>
          <w:i/>
          <w:iCs/>
          <w:lang w:val="fr-FR"/>
        </w:rPr>
        <w:t>r)</w:t>
      </w:r>
      <w:r w:rsidRPr="00FF69D0">
        <w:rPr>
          <w:lang w:val="fr-FR"/>
        </w:rPr>
        <w:tab/>
      </w:r>
      <w:r w:rsidR="00C42E9A" w:rsidRPr="00FF69D0">
        <w:rPr>
          <w:lang w:val="fr-FR"/>
        </w:rPr>
        <w:t>tenir compte des intérêts des pays en développement et encourager et faciliter leur participation à ces activités</w:t>
      </w:r>
      <w:r w:rsidR="00FF69D0" w:rsidRPr="00FF69D0">
        <w:rPr>
          <w:lang w:val="fr-FR"/>
        </w:rPr>
        <w:t>;</w:t>
      </w:r>
    </w:p>
    <w:p w14:paraId="343BC954" w14:textId="5AD52118" w:rsidR="007F5689" w:rsidRPr="00FF69D0" w:rsidRDefault="007F5689" w:rsidP="003F7052">
      <w:pPr>
        <w:pStyle w:val="enumlev2"/>
        <w:rPr>
          <w:highlight w:val="yellow"/>
          <w:lang w:val="fr-FR"/>
        </w:rPr>
      </w:pPr>
      <w:r w:rsidRPr="00FF69D0">
        <w:rPr>
          <w:lang w:val="fr-FR"/>
        </w:rPr>
        <w:t>•</w:t>
      </w:r>
      <w:r w:rsidRPr="00FF69D0">
        <w:rPr>
          <w:lang w:val="fr-FR"/>
        </w:rPr>
        <w:tab/>
      </w:r>
      <w:r w:rsidR="00C42E9A" w:rsidRPr="00FF69D0">
        <w:rPr>
          <w:lang w:val="fr-FR"/>
        </w:rPr>
        <w:t>voir le paragraphe</w:t>
      </w:r>
      <w:r w:rsidRPr="00FF69D0">
        <w:rPr>
          <w:lang w:val="fr-FR"/>
        </w:rPr>
        <w:t xml:space="preserve"> 3.4.</w:t>
      </w:r>
      <w:r w:rsidRPr="00FF69D0">
        <w:rPr>
          <w:lang w:val="fr-FR" w:eastAsia="ja-JP"/>
        </w:rPr>
        <w:t>3</w:t>
      </w:r>
      <w:r w:rsidRPr="00FF69D0">
        <w:rPr>
          <w:lang w:val="fr-FR"/>
        </w:rPr>
        <w:t xml:space="preserve"> </w:t>
      </w:r>
      <w:r w:rsidR="00C42E9A" w:rsidRPr="00FF69D0">
        <w:rPr>
          <w:lang w:val="fr-FR"/>
        </w:rPr>
        <w:t xml:space="preserve">du </w:t>
      </w:r>
      <w:hyperlink r:id="rId33" w:history="1">
        <w:r w:rsidRPr="00FF69D0">
          <w:rPr>
            <w:rStyle w:val="Hyperlink"/>
            <w:lang w:val="fr-FR"/>
          </w:rPr>
          <w:t>D</w:t>
        </w:r>
        <w:r w:rsidR="00C42E9A" w:rsidRPr="00FF69D0">
          <w:rPr>
            <w:rStyle w:val="Hyperlink"/>
            <w:lang w:val="fr-FR"/>
          </w:rPr>
          <w:t>ocument 2</w:t>
        </w:r>
        <w:r w:rsidRPr="00FF69D0">
          <w:rPr>
            <w:rStyle w:val="Hyperlink"/>
            <w:lang w:val="fr-FR"/>
          </w:rPr>
          <w:t>4</w:t>
        </w:r>
      </w:hyperlink>
      <w:r w:rsidRPr="00FF69D0">
        <w:rPr>
          <w:lang w:val="fr-FR"/>
        </w:rPr>
        <w:t xml:space="preserve"> </w:t>
      </w:r>
      <w:r w:rsidR="00C42E9A" w:rsidRPr="00FF69D0">
        <w:rPr>
          <w:lang w:val="fr-FR"/>
        </w:rPr>
        <w:t>– Rapport du GCNT – Partie I: Considérations générales</w:t>
      </w:r>
      <w:r w:rsidR="00FF69D0" w:rsidRPr="00FF69D0">
        <w:rPr>
          <w:lang w:val="fr-FR"/>
        </w:rPr>
        <w:t>,</w:t>
      </w:r>
    </w:p>
    <w:p w14:paraId="532C2552" w14:textId="7A9F76C2" w:rsidR="007F5689" w:rsidRPr="00FF69D0" w:rsidRDefault="007F5689" w:rsidP="00543F20">
      <w:pPr>
        <w:spacing w:before="240"/>
        <w:rPr>
          <w:szCs w:val="24"/>
          <w:lang w:val="fr-FR"/>
        </w:rPr>
      </w:pPr>
      <w:r w:rsidRPr="00FF69D0">
        <w:rPr>
          <w:szCs w:val="24"/>
          <w:lang w:val="fr-FR"/>
        </w:rPr>
        <w:t>2</w:t>
      </w:r>
      <w:r w:rsidRPr="00FF69D0">
        <w:rPr>
          <w:szCs w:val="24"/>
          <w:lang w:val="fr-FR"/>
        </w:rPr>
        <w:tab/>
      </w:r>
      <w:r w:rsidR="00C42E9A" w:rsidRPr="00FF69D0">
        <w:rPr>
          <w:szCs w:val="24"/>
          <w:lang w:val="fr-FR"/>
        </w:rPr>
        <w:t xml:space="preserve">que le GCNT examinera l'état d'avancement de la mise en </w:t>
      </w:r>
      <w:r w:rsidR="0022596B" w:rsidRPr="00FF69D0">
        <w:rPr>
          <w:szCs w:val="24"/>
          <w:lang w:val="fr-FR"/>
        </w:rPr>
        <w:t xml:space="preserve">œuvre </w:t>
      </w:r>
      <w:r w:rsidR="00C42E9A" w:rsidRPr="00FF69D0">
        <w:rPr>
          <w:szCs w:val="24"/>
          <w:lang w:val="fr-FR"/>
        </w:rPr>
        <w:t xml:space="preserve">des mesures et des objectifs figurant dans le plan opérationnel annuel de l'UIT-T et dans le Plan d'action de l'AMNT‑20, qui comprend les Résolutions de l'AMNT, en vue de recenser les difficultés éventuelles et les stratégies envisageables pour mettre en </w:t>
      </w:r>
      <w:r w:rsidR="0022596B" w:rsidRPr="00FF69D0">
        <w:rPr>
          <w:szCs w:val="24"/>
          <w:lang w:val="fr-FR"/>
        </w:rPr>
        <w:t xml:space="preserve">œuvre </w:t>
      </w:r>
      <w:r w:rsidR="00C42E9A" w:rsidRPr="00FF69D0">
        <w:rPr>
          <w:szCs w:val="24"/>
          <w:lang w:val="fr-FR"/>
        </w:rPr>
        <w:t>les éléments essentiels, et de recommander des solutions au Directeur du TSB concernant ces difficultés et stratégies</w:t>
      </w:r>
      <w:r w:rsidRPr="00FF69D0">
        <w:rPr>
          <w:szCs w:val="24"/>
          <w:lang w:val="fr-FR"/>
        </w:rPr>
        <w:t>;</w:t>
      </w:r>
    </w:p>
    <w:p w14:paraId="5FA0A8B5" w14:textId="2A3198D5" w:rsidR="007F5689" w:rsidRPr="00FF69D0" w:rsidRDefault="007F5689" w:rsidP="003F7052">
      <w:pPr>
        <w:pStyle w:val="enumlev2"/>
        <w:rPr>
          <w:highlight w:val="yellow"/>
          <w:lang w:val="fr-FR"/>
        </w:rPr>
      </w:pPr>
      <w:r w:rsidRPr="00FF69D0">
        <w:rPr>
          <w:lang w:val="fr-FR"/>
        </w:rPr>
        <w:t>•</w:t>
      </w:r>
      <w:r w:rsidRPr="00FF69D0">
        <w:rPr>
          <w:lang w:val="fr-FR"/>
        </w:rPr>
        <w:tab/>
      </w:r>
      <w:r w:rsidR="00C42E9A" w:rsidRPr="00FF69D0">
        <w:rPr>
          <w:lang w:val="fr-FR"/>
        </w:rPr>
        <w:t>voir les paragraphes</w:t>
      </w:r>
      <w:r w:rsidRPr="00FF69D0">
        <w:rPr>
          <w:lang w:val="fr-FR"/>
        </w:rPr>
        <w:t xml:space="preserve"> 3.2, 3.4.2 </w:t>
      </w:r>
      <w:r w:rsidR="00151472" w:rsidRPr="00FF69D0">
        <w:rPr>
          <w:lang w:val="fr-FR"/>
        </w:rPr>
        <w:t>et</w:t>
      </w:r>
      <w:r w:rsidRPr="00FF69D0">
        <w:rPr>
          <w:lang w:val="fr-FR"/>
        </w:rPr>
        <w:t xml:space="preserve"> 3.4.7 </w:t>
      </w:r>
      <w:r w:rsidR="00151472" w:rsidRPr="00FF69D0">
        <w:rPr>
          <w:lang w:val="fr-FR"/>
        </w:rPr>
        <w:t>du</w:t>
      </w:r>
      <w:r w:rsidRPr="00FF69D0">
        <w:rPr>
          <w:lang w:val="fr-FR"/>
        </w:rPr>
        <w:t xml:space="preserve"> </w:t>
      </w:r>
      <w:hyperlink r:id="rId34" w:history="1">
        <w:r w:rsidRPr="00FF69D0">
          <w:rPr>
            <w:rStyle w:val="Hyperlink"/>
            <w:lang w:val="fr-FR"/>
          </w:rPr>
          <w:t>D</w:t>
        </w:r>
        <w:r w:rsidR="00C42E9A" w:rsidRPr="00FF69D0">
          <w:rPr>
            <w:rStyle w:val="Hyperlink"/>
            <w:lang w:val="fr-FR"/>
          </w:rPr>
          <w:t>ocument 2</w:t>
        </w:r>
        <w:r w:rsidRPr="00FF69D0">
          <w:rPr>
            <w:rStyle w:val="Hyperlink"/>
            <w:lang w:val="fr-FR"/>
          </w:rPr>
          <w:t>4</w:t>
        </w:r>
      </w:hyperlink>
      <w:r w:rsidRPr="00FF69D0">
        <w:rPr>
          <w:lang w:val="fr-FR"/>
        </w:rPr>
        <w:t xml:space="preserve"> </w:t>
      </w:r>
      <w:r w:rsidR="00151472" w:rsidRPr="00FF69D0">
        <w:rPr>
          <w:lang w:val="fr-FR"/>
        </w:rPr>
        <w:t>– Rapport du GCNT – Partie I: Considérations générales</w:t>
      </w:r>
      <w:r w:rsidRPr="00FF69D0">
        <w:rPr>
          <w:lang w:val="fr-FR"/>
        </w:rPr>
        <w:t xml:space="preserve"> </w:t>
      </w:r>
      <w:r w:rsidR="00151472" w:rsidRPr="00FF69D0">
        <w:rPr>
          <w:lang w:val="fr-FR"/>
        </w:rPr>
        <w:t xml:space="preserve">et le </w:t>
      </w:r>
      <w:hyperlink r:id="rId35" w:history="1">
        <w:r w:rsidRPr="00FF69D0">
          <w:rPr>
            <w:rStyle w:val="Hyperlink"/>
            <w:lang w:val="fr-FR"/>
          </w:rPr>
          <w:t>Doc</w:t>
        </w:r>
        <w:r w:rsidR="00151472" w:rsidRPr="00FF69D0">
          <w:rPr>
            <w:rStyle w:val="Hyperlink"/>
            <w:lang w:val="fr-FR"/>
          </w:rPr>
          <w:t xml:space="preserve">ument </w:t>
        </w:r>
        <w:r w:rsidRPr="00FF69D0">
          <w:rPr>
            <w:rStyle w:val="Hyperlink"/>
            <w:lang w:val="fr-FR"/>
          </w:rPr>
          <w:t>34</w:t>
        </w:r>
      </w:hyperlink>
      <w:r w:rsidRPr="00FF69D0">
        <w:rPr>
          <w:lang w:val="fr-FR"/>
        </w:rPr>
        <w:t xml:space="preserve"> </w:t>
      </w:r>
      <w:r w:rsidR="00151472" w:rsidRPr="00FF69D0">
        <w:rPr>
          <w:lang w:val="fr-FR"/>
        </w:rPr>
        <w:t>– Rapport sur le Plan d'action de l'AMNT</w:t>
      </w:r>
      <w:r w:rsidRPr="00FF69D0">
        <w:rPr>
          <w:lang w:val="fr-FR"/>
        </w:rPr>
        <w:t xml:space="preserve">-20 </w:t>
      </w:r>
      <w:r w:rsidR="00151472" w:rsidRPr="00FF69D0">
        <w:rPr>
          <w:lang w:val="fr-FR"/>
        </w:rPr>
        <w:t>et Rapports du Directeur du TSB à l'intention de l'AMNT-24 sur les Résolutions 44, 55, 64, 65, 68, 69, 72, 73, 89, 98 et 100 de l'AMNT et la Résolution 102 de la PP</w:t>
      </w:r>
      <w:r w:rsidR="00FF69D0" w:rsidRPr="00FF69D0">
        <w:rPr>
          <w:lang w:val="fr-FR"/>
        </w:rPr>
        <w:t>;</w:t>
      </w:r>
    </w:p>
    <w:p w14:paraId="31751381" w14:textId="45A7A271" w:rsidR="007F5689" w:rsidRPr="00FF69D0" w:rsidRDefault="007F5689" w:rsidP="003F7052">
      <w:pPr>
        <w:rPr>
          <w:szCs w:val="24"/>
          <w:lang w:val="fr-FR"/>
        </w:rPr>
      </w:pPr>
      <w:r w:rsidRPr="00FF69D0">
        <w:rPr>
          <w:szCs w:val="24"/>
          <w:lang w:val="fr-FR"/>
        </w:rPr>
        <w:t>3</w:t>
      </w:r>
      <w:r w:rsidRPr="00FF69D0">
        <w:rPr>
          <w:szCs w:val="24"/>
          <w:lang w:val="fr-FR"/>
        </w:rPr>
        <w:tab/>
      </w:r>
      <w:r w:rsidR="00C42E9A" w:rsidRPr="00FF69D0">
        <w:rPr>
          <w:szCs w:val="24"/>
          <w:lang w:val="fr-FR"/>
        </w:rPr>
        <w:t>que des révisions des procédures pertinentes d'adoption par les commissions d'études des Questions et des Recommandations autres que celles visées aux numéros 246D, 246F et 246H de la Convention, peuvent être entreprises par le GCNT, en vue de leur approbation par les États</w:t>
      </w:r>
      <w:r w:rsidR="00FF69D0" w:rsidRPr="00FF69D0">
        <w:rPr>
          <w:szCs w:val="24"/>
          <w:lang w:val="fr-FR"/>
        </w:rPr>
        <w:t> </w:t>
      </w:r>
      <w:r w:rsidR="00C42E9A" w:rsidRPr="00FF69D0">
        <w:rPr>
          <w:szCs w:val="24"/>
          <w:lang w:val="fr-FR"/>
        </w:rPr>
        <w:t>Membres entre deux AMNT, moyennant l'application de la procédure d'approbation figurant dans la section 9 de la Résolution 1 (Rév. Genève, 2022) de la présente Assemblée</w:t>
      </w:r>
      <w:r w:rsidRPr="00FF69D0">
        <w:rPr>
          <w:szCs w:val="24"/>
          <w:lang w:val="fr-FR"/>
        </w:rPr>
        <w:t>;</w:t>
      </w:r>
    </w:p>
    <w:p w14:paraId="7379F6FB" w14:textId="40D417A9" w:rsidR="007F5689" w:rsidRPr="00FF69D0" w:rsidRDefault="007F5689" w:rsidP="003F7052">
      <w:pPr>
        <w:pStyle w:val="enumlev2"/>
        <w:rPr>
          <w:lang w:val="fr-FR"/>
        </w:rPr>
      </w:pPr>
      <w:r w:rsidRPr="00FF69D0">
        <w:rPr>
          <w:lang w:val="fr-FR"/>
        </w:rPr>
        <w:t>•</w:t>
      </w:r>
      <w:r w:rsidRPr="00FF69D0">
        <w:rPr>
          <w:lang w:val="fr-FR"/>
        </w:rPr>
        <w:tab/>
      </w:r>
      <w:r w:rsidR="00151472" w:rsidRPr="00FF69D0">
        <w:rPr>
          <w:lang w:val="fr-FR"/>
        </w:rPr>
        <w:t>aucune mesure à prendre</w:t>
      </w:r>
      <w:r w:rsidR="00FF69D0" w:rsidRPr="00FF69D0">
        <w:rPr>
          <w:lang w:val="fr-FR"/>
        </w:rPr>
        <w:t>;</w:t>
      </w:r>
    </w:p>
    <w:p w14:paraId="2904E116" w14:textId="67293B01" w:rsidR="007F5689" w:rsidRPr="00FF69D0" w:rsidRDefault="007F5689" w:rsidP="003F7052">
      <w:pPr>
        <w:rPr>
          <w:szCs w:val="24"/>
          <w:lang w:val="fr-FR"/>
        </w:rPr>
      </w:pPr>
      <w:r w:rsidRPr="00FF69D0">
        <w:rPr>
          <w:szCs w:val="24"/>
          <w:lang w:val="fr-FR"/>
        </w:rPr>
        <w:t>4</w:t>
      </w:r>
      <w:r w:rsidRPr="00FF69D0">
        <w:rPr>
          <w:szCs w:val="24"/>
          <w:lang w:val="fr-FR"/>
        </w:rPr>
        <w:tab/>
      </w:r>
      <w:r w:rsidR="00C42E9A" w:rsidRPr="00FF69D0">
        <w:rPr>
          <w:szCs w:val="24"/>
          <w:lang w:val="fr-FR"/>
        </w:rPr>
        <w:t>que le GCNT assurera la liaison avec les organisations extérieures à l'UIT concernées pour ce qui est de ses propres activités, en consultation avec le Directeur du TSB, si nécessaire</w:t>
      </w:r>
      <w:r w:rsidRPr="00FF69D0">
        <w:rPr>
          <w:szCs w:val="24"/>
          <w:lang w:val="fr-FR"/>
        </w:rPr>
        <w:t>;</w:t>
      </w:r>
    </w:p>
    <w:p w14:paraId="3B3BE408" w14:textId="475CB4E2" w:rsidR="007F5689" w:rsidRPr="00FF69D0" w:rsidRDefault="007F5689" w:rsidP="003F7052">
      <w:pPr>
        <w:pStyle w:val="enumlev2"/>
        <w:rPr>
          <w:szCs w:val="24"/>
          <w:lang w:val="fr-FR"/>
        </w:rPr>
      </w:pPr>
      <w:r w:rsidRPr="00FF69D0">
        <w:rPr>
          <w:lang w:val="fr-FR"/>
        </w:rPr>
        <w:t>•</w:t>
      </w:r>
      <w:r w:rsidRPr="00FF69D0">
        <w:rPr>
          <w:lang w:val="fr-FR"/>
        </w:rPr>
        <w:tab/>
      </w:r>
      <w:r w:rsidR="00151472" w:rsidRPr="00FF69D0">
        <w:rPr>
          <w:lang w:val="fr-FR"/>
        </w:rPr>
        <w:t>voir les Document</w:t>
      </w:r>
      <w:r w:rsidR="007F04A6" w:rsidRPr="00FF69D0">
        <w:rPr>
          <w:lang w:val="fr-FR"/>
        </w:rPr>
        <w:t>s</w:t>
      </w:r>
      <w:r w:rsidR="00151472" w:rsidRPr="00FF69D0">
        <w:rPr>
          <w:lang w:val="fr-FR"/>
        </w:rPr>
        <w:t xml:space="preserve"> </w:t>
      </w:r>
      <w:r w:rsidRPr="00FF69D0">
        <w:rPr>
          <w:lang w:val="fr-FR"/>
        </w:rPr>
        <w:t>TSAG-</w:t>
      </w:r>
      <w:hyperlink r:id="rId36" w:history="1">
        <w:r w:rsidRPr="00FF69D0">
          <w:rPr>
            <w:rStyle w:val="Hyperlink"/>
            <w:lang w:val="fr-FR"/>
          </w:rPr>
          <w:t>R1</w:t>
        </w:r>
      </w:hyperlink>
      <w:r w:rsidRPr="00FF69D0">
        <w:rPr>
          <w:lang w:val="fr-FR"/>
        </w:rPr>
        <w:t xml:space="preserve">, </w:t>
      </w:r>
      <w:hyperlink r:id="rId37" w:history="1">
        <w:r w:rsidR="00151472" w:rsidRPr="00FF69D0">
          <w:rPr>
            <w:rStyle w:val="Hyperlink"/>
            <w:lang w:val="fr-FR"/>
          </w:rPr>
          <w:t>R2</w:t>
        </w:r>
      </w:hyperlink>
      <w:r w:rsidRPr="00FF69D0">
        <w:rPr>
          <w:lang w:val="fr-FR"/>
        </w:rPr>
        <w:t xml:space="preserve">, </w:t>
      </w:r>
      <w:hyperlink r:id="rId38" w:history="1">
        <w:r w:rsidR="00151472" w:rsidRPr="00FF69D0">
          <w:rPr>
            <w:rStyle w:val="Hyperlink"/>
            <w:lang w:val="fr-FR"/>
          </w:rPr>
          <w:t>R4</w:t>
        </w:r>
      </w:hyperlink>
      <w:r w:rsidR="00151472" w:rsidRPr="00FF69D0">
        <w:rPr>
          <w:lang w:val="fr-FR"/>
        </w:rPr>
        <w:t xml:space="preserve"> et</w:t>
      </w:r>
      <w:r w:rsidRPr="00FF69D0">
        <w:rPr>
          <w:lang w:val="fr-FR"/>
        </w:rPr>
        <w:t xml:space="preserve"> </w:t>
      </w:r>
      <w:hyperlink r:id="rId39" w:history="1">
        <w:r w:rsidR="00151472" w:rsidRPr="00FF69D0">
          <w:rPr>
            <w:rStyle w:val="Hyperlink"/>
            <w:lang w:val="fr-FR"/>
          </w:rPr>
          <w:t>R8</w:t>
        </w:r>
      </w:hyperlink>
      <w:r w:rsidR="00FF69D0" w:rsidRPr="00FF69D0">
        <w:rPr>
          <w:lang w:val="fr-FR"/>
        </w:rPr>
        <w:t>;</w:t>
      </w:r>
    </w:p>
    <w:p w14:paraId="03A7D4FC" w14:textId="074F9329" w:rsidR="007F5689" w:rsidRPr="00FF69D0" w:rsidRDefault="007F5689" w:rsidP="003F7052">
      <w:pPr>
        <w:rPr>
          <w:szCs w:val="24"/>
          <w:lang w:val="fr-FR"/>
        </w:rPr>
      </w:pPr>
      <w:r w:rsidRPr="00FF69D0">
        <w:rPr>
          <w:szCs w:val="24"/>
          <w:lang w:val="fr-FR"/>
        </w:rPr>
        <w:t>5</w:t>
      </w:r>
      <w:r w:rsidRPr="00FF69D0">
        <w:rPr>
          <w:szCs w:val="24"/>
          <w:lang w:val="fr-FR"/>
        </w:rPr>
        <w:tab/>
      </w:r>
      <w:r w:rsidR="00C42E9A" w:rsidRPr="00FF69D0">
        <w:rPr>
          <w:szCs w:val="24"/>
          <w:lang w:val="fr-FR"/>
        </w:rPr>
        <w:t>que le GCNT examinera les incidences pour l'UIT-T des besoins du marché ainsi que des technologies nouvelles et émergentes qui n'ont pas encore été pris en compte aux fins de normalisation par l'UIT‑T, établira un mécanisme approprié permettant de faciliter l'examen de leur possible prise en compte, par exemple en attribuant des Questions, en assurant la coordination des travaux des commissions d'études ou en créant des groupes de coordination ou d'autres groupes et désignera leurs présidents et vice-présidents</w:t>
      </w:r>
      <w:r w:rsidRPr="00FF69D0">
        <w:rPr>
          <w:szCs w:val="24"/>
          <w:lang w:val="fr-FR"/>
        </w:rPr>
        <w:t>;</w:t>
      </w:r>
    </w:p>
    <w:p w14:paraId="58A2855D" w14:textId="2E1508D4" w:rsidR="007F5689" w:rsidRPr="00FF69D0" w:rsidRDefault="007F5689" w:rsidP="003F7052">
      <w:pPr>
        <w:pStyle w:val="enumlev2"/>
        <w:rPr>
          <w:highlight w:val="yellow"/>
          <w:lang w:val="fr-FR"/>
        </w:rPr>
      </w:pPr>
      <w:r w:rsidRPr="00FF69D0">
        <w:rPr>
          <w:lang w:val="fr-FR"/>
        </w:rPr>
        <w:t>•</w:t>
      </w:r>
      <w:r w:rsidRPr="00FF69D0">
        <w:rPr>
          <w:lang w:val="fr-FR"/>
        </w:rPr>
        <w:tab/>
      </w:r>
      <w:r w:rsidR="00C42E9A" w:rsidRPr="00FF69D0">
        <w:rPr>
          <w:lang w:val="fr-FR"/>
        </w:rPr>
        <w:t>voir les paragraphes</w:t>
      </w:r>
      <w:r w:rsidRPr="00FF69D0">
        <w:rPr>
          <w:lang w:val="fr-FR"/>
        </w:rPr>
        <w:t xml:space="preserve"> 2, 3.2, 3.3 </w:t>
      </w:r>
      <w:r w:rsidR="00151472" w:rsidRPr="00FF69D0">
        <w:rPr>
          <w:lang w:val="fr-FR"/>
        </w:rPr>
        <w:t>et</w:t>
      </w:r>
      <w:r w:rsidRPr="00FF69D0">
        <w:rPr>
          <w:lang w:val="fr-FR"/>
        </w:rPr>
        <w:t xml:space="preserve"> 3.4.1 </w:t>
      </w:r>
      <w:r w:rsidR="00151472" w:rsidRPr="00FF69D0">
        <w:rPr>
          <w:lang w:val="fr-FR"/>
        </w:rPr>
        <w:t>du</w:t>
      </w:r>
      <w:r w:rsidRPr="00FF69D0">
        <w:rPr>
          <w:lang w:val="fr-FR"/>
        </w:rPr>
        <w:t xml:space="preserve"> </w:t>
      </w:r>
      <w:hyperlink r:id="rId40" w:history="1">
        <w:r w:rsidRPr="00FF69D0">
          <w:rPr>
            <w:rStyle w:val="Hyperlink"/>
            <w:lang w:val="fr-FR"/>
          </w:rPr>
          <w:t>D</w:t>
        </w:r>
        <w:r w:rsidR="00C42E9A" w:rsidRPr="00FF69D0">
          <w:rPr>
            <w:rStyle w:val="Hyperlink"/>
            <w:lang w:val="fr-FR"/>
          </w:rPr>
          <w:t>ocument 2</w:t>
        </w:r>
        <w:r w:rsidRPr="00FF69D0">
          <w:rPr>
            <w:rStyle w:val="Hyperlink"/>
            <w:lang w:val="fr-FR"/>
          </w:rPr>
          <w:t>4</w:t>
        </w:r>
      </w:hyperlink>
      <w:r w:rsidRPr="00FF69D0">
        <w:rPr>
          <w:lang w:val="fr-FR"/>
        </w:rPr>
        <w:t xml:space="preserve"> </w:t>
      </w:r>
      <w:r w:rsidR="00C42E9A" w:rsidRPr="00FF69D0">
        <w:rPr>
          <w:lang w:val="fr-FR"/>
        </w:rPr>
        <w:t>– Rapport du GCNT – Partie I: Considérations générales</w:t>
      </w:r>
      <w:r w:rsidR="00FF69D0" w:rsidRPr="00FF69D0">
        <w:rPr>
          <w:lang w:val="fr-FR"/>
        </w:rPr>
        <w:t>;</w:t>
      </w:r>
    </w:p>
    <w:p w14:paraId="6DE31501" w14:textId="3B6F63D4" w:rsidR="007F5689" w:rsidRPr="00FF69D0" w:rsidRDefault="007F5689" w:rsidP="00FF69D0">
      <w:pPr>
        <w:keepNext/>
        <w:keepLines/>
        <w:rPr>
          <w:szCs w:val="24"/>
          <w:lang w:val="fr-FR"/>
        </w:rPr>
      </w:pPr>
      <w:r w:rsidRPr="00FF69D0">
        <w:rPr>
          <w:szCs w:val="24"/>
          <w:lang w:val="fr-FR"/>
        </w:rPr>
        <w:lastRenderedPageBreak/>
        <w:t>6</w:t>
      </w:r>
      <w:r w:rsidRPr="00FF69D0">
        <w:rPr>
          <w:szCs w:val="24"/>
          <w:lang w:val="fr-FR"/>
        </w:rPr>
        <w:tab/>
      </w:r>
      <w:r w:rsidR="00C42E9A" w:rsidRPr="00FF69D0">
        <w:rPr>
          <w:szCs w:val="24"/>
          <w:lang w:val="fr-FR"/>
        </w:rPr>
        <w:t>que le GCNT étudiera et coordonnera les stratégies de l'UIT-T en matière de normalisation, en identifiant les principales évolutions techniques, les besoins du marché ainsi que les besoins économiques et politiques dans les domaines d'activité relevant du mandat de l'UIT-T, et recensera dans ces stratégies de normalisation des questions et des sujets susceptibles d'être examinés par l'UIT-T;</w:t>
      </w:r>
    </w:p>
    <w:p w14:paraId="3BA9A77F" w14:textId="46175EAE" w:rsidR="007F5689" w:rsidRPr="00FF69D0" w:rsidRDefault="007F5689" w:rsidP="003F7052">
      <w:pPr>
        <w:pStyle w:val="enumlev2"/>
        <w:rPr>
          <w:highlight w:val="yellow"/>
          <w:lang w:val="fr-FR"/>
        </w:rPr>
      </w:pPr>
      <w:r w:rsidRPr="00FF69D0">
        <w:rPr>
          <w:lang w:val="fr-FR"/>
        </w:rPr>
        <w:t>•</w:t>
      </w:r>
      <w:r w:rsidRPr="00FF69D0">
        <w:rPr>
          <w:lang w:val="fr-FR"/>
        </w:rPr>
        <w:tab/>
      </w:r>
      <w:r w:rsidR="00C42E9A" w:rsidRPr="00FF69D0">
        <w:rPr>
          <w:lang w:val="fr-FR"/>
        </w:rPr>
        <w:t>voir les paragraphes</w:t>
      </w:r>
      <w:r w:rsidRPr="00FF69D0">
        <w:rPr>
          <w:lang w:val="fr-FR"/>
        </w:rPr>
        <w:t xml:space="preserve"> 2, 3.2, 3.3 </w:t>
      </w:r>
      <w:r w:rsidR="00151472" w:rsidRPr="00FF69D0">
        <w:rPr>
          <w:lang w:val="fr-FR"/>
        </w:rPr>
        <w:t>et</w:t>
      </w:r>
      <w:r w:rsidRPr="00FF69D0">
        <w:rPr>
          <w:lang w:val="fr-FR"/>
        </w:rPr>
        <w:t xml:space="preserve"> 3.4.1 </w:t>
      </w:r>
      <w:r w:rsidR="00151472" w:rsidRPr="00FF69D0">
        <w:rPr>
          <w:lang w:val="fr-FR"/>
        </w:rPr>
        <w:t>du</w:t>
      </w:r>
      <w:r w:rsidRPr="00FF69D0">
        <w:rPr>
          <w:lang w:val="fr-FR"/>
        </w:rPr>
        <w:t xml:space="preserve"> </w:t>
      </w:r>
      <w:hyperlink r:id="rId41" w:history="1">
        <w:r w:rsidRPr="00FF69D0">
          <w:rPr>
            <w:rStyle w:val="Hyperlink"/>
            <w:lang w:val="fr-FR"/>
          </w:rPr>
          <w:t>D</w:t>
        </w:r>
        <w:r w:rsidR="00C42E9A" w:rsidRPr="00FF69D0">
          <w:rPr>
            <w:rStyle w:val="Hyperlink"/>
            <w:lang w:val="fr-FR"/>
          </w:rPr>
          <w:t>ocument 2</w:t>
        </w:r>
        <w:r w:rsidRPr="00FF69D0">
          <w:rPr>
            <w:rStyle w:val="Hyperlink"/>
            <w:lang w:val="fr-FR"/>
          </w:rPr>
          <w:t>4</w:t>
        </w:r>
      </w:hyperlink>
      <w:r w:rsidRPr="00FF69D0">
        <w:rPr>
          <w:lang w:val="fr-FR"/>
        </w:rPr>
        <w:t xml:space="preserve"> </w:t>
      </w:r>
      <w:r w:rsidR="00C42E9A" w:rsidRPr="00FF69D0">
        <w:rPr>
          <w:lang w:val="fr-FR"/>
        </w:rPr>
        <w:t>– Rapport du GCNT – Partie I: Considérations générales</w:t>
      </w:r>
      <w:r w:rsidR="00FF69D0" w:rsidRPr="00FF69D0">
        <w:rPr>
          <w:lang w:val="fr-FR"/>
        </w:rPr>
        <w:t>;</w:t>
      </w:r>
    </w:p>
    <w:p w14:paraId="768B8EC5" w14:textId="516E6D2B" w:rsidR="007F5689" w:rsidRPr="00FF69D0" w:rsidRDefault="007F5689" w:rsidP="003F7052">
      <w:pPr>
        <w:rPr>
          <w:szCs w:val="24"/>
          <w:lang w:val="fr-FR"/>
        </w:rPr>
      </w:pPr>
      <w:r w:rsidRPr="00FF69D0">
        <w:rPr>
          <w:szCs w:val="24"/>
          <w:lang w:val="fr-FR"/>
        </w:rPr>
        <w:t>7</w:t>
      </w:r>
      <w:r w:rsidRPr="00FF69D0">
        <w:rPr>
          <w:szCs w:val="24"/>
          <w:lang w:val="fr-FR"/>
        </w:rPr>
        <w:tab/>
      </w:r>
      <w:r w:rsidR="00C42E9A" w:rsidRPr="00FF69D0">
        <w:rPr>
          <w:szCs w:val="24"/>
          <w:lang w:val="fr-FR"/>
        </w:rPr>
        <w:t>que le GCNT établira un mécanisme approprié permettant de faciliter les stratégies en matière de normalisation, par exemple en attribuant des Questions, en assurant la coordination des travaux des commissions d'études ou en créant des groupes de coordination ou d'autres groupes, et désignera leurs présidents et vice-présidents</w:t>
      </w:r>
      <w:r w:rsidRPr="00FF69D0">
        <w:rPr>
          <w:szCs w:val="24"/>
          <w:lang w:val="fr-FR"/>
        </w:rPr>
        <w:t>;</w:t>
      </w:r>
    </w:p>
    <w:p w14:paraId="62F12163" w14:textId="2B112088" w:rsidR="007F5689" w:rsidRPr="00FF69D0" w:rsidRDefault="007F5689" w:rsidP="003F7052">
      <w:pPr>
        <w:pStyle w:val="enumlev2"/>
        <w:rPr>
          <w:highlight w:val="yellow"/>
          <w:lang w:val="fr-FR"/>
        </w:rPr>
      </w:pPr>
      <w:r w:rsidRPr="00FF69D0">
        <w:rPr>
          <w:lang w:val="fr-FR"/>
        </w:rPr>
        <w:t>•</w:t>
      </w:r>
      <w:r w:rsidRPr="00FF69D0">
        <w:rPr>
          <w:lang w:val="fr-FR"/>
        </w:rPr>
        <w:tab/>
      </w:r>
      <w:r w:rsidR="00C42E9A" w:rsidRPr="00FF69D0">
        <w:rPr>
          <w:lang w:val="fr-FR"/>
        </w:rPr>
        <w:t>voir les paragraphes</w:t>
      </w:r>
      <w:r w:rsidRPr="00FF69D0">
        <w:rPr>
          <w:lang w:val="fr-FR"/>
        </w:rPr>
        <w:t xml:space="preserve"> 2, 3.2, 3.3 </w:t>
      </w:r>
      <w:r w:rsidR="00151472" w:rsidRPr="00FF69D0">
        <w:rPr>
          <w:lang w:val="fr-FR"/>
        </w:rPr>
        <w:t>et</w:t>
      </w:r>
      <w:r w:rsidRPr="00FF69D0">
        <w:rPr>
          <w:lang w:val="fr-FR"/>
        </w:rPr>
        <w:t xml:space="preserve"> 3.4.1 </w:t>
      </w:r>
      <w:r w:rsidR="00151472" w:rsidRPr="00FF69D0">
        <w:rPr>
          <w:lang w:val="fr-FR"/>
        </w:rPr>
        <w:t>du</w:t>
      </w:r>
      <w:r w:rsidRPr="00FF69D0">
        <w:rPr>
          <w:lang w:val="fr-FR"/>
        </w:rPr>
        <w:t xml:space="preserve"> </w:t>
      </w:r>
      <w:hyperlink r:id="rId42" w:history="1">
        <w:r w:rsidRPr="00FF69D0">
          <w:rPr>
            <w:rStyle w:val="Hyperlink"/>
            <w:lang w:val="fr-FR"/>
          </w:rPr>
          <w:t>D</w:t>
        </w:r>
        <w:r w:rsidR="00C42E9A" w:rsidRPr="00FF69D0">
          <w:rPr>
            <w:rStyle w:val="Hyperlink"/>
            <w:lang w:val="fr-FR"/>
          </w:rPr>
          <w:t>ocument 2</w:t>
        </w:r>
        <w:r w:rsidRPr="00FF69D0">
          <w:rPr>
            <w:rStyle w:val="Hyperlink"/>
            <w:lang w:val="fr-FR"/>
          </w:rPr>
          <w:t>4</w:t>
        </w:r>
      </w:hyperlink>
      <w:r w:rsidRPr="00FF69D0">
        <w:rPr>
          <w:lang w:val="fr-FR"/>
        </w:rPr>
        <w:t xml:space="preserve"> </w:t>
      </w:r>
      <w:r w:rsidR="00C42E9A" w:rsidRPr="00FF69D0">
        <w:rPr>
          <w:lang w:val="fr-FR"/>
        </w:rPr>
        <w:t>– Rapport du GCNT – Partie I: Considérations générales</w:t>
      </w:r>
      <w:r w:rsidR="00FF69D0" w:rsidRPr="00FF69D0">
        <w:rPr>
          <w:lang w:val="fr-FR"/>
        </w:rPr>
        <w:t>;</w:t>
      </w:r>
    </w:p>
    <w:p w14:paraId="579ABCB0" w14:textId="6F551C22" w:rsidR="007F5689" w:rsidRPr="00FF69D0" w:rsidRDefault="007F5689" w:rsidP="003F7052">
      <w:pPr>
        <w:rPr>
          <w:szCs w:val="24"/>
          <w:lang w:val="fr-FR"/>
        </w:rPr>
      </w:pPr>
      <w:r w:rsidRPr="00FF69D0">
        <w:rPr>
          <w:szCs w:val="24"/>
          <w:lang w:val="fr-FR"/>
        </w:rPr>
        <w:t>8</w:t>
      </w:r>
      <w:r w:rsidRPr="00FF69D0">
        <w:rPr>
          <w:szCs w:val="24"/>
          <w:lang w:val="fr-FR"/>
        </w:rPr>
        <w:tab/>
      </w:r>
      <w:r w:rsidR="00C42E9A" w:rsidRPr="00FF69D0">
        <w:rPr>
          <w:szCs w:val="24"/>
          <w:lang w:val="fr-FR"/>
        </w:rPr>
        <w:t>que le GCNT examinera les résultats de la présente Assemblée en ce qui concerne le Colloque mondial sur la normalisation et prendra des mesures de suivi, s'il y a lieu</w:t>
      </w:r>
      <w:r w:rsidRPr="00FF69D0">
        <w:rPr>
          <w:szCs w:val="24"/>
          <w:lang w:val="fr-FR"/>
        </w:rPr>
        <w:t>;</w:t>
      </w:r>
    </w:p>
    <w:p w14:paraId="66459117" w14:textId="39C913E3" w:rsidR="007F5689" w:rsidRPr="00FF69D0" w:rsidRDefault="007F5689" w:rsidP="003F7052">
      <w:pPr>
        <w:pStyle w:val="enumlev2"/>
        <w:rPr>
          <w:lang w:val="fr-FR" w:eastAsia="zh-CN"/>
        </w:rPr>
      </w:pPr>
      <w:r w:rsidRPr="00FF69D0">
        <w:rPr>
          <w:lang w:val="fr-FR"/>
        </w:rPr>
        <w:t>•</w:t>
      </w:r>
      <w:r w:rsidRPr="00FF69D0">
        <w:rPr>
          <w:lang w:val="fr-FR"/>
        </w:rPr>
        <w:tab/>
      </w:r>
      <w:r w:rsidR="00151472" w:rsidRPr="00FF69D0">
        <w:rPr>
          <w:lang w:val="fr-FR" w:eastAsia="zh-CN"/>
        </w:rPr>
        <w:t>l'AMNT-20 a examiné les résultats du Colloque mondial sur la normalisation de</w:t>
      </w:r>
      <w:r w:rsidR="00FF69D0" w:rsidRPr="00FF69D0">
        <w:rPr>
          <w:lang w:val="fr-FR" w:eastAsia="zh-CN"/>
        </w:rPr>
        <w:t> </w:t>
      </w:r>
      <w:r w:rsidR="00151472" w:rsidRPr="00FF69D0">
        <w:rPr>
          <w:lang w:val="fr-FR" w:eastAsia="zh-CN"/>
        </w:rPr>
        <w:t>2020. Aucune mesure ne doit être prise par le GCNT</w:t>
      </w:r>
      <w:r w:rsidR="00FF69D0" w:rsidRPr="00FF69D0">
        <w:rPr>
          <w:lang w:val="fr-FR" w:eastAsia="zh-CN"/>
        </w:rPr>
        <w:t>;</w:t>
      </w:r>
    </w:p>
    <w:p w14:paraId="15DC0171" w14:textId="062BB312" w:rsidR="007F5689" w:rsidRPr="00FF69D0" w:rsidRDefault="007F5689" w:rsidP="003F7052">
      <w:pPr>
        <w:rPr>
          <w:szCs w:val="24"/>
          <w:lang w:val="fr-FR"/>
        </w:rPr>
      </w:pPr>
      <w:r w:rsidRPr="00FF69D0">
        <w:rPr>
          <w:szCs w:val="24"/>
          <w:lang w:val="fr-FR"/>
        </w:rPr>
        <w:t>9</w:t>
      </w:r>
      <w:r w:rsidRPr="00FF69D0">
        <w:rPr>
          <w:szCs w:val="24"/>
          <w:lang w:val="fr-FR"/>
        </w:rPr>
        <w:tab/>
      </w:r>
      <w:r w:rsidR="00C42E9A" w:rsidRPr="00FF69D0">
        <w:rPr>
          <w:szCs w:val="24"/>
          <w:lang w:val="fr-FR"/>
        </w:rPr>
        <w:t>que le GCNT devra faire rapport à la prochaine AMNT sur les activités énumérées ci‑dessus</w:t>
      </w:r>
      <w:r w:rsidRPr="00FF69D0">
        <w:rPr>
          <w:szCs w:val="24"/>
          <w:lang w:val="fr-FR"/>
        </w:rPr>
        <w:t>,</w:t>
      </w:r>
    </w:p>
    <w:p w14:paraId="342FF69C" w14:textId="3D3EC2C4" w:rsidR="007F5689" w:rsidRPr="00FF69D0" w:rsidRDefault="00C42E9A" w:rsidP="003F7052">
      <w:pPr>
        <w:pStyle w:val="Call"/>
        <w:rPr>
          <w:lang w:val="fr-FR"/>
        </w:rPr>
      </w:pPr>
      <w:bookmarkStart w:id="3" w:name="_Hlk97195382"/>
      <w:r w:rsidRPr="00FF69D0">
        <w:rPr>
          <w:lang w:val="fr-FR"/>
        </w:rPr>
        <w:t>charge le Directeur du Bureau de la normalisation des télécommunications</w:t>
      </w:r>
    </w:p>
    <w:bookmarkEnd w:id="3"/>
    <w:p w14:paraId="2F149F1B" w14:textId="4A1C8F02" w:rsidR="007F5689" w:rsidRPr="00FF69D0" w:rsidRDefault="007F5689" w:rsidP="003F7052">
      <w:pPr>
        <w:pStyle w:val="enumlev2"/>
        <w:rPr>
          <w:szCs w:val="24"/>
          <w:lang w:val="fr-FR"/>
        </w:rPr>
      </w:pPr>
      <w:r w:rsidRPr="00FF69D0">
        <w:rPr>
          <w:lang w:val="fr-FR"/>
        </w:rPr>
        <w:t>•</w:t>
      </w:r>
      <w:r w:rsidRPr="00FF69D0">
        <w:rPr>
          <w:lang w:val="fr-FR"/>
        </w:rPr>
        <w:tab/>
      </w:r>
      <w:r w:rsidR="00151472" w:rsidRPr="00FF69D0">
        <w:rPr>
          <w:lang w:val="fr-FR"/>
        </w:rPr>
        <w:t xml:space="preserve">voir </w:t>
      </w:r>
      <w:r w:rsidR="00C42E9A" w:rsidRPr="00FF69D0">
        <w:rPr>
          <w:lang w:val="fr-FR"/>
        </w:rPr>
        <w:t>le présent document</w:t>
      </w:r>
      <w:r w:rsidRPr="00FF69D0">
        <w:rPr>
          <w:lang w:val="fr-FR"/>
        </w:rPr>
        <w:t>.</w:t>
      </w:r>
    </w:p>
    <w:p w14:paraId="133E72EB" w14:textId="77777777" w:rsidR="00FF69D0" w:rsidRPr="00FF69D0" w:rsidRDefault="00FF69D0">
      <w:pPr>
        <w:jc w:val="center"/>
        <w:rPr>
          <w:lang w:val="fr-FR"/>
        </w:rPr>
      </w:pPr>
      <w:r w:rsidRPr="00FF69D0">
        <w:rPr>
          <w:lang w:val="fr-FR"/>
        </w:rPr>
        <w:t>______________</w:t>
      </w:r>
    </w:p>
    <w:sectPr w:rsidR="00FF69D0" w:rsidRPr="00FF69D0">
      <w:headerReference w:type="default" r:id="rId43"/>
      <w:footerReference w:type="even" r:id="rId44"/>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31A6F5" w14:textId="77777777" w:rsidR="00A32BC2" w:rsidRDefault="00A32BC2">
      <w:r>
        <w:separator/>
      </w:r>
    </w:p>
  </w:endnote>
  <w:endnote w:type="continuationSeparator" w:id="0">
    <w:p w14:paraId="06B59803" w14:textId="77777777" w:rsidR="00A32BC2" w:rsidRDefault="00A32BC2">
      <w:r>
        <w:continuationSeparator/>
      </w:r>
    </w:p>
  </w:endnote>
  <w:endnote w:type="continuationNotice" w:id="1">
    <w:p w14:paraId="201D5511" w14:textId="77777777" w:rsidR="00A32BC2" w:rsidRDefault="00A32BC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867978" w14:textId="77777777" w:rsidR="009D4900" w:rsidRDefault="009D4900">
    <w:pPr>
      <w:framePr w:wrap="around" w:vAnchor="text" w:hAnchor="margin" w:xAlign="right" w:y="1"/>
    </w:pPr>
    <w:r>
      <w:fldChar w:fldCharType="begin"/>
    </w:r>
    <w:r>
      <w:instrText xml:space="preserve">PAGE  </w:instrText>
    </w:r>
    <w:r>
      <w:fldChar w:fldCharType="end"/>
    </w:r>
  </w:p>
  <w:p w14:paraId="08EEE1BD" w14:textId="7AEBEEFA"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FF69D0">
      <w:rPr>
        <w:noProof/>
      </w:rPr>
      <w:t>01.10.24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92CD92" w14:textId="77777777" w:rsidR="00A32BC2" w:rsidRDefault="00A32BC2">
      <w:r>
        <w:rPr>
          <w:b/>
        </w:rPr>
        <w:t>_______________</w:t>
      </w:r>
    </w:p>
  </w:footnote>
  <w:footnote w:type="continuationSeparator" w:id="0">
    <w:p w14:paraId="6AE72631" w14:textId="77777777" w:rsidR="00A32BC2" w:rsidRDefault="00A32BC2">
      <w:r>
        <w:continuationSeparator/>
      </w:r>
    </w:p>
  </w:footnote>
  <w:footnote w:id="1">
    <w:p w14:paraId="3AAB8F1F" w14:textId="7E0BBF0F" w:rsidR="007F5689" w:rsidRPr="00C42E9A" w:rsidRDefault="007F5689" w:rsidP="007F5689">
      <w:pPr>
        <w:pStyle w:val="FootnoteText"/>
        <w:rPr>
          <w:lang w:val="fr-FR"/>
        </w:rPr>
      </w:pPr>
      <w:r w:rsidRPr="00C42E9A">
        <w:rPr>
          <w:rStyle w:val="FootnoteReference"/>
          <w:lang w:val="fr-FR"/>
        </w:rPr>
        <w:t>1</w:t>
      </w:r>
      <w:r w:rsidRPr="00C42E9A">
        <w:rPr>
          <w:lang w:val="fr-FR"/>
        </w:rPr>
        <w:t xml:space="preserve"> </w:t>
      </w:r>
      <w:r w:rsidRPr="00C42E9A">
        <w:rPr>
          <w:lang w:val="fr-FR"/>
        </w:rPr>
        <w:tab/>
      </w:r>
      <w:bookmarkStart w:id="2" w:name="_Hlk97935321"/>
      <w:r w:rsidR="00C42E9A" w:rsidRPr="00C42E9A">
        <w:rPr>
          <w:lang w:val="fr-FR"/>
        </w:rPr>
        <w:t>Les pays en développement comprennent aussi les pays les moins avancés, les petits États insulaires en développement, les pays en développement sans littoral et les pays dont l'économie est en transition</w:t>
      </w:r>
      <w:r w:rsidRPr="00C42E9A">
        <w:rPr>
          <w:lang w:val="fr-FR"/>
        </w:rPr>
        <w:t>.</w:t>
      </w:r>
      <w:bookmarkEnd w:id="2"/>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DC7512" w14:textId="6551A8D0" w:rsidR="00A52D1A" w:rsidRPr="00513862" w:rsidRDefault="00513862" w:rsidP="00706168">
    <w:pPr>
      <w:pStyle w:val="Header"/>
    </w:pPr>
    <w:r>
      <w:fldChar w:fldCharType="begin"/>
    </w:r>
    <w:r>
      <w:instrText xml:space="preserve"> PAGE  \* MERGEFORMAT </w:instrText>
    </w:r>
    <w:r>
      <w:fldChar w:fldCharType="separate"/>
    </w:r>
    <w:r>
      <w:t>2</w:t>
    </w:r>
    <w:r>
      <w:fldChar w:fldCharType="end"/>
    </w:r>
    <w:r w:rsidR="00706168">
      <w:br/>
    </w:r>
    <w:r w:rsidR="002729A5">
      <w:t>WTSA</w:t>
    </w:r>
    <w:r w:rsidR="0090488A">
      <w:t>-24/</w:t>
    </w:r>
    <w:r w:rsidR="007F5689">
      <w:t>27</w:t>
    </w:r>
    <w:r w:rsidR="0090488A">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297375157">
    <w:abstractNumId w:val="8"/>
  </w:num>
  <w:num w:numId="2" w16cid:durableId="204223536">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66554503">
    <w:abstractNumId w:val="9"/>
  </w:num>
  <w:num w:numId="4" w16cid:durableId="1190221822">
    <w:abstractNumId w:val="7"/>
  </w:num>
  <w:num w:numId="5" w16cid:durableId="789327460">
    <w:abstractNumId w:val="6"/>
  </w:num>
  <w:num w:numId="6" w16cid:durableId="2120104397">
    <w:abstractNumId w:val="5"/>
  </w:num>
  <w:num w:numId="7" w16cid:durableId="1718704472">
    <w:abstractNumId w:val="4"/>
  </w:num>
  <w:num w:numId="8" w16cid:durableId="433676459">
    <w:abstractNumId w:val="3"/>
  </w:num>
  <w:num w:numId="9" w16cid:durableId="1390958149">
    <w:abstractNumId w:val="2"/>
  </w:num>
  <w:num w:numId="10" w16cid:durableId="1864320518">
    <w:abstractNumId w:val="1"/>
  </w:num>
  <w:num w:numId="11" w16cid:durableId="447552120">
    <w:abstractNumId w:val="0"/>
  </w:num>
  <w:num w:numId="12" w16cid:durableId="1349017469">
    <w:abstractNumId w:val="12"/>
  </w:num>
  <w:num w:numId="13" w16cid:durableId="19516663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3309"/>
    <w:rsid w:val="000041EA"/>
    <w:rsid w:val="0001425B"/>
    <w:rsid w:val="00022A29"/>
    <w:rsid w:val="00024294"/>
    <w:rsid w:val="00032BAE"/>
    <w:rsid w:val="00032E8D"/>
    <w:rsid w:val="00034F78"/>
    <w:rsid w:val="000355FD"/>
    <w:rsid w:val="00051E39"/>
    <w:rsid w:val="0005603E"/>
    <w:rsid w:val="000560D0"/>
    <w:rsid w:val="00062F05"/>
    <w:rsid w:val="00063D0B"/>
    <w:rsid w:val="00063EBE"/>
    <w:rsid w:val="0006471F"/>
    <w:rsid w:val="00067953"/>
    <w:rsid w:val="00077239"/>
    <w:rsid w:val="000807E9"/>
    <w:rsid w:val="00086491"/>
    <w:rsid w:val="00091346"/>
    <w:rsid w:val="0009706C"/>
    <w:rsid w:val="000A4F50"/>
    <w:rsid w:val="000D0578"/>
    <w:rsid w:val="000D708A"/>
    <w:rsid w:val="000F57C3"/>
    <w:rsid w:val="000F73FF"/>
    <w:rsid w:val="001043FF"/>
    <w:rsid w:val="001059D5"/>
    <w:rsid w:val="00114CF7"/>
    <w:rsid w:val="00123B68"/>
    <w:rsid w:val="001243B8"/>
    <w:rsid w:val="00126F2E"/>
    <w:rsid w:val="001301F4"/>
    <w:rsid w:val="00130789"/>
    <w:rsid w:val="00137CF6"/>
    <w:rsid w:val="00146F6F"/>
    <w:rsid w:val="00151472"/>
    <w:rsid w:val="00161472"/>
    <w:rsid w:val="00163E58"/>
    <w:rsid w:val="00166C2A"/>
    <w:rsid w:val="0017074E"/>
    <w:rsid w:val="00170A46"/>
    <w:rsid w:val="00182117"/>
    <w:rsid w:val="0018215C"/>
    <w:rsid w:val="00187BD9"/>
    <w:rsid w:val="00190B55"/>
    <w:rsid w:val="001C3B5F"/>
    <w:rsid w:val="001D058F"/>
    <w:rsid w:val="001D442F"/>
    <w:rsid w:val="001E6F73"/>
    <w:rsid w:val="001E78D7"/>
    <w:rsid w:val="002009EA"/>
    <w:rsid w:val="00202CA0"/>
    <w:rsid w:val="00216B6D"/>
    <w:rsid w:val="002208AE"/>
    <w:rsid w:val="0022596B"/>
    <w:rsid w:val="00227927"/>
    <w:rsid w:val="00236EBA"/>
    <w:rsid w:val="00245127"/>
    <w:rsid w:val="00246525"/>
    <w:rsid w:val="00250AF4"/>
    <w:rsid w:val="00260B50"/>
    <w:rsid w:val="00263BE8"/>
    <w:rsid w:val="00266CD1"/>
    <w:rsid w:val="00267BFB"/>
    <w:rsid w:val="0027050E"/>
    <w:rsid w:val="00271316"/>
    <w:rsid w:val="002729A5"/>
    <w:rsid w:val="00290F83"/>
    <w:rsid w:val="002931F4"/>
    <w:rsid w:val="00293F9A"/>
    <w:rsid w:val="002957A7"/>
    <w:rsid w:val="002A1D23"/>
    <w:rsid w:val="002A5392"/>
    <w:rsid w:val="002B100E"/>
    <w:rsid w:val="002C0AD9"/>
    <w:rsid w:val="002C4DC4"/>
    <w:rsid w:val="002C6531"/>
    <w:rsid w:val="002D151C"/>
    <w:rsid w:val="002D58BE"/>
    <w:rsid w:val="002E3AEE"/>
    <w:rsid w:val="002E561F"/>
    <w:rsid w:val="002E7D1F"/>
    <w:rsid w:val="002F2D0C"/>
    <w:rsid w:val="002F442D"/>
    <w:rsid w:val="002F7056"/>
    <w:rsid w:val="00316351"/>
    <w:rsid w:val="00316B80"/>
    <w:rsid w:val="003251EA"/>
    <w:rsid w:val="00336B4E"/>
    <w:rsid w:val="0034635C"/>
    <w:rsid w:val="00377BD3"/>
    <w:rsid w:val="00384088"/>
    <w:rsid w:val="003879F0"/>
    <w:rsid w:val="0039169B"/>
    <w:rsid w:val="00394470"/>
    <w:rsid w:val="003A7F8C"/>
    <w:rsid w:val="003B09A1"/>
    <w:rsid w:val="003B532E"/>
    <w:rsid w:val="003C33B7"/>
    <w:rsid w:val="003C3537"/>
    <w:rsid w:val="003D0F8B"/>
    <w:rsid w:val="003F020A"/>
    <w:rsid w:val="003F1269"/>
    <w:rsid w:val="003F7052"/>
    <w:rsid w:val="0041348E"/>
    <w:rsid w:val="004142ED"/>
    <w:rsid w:val="00420EDB"/>
    <w:rsid w:val="0042110E"/>
    <w:rsid w:val="004373CA"/>
    <w:rsid w:val="004420C9"/>
    <w:rsid w:val="00443CCE"/>
    <w:rsid w:val="00452817"/>
    <w:rsid w:val="00462D00"/>
    <w:rsid w:val="00465799"/>
    <w:rsid w:val="00471EF9"/>
    <w:rsid w:val="00492075"/>
    <w:rsid w:val="00493613"/>
    <w:rsid w:val="004969AD"/>
    <w:rsid w:val="004A26C4"/>
    <w:rsid w:val="004B13CB"/>
    <w:rsid w:val="004B4AAE"/>
    <w:rsid w:val="004C6FBE"/>
    <w:rsid w:val="004D5D5C"/>
    <w:rsid w:val="004D6DFC"/>
    <w:rsid w:val="004E05BE"/>
    <w:rsid w:val="004E268A"/>
    <w:rsid w:val="004E2B16"/>
    <w:rsid w:val="004E586F"/>
    <w:rsid w:val="004F5C21"/>
    <w:rsid w:val="004F630A"/>
    <w:rsid w:val="0050139F"/>
    <w:rsid w:val="00510C3D"/>
    <w:rsid w:val="00513862"/>
    <w:rsid w:val="00543F20"/>
    <w:rsid w:val="0055140B"/>
    <w:rsid w:val="00553247"/>
    <w:rsid w:val="0056747D"/>
    <w:rsid w:val="00581B01"/>
    <w:rsid w:val="00587F8C"/>
    <w:rsid w:val="00595780"/>
    <w:rsid w:val="005964AB"/>
    <w:rsid w:val="005A1A6A"/>
    <w:rsid w:val="005C099A"/>
    <w:rsid w:val="005C31A5"/>
    <w:rsid w:val="005D431B"/>
    <w:rsid w:val="005E10C9"/>
    <w:rsid w:val="005E61DD"/>
    <w:rsid w:val="006023DF"/>
    <w:rsid w:val="00602F64"/>
    <w:rsid w:val="006157E0"/>
    <w:rsid w:val="00622829"/>
    <w:rsid w:val="00623F15"/>
    <w:rsid w:val="006256C0"/>
    <w:rsid w:val="00643684"/>
    <w:rsid w:val="006465FD"/>
    <w:rsid w:val="00657CDA"/>
    <w:rsid w:val="00657DE0"/>
    <w:rsid w:val="006714A3"/>
    <w:rsid w:val="0067500B"/>
    <w:rsid w:val="006763BF"/>
    <w:rsid w:val="00685313"/>
    <w:rsid w:val="0069276B"/>
    <w:rsid w:val="00692833"/>
    <w:rsid w:val="006A0D14"/>
    <w:rsid w:val="006A6E9B"/>
    <w:rsid w:val="006A72A4"/>
    <w:rsid w:val="006B7C2A"/>
    <w:rsid w:val="006C23DA"/>
    <w:rsid w:val="006D4032"/>
    <w:rsid w:val="006E3D45"/>
    <w:rsid w:val="006E6EE0"/>
    <w:rsid w:val="006F0DB7"/>
    <w:rsid w:val="00700547"/>
    <w:rsid w:val="00706168"/>
    <w:rsid w:val="007064E6"/>
    <w:rsid w:val="00707E39"/>
    <w:rsid w:val="007149F9"/>
    <w:rsid w:val="00716D70"/>
    <w:rsid w:val="00733A30"/>
    <w:rsid w:val="007372AC"/>
    <w:rsid w:val="00740D09"/>
    <w:rsid w:val="00742988"/>
    <w:rsid w:val="00742F1D"/>
    <w:rsid w:val="00744830"/>
    <w:rsid w:val="007452F0"/>
    <w:rsid w:val="00745AEE"/>
    <w:rsid w:val="00750F10"/>
    <w:rsid w:val="00752D4D"/>
    <w:rsid w:val="00761B19"/>
    <w:rsid w:val="007742CA"/>
    <w:rsid w:val="00776230"/>
    <w:rsid w:val="00776A18"/>
    <w:rsid w:val="00777235"/>
    <w:rsid w:val="00785E1D"/>
    <w:rsid w:val="0078609B"/>
    <w:rsid w:val="00790D70"/>
    <w:rsid w:val="00797C4B"/>
    <w:rsid w:val="007C60C2"/>
    <w:rsid w:val="007C7792"/>
    <w:rsid w:val="007D1EC0"/>
    <w:rsid w:val="007D5320"/>
    <w:rsid w:val="007E51BA"/>
    <w:rsid w:val="007E66EA"/>
    <w:rsid w:val="007F04A6"/>
    <w:rsid w:val="007F3C67"/>
    <w:rsid w:val="007F4179"/>
    <w:rsid w:val="007F5689"/>
    <w:rsid w:val="007F6D49"/>
    <w:rsid w:val="00800972"/>
    <w:rsid w:val="00804475"/>
    <w:rsid w:val="00811633"/>
    <w:rsid w:val="00811E02"/>
    <w:rsid w:val="00822B56"/>
    <w:rsid w:val="00840F52"/>
    <w:rsid w:val="008508D8"/>
    <w:rsid w:val="00850EEE"/>
    <w:rsid w:val="00854D8D"/>
    <w:rsid w:val="0085629C"/>
    <w:rsid w:val="00864CD2"/>
    <w:rsid w:val="00872FC8"/>
    <w:rsid w:val="00874789"/>
    <w:rsid w:val="008777B8"/>
    <w:rsid w:val="008845D0"/>
    <w:rsid w:val="008906BA"/>
    <w:rsid w:val="008A186A"/>
    <w:rsid w:val="008B1AEA"/>
    <w:rsid w:val="008B43F2"/>
    <w:rsid w:val="008B6CFF"/>
    <w:rsid w:val="008E2A7A"/>
    <w:rsid w:val="008E4BBE"/>
    <w:rsid w:val="008E67E5"/>
    <w:rsid w:val="008F016D"/>
    <w:rsid w:val="008F08A1"/>
    <w:rsid w:val="008F7D1E"/>
    <w:rsid w:val="0090488A"/>
    <w:rsid w:val="00905803"/>
    <w:rsid w:val="009163CF"/>
    <w:rsid w:val="00921DD4"/>
    <w:rsid w:val="0092425C"/>
    <w:rsid w:val="009274B4"/>
    <w:rsid w:val="00930EBD"/>
    <w:rsid w:val="00931298"/>
    <w:rsid w:val="00931323"/>
    <w:rsid w:val="00934EA2"/>
    <w:rsid w:val="00940614"/>
    <w:rsid w:val="00944A5C"/>
    <w:rsid w:val="00944BD3"/>
    <w:rsid w:val="00952A66"/>
    <w:rsid w:val="0095691C"/>
    <w:rsid w:val="009575B5"/>
    <w:rsid w:val="009A32D7"/>
    <w:rsid w:val="009B2216"/>
    <w:rsid w:val="009B59BB"/>
    <w:rsid w:val="009B7300"/>
    <w:rsid w:val="009C56E5"/>
    <w:rsid w:val="009C79B8"/>
    <w:rsid w:val="009D4900"/>
    <w:rsid w:val="009E1967"/>
    <w:rsid w:val="009E23C0"/>
    <w:rsid w:val="009E5FC8"/>
    <w:rsid w:val="009E687A"/>
    <w:rsid w:val="009F1890"/>
    <w:rsid w:val="009F4801"/>
    <w:rsid w:val="009F4D71"/>
    <w:rsid w:val="00A066F1"/>
    <w:rsid w:val="00A141AF"/>
    <w:rsid w:val="00A16D29"/>
    <w:rsid w:val="00A30305"/>
    <w:rsid w:val="00A31D2D"/>
    <w:rsid w:val="00A32BC2"/>
    <w:rsid w:val="00A36DF9"/>
    <w:rsid w:val="00A41A0D"/>
    <w:rsid w:val="00A41CB8"/>
    <w:rsid w:val="00A4600A"/>
    <w:rsid w:val="00A46C09"/>
    <w:rsid w:val="00A47EC0"/>
    <w:rsid w:val="00A52D1A"/>
    <w:rsid w:val="00A538A6"/>
    <w:rsid w:val="00A54C25"/>
    <w:rsid w:val="00A55A38"/>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E0E1B"/>
    <w:rsid w:val="00AF54E1"/>
    <w:rsid w:val="00B067BF"/>
    <w:rsid w:val="00B305D7"/>
    <w:rsid w:val="00B529AD"/>
    <w:rsid w:val="00B6324B"/>
    <w:rsid w:val="00B639E9"/>
    <w:rsid w:val="00B66385"/>
    <w:rsid w:val="00B66C2B"/>
    <w:rsid w:val="00B817CD"/>
    <w:rsid w:val="00B94AD0"/>
    <w:rsid w:val="00BA5265"/>
    <w:rsid w:val="00BB227D"/>
    <w:rsid w:val="00BB3A95"/>
    <w:rsid w:val="00BB6222"/>
    <w:rsid w:val="00BC053B"/>
    <w:rsid w:val="00BC2FB6"/>
    <w:rsid w:val="00BC7D84"/>
    <w:rsid w:val="00BE634E"/>
    <w:rsid w:val="00BF490E"/>
    <w:rsid w:val="00C0018F"/>
    <w:rsid w:val="00C0539A"/>
    <w:rsid w:val="00C10B63"/>
    <w:rsid w:val="00C120F4"/>
    <w:rsid w:val="00C16A5A"/>
    <w:rsid w:val="00C20466"/>
    <w:rsid w:val="00C20FF7"/>
    <w:rsid w:val="00C214ED"/>
    <w:rsid w:val="00C234E6"/>
    <w:rsid w:val="00C30155"/>
    <w:rsid w:val="00C324A8"/>
    <w:rsid w:val="00C34489"/>
    <w:rsid w:val="00C35338"/>
    <w:rsid w:val="00C362A7"/>
    <w:rsid w:val="00C42E9A"/>
    <w:rsid w:val="00C479FD"/>
    <w:rsid w:val="00C50EF4"/>
    <w:rsid w:val="00C54517"/>
    <w:rsid w:val="00C64CD8"/>
    <w:rsid w:val="00C701BF"/>
    <w:rsid w:val="00C72D5C"/>
    <w:rsid w:val="00C77E1A"/>
    <w:rsid w:val="00C97C68"/>
    <w:rsid w:val="00CA1A47"/>
    <w:rsid w:val="00CC247A"/>
    <w:rsid w:val="00CC7DAF"/>
    <w:rsid w:val="00CD190A"/>
    <w:rsid w:val="00CD70EF"/>
    <w:rsid w:val="00CD7CC4"/>
    <w:rsid w:val="00CE388F"/>
    <w:rsid w:val="00CE5E47"/>
    <w:rsid w:val="00CF020F"/>
    <w:rsid w:val="00CF1E9D"/>
    <w:rsid w:val="00CF2B5B"/>
    <w:rsid w:val="00D055D3"/>
    <w:rsid w:val="00D14CE0"/>
    <w:rsid w:val="00D2023F"/>
    <w:rsid w:val="00D21E23"/>
    <w:rsid w:val="00D278AC"/>
    <w:rsid w:val="00D41719"/>
    <w:rsid w:val="00D449A9"/>
    <w:rsid w:val="00D54009"/>
    <w:rsid w:val="00D5651D"/>
    <w:rsid w:val="00D57A34"/>
    <w:rsid w:val="00D643B3"/>
    <w:rsid w:val="00D74898"/>
    <w:rsid w:val="00D801ED"/>
    <w:rsid w:val="00D936BC"/>
    <w:rsid w:val="00D96530"/>
    <w:rsid w:val="00DA65B1"/>
    <w:rsid w:val="00DA7E2F"/>
    <w:rsid w:val="00DD441E"/>
    <w:rsid w:val="00DD44AF"/>
    <w:rsid w:val="00DE2AC3"/>
    <w:rsid w:val="00DE5692"/>
    <w:rsid w:val="00DE70B3"/>
    <w:rsid w:val="00DF1E7B"/>
    <w:rsid w:val="00DF3E19"/>
    <w:rsid w:val="00DF6908"/>
    <w:rsid w:val="00DF700D"/>
    <w:rsid w:val="00E0231F"/>
    <w:rsid w:val="00E03C94"/>
    <w:rsid w:val="00E2134A"/>
    <w:rsid w:val="00E26226"/>
    <w:rsid w:val="00E3103C"/>
    <w:rsid w:val="00E45D05"/>
    <w:rsid w:val="00E528BF"/>
    <w:rsid w:val="00E55816"/>
    <w:rsid w:val="00E55AEF"/>
    <w:rsid w:val="00E6117A"/>
    <w:rsid w:val="00E765C9"/>
    <w:rsid w:val="00E808DD"/>
    <w:rsid w:val="00E82677"/>
    <w:rsid w:val="00E870AC"/>
    <w:rsid w:val="00E94DBA"/>
    <w:rsid w:val="00E976C1"/>
    <w:rsid w:val="00EA12E5"/>
    <w:rsid w:val="00EB55C6"/>
    <w:rsid w:val="00EC7F04"/>
    <w:rsid w:val="00ED30BC"/>
    <w:rsid w:val="00F00DDC"/>
    <w:rsid w:val="00F01223"/>
    <w:rsid w:val="00F02766"/>
    <w:rsid w:val="00F05BD4"/>
    <w:rsid w:val="00F2404A"/>
    <w:rsid w:val="00F3630D"/>
    <w:rsid w:val="00F4677D"/>
    <w:rsid w:val="00F528B4"/>
    <w:rsid w:val="00F60D05"/>
    <w:rsid w:val="00F6155B"/>
    <w:rsid w:val="00F65C19"/>
    <w:rsid w:val="00F7356B"/>
    <w:rsid w:val="00F80977"/>
    <w:rsid w:val="00F83F75"/>
    <w:rsid w:val="00F86DF0"/>
    <w:rsid w:val="00F972D2"/>
    <w:rsid w:val="00FC1DB9"/>
    <w:rsid w:val="00FD2546"/>
    <w:rsid w:val="00FD772E"/>
    <w:rsid w:val="00FE0144"/>
    <w:rsid w:val="00FE5494"/>
    <w:rsid w:val="00FE78C7"/>
    <w:rsid w:val="00FF131D"/>
    <w:rsid w:val="00FF43AC"/>
    <w:rsid w:val="00FF69D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4BF2F0"/>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link w:val="CallChar"/>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729A5"/>
    <w:pPr>
      <w:jc w:val="center"/>
    </w:pPr>
    <w:rPr>
      <w:rFonts w:ascii="Times New Roman" w:hAnsi="Times New Roman" w:cs="Times New Roman"/>
      <w:b w:val="0"/>
      <w:caps/>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 w:type="character" w:customStyle="1" w:styleId="CallChar">
    <w:name w:val="Call Char"/>
    <w:link w:val="Call"/>
    <w:rsid w:val="007F5689"/>
    <w:rPr>
      <w:rFonts w:ascii="Times New Roman" w:hAnsi="Times New Roman"/>
      <w: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www.itu.int/md/T22-WTSA.24-C-0024/en" TargetMode="External"/><Relationship Id="rId26" Type="http://schemas.openxmlformats.org/officeDocument/2006/relationships/hyperlink" Target="https://www.itu.int/md/T22-WTSA.24-C-0024/en" TargetMode="External"/><Relationship Id="rId39" Type="http://schemas.openxmlformats.org/officeDocument/2006/relationships/hyperlink" Target="https://www.itu.int/md/T22-TSAG-R-0008/fr" TargetMode="External"/><Relationship Id="rId21" Type="http://schemas.openxmlformats.org/officeDocument/2006/relationships/hyperlink" Target="https://www.itu.int/md/T22-WTSA.24-C-0024/en" TargetMode="External"/><Relationship Id="rId34" Type="http://schemas.openxmlformats.org/officeDocument/2006/relationships/hyperlink" Target="https://www.itu.int/md/T22-WTSA.24-C-0024/en" TargetMode="External"/><Relationship Id="rId42" Type="http://schemas.openxmlformats.org/officeDocument/2006/relationships/hyperlink" Target="https://www.itu.int/md/T22-WTSA.24-C-0024/en"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itu.int/md/T22-WTSA.24-C-0024/en" TargetMode="External"/><Relationship Id="rId29" Type="http://schemas.openxmlformats.org/officeDocument/2006/relationships/hyperlink" Target="https://www.itu.int/md/T22-WTSA.24-C-0030/e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itu.int/md/T22-WTSA.24-C-0024/en" TargetMode="External"/><Relationship Id="rId32" Type="http://schemas.openxmlformats.org/officeDocument/2006/relationships/hyperlink" Target="https://www.itu.int/md/T22-WTSA.24-C-0024/en" TargetMode="External"/><Relationship Id="rId37" Type="http://schemas.openxmlformats.org/officeDocument/2006/relationships/hyperlink" Target="https://www.itu.int/md/T22-TSAG-R-0002/en" TargetMode="External"/><Relationship Id="rId40" Type="http://schemas.openxmlformats.org/officeDocument/2006/relationships/hyperlink" Target="https://www.itu.int/md/T22-WTSA.24-C-0024/en"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itu.int/md/T22-WTSA.24-C-0024/en" TargetMode="External"/><Relationship Id="rId23" Type="http://schemas.openxmlformats.org/officeDocument/2006/relationships/hyperlink" Target="https://www.itu.int/md/T22-WTSA.24-C-0024/en" TargetMode="External"/><Relationship Id="rId28" Type="http://schemas.openxmlformats.org/officeDocument/2006/relationships/hyperlink" Target="https://www.itu.int/md/T22-WTSA.24-C-0024/en" TargetMode="External"/><Relationship Id="rId36" Type="http://schemas.openxmlformats.org/officeDocument/2006/relationships/hyperlink" Target="https://www.itu.int/md/meetingdoc.asp?lang=en&amp;parent=T22-TSAG-R-0001" TargetMode="External"/><Relationship Id="rId10" Type="http://schemas.openxmlformats.org/officeDocument/2006/relationships/footnotes" Target="footnotes.xml"/><Relationship Id="rId19" Type="http://schemas.openxmlformats.org/officeDocument/2006/relationships/hyperlink" Target="https://www.itu.int/md/T22-WTSA.24-C-0024/en" TargetMode="External"/><Relationship Id="rId31" Type="http://schemas.openxmlformats.org/officeDocument/2006/relationships/hyperlink" Target="https://www.itu.int/md/T22-WTSA.24-C-0024/en"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tsagchair@nca.gov.sa" TargetMode="External"/><Relationship Id="rId22" Type="http://schemas.openxmlformats.org/officeDocument/2006/relationships/hyperlink" Target="https://www.itu.int/md/T22-WTSA.24-C-0024/en" TargetMode="External"/><Relationship Id="rId27" Type="http://schemas.openxmlformats.org/officeDocument/2006/relationships/hyperlink" Target="https://www.itu.int/md/T22-WTSA.24-C-0024/en" TargetMode="External"/><Relationship Id="rId30" Type="http://schemas.openxmlformats.org/officeDocument/2006/relationships/hyperlink" Target="https://www.itu.int/md/T22-WTSA.24-C-0024/en" TargetMode="External"/><Relationship Id="rId35" Type="http://schemas.openxmlformats.org/officeDocument/2006/relationships/hyperlink" Target="https://www.itu.int/md/T22-WTSA.24-C-0034/en" TargetMode="External"/><Relationship Id="rId43" Type="http://schemas.openxmlformats.org/officeDocument/2006/relationships/header" Target="header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itu.int/md/T22-WTSA.24-C-0024/en" TargetMode="External"/><Relationship Id="rId25" Type="http://schemas.openxmlformats.org/officeDocument/2006/relationships/hyperlink" Target="https://www.itu.int/md/T22-WTSA.24-C-0024/en" TargetMode="External"/><Relationship Id="rId33" Type="http://schemas.openxmlformats.org/officeDocument/2006/relationships/hyperlink" Target="https://www.itu.int/md/T22-WTSA.24-C-0024/en" TargetMode="External"/><Relationship Id="rId38" Type="http://schemas.openxmlformats.org/officeDocument/2006/relationships/hyperlink" Target="https://www.itu.int/md/T22-TSAG-R-0004/en" TargetMode="External"/><Relationship Id="rId46" Type="http://schemas.openxmlformats.org/officeDocument/2006/relationships/theme" Target="theme/theme1.xml"/><Relationship Id="rId20" Type="http://schemas.openxmlformats.org/officeDocument/2006/relationships/hyperlink" Target="https://www.itu.int/md/T22-WTSA.24-C-0024/en" TargetMode="External"/><Relationship Id="rId41" Type="http://schemas.openxmlformats.org/officeDocument/2006/relationships/hyperlink" Target="https://www.itu.int/md/T22-WTSA.24-C-0024/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6bae0123-b8b9-46ba-816a-65288c63f0ac">DPM</DPM_x0020_Author>
    <DPM_x0020_File_x0020_name xmlns="6bae0123-b8b9-46ba-816a-65288c63f0ac">T22-WTSA.24-C-0035!A25!MSW-F</DPM_x0020_File_x0020_name>
    <DPM_x0020_Version xmlns="6bae0123-b8b9-46ba-816a-65288c63f0ac">DPM_2022.05.12.01</DPM_x0020_Version>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6bae0123-b8b9-46ba-816a-65288c63f0ac" targetNamespace="http://schemas.microsoft.com/office/2006/metadata/properties" ma:root="true" ma:fieldsID="d41af5c836d734370eb92e7ee5f83852" ns2:_="" ns3:_="">
    <xsd:import namespace="996b2e75-67fd-4955-a3b0-5ab9934cb50b"/>
    <xsd:import namespace="6bae0123-b8b9-46ba-816a-65288c63f0ac"/>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6bae0123-b8b9-46ba-816a-65288c63f0ac"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3D58E2-EC10-4DC5-9074-AF807B63C28A}">
  <ds:schemaRefs>
    <ds:schemaRef ds:uri="http://www.w3.org/XML/1998/namespace"/>
    <ds:schemaRef ds:uri="http://schemas.microsoft.com/office/2006/documentManagement/types"/>
    <ds:schemaRef ds:uri="http://purl.org/dc/terms/"/>
    <ds:schemaRef ds:uri="6bae0123-b8b9-46ba-816a-65288c63f0ac"/>
    <ds:schemaRef ds:uri="http://purl.org/dc/dcmitype/"/>
    <ds:schemaRef ds:uri="http://schemas.microsoft.com/office/infopath/2007/PartnerControls"/>
    <ds:schemaRef ds:uri="996b2e75-67fd-4955-a3b0-5ab9934cb50b"/>
    <ds:schemaRef ds:uri="http://schemas.openxmlformats.org/package/2006/metadata/core-properti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3.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6bae0123-b8b9-46ba-816a-65288c63f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C3F443-FB8E-4D81-A837-FAFD193F0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21B1F41-FCAB-4F2A-81E2-D384F50A66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5</Pages>
  <Words>1851</Words>
  <Characters>12174</Characters>
  <Application>Microsoft Office Word</Application>
  <DocSecurity>0</DocSecurity>
  <Lines>101</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T22-WTSA.24-C-0035!A25!MSW-F</vt:lpstr>
      <vt:lpstr>T22-WTSA.24-C-0035!A25!MSW-F</vt:lpstr>
    </vt:vector>
  </TitlesOfParts>
  <Manager>General Secretariat - Pool</Manager>
  <Company>International Telecommunication Union (ITU)</Company>
  <LinksUpToDate>false</LinksUpToDate>
  <CharactersWithSpaces>13998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T22-WTSA.24-C-0035!A25!MSW-F</dc:title>
  <dc:subject>World Telecommunication Standardization Assembly</dc:subject>
  <dc:creator>Documents Proposals Manager (DPM)</dc:creator>
  <cp:keywords>DPM_v2024.7.23.2_prod</cp:keywords>
  <dc:description>Template used by DPM and CPI for the WTSA-24</dc:description>
  <cp:lastModifiedBy>French</cp:lastModifiedBy>
  <cp:revision>8</cp:revision>
  <cp:lastPrinted>2016-06-06T07:49:00Z</cp:lastPrinted>
  <dcterms:created xsi:type="dcterms:W3CDTF">2024-10-01T11:18:00Z</dcterms:created>
  <dcterms:modified xsi:type="dcterms:W3CDTF">2024-10-01T13:55:00Z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