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2268"/>
        <w:gridCol w:w="1306"/>
      </w:tblGrid>
      <w:tr w:rsidR="00D2023F" w:rsidRPr="009960E1" w14:paraId="0F4357CC" w14:textId="77777777" w:rsidTr="006D4032">
        <w:trPr>
          <w:cantSplit/>
          <w:trHeight w:val="1132"/>
        </w:trPr>
        <w:tc>
          <w:tcPr>
            <w:tcW w:w="1290" w:type="dxa"/>
            <w:vAlign w:val="center"/>
          </w:tcPr>
          <w:p w14:paraId="24B6F6FA" w14:textId="77777777" w:rsidR="00D2023F" w:rsidRPr="009960E1" w:rsidRDefault="0018215C" w:rsidP="00C30155">
            <w:pPr>
              <w:spacing w:before="0"/>
              <w:rPr>
                <w:lang w:val="es-ES_tradnl"/>
              </w:rPr>
            </w:pPr>
            <w:r w:rsidRPr="009960E1">
              <w:rPr>
                <w:noProof/>
                <w:lang w:val="es-ES_tradnl"/>
              </w:rPr>
              <w:drawing>
                <wp:inline distT="0" distB="0" distL="0" distR="0" wp14:anchorId="3839E813" wp14:editId="2089058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A2DA0F3" w14:textId="77777777" w:rsidR="00E610A4" w:rsidRPr="009960E1" w:rsidRDefault="00E610A4" w:rsidP="00E610A4">
            <w:pPr>
              <w:rPr>
                <w:rFonts w:ascii="Verdana" w:hAnsi="Verdana" w:cs="Times New Roman Bold"/>
                <w:b/>
                <w:bCs/>
                <w:szCs w:val="24"/>
                <w:lang w:val="es-ES_tradnl"/>
              </w:rPr>
            </w:pPr>
            <w:r w:rsidRPr="009960E1">
              <w:rPr>
                <w:rFonts w:ascii="Verdana" w:hAnsi="Verdana" w:cs="Times New Roman Bold"/>
                <w:b/>
                <w:bCs/>
                <w:szCs w:val="24"/>
                <w:lang w:val="es-ES_tradnl"/>
              </w:rPr>
              <w:t xml:space="preserve">Asamblea Mundial de Normalización </w:t>
            </w:r>
            <w:r w:rsidR="009F43D9" w:rsidRPr="009960E1">
              <w:rPr>
                <w:rFonts w:ascii="Verdana" w:hAnsi="Verdana" w:cs="Times New Roman Bold"/>
                <w:b/>
                <w:bCs/>
                <w:szCs w:val="24"/>
                <w:lang w:val="es-ES_tradnl"/>
              </w:rPr>
              <w:br/>
            </w:r>
            <w:r w:rsidRPr="009960E1">
              <w:rPr>
                <w:rFonts w:ascii="Verdana" w:hAnsi="Verdana" w:cs="Times New Roman Bold"/>
                <w:b/>
                <w:bCs/>
                <w:szCs w:val="24"/>
                <w:lang w:val="es-ES_tradnl"/>
              </w:rPr>
              <w:t>de las Telecomunicaciones (AMNT-24)</w:t>
            </w:r>
          </w:p>
          <w:p w14:paraId="638452BB" w14:textId="77777777" w:rsidR="00D2023F" w:rsidRPr="009960E1" w:rsidRDefault="00E610A4" w:rsidP="00E610A4">
            <w:pPr>
              <w:pStyle w:val="TopHeader"/>
              <w:spacing w:before="0"/>
              <w:rPr>
                <w:lang w:val="es-ES_tradnl"/>
              </w:rPr>
            </w:pPr>
            <w:r w:rsidRPr="009960E1">
              <w:rPr>
                <w:sz w:val="18"/>
                <w:szCs w:val="18"/>
                <w:lang w:val="es-ES_tradnl"/>
              </w:rPr>
              <w:t>Nueva Delhi, 15-24 de octubre de 2024</w:t>
            </w:r>
          </w:p>
        </w:tc>
        <w:tc>
          <w:tcPr>
            <w:tcW w:w="1306" w:type="dxa"/>
            <w:tcBorders>
              <w:left w:val="nil"/>
            </w:tcBorders>
            <w:vAlign w:val="center"/>
          </w:tcPr>
          <w:p w14:paraId="6666C292" w14:textId="77777777" w:rsidR="00D2023F" w:rsidRPr="009960E1" w:rsidRDefault="00D2023F" w:rsidP="00C30155">
            <w:pPr>
              <w:spacing w:before="0"/>
              <w:rPr>
                <w:lang w:val="es-ES_tradnl"/>
              </w:rPr>
            </w:pPr>
            <w:r w:rsidRPr="009960E1">
              <w:rPr>
                <w:noProof/>
                <w:lang w:val="es-ES_tradnl" w:eastAsia="zh-CN"/>
              </w:rPr>
              <w:drawing>
                <wp:inline distT="0" distB="0" distL="0" distR="0" wp14:anchorId="43A60A13" wp14:editId="53DD424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960E1" w14:paraId="04AEEF96" w14:textId="77777777" w:rsidTr="00135705">
        <w:trPr>
          <w:cantSplit/>
        </w:trPr>
        <w:tc>
          <w:tcPr>
            <w:tcW w:w="9811" w:type="dxa"/>
            <w:gridSpan w:val="4"/>
            <w:tcBorders>
              <w:bottom w:val="single" w:sz="12" w:space="0" w:color="auto"/>
            </w:tcBorders>
          </w:tcPr>
          <w:p w14:paraId="258BF125" w14:textId="77777777" w:rsidR="00D2023F" w:rsidRPr="009960E1" w:rsidRDefault="00D2023F" w:rsidP="00C30155">
            <w:pPr>
              <w:spacing w:before="0"/>
              <w:rPr>
                <w:lang w:val="es-ES_tradnl"/>
              </w:rPr>
            </w:pPr>
          </w:p>
        </w:tc>
      </w:tr>
      <w:tr w:rsidR="00931298" w:rsidRPr="009960E1" w14:paraId="357CEFB5" w14:textId="77777777" w:rsidTr="00D2023F">
        <w:trPr>
          <w:cantSplit/>
        </w:trPr>
        <w:tc>
          <w:tcPr>
            <w:tcW w:w="6237" w:type="dxa"/>
            <w:gridSpan w:val="2"/>
            <w:tcBorders>
              <w:top w:val="single" w:sz="12" w:space="0" w:color="auto"/>
            </w:tcBorders>
          </w:tcPr>
          <w:p w14:paraId="462A0A7C" w14:textId="77777777" w:rsidR="00931298" w:rsidRPr="009960E1" w:rsidRDefault="00931298" w:rsidP="00C30155">
            <w:pPr>
              <w:spacing w:before="0"/>
              <w:rPr>
                <w:lang w:val="es-ES_tradnl"/>
              </w:rPr>
            </w:pPr>
          </w:p>
        </w:tc>
        <w:tc>
          <w:tcPr>
            <w:tcW w:w="3574" w:type="dxa"/>
            <w:gridSpan w:val="2"/>
          </w:tcPr>
          <w:p w14:paraId="55E10B57" w14:textId="77777777" w:rsidR="00931298" w:rsidRPr="009960E1" w:rsidRDefault="00931298" w:rsidP="00C30155">
            <w:pPr>
              <w:spacing w:before="0"/>
              <w:rPr>
                <w:rFonts w:ascii="Verdana" w:hAnsi="Verdana"/>
                <w:b/>
                <w:bCs/>
                <w:sz w:val="20"/>
                <w:lang w:val="es-ES_tradnl"/>
              </w:rPr>
            </w:pPr>
          </w:p>
        </w:tc>
      </w:tr>
      <w:tr w:rsidR="00A472E3" w:rsidRPr="009960E1" w14:paraId="36402BB8" w14:textId="77777777" w:rsidTr="00536861">
        <w:trPr>
          <w:cantSplit/>
        </w:trPr>
        <w:tc>
          <w:tcPr>
            <w:tcW w:w="6237" w:type="dxa"/>
            <w:gridSpan w:val="2"/>
          </w:tcPr>
          <w:p w14:paraId="1504CA33" w14:textId="77777777" w:rsidR="00A472E3" w:rsidRPr="009960E1" w:rsidRDefault="00A472E3" w:rsidP="00C30155">
            <w:pPr>
              <w:pStyle w:val="Committee"/>
              <w:rPr>
                <w:highlight w:val="yellow"/>
                <w:lang w:val="es-ES_tradnl"/>
              </w:rPr>
            </w:pPr>
            <w:r w:rsidRPr="009960E1">
              <w:rPr>
                <w:lang w:val="es-ES_tradnl"/>
              </w:rPr>
              <w:t>SESIÓN PLENARIA</w:t>
            </w:r>
          </w:p>
        </w:tc>
        <w:tc>
          <w:tcPr>
            <w:tcW w:w="3574" w:type="dxa"/>
            <w:gridSpan w:val="2"/>
          </w:tcPr>
          <w:p w14:paraId="73CDB907" w14:textId="0A183F1B" w:rsidR="00A472E3" w:rsidRPr="009960E1" w:rsidRDefault="00A472E3" w:rsidP="00A472E3">
            <w:pPr>
              <w:pStyle w:val="TopHeader"/>
              <w:spacing w:before="0"/>
              <w:rPr>
                <w:lang w:val="es-ES_tradnl"/>
              </w:rPr>
            </w:pPr>
            <w:r w:rsidRPr="009960E1">
              <w:rPr>
                <w:sz w:val="20"/>
                <w:szCs w:val="20"/>
                <w:lang w:val="es-ES_tradnl"/>
              </w:rPr>
              <w:t xml:space="preserve">Documento </w:t>
            </w:r>
            <w:r w:rsidR="00CF0CB0" w:rsidRPr="009960E1">
              <w:rPr>
                <w:sz w:val="20"/>
                <w:szCs w:val="20"/>
                <w:lang w:val="es-ES_tradnl"/>
              </w:rPr>
              <w:t>24</w:t>
            </w:r>
            <w:r w:rsidR="00D13C48" w:rsidRPr="009960E1">
              <w:rPr>
                <w:sz w:val="20"/>
                <w:szCs w:val="20"/>
                <w:lang w:val="es-ES_tradnl"/>
              </w:rPr>
              <w:t>-S</w:t>
            </w:r>
          </w:p>
        </w:tc>
      </w:tr>
      <w:tr w:rsidR="00931298" w:rsidRPr="009960E1" w14:paraId="61DB0A9B" w14:textId="77777777" w:rsidTr="00D2023F">
        <w:trPr>
          <w:cantSplit/>
        </w:trPr>
        <w:tc>
          <w:tcPr>
            <w:tcW w:w="6237" w:type="dxa"/>
            <w:gridSpan w:val="2"/>
          </w:tcPr>
          <w:p w14:paraId="56D9F427" w14:textId="77777777" w:rsidR="00931298" w:rsidRPr="009960E1" w:rsidRDefault="00931298" w:rsidP="00C30155">
            <w:pPr>
              <w:spacing w:before="0"/>
              <w:rPr>
                <w:lang w:val="es-ES_tradnl"/>
              </w:rPr>
            </w:pPr>
          </w:p>
        </w:tc>
        <w:tc>
          <w:tcPr>
            <w:tcW w:w="3574" w:type="dxa"/>
            <w:gridSpan w:val="2"/>
          </w:tcPr>
          <w:p w14:paraId="027872DC" w14:textId="77B15918" w:rsidR="00931298" w:rsidRPr="009960E1" w:rsidRDefault="00D14831" w:rsidP="00C30155">
            <w:pPr>
              <w:pStyle w:val="TopHeader"/>
              <w:spacing w:before="0"/>
              <w:rPr>
                <w:sz w:val="20"/>
                <w:szCs w:val="20"/>
                <w:lang w:val="es-ES_tradnl"/>
              </w:rPr>
            </w:pPr>
            <w:r w:rsidRPr="009960E1">
              <w:rPr>
                <w:sz w:val="20"/>
                <w:szCs w:val="20"/>
                <w:lang w:val="es-ES_tradnl"/>
              </w:rPr>
              <w:t xml:space="preserve">Septiembre </w:t>
            </w:r>
            <w:r w:rsidR="00CF0CB0" w:rsidRPr="009960E1">
              <w:rPr>
                <w:sz w:val="20"/>
                <w:szCs w:val="20"/>
                <w:lang w:val="es-ES_tradnl"/>
              </w:rPr>
              <w:t>de</w:t>
            </w:r>
            <w:r w:rsidR="0088162F" w:rsidRPr="009960E1">
              <w:rPr>
                <w:sz w:val="20"/>
                <w:szCs w:val="20"/>
                <w:lang w:val="es-ES_tradnl"/>
              </w:rPr>
              <w:t xml:space="preserve"> 2024</w:t>
            </w:r>
          </w:p>
        </w:tc>
      </w:tr>
      <w:tr w:rsidR="00931298" w:rsidRPr="009960E1" w14:paraId="7BC3B1B0" w14:textId="77777777" w:rsidTr="00D2023F">
        <w:trPr>
          <w:cantSplit/>
        </w:trPr>
        <w:tc>
          <w:tcPr>
            <w:tcW w:w="6237" w:type="dxa"/>
            <w:gridSpan w:val="2"/>
          </w:tcPr>
          <w:p w14:paraId="2B32CE5A" w14:textId="77777777" w:rsidR="00931298" w:rsidRPr="009960E1" w:rsidRDefault="00931298" w:rsidP="00C30155">
            <w:pPr>
              <w:spacing w:before="0"/>
              <w:rPr>
                <w:lang w:val="es-ES_tradnl"/>
              </w:rPr>
            </w:pPr>
          </w:p>
        </w:tc>
        <w:tc>
          <w:tcPr>
            <w:tcW w:w="3574" w:type="dxa"/>
            <w:gridSpan w:val="2"/>
          </w:tcPr>
          <w:p w14:paraId="57232EB5" w14:textId="77777777" w:rsidR="00931298" w:rsidRPr="009960E1" w:rsidRDefault="00931298" w:rsidP="00C30155">
            <w:pPr>
              <w:pStyle w:val="TopHeader"/>
              <w:spacing w:before="0"/>
              <w:rPr>
                <w:sz w:val="20"/>
                <w:szCs w:val="20"/>
                <w:lang w:val="es-ES_tradnl"/>
              </w:rPr>
            </w:pPr>
            <w:r w:rsidRPr="009960E1">
              <w:rPr>
                <w:sz w:val="20"/>
                <w:szCs w:val="20"/>
                <w:lang w:val="es-ES_tradnl"/>
              </w:rPr>
              <w:t xml:space="preserve">Original: </w:t>
            </w:r>
            <w:r w:rsidR="00E610A4" w:rsidRPr="009960E1">
              <w:rPr>
                <w:sz w:val="20"/>
                <w:szCs w:val="20"/>
                <w:lang w:val="es-ES_tradnl"/>
              </w:rPr>
              <w:t>inglés</w:t>
            </w:r>
          </w:p>
        </w:tc>
      </w:tr>
      <w:tr w:rsidR="00931298" w:rsidRPr="009960E1" w14:paraId="0538384F" w14:textId="77777777" w:rsidTr="00C30155">
        <w:trPr>
          <w:cantSplit/>
        </w:trPr>
        <w:tc>
          <w:tcPr>
            <w:tcW w:w="9811" w:type="dxa"/>
            <w:gridSpan w:val="4"/>
          </w:tcPr>
          <w:p w14:paraId="1D84A846" w14:textId="77777777" w:rsidR="00931298" w:rsidRPr="009960E1" w:rsidRDefault="00931298" w:rsidP="00C30155">
            <w:pPr>
              <w:pStyle w:val="TopHeader"/>
              <w:spacing w:before="0"/>
              <w:rPr>
                <w:sz w:val="20"/>
                <w:lang w:val="es-ES_tradnl"/>
              </w:rPr>
            </w:pPr>
          </w:p>
        </w:tc>
      </w:tr>
      <w:tr w:rsidR="00931298" w:rsidRPr="009960E1" w14:paraId="7BE133E7" w14:textId="77777777" w:rsidTr="00C30155">
        <w:trPr>
          <w:cantSplit/>
        </w:trPr>
        <w:tc>
          <w:tcPr>
            <w:tcW w:w="9811" w:type="dxa"/>
            <w:gridSpan w:val="4"/>
          </w:tcPr>
          <w:p w14:paraId="58D4EEFD" w14:textId="55711B0E" w:rsidR="00931298" w:rsidRPr="009960E1" w:rsidRDefault="00CF0CB0" w:rsidP="009F43D9">
            <w:pPr>
              <w:pStyle w:val="Source"/>
              <w:rPr>
                <w:highlight w:val="yellow"/>
                <w:lang w:val="es-ES_tradnl"/>
              </w:rPr>
            </w:pPr>
            <w:r w:rsidRPr="009960E1">
              <w:rPr>
                <w:lang w:val="es-ES_tradnl"/>
              </w:rPr>
              <w:t>Director de la TSB</w:t>
            </w:r>
          </w:p>
        </w:tc>
      </w:tr>
      <w:tr w:rsidR="00931298" w:rsidRPr="00BE4E50" w14:paraId="1E196128" w14:textId="77777777" w:rsidTr="00C30155">
        <w:trPr>
          <w:cantSplit/>
        </w:trPr>
        <w:tc>
          <w:tcPr>
            <w:tcW w:w="9811" w:type="dxa"/>
            <w:gridSpan w:val="4"/>
          </w:tcPr>
          <w:p w14:paraId="09911683" w14:textId="210F043C" w:rsidR="00931298" w:rsidRPr="009960E1" w:rsidRDefault="00CF0CB0" w:rsidP="00CF0CB0">
            <w:pPr>
              <w:pStyle w:val="Title1"/>
              <w:rPr>
                <w:lang w:val="es-ES_tradnl"/>
              </w:rPr>
            </w:pPr>
            <w:r w:rsidRPr="009960E1">
              <w:rPr>
                <w:lang w:val="es-ES_tradnl"/>
              </w:rPr>
              <w:t>INFORME DEL GRUPO ASESOR DE NORMALIZACIÓN</w:t>
            </w:r>
            <w:r w:rsidRPr="009960E1">
              <w:rPr>
                <w:lang w:val="es-ES_tradnl"/>
              </w:rPr>
              <w:br/>
              <w:t>DE LAS TELECOMUNICACIONES A LA ASAMBLEA</w:t>
            </w:r>
            <w:r w:rsidRPr="009960E1">
              <w:rPr>
                <w:lang w:val="es-ES_tradnl"/>
              </w:rPr>
              <w:br/>
              <w:t>MUNDIAL DE NORMALIZACIÓN DE LAS</w:t>
            </w:r>
            <w:r w:rsidRPr="009960E1">
              <w:rPr>
                <w:lang w:val="es-ES_tradnl"/>
              </w:rPr>
              <w:br/>
              <w:t>TELECOMUNICACIONES (AMNT-24),</w:t>
            </w:r>
            <w:r w:rsidRPr="009960E1">
              <w:rPr>
                <w:lang w:val="es-ES_tradnl"/>
              </w:rPr>
              <w:br/>
              <w:t>PARTE I: GENERALIDADES</w:t>
            </w:r>
          </w:p>
        </w:tc>
      </w:tr>
      <w:tr w:rsidR="00657CDA" w:rsidRPr="00BE4E50" w14:paraId="746F15AA" w14:textId="77777777" w:rsidTr="00657CDA">
        <w:trPr>
          <w:cantSplit/>
        </w:trPr>
        <w:tc>
          <w:tcPr>
            <w:tcW w:w="9811" w:type="dxa"/>
            <w:gridSpan w:val="4"/>
          </w:tcPr>
          <w:p w14:paraId="4EB0EC89" w14:textId="77777777" w:rsidR="00657CDA" w:rsidRPr="009960E1" w:rsidRDefault="00657CDA" w:rsidP="003C33B7">
            <w:pPr>
              <w:pStyle w:val="Title2"/>
              <w:spacing w:before="240"/>
              <w:rPr>
                <w:lang w:val="es-ES_tradnl"/>
              </w:rPr>
            </w:pPr>
          </w:p>
        </w:tc>
      </w:tr>
      <w:tr w:rsidR="00657CDA" w:rsidRPr="00BE4E50" w14:paraId="442B1FF3" w14:textId="77777777" w:rsidTr="00657CDA">
        <w:trPr>
          <w:cantSplit/>
        </w:trPr>
        <w:tc>
          <w:tcPr>
            <w:tcW w:w="9811" w:type="dxa"/>
            <w:gridSpan w:val="4"/>
          </w:tcPr>
          <w:p w14:paraId="649F090D" w14:textId="77777777" w:rsidR="00657CDA" w:rsidRPr="009960E1" w:rsidRDefault="00657CDA" w:rsidP="00293F9A">
            <w:pPr>
              <w:pStyle w:val="Agendaitem"/>
              <w:spacing w:before="0"/>
            </w:pPr>
          </w:p>
        </w:tc>
      </w:tr>
    </w:tbl>
    <w:p w14:paraId="45757A27" w14:textId="77777777" w:rsidR="00931298" w:rsidRPr="009960E1" w:rsidRDefault="00931298" w:rsidP="00931298">
      <w:pPr>
        <w:rPr>
          <w:lang w:val="es-ES_tradnl"/>
        </w:rPr>
      </w:pPr>
    </w:p>
    <w:tbl>
      <w:tblPr>
        <w:tblW w:w="5074" w:type="pct"/>
        <w:tblLayout w:type="fixed"/>
        <w:tblLook w:val="0000" w:firstRow="0" w:lastRow="0" w:firstColumn="0" w:lastColumn="0" w:noHBand="0" w:noVBand="0"/>
      </w:tblPr>
      <w:tblGrid>
        <w:gridCol w:w="1610"/>
        <w:gridCol w:w="4633"/>
        <w:gridCol w:w="3539"/>
      </w:tblGrid>
      <w:tr w:rsidR="00931298" w:rsidRPr="00BE4E50" w14:paraId="0E301C1C" w14:textId="77777777" w:rsidTr="0022247E">
        <w:trPr>
          <w:cantSplit/>
        </w:trPr>
        <w:tc>
          <w:tcPr>
            <w:tcW w:w="1610" w:type="dxa"/>
          </w:tcPr>
          <w:p w14:paraId="46DC11F2" w14:textId="77777777" w:rsidR="00931298" w:rsidRPr="009960E1" w:rsidRDefault="00E610A4" w:rsidP="00C30155">
            <w:pPr>
              <w:rPr>
                <w:lang w:val="es-ES_tradnl"/>
              </w:rPr>
            </w:pPr>
            <w:r w:rsidRPr="009960E1">
              <w:rPr>
                <w:b/>
                <w:bCs/>
                <w:lang w:val="es-ES_tradnl"/>
              </w:rPr>
              <w:t>Resumen:</w:t>
            </w:r>
          </w:p>
        </w:tc>
        <w:tc>
          <w:tcPr>
            <w:tcW w:w="8172" w:type="dxa"/>
            <w:gridSpan w:val="2"/>
          </w:tcPr>
          <w:p w14:paraId="03A93A59" w14:textId="479F44AA" w:rsidR="00931298" w:rsidRPr="009960E1" w:rsidRDefault="00CF0CB0" w:rsidP="009F43D9">
            <w:pPr>
              <w:pStyle w:val="Abstract"/>
              <w:rPr>
                <w:lang w:val="es-ES_tradnl"/>
              </w:rPr>
            </w:pPr>
            <w:r w:rsidRPr="009960E1">
              <w:rPr>
                <w:lang w:val="es-ES_tradnl"/>
              </w:rPr>
              <w:t>De conformidad con los números 197H, 197I y 204 del Convenio, así como con las cláusulas 1.11.1, 4.4 y 4.9 de la Resolución 1 (Rev. Ginebra, 2022), el Director de la TSB presenta adjunto el Informe del Grupo Asesor de Normalización de las Telecomunicaciones (GANT) del Sector de Normalización de las Telecomunicaciones (UIT-T) a la AMNT-24 para su examen y adopción de las medidas adecuadas.</w:t>
            </w:r>
          </w:p>
        </w:tc>
      </w:tr>
      <w:tr w:rsidR="00931298" w:rsidRPr="009960E1" w14:paraId="74AEA92B" w14:textId="77777777" w:rsidTr="0022247E">
        <w:trPr>
          <w:cantSplit/>
        </w:trPr>
        <w:tc>
          <w:tcPr>
            <w:tcW w:w="1610" w:type="dxa"/>
          </w:tcPr>
          <w:p w14:paraId="66B3255A" w14:textId="77777777" w:rsidR="00931298" w:rsidRPr="009960E1" w:rsidRDefault="00E610A4" w:rsidP="00C30155">
            <w:pPr>
              <w:rPr>
                <w:b/>
                <w:bCs/>
                <w:szCs w:val="24"/>
                <w:lang w:val="es-ES_tradnl"/>
              </w:rPr>
            </w:pPr>
            <w:r w:rsidRPr="009960E1">
              <w:rPr>
                <w:b/>
                <w:bCs/>
                <w:lang w:val="es-ES_tradnl"/>
              </w:rPr>
              <w:t>Contacto:</w:t>
            </w:r>
          </w:p>
        </w:tc>
        <w:tc>
          <w:tcPr>
            <w:tcW w:w="4633" w:type="dxa"/>
          </w:tcPr>
          <w:p w14:paraId="01ACDCF8" w14:textId="283DB9A7" w:rsidR="00FE5494" w:rsidRPr="009960E1" w:rsidRDefault="00AF1FAB" w:rsidP="00CF0CB0">
            <w:pPr>
              <w:rPr>
                <w:lang w:val="es-ES_tradnl"/>
              </w:rPr>
            </w:pPr>
            <w:r>
              <w:rPr>
                <w:lang w:val="es-ES_tradnl"/>
              </w:rPr>
              <w:t>Sr. </w:t>
            </w:r>
            <w:r w:rsidR="00CF0CB0" w:rsidRPr="009960E1">
              <w:rPr>
                <w:lang w:val="es-ES_tradnl"/>
              </w:rPr>
              <w:t>Abdurahman M. AL HASSAN</w:t>
            </w:r>
            <w:r w:rsidR="00386BC0">
              <w:rPr>
                <w:lang w:val="es-ES_tradnl"/>
              </w:rPr>
              <w:br/>
            </w:r>
            <w:r w:rsidR="00CF0CB0" w:rsidRPr="009960E1">
              <w:rPr>
                <w:lang w:val="es-ES_tradnl"/>
              </w:rPr>
              <w:t>Presidente del GANT</w:t>
            </w:r>
            <w:r w:rsidR="00CF0CB0" w:rsidRPr="009960E1">
              <w:rPr>
                <w:lang w:val="es-ES_tradnl"/>
              </w:rPr>
              <w:br/>
              <w:t>Arabia Saudita (Reino de)</w:t>
            </w:r>
          </w:p>
        </w:tc>
        <w:tc>
          <w:tcPr>
            <w:tcW w:w="3539" w:type="dxa"/>
          </w:tcPr>
          <w:p w14:paraId="5FA5BF74" w14:textId="4205C0CB" w:rsidR="00931298" w:rsidRPr="009960E1" w:rsidRDefault="009F43D9" w:rsidP="00E6117A">
            <w:pPr>
              <w:rPr>
                <w:lang w:val="es-ES_tradnl"/>
              </w:rPr>
            </w:pPr>
            <w:r w:rsidRPr="009960E1">
              <w:rPr>
                <w:lang w:val="es-ES_tradnl"/>
              </w:rPr>
              <w:t>Tel.:</w:t>
            </w:r>
            <w:r w:rsidRPr="009960E1">
              <w:rPr>
                <w:lang w:val="es-ES_tradnl"/>
              </w:rPr>
              <w:tab/>
            </w:r>
            <w:r w:rsidR="00CF0CB0" w:rsidRPr="009960E1">
              <w:rPr>
                <w:lang w:val="es-ES_tradnl"/>
              </w:rPr>
              <w:t>+996 11 461 8015</w:t>
            </w:r>
            <w:r w:rsidRPr="009960E1">
              <w:rPr>
                <w:lang w:val="es-ES_tradnl"/>
              </w:rPr>
              <w:br/>
            </w:r>
            <w:r w:rsidR="00E610A4" w:rsidRPr="009960E1">
              <w:rPr>
                <w:lang w:val="es-ES_tradnl"/>
              </w:rPr>
              <w:t>Correo-e:</w:t>
            </w:r>
            <w:r w:rsidRPr="009960E1">
              <w:rPr>
                <w:lang w:val="es-ES_tradnl"/>
              </w:rPr>
              <w:tab/>
            </w:r>
            <w:hyperlink r:id="rId13" w:history="1">
              <w:r w:rsidR="00CF0CB0" w:rsidRPr="009960E1">
                <w:rPr>
                  <w:rStyle w:val="Hyperlink"/>
                  <w:lang w:val="es-ES_tradnl"/>
                </w:rPr>
                <w:t>tsagchair@nca.gov.sa</w:t>
              </w:r>
            </w:hyperlink>
          </w:p>
        </w:tc>
      </w:tr>
    </w:tbl>
    <w:p w14:paraId="3FEC6CE1" w14:textId="77777777" w:rsidR="00CF0CB0" w:rsidRPr="009960E1" w:rsidRDefault="00CF0CB0" w:rsidP="00CF0CB0">
      <w:pPr>
        <w:pStyle w:val="Headingb"/>
        <w:rPr>
          <w:lang w:val="es-ES_tradnl"/>
        </w:rPr>
      </w:pPr>
      <w:r w:rsidRPr="009960E1">
        <w:rPr>
          <w:bCs/>
          <w:lang w:val="es-ES_tradnl"/>
        </w:rPr>
        <w:t>Nota de la TSB:</w:t>
      </w:r>
    </w:p>
    <w:p w14:paraId="6C19CBB4" w14:textId="77777777" w:rsidR="00CF0CB0" w:rsidRPr="009960E1" w:rsidRDefault="00CF0CB0" w:rsidP="00CF0CB0">
      <w:pPr>
        <w:rPr>
          <w:lang w:val="es-ES_tradnl"/>
        </w:rPr>
      </w:pPr>
      <w:r w:rsidRPr="009960E1">
        <w:rPr>
          <w:lang w:val="es-ES_tradnl"/>
        </w:rPr>
        <w:t>El Informe del Grupo Asesor de Normalización de las Telecomunicaciones a la AMNT-24 se presenta en los siguientes documentos:</w:t>
      </w:r>
    </w:p>
    <w:p w14:paraId="34A89BAC" w14:textId="77777777" w:rsidR="00CF0CB0" w:rsidRPr="009960E1" w:rsidRDefault="00CF0CB0" w:rsidP="00CF0CB0">
      <w:pPr>
        <w:rPr>
          <w:lang w:val="es-ES_tradnl"/>
        </w:rPr>
      </w:pPr>
      <w:r w:rsidRPr="009960E1">
        <w:rPr>
          <w:lang w:val="es-ES_tradnl"/>
        </w:rPr>
        <w:t>Parte I:</w:t>
      </w:r>
      <w:r w:rsidRPr="009960E1">
        <w:rPr>
          <w:lang w:val="es-ES_tradnl"/>
        </w:rPr>
        <w:tab/>
      </w:r>
      <w:r w:rsidRPr="009960E1">
        <w:rPr>
          <w:b/>
          <w:bCs/>
          <w:lang w:val="es-ES_tradnl"/>
        </w:rPr>
        <w:t>Documento 24</w:t>
      </w:r>
      <w:r w:rsidRPr="009960E1">
        <w:rPr>
          <w:lang w:val="es-ES_tradnl"/>
        </w:rPr>
        <w:t xml:space="preserve"> – Generalidades</w:t>
      </w:r>
    </w:p>
    <w:p w14:paraId="4368E2E3" w14:textId="77777777" w:rsidR="00CF0CB0" w:rsidRPr="009960E1" w:rsidRDefault="00CF0CB0" w:rsidP="00CF0CB0">
      <w:pPr>
        <w:rPr>
          <w:lang w:val="es-ES_tradnl"/>
        </w:rPr>
      </w:pPr>
      <w:r w:rsidRPr="009960E1">
        <w:rPr>
          <w:lang w:val="es-ES_tradnl"/>
        </w:rPr>
        <w:t>Parte II:</w:t>
      </w:r>
      <w:r w:rsidRPr="009960E1">
        <w:rPr>
          <w:lang w:val="es-ES_tradnl"/>
        </w:rPr>
        <w:tab/>
      </w:r>
      <w:r w:rsidRPr="009960E1">
        <w:rPr>
          <w:b/>
          <w:bCs/>
          <w:lang w:val="es-ES_tradnl"/>
        </w:rPr>
        <w:t>Documento 25</w:t>
      </w:r>
      <w:r w:rsidRPr="009960E1">
        <w:rPr>
          <w:lang w:val="es-ES_tradnl"/>
        </w:rPr>
        <w:t xml:space="preserve"> – Proyectos de Resoluciones revisadas</w:t>
      </w:r>
    </w:p>
    <w:p w14:paraId="29D4EA4B" w14:textId="77777777" w:rsidR="00CF0CB0" w:rsidRPr="009960E1" w:rsidRDefault="00CF0CB0" w:rsidP="00CF0CB0">
      <w:pPr>
        <w:tabs>
          <w:tab w:val="left" w:pos="8789"/>
        </w:tabs>
        <w:rPr>
          <w:lang w:val="es-ES_tradnl"/>
        </w:rPr>
      </w:pPr>
      <w:r w:rsidRPr="009960E1">
        <w:rPr>
          <w:lang w:val="es-ES_tradnl"/>
        </w:rPr>
        <w:t>Parte III:</w:t>
      </w:r>
      <w:r w:rsidRPr="009960E1">
        <w:rPr>
          <w:lang w:val="es-ES_tradnl"/>
        </w:rPr>
        <w:tab/>
      </w:r>
      <w:r w:rsidRPr="009960E1">
        <w:rPr>
          <w:b/>
          <w:bCs/>
          <w:lang w:val="es-ES_tradnl"/>
        </w:rPr>
        <w:t>Documento 26</w:t>
      </w:r>
      <w:r w:rsidRPr="009960E1">
        <w:rPr>
          <w:lang w:val="es-ES_tradnl"/>
        </w:rPr>
        <w:t xml:space="preserve"> – Proyectos de revisión de Recomendaciones de la serie A del UIT-T</w:t>
      </w:r>
    </w:p>
    <w:p w14:paraId="682D1231" w14:textId="77777777" w:rsidR="00CF0CB0" w:rsidRPr="009960E1" w:rsidRDefault="00CF0CB0" w:rsidP="00CF0CB0">
      <w:pPr>
        <w:rPr>
          <w:lang w:val="es-ES_tradnl"/>
        </w:rPr>
      </w:pPr>
      <w:r w:rsidRPr="009960E1">
        <w:rPr>
          <w:lang w:val="es-ES_tradnl"/>
        </w:rPr>
        <w:t>Parte IV:</w:t>
      </w:r>
      <w:r w:rsidRPr="009960E1">
        <w:rPr>
          <w:lang w:val="es-ES_tradnl"/>
        </w:rPr>
        <w:tab/>
      </w:r>
      <w:r w:rsidRPr="009960E1">
        <w:rPr>
          <w:b/>
          <w:bCs/>
          <w:lang w:val="es-ES_tradnl"/>
        </w:rPr>
        <w:t>Documento 27</w:t>
      </w:r>
      <w:r w:rsidRPr="009960E1">
        <w:rPr>
          <w:lang w:val="es-ES_tradnl"/>
        </w:rPr>
        <w:t xml:space="preserve"> – Informe del GANT sobre la Resolución 22 de la AMNT</w:t>
      </w:r>
    </w:p>
    <w:p w14:paraId="442AE2E6" w14:textId="77777777" w:rsidR="009F4801" w:rsidRPr="009960E1" w:rsidRDefault="009F4801" w:rsidP="009F43D9">
      <w:pPr>
        <w:rPr>
          <w:lang w:val="es-ES_tradnl"/>
        </w:rPr>
      </w:pPr>
      <w:r w:rsidRPr="009960E1">
        <w:rPr>
          <w:lang w:val="es-ES_tradnl"/>
        </w:rPr>
        <w:br w:type="page"/>
      </w:r>
    </w:p>
    <w:p w14:paraId="3C4F6181" w14:textId="77777777" w:rsidR="009F43D9" w:rsidRPr="009960E1" w:rsidRDefault="00D81C07" w:rsidP="00386BC0">
      <w:pPr>
        <w:jc w:val="center"/>
        <w:rPr>
          <w:lang w:val="es-ES_tradnl"/>
        </w:rPr>
      </w:pPr>
      <w:r w:rsidRPr="00386BC0">
        <w:rPr>
          <w:rFonts w:eastAsia="MS Mincho"/>
          <w:b/>
          <w:bCs/>
        </w:rPr>
        <w:lastRenderedPageBreak/>
        <w:t>ÍNDICE</w:t>
      </w:r>
    </w:p>
    <w:p w14:paraId="4C5C646F" w14:textId="77777777" w:rsidR="00D81C07" w:rsidRPr="009960E1" w:rsidRDefault="00D81C07" w:rsidP="00D81C07">
      <w:pPr>
        <w:pStyle w:val="toc0"/>
      </w:pPr>
      <w:r w:rsidRPr="009960E1">
        <w:tab/>
        <w:t>Página</w:t>
      </w:r>
    </w:p>
    <w:p w14:paraId="10DCE704" w14:textId="0BA522F6" w:rsidR="003D28DA" w:rsidRPr="009960E1" w:rsidRDefault="003D28DA">
      <w:pPr>
        <w:pStyle w:val="TOC1"/>
        <w:rPr>
          <w:rFonts w:asciiTheme="minorHAnsi" w:eastAsiaTheme="minorEastAsia" w:hAnsiTheme="minorHAnsi" w:cstheme="minorBidi"/>
          <w:kern w:val="2"/>
          <w:szCs w:val="24"/>
          <w:lang w:val="es-ES_tradnl" w:eastAsia="es-ES"/>
          <w14:ligatures w14:val="standardContextual"/>
        </w:rPr>
      </w:pPr>
      <w:r w:rsidRPr="009960E1">
        <w:rPr>
          <w:b/>
          <w:lang w:val="es-ES_tradnl"/>
        </w:rPr>
        <w:fldChar w:fldCharType="begin"/>
      </w:r>
      <w:r w:rsidRPr="009960E1">
        <w:rPr>
          <w:b/>
          <w:lang w:val="es-ES_tradnl"/>
        </w:rPr>
        <w:instrText xml:space="preserve"> TOC \o "2-2" \h \z \t "Heading 1;1;Annex_No &amp; title;1;Annex_Title;2" </w:instrText>
      </w:r>
      <w:r w:rsidRPr="009960E1">
        <w:rPr>
          <w:b/>
          <w:lang w:val="es-ES_tradnl"/>
        </w:rPr>
        <w:fldChar w:fldCharType="separate"/>
      </w:r>
      <w:hyperlink w:anchor="_Toc179189945" w:history="1">
        <w:r w:rsidRPr="009960E1">
          <w:rPr>
            <w:rStyle w:val="Hyperlink"/>
            <w:bCs/>
            <w:lang w:val="es-ES_tradnl"/>
          </w:rPr>
          <w:t>1</w:t>
        </w:r>
        <w:r w:rsidRPr="009960E1">
          <w:rPr>
            <w:rFonts w:asciiTheme="minorHAnsi" w:eastAsiaTheme="minorEastAsia" w:hAnsiTheme="minorHAnsi" w:cstheme="minorBidi"/>
            <w:kern w:val="2"/>
            <w:szCs w:val="24"/>
            <w:lang w:val="es-ES_tradnl" w:eastAsia="es-ES"/>
            <w14:ligatures w14:val="standardContextual"/>
          </w:rPr>
          <w:tab/>
        </w:r>
        <w:r w:rsidRPr="009960E1">
          <w:rPr>
            <w:rStyle w:val="Hyperlink"/>
            <w:bCs/>
            <w:lang w:val="es-ES_tradnl"/>
          </w:rPr>
          <w:t>Introducción</w:t>
        </w:r>
        <w:r w:rsidRPr="009960E1">
          <w:rPr>
            <w:webHidden/>
            <w:lang w:val="es-ES_tradnl"/>
          </w:rPr>
          <w:tab/>
        </w:r>
        <w:r w:rsidRPr="009960E1">
          <w:rPr>
            <w:webHidden/>
            <w:lang w:val="es-ES_tradnl"/>
          </w:rPr>
          <w:tab/>
        </w:r>
        <w:r w:rsidRPr="009960E1">
          <w:rPr>
            <w:webHidden/>
            <w:lang w:val="es-ES_tradnl"/>
          </w:rPr>
          <w:fldChar w:fldCharType="begin"/>
        </w:r>
        <w:r w:rsidRPr="009960E1">
          <w:rPr>
            <w:webHidden/>
            <w:lang w:val="es-ES_tradnl"/>
          </w:rPr>
          <w:instrText xml:space="preserve"> PAGEREF _Toc179189945 \h </w:instrText>
        </w:r>
        <w:r w:rsidRPr="009960E1">
          <w:rPr>
            <w:webHidden/>
            <w:lang w:val="es-ES_tradnl"/>
          </w:rPr>
        </w:r>
        <w:r w:rsidRPr="009960E1">
          <w:rPr>
            <w:webHidden/>
            <w:lang w:val="es-ES_tradnl"/>
          </w:rPr>
          <w:fldChar w:fldCharType="separate"/>
        </w:r>
        <w:r w:rsidR="00BE4E50">
          <w:rPr>
            <w:webHidden/>
            <w:lang w:val="es-ES_tradnl"/>
          </w:rPr>
          <w:t>3</w:t>
        </w:r>
        <w:r w:rsidRPr="009960E1">
          <w:rPr>
            <w:webHidden/>
            <w:lang w:val="es-ES_tradnl"/>
          </w:rPr>
          <w:fldChar w:fldCharType="end"/>
        </w:r>
      </w:hyperlink>
    </w:p>
    <w:p w14:paraId="05974592" w14:textId="51CCFA51"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46" w:history="1">
        <w:r w:rsidR="003D28DA" w:rsidRPr="009960E1">
          <w:rPr>
            <w:rStyle w:val="Hyperlink"/>
            <w:bCs/>
            <w:lang w:val="es-ES_tradnl"/>
          </w:rPr>
          <w:t>1.1</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Responsabilidades del GANT</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_Toc179189946 \h </w:instrText>
        </w:r>
        <w:r w:rsidR="003D28DA" w:rsidRPr="009960E1">
          <w:rPr>
            <w:webHidden/>
            <w:lang w:val="es-ES_tradnl"/>
          </w:rPr>
        </w:r>
        <w:r w:rsidR="003D28DA" w:rsidRPr="009960E1">
          <w:rPr>
            <w:webHidden/>
            <w:lang w:val="es-ES_tradnl"/>
          </w:rPr>
          <w:fldChar w:fldCharType="separate"/>
        </w:r>
        <w:r w:rsidR="00BE4E50">
          <w:rPr>
            <w:webHidden/>
            <w:lang w:val="es-ES_tradnl"/>
          </w:rPr>
          <w:t>3</w:t>
        </w:r>
        <w:r w:rsidR="003D28DA" w:rsidRPr="009960E1">
          <w:rPr>
            <w:webHidden/>
            <w:lang w:val="es-ES_tradnl"/>
          </w:rPr>
          <w:fldChar w:fldCharType="end"/>
        </w:r>
      </w:hyperlink>
    </w:p>
    <w:p w14:paraId="17549F99" w14:textId="04FA1AF9"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47" w:history="1">
        <w:r w:rsidR="003D28DA" w:rsidRPr="009960E1">
          <w:rPr>
            <w:rStyle w:val="Hyperlink"/>
            <w:bCs/>
            <w:lang w:val="es-ES_tradnl"/>
          </w:rPr>
          <w:t>1.2</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Equipo de dirección y reuniones celebradas por el GANT</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_Toc179189947 \h </w:instrText>
        </w:r>
        <w:r w:rsidR="003D28DA" w:rsidRPr="009960E1">
          <w:rPr>
            <w:webHidden/>
            <w:lang w:val="es-ES_tradnl"/>
          </w:rPr>
        </w:r>
        <w:r w:rsidR="003D28DA" w:rsidRPr="009960E1">
          <w:rPr>
            <w:webHidden/>
            <w:lang w:val="es-ES_tradnl"/>
          </w:rPr>
          <w:fldChar w:fldCharType="separate"/>
        </w:r>
        <w:r w:rsidR="00BE4E50">
          <w:rPr>
            <w:webHidden/>
            <w:lang w:val="es-ES_tradnl"/>
          </w:rPr>
          <w:t>3</w:t>
        </w:r>
        <w:r w:rsidR="003D28DA" w:rsidRPr="009960E1">
          <w:rPr>
            <w:webHidden/>
            <w:lang w:val="es-ES_tradnl"/>
          </w:rPr>
          <w:fldChar w:fldCharType="end"/>
        </w:r>
      </w:hyperlink>
    </w:p>
    <w:p w14:paraId="247B74D8" w14:textId="03E94BD6" w:rsidR="003D28DA" w:rsidRPr="009960E1" w:rsidRDefault="00000000">
      <w:pPr>
        <w:pStyle w:val="TOC1"/>
        <w:rPr>
          <w:rFonts w:asciiTheme="minorHAnsi" w:eastAsiaTheme="minorEastAsia" w:hAnsiTheme="minorHAnsi" w:cstheme="minorBidi"/>
          <w:kern w:val="2"/>
          <w:szCs w:val="24"/>
          <w:lang w:val="es-ES_tradnl" w:eastAsia="es-ES"/>
          <w14:ligatures w14:val="standardContextual"/>
        </w:rPr>
      </w:pPr>
      <w:hyperlink w:anchor="_Toc179189948" w:history="1">
        <w:r w:rsidR="003D28DA" w:rsidRPr="009960E1">
          <w:rPr>
            <w:rStyle w:val="Hyperlink"/>
            <w:bCs/>
            <w:lang w:val="es-ES_tradnl"/>
          </w:rPr>
          <w:t>2</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Organización del trabajo</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_Toc179189948 \h </w:instrText>
        </w:r>
        <w:r w:rsidR="003D28DA" w:rsidRPr="009960E1">
          <w:rPr>
            <w:webHidden/>
            <w:lang w:val="es-ES_tradnl"/>
          </w:rPr>
        </w:r>
        <w:r w:rsidR="003D28DA" w:rsidRPr="009960E1">
          <w:rPr>
            <w:webHidden/>
            <w:lang w:val="es-ES_tradnl"/>
          </w:rPr>
          <w:fldChar w:fldCharType="separate"/>
        </w:r>
        <w:r w:rsidR="00BE4E50">
          <w:rPr>
            <w:webHidden/>
            <w:lang w:val="es-ES_tradnl"/>
          </w:rPr>
          <w:t>5</w:t>
        </w:r>
        <w:r w:rsidR="003D28DA" w:rsidRPr="009960E1">
          <w:rPr>
            <w:webHidden/>
            <w:lang w:val="es-ES_tradnl"/>
          </w:rPr>
          <w:fldChar w:fldCharType="end"/>
        </w:r>
      </w:hyperlink>
    </w:p>
    <w:p w14:paraId="2F3E4827" w14:textId="5D0117F0"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49" w:history="1">
        <w:r w:rsidR="003D28DA" w:rsidRPr="009960E1">
          <w:rPr>
            <w:rStyle w:val="Hyperlink"/>
            <w:bCs/>
            <w:lang w:val="es-ES_tradnl"/>
          </w:rPr>
          <w:t>2.1</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Organización de los estudios y atribución de trabajos</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_Toc179189949 \h </w:instrText>
        </w:r>
        <w:r w:rsidR="003D28DA" w:rsidRPr="009960E1">
          <w:rPr>
            <w:webHidden/>
            <w:lang w:val="es-ES_tradnl"/>
          </w:rPr>
        </w:r>
        <w:r w:rsidR="003D28DA" w:rsidRPr="009960E1">
          <w:rPr>
            <w:webHidden/>
            <w:lang w:val="es-ES_tradnl"/>
          </w:rPr>
          <w:fldChar w:fldCharType="separate"/>
        </w:r>
        <w:r w:rsidR="00BE4E50">
          <w:rPr>
            <w:webHidden/>
            <w:lang w:val="es-ES_tradnl"/>
          </w:rPr>
          <w:t>5</w:t>
        </w:r>
        <w:r w:rsidR="003D28DA" w:rsidRPr="009960E1">
          <w:rPr>
            <w:webHidden/>
            <w:lang w:val="es-ES_tradnl"/>
          </w:rPr>
          <w:fldChar w:fldCharType="end"/>
        </w:r>
      </w:hyperlink>
    </w:p>
    <w:p w14:paraId="0362D72A" w14:textId="6A2A0874"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50" w:history="1">
        <w:r w:rsidR="003D28DA" w:rsidRPr="009960E1">
          <w:rPr>
            <w:rStyle w:val="Hyperlink"/>
            <w:bCs/>
            <w:lang w:val="es-ES_tradnl"/>
          </w:rPr>
          <w:t>2.2</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Grupos de Relator</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_Toc179189950 \h </w:instrText>
        </w:r>
        <w:r w:rsidR="003D28DA" w:rsidRPr="009960E1">
          <w:rPr>
            <w:webHidden/>
            <w:lang w:val="es-ES_tradnl"/>
          </w:rPr>
        </w:r>
        <w:r w:rsidR="003D28DA" w:rsidRPr="009960E1">
          <w:rPr>
            <w:webHidden/>
            <w:lang w:val="es-ES_tradnl"/>
          </w:rPr>
          <w:fldChar w:fldCharType="separate"/>
        </w:r>
        <w:r w:rsidR="00BE4E50">
          <w:rPr>
            <w:webHidden/>
            <w:lang w:val="es-ES_tradnl"/>
          </w:rPr>
          <w:t>6</w:t>
        </w:r>
        <w:r w:rsidR="003D28DA" w:rsidRPr="009960E1">
          <w:rPr>
            <w:webHidden/>
            <w:lang w:val="es-ES_tradnl"/>
          </w:rPr>
          <w:fldChar w:fldCharType="end"/>
        </w:r>
      </w:hyperlink>
    </w:p>
    <w:p w14:paraId="01E51551" w14:textId="4EF84EE0" w:rsidR="003D28DA" w:rsidRPr="009960E1" w:rsidRDefault="00000000">
      <w:pPr>
        <w:pStyle w:val="TOC1"/>
        <w:rPr>
          <w:rFonts w:asciiTheme="minorHAnsi" w:eastAsiaTheme="minorEastAsia" w:hAnsiTheme="minorHAnsi" w:cstheme="minorBidi"/>
          <w:kern w:val="2"/>
          <w:szCs w:val="24"/>
          <w:lang w:val="es-ES_tradnl" w:eastAsia="es-ES"/>
          <w14:ligatures w14:val="standardContextual"/>
        </w:rPr>
      </w:pPr>
      <w:hyperlink w:anchor="_Toc179189951" w:history="1">
        <w:r w:rsidR="003D28DA" w:rsidRPr="009960E1">
          <w:rPr>
            <w:rStyle w:val="Hyperlink"/>
            <w:bCs/>
            <w:lang w:val="es-ES_tradnl"/>
          </w:rPr>
          <w:t>3</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Resultados de los trabajos realizados durante el periodo de estudios 2022-2024</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_Toc179189951 \h </w:instrText>
        </w:r>
        <w:r w:rsidR="003D28DA" w:rsidRPr="009960E1">
          <w:rPr>
            <w:webHidden/>
            <w:lang w:val="es-ES_tradnl"/>
          </w:rPr>
        </w:r>
        <w:r w:rsidR="003D28DA" w:rsidRPr="009960E1">
          <w:rPr>
            <w:webHidden/>
            <w:lang w:val="es-ES_tradnl"/>
          </w:rPr>
          <w:fldChar w:fldCharType="separate"/>
        </w:r>
        <w:r w:rsidR="00BE4E50">
          <w:rPr>
            <w:webHidden/>
            <w:lang w:val="es-ES_tradnl"/>
          </w:rPr>
          <w:t>7</w:t>
        </w:r>
        <w:r w:rsidR="003D28DA" w:rsidRPr="009960E1">
          <w:rPr>
            <w:webHidden/>
            <w:lang w:val="es-ES_tradnl"/>
          </w:rPr>
          <w:fldChar w:fldCharType="end"/>
        </w:r>
      </w:hyperlink>
    </w:p>
    <w:p w14:paraId="4C6F7A99" w14:textId="512A5AED"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52" w:history="1">
        <w:r w:rsidR="003D28DA" w:rsidRPr="009960E1">
          <w:rPr>
            <w:rStyle w:val="Hyperlink"/>
            <w:bCs/>
            <w:lang w:val="es-ES_tradnl"/>
          </w:rPr>
          <w:t>3.1</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Generalidades</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_Toc179189952 \h </w:instrText>
        </w:r>
        <w:r w:rsidR="003D28DA" w:rsidRPr="009960E1">
          <w:rPr>
            <w:webHidden/>
            <w:lang w:val="es-ES_tradnl"/>
          </w:rPr>
        </w:r>
        <w:r w:rsidR="003D28DA" w:rsidRPr="009960E1">
          <w:rPr>
            <w:webHidden/>
            <w:lang w:val="es-ES_tradnl"/>
          </w:rPr>
          <w:fldChar w:fldCharType="separate"/>
        </w:r>
        <w:r w:rsidR="00BE4E50">
          <w:rPr>
            <w:webHidden/>
            <w:lang w:val="es-ES_tradnl"/>
          </w:rPr>
          <w:t>7</w:t>
        </w:r>
        <w:r w:rsidR="003D28DA" w:rsidRPr="009960E1">
          <w:rPr>
            <w:webHidden/>
            <w:lang w:val="es-ES_tradnl"/>
          </w:rPr>
          <w:fldChar w:fldCharType="end"/>
        </w:r>
      </w:hyperlink>
    </w:p>
    <w:p w14:paraId="6BBF25EF" w14:textId="3258C74F"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53" w:history="1">
        <w:r w:rsidR="003D28DA" w:rsidRPr="009960E1">
          <w:rPr>
            <w:rStyle w:val="Hyperlink"/>
            <w:bCs/>
            <w:lang w:val="es-ES_tradnl"/>
          </w:rPr>
          <w:t>3.2</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Logros más destacados</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_Toc179189953 \h </w:instrText>
        </w:r>
        <w:r w:rsidR="003D28DA" w:rsidRPr="009960E1">
          <w:rPr>
            <w:webHidden/>
            <w:lang w:val="es-ES_tradnl"/>
          </w:rPr>
        </w:r>
        <w:r w:rsidR="003D28DA" w:rsidRPr="009960E1">
          <w:rPr>
            <w:webHidden/>
            <w:lang w:val="es-ES_tradnl"/>
          </w:rPr>
          <w:fldChar w:fldCharType="separate"/>
        </w:r>
        <w:r w:rsidR="00BE4E50">
          <w:rPr>
            <w:webHidden/>
            <w:lang w:val="es-ES_tradnl"/>
          </w:rPr>
          <w:t>8</w:t>
        </w:r>
        <w:r w:rsidR="003D28DA" w:rsidRPr="009960E1">
          <w:rPr>
            <w:webHidden/>
            <w:lang w:val="es-ES_tradnl"/>
          </w:rPr>
          <w:fldChar w:fldCharType="end"/>
        </w:r>
      </w:hyperlink>
    </w:p>
    <w:p w14:paraId="1F1F3750" w14:textId="45977D55"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54" w:history="1">
        <w:r w:rsidR="003D28DA" w:rsidRPr="009960E1">
          <w:rPr>
            <w:rStyle w:val="Hyperlink"/>
            <w:bCs/>
            <w:lang w:val="es-ES_tradnl"/>
          </w:rPr>
          <w:t>3.3</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Informe de las actividades de la Comisión de Estudio Rectora, las JCA y los Grupos Regionales</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_Toc179189954 \h </w:instrText>
        </w:r>
        <w:r w:rsidR="003D28DA" w:rsidRPr="009960E1">
          <w:rPr>
            <w:webHidden/>
            <w:lang w:val="es-ES_tradnl"/>
          </w:rPr>
        </w:r>
        <w:r w:rsidR="003D28DA" w:rsidRPr="009960E1">
          <w:rPr>
            <w:webHidden/>
            <w:lang w:val="es-ES_tradnl"/>
          </w:rPr>
          <w:fldChar w:fldCharType="separate"/>
        </w:r>
        <w:r w:rsidR="00BE4E50">
          <w:rPr>
            <w:webHidden/>
            <w:lang w:val="es-ES_tradnl"/>
          </w:rPr>
          <w:t>8</w:t>
        </w:r>
        <w:r w:rsidR="003D28DA" w:rsidRPr="009960E1">
          <w:rPr>
            <w:webHidden/>
            <w:lang w:val="es-ES_tradnl"/>
          </w:rPr>
          <w:fldChar w:fldCharType="end"/>
        </w:r>
      </w:hyperlink>
    </w:p>
    <w:p w14:paraId="0B99CAB6" w14:textId="6447F706"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55" w:history="1">
        <w:r w:rsidR="003D28DA" w:rsidRPr="009960E1">
          <w:rPr>
            <w:rStyle w:val="Hyperlink"/>
            <w:lang w:val="es-ES_tradnl"/>
          </w:rPr>
          <w:t>3.4</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lang w:val="es-ES_tradnl"/>
          </w:rPr>
          <w:t>Otros resultados del GANT</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_Toc179189955 \h </w:instrText>
        </w:r>
        <w:r w:rsidR="003D28DA" w:rsidRPr="009960E1">
          <w:rPr>
            <w:webHidden/>
            <w:lang w:val="es-ES_tradnl"/>
          </w:rPr>
        </w:r>
        <w:r w:rsidR="003D28DA" w:rsidRPr="009960E1">
          <w:rPr>
            <w:webHidden/>
            <w:lang w:val="es-ES_tradnl"/>
          </w:rPr>
          <w:fldChar w:fldCharType="separate"/>
        </w:r>
        <w:r w:rsidR="00BE4E50">
          <w:rPr>
            <w:webHidden/>
            <w:lang w:val="es-ES_tradnl"/>
          </w:rPr>
          <w:t>9</w:t>
        </w:r>
        <w:r w:rsidR="003D28DA" w:rsidRPr="009960E1">
          <w:rPr>
            <w:webHidden/>
            <w:lang w:val="es-ES_tradnl"/>
          </w:rPr>
          <w:fldChar w:fldCharType="end"/>
        </w:r>
      </w:hyperlink>
    </w:p>
    <w:p w14:paraId="26026902" w14:textId="2CEFF81A" w:rsidR="003D28DA" w:rsidRPr="009960E1" w:rsidRDefault="00000000">
      <w:pPr>
        <w:pStyle w:val="TOC1"/>
        <w:rPr>
          <w:rFonts w:asciiTheme="minorHAnsi" w:eastAsiaTheme="minorEastAsia" w:hAnsiTheme="minorHAnsi" w:cstheme="minorBidi"/>
          <w:kern w:val="2"/>
          <w:szCs w:val="24"/>
          <w:lang w:val="es-ES_tradnl" w:eastAsia="es-ES"/>
          <w14:ligatures w14:val="standardContextual"/>
        </w:rPr>
      </w:pPr>
      <w:hyperlink w:anchor="_Toc179189956" w:history="1">
        <w:r w:rsidR="003D28DA" w:rsidRPr="009960E1">
          <w:rPr>
            <w:rStyle w:val="Hyperlink"/>
            <w:bCs/>
            <w:lang w:val="es-ES_tradnl"/>
          </w:rPr>
          <w:t>4</w:t>
        </w:r>
        <w:r w:rsidR="003D28DA" w:rsidRPr="009960E1">
          <w:rPr>
            <w:rFonts w:asciiTheme="minorHAnsi" w:eastAsiaTheme="minorEastAsia" w:hAnsiTheme="minorHAnsi" w:cstheme="minorBidi"/>
            <w:kern w:val="2"/>
            <w:szCs w:val="24"/>
            <w:lang w:val="es-ES_tradnl" w:eastAsia="es-ES"/>
            <w14:ligatures w14:val="standardContextual"/>
          </w:rPr>
          <w:tab/>
        </w:r>
        <w:r w:rsidR="003D28DA" w:rsidRPr="009960E1">
          <w:rPr>
            <w:rStyle w:val="Hyperlink"/>
            <w:bCs/>
            <w:lang w:val="es-ES_tradnl"/>
          </w:rPr>
          <w:t>Observaciones en relación con el trabajo futuro</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_Toc179189956 \h </w:instrText>
        </w:r>
        <w:r w:rsidR="003D28DA" w:rsidRPr="009960E1">
          <w:rPr>
            <w:webHidden/>
            <w:lang w:val="es-ES_tradnl"/>
          </w:rPr>
        </w:r>
        <w:r w:rsidR="003D28DA" w:rsidRPr="009960E1">
          <w:rPr>
            <w:webHidden/>
            <w:lang w:val="es-ES_tradnl"/>
          </w:rPr>
          <w:fldChar w:fldCharType="separate"/>
        </w:r>
        <w:r w:rsidR="00BE4E50">
          <w:rPr>
            <w:webHidden/>
            <w:lang w:val="es-ES_tradnl"/>
          </w:rPr>
          <w:t>10</w:t>
        </w:r>
        <w:r w:rsidR="003D28DA" w:rsidRPr="009960E1">
          <w:rPr>
            <w:webHidden/>
            <w:lang w:val="es-ES_tradnl"/>
          </w:rPr>
          <w:fldChar w:fldCharType="end"/>
        </w:r>
      </w:hyperlink>
    </w:p>
    <w:p w14:paraId="458330BE" w14:textId="4C5DC1AA" w:rsidR="003D28DA" w:rsidRPr="009960E1" w:rsidRDefault="00000000">
      <w:pPr>
        <w:pStyle w:val="TOC1"/>
        <w:rPr>
          <w:rFonts w:asciiTheme="minorHAnsi" w:eastAsiaTheme="minorEastAsia" w:hAnsiTheme="minorHAnsi" w:cstheme="minorBidi"/>
          <w:kern w:val="2"/>
          <w:szCs w:val="24"/>
          <w:lang w:val="es-ES_tradnl" w:eastAsia="es-ES"/>
          <w14:ligatures w14:val="standardContextual"/>
        </w:rPr>
      </w:pPr>
      <w:hyperlink w:anchor="_Toc179189957" w:history="1">
        <w:r w:rsidR="003D28DA" w:rsidRPr="009960E1">
          <w:rPr>
            <w:rStyle w:val="Hyperlink"/>
            <w:bCs/>
            <w:lang w:val="es-ES_tradnl"/>
          </w:rPr>
          <w:t>ANEXO 1</w:t>
        </w:r>
        <w:r w:rsidR="003D28DA" w:rsidRPr="009960E1">
          <w:rPr>
            <w:rStyle w:val="Hyperlink"/>
            <w:lang w:val="es-ES_tradnl"/>
          </w:rPr>
          <w:t xml:space="preserve"> – Lista de Recomendaciones, Suplementos y otros documentos producidos o suprimidos durante el periodo de estudios</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_Toc179189957 \h </w:instrText>
        </w:r>
        <w:r w:rsidR="003D28DA" w:rsidRPr="009960E1">
          <w:rPr>
            <w:webHidden/>
            <w:lang w:val="es-ES_tradnl"/>
          </w:rPr>
        </w:r>
        <w:r w:rsidR="003D28DA" w:rsidRPr="009960E1">
          <w:rPr>
            <w:webHidden/>
            <w:lang w:val="es-ES_tradnl"/>
          </w:rPr>
          <w:fldChar w:fldCharType="separate"/>
        </w:r>
        <w:r w:rsidR="00BE4E50">
          <w:rPr>
            <w:webHidden/>
            <w:lang w:val="es-ES_tradnl"/>
          </w:rPr>
          <w:t>11</w:t>
        </w:r>
        <w:r w:rsidR="003D28DA" w:rsidRPr="009960E1">
          <w:rPr>
            <w:webHidden/>
            <w:lang w:val="es-ES_tradnl"/>
          </w:rPr>
          <w:fldChar w:fldCharType="end"/>
        </w:r>
      </w:hyperlink>
    </w:p>
    <w:p w14:paraId="54F1B9A5" w14:textId="48C2F914" w:rsidR="003D28DA" w:rsidRPr="009960E1" w:rsidRDefault="00000000">
      <w:pPr>
        <w:pStyle w:val="TOC1"/>
        <w:rPr>
          <w:rFonts w:asciiTheme="minorHAnsi" w:eastAsiaTheme="minorEastAsia" w:hAnsiTheme="minorHAnsi" w:cstheme="minorBidi"/>
          <w:kern w:val="2"/>
          <w:szCs w:val="24"/>
          <w:lang w:val="es-ES_tradnl" w:eastAsia="es-ES"/>
          <w14:ligatures w14:val="standardContextual"/>
        </w:rPr>
      </w:pPr>
      <w:hyperlink w:anchor="_Toc179189958" w:history="1">
        <w:r w:rsidR="003D28DA" w:rsidRPr="009960E1">
          <w:rPr>
            <w:rStyle w:val="Hyperlink"/>
            <w:bCs/>
            <w:lang w:val="es-ES_tradnl"/>
          </w:rPr>
          <w:t>ANEXO 2</w:t>
        </w:r>
        <w:r w:rsidR="003D28DA" w:rsidRPr="009960E1">
          <w:rPr>
            <w:rStyle w:val="Hyperlink"/>
            <w:lang w:val="es-ES_tradnl"/>
          </w:rPr>
          <w:t xml:space="preserve"> – Nueva Comisión de Estudio C propuesta a la AMNT-24</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_Toc179189958 \h </w:instrText>
        </w:r>
        <w:r w:rsidR="003D28DA" w:rsidRPr="009960E1">
          <w:rPr>
            <w:webHidden/>
            <w:lang w:val="es-ES_tradnl"/>
          </w:rPr>
        </w:r>
        <w:r w:rsidR="003D28DA" w:rsidRPr="009960E1">
          <w:rPr>
            <w:webHidden/>
            <w:lang w:val="es-ES_tradnl"/>
          </w:rPr>
          <w:fldChar w:fldCharType="separate"/>
        </w:r>
        <w:r w:rsidR="00BE4E50">
          <w:rPr>
            <w:webHidden/>
            <w:lang w:val="es-ES_tradnl"/>
          </w:rPr>
          <w:t>13</w:t>
        </w:r>
        <w:r w:rsidR="003D28DA" w:rsidRPr="009960E1">
          <w:rPr>
            <w:webHidden/>
            <w:lang w:val="es-ES_tradnl"/>
          </w:rPr>
          <w:fldChar w:fldCharType="end"/>
        </w:r>
      </w:hyperlink>
    </w:p>
    <w:p w14:paraId="586BD9DD" w14:textId="7271B2AD"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59" w:history="1">
        <w:r w:rsidR="003D28DA" w:rsidRPr="009960E1">
          <w:rPr>
            <w:rStyle w:val="Hyperlink"/>
            <w:lang w:val="es-ES_tradnl"/>
          </w:rPr>
          <w:t>ANEXO 2.1</w:t>
        </w:r>
        <w:r w:rsidR="003D28DA" w:rsidRPr="009960E1">
          <w:rPr>
            <w:rFonts w:asciiTheme="minorHAnsi" w:eastAsiaTheme="minorEastAsia" w:hAnsiTheme="minorHAnsi" w:cstheme="minorBidi"/>
            <w:kern w:val="2"/>
            <w:szCs w:val="24"/>
            <w:lang w:val="es-ES_tradnl" w:eastAsia="es-ES"/>
            <w14:ligatures w14:val="standardContextual"/>
          </w:rPr>
          <w:t xml:space="preserve"> –</w:t>
        </w:r>
        <w:r w:rsidR="000675FF">
          <w:rPr>
            <w:rFonts w:asciiTheme="minorHAnsi" w:eastAsiaTheme="minorEastAsia" w:hAnsiTheme="minorHAnsi" w:cstheme="minorBidi"/>
            <w:kern w:val="2"/>
            <w:szCs w:val="24"/>
            <w:lang w:val="es-ES_tradnl" w:eastAsia="es-ES"/>
            <w14:ligatures w14:val="standardContextual"/>
          </w:rPr>
          <w:t xml:space="preserve"> </w:t>
        </w:r>
        <w:r w:rsidR="003D28DA" w:rsidRPr="009960E1">
          <w:rPr>
            <w:rStyle w:val="Hyperlink"/>
            <w:lang w:val="es-ES_tradnl"/>
          </w:rPr>
          <w:t xml:space="preserve">Elementos de la Resolución 2 de la AMNT para la </w:t>
        </w:r>
        <w:r w:rsidR="00A01B74">
          <w:rPr>
            <w:rStyle w:val="Hyperlink"/>
            <w:lang w:val="es-ES_tradnl"/>
          </w:rPr>
          <w:t>CE </w:t>
        </w:r>
        <w:r w:rsidR="003D28DA" w:rsidRPr="009960E1">
          <w:rPr>
            <w:rStyle w:val="Hyperlink"/>
            <w:lang w:val="es-ES_tradnl"/>
          </w:rPr>
          <w:t>C</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_Toc179189959 \h </w:instrText>
        </w:r>
        <w:r w:rsidR="003D28DA" w:rsidRPr="009960E1">
          <w:rPr>
            <w:webHidden/>
            <w:lang w:val="es-ES_tradnl"/>
          </w:rPr>
        </w:r>
        <w:r w:rsidR="003D28DA" w:rsidRPr="009960E1">
          <w:rPr>
            <w:webHidden/>
            <w:lang w:val="es-ES_tradnl"/>
          </w:rPr>
          <w:fldChar w:fldCharType="separate"/>
        </w:r>
        <w:r w:rsidR="00BE4E50">
          <w:rPr>
            <w:webHidden/>
            <w:lang w:val="es-ES_tradnl"/>
          </w:rPr>
          <w:t>15</w:t>
        </w:r>
        <w:r w:rsidR="003D28DA" w:rsidRPr="009960E1">
          <w:rPr>
            <w:webHidden/>
            <w:lang w:val="es-ES_tradnl"/>
          </w:rPr>
          <w:fldChar w:fldCharType="end"/>
        </w:r>
      </w:hyperlink>
    </w:p>
    <w:p w14:paraId="525B821C" w14:textId="2B14E943"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63" w:history="1">
        <w:r w:rsidR="003D28DA" w:rsidRPr="009960E1">
          <w:rPr>
            <w:rStyle w:val="Hyperlink"/>
            <w:lang w:val="es-ES_tradnl"/>
          </w:rPr>
          <w:t>ANEXO 2.2</w:t>
        </w:r>
        <w:r w:rsidR="003D28DA" w:rsidRPr="009960E1">
          <w:rPr>
            <w:rFonts w:asciiTheme="minorHAnsi" w:eastAsiaTheme="minorEastAsia" w:hAnsiTheme="minorHAnsi" w:cstheme="minorBidi"/>
            <w:kern w:val="2"/>
            <w:szCs w:val="24"/>
            <w:lang w:val="es-ES_tradnl" w:eastAsia="es-ES"/>
            <w14:ligatures w14:val="standardContextual"/>
          </w:rPr>
          <w:t xml:space="preserve"> – </w:t>
        </w:r>
        <w:r w:rsidR="003D28DA" w:rsidRPr="009960E1">
          <w:rPr>
            <w:rStyle w:val="Hyperlink"/>
            <w:lang w:val="es-ES_tradnl"/>
          </w:rPr>
          <w:t>Texto para Q.Coord/C</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_Toc179189963 \h </w:instrText>
        </w:r>
        <w:r w:rsidR="003D28DA" w:rsidRPr="009960E1">
          <w:rPr>
            <w:webHidden/>
            <w:lang w:val="es-ES_tradnl"/>
          </w:rPr>
        </w:r>
        <w:r w:rsidR="003D28DA" w:rsidRPr="009960E1">
          <w:rPr>
            <w:webHidden/>
            <w:lang w:val="es-ES_tradnl"/>
          </w:rPr>
          <w:fldChar w:fldCharType="separate"/>
        </w:r>
        <w:r w:rsidR="00BE4E50">
          <w:rPr>
            <w:webHidden/>
            <w:lang w:val="es-ES_tradnl"/>
          </w:rPr>
          <w:t>19</w:t>
        </w:r>
        <w:r w:rsidR="003D28DA" w:rsidRPr="009960E1">
          <w:rPr>
            <w:webHidden/>
            <w:lang w:val="es-ES_tradnl"/>
          </w:rPr>
          <w:fldChar w:fldCharType="end"/>
        </w:r>
      </w:hyperlink>
    </w:p>
    <w:p w14:paraId="08503ABB" w14:textId="4820B366" w:rsidR="003D28DA" w:rsidRPr="009960E1" w:rsidRDefault="00000000">
      <w:pPr>
        <w:pStyle w:val="TOC2"/>
        <w:rPr>
          <w:rFonts w:asciiTheme="minorHAnsi" w:eastAsiaTheme="minorEastAsia" w:hAnsiTheme="minorHAnsi" w:cstheme="minorBidi"/>
          <w:kern w:val="2"/>
          <w:szCs w:val="24"/>
          <w:lang w:val="es-ES_tradnl" w:eastAsia="es-ES"/>
          <w14:ligatures w14:val="standardContextual"/>
        </w:rPr>
      </w:pPr>
      <w:hyperlink w:anchor="_Toc179189968" w:history="1">
        <w:r w:rsidR="003D28DA" w:rsidRPr="009960E1">
          <w:rPr>
            <w:rStyle w:val="Hyperlink"/>
            <w:lang w:val="es-ES_tradnl"/>
          </w:rPr>
          <w:t>ANEXO 2.3</w:t>
        </w:r>
        <w:r w:rsidR="003D28DA" w:rsidRPr="009960E1">
          <w:rPr>
            <w:rFonts w:asciiTheme="minorHAnsi" w:eastAsiaTheme="minorEastAsia" w:hAnsiTheme="minorHAnsi" w:cstheme="minorBidi"/>
            <w:kern w:val="2"/>
            <w:szCs w:val="24"/>
            <w:lang w:val="es-ES_tradnl" w:eastAsia="es-ES"/>
            <w14:ligatures w14:val="standardContextual"/>
          </w:rPr>
          <w:t xml:space="preserve"> – </w:t>
        </w:r>
        <w:r w:rsidR="003D28DA" w:rsidRPr="009960E1">
          <w:rPr>
            <w:rStyle w:val="Hyperlink"/>
            <w:lang w:val="es-ES_tradnl"/>
          </w:rPr>
          <w:t>Texto para Q.Acc/C</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_Toc179189968 \h </w:instrText>
        </w:r>
        <w:r w:rsidR="003D28DA" w:rsidRPr="009960E1">
          <w:rPr>
            <w:webHidden/>
            <w:lang w:val="es-ES_tradnl"/>
          </w:rPr>
        </w:r>
        <w:r w:rsidR="003D28DA" w:rsidRPr="009960E1">
          <w:rPr>
            <w:webHidden/>
            <w:lang w:val="es-ES_tradnl"/>
          </w:rPr>
          <w:fldChar w:fldCharType="separate"/>
        </w:r>
        <w:r w:rsidR="00BE4E50">
          <w:rPr>
            <w:webHidden/>
            <w:lang w:val="es-ES_tradnl"/>
          </w:rPr>
          <w:t>21</w:t>
        </w:r>
        <w:r w:rsidR="003D28DA" w:rsidRPr="009960E1">
          <w:rPr>
            <w:webHidden/>
            <w:lang w:val="es-ES_tradnl"/>
          </w:rPr>
          <w:fldChar w:fldCharType="end"/>
        </w:r>
      </w:hyperlink>
    </w:p>
    <w:p w14:paraId="4903FB67" w14:textId="604CFF8F" w:rsidR="003D28DA" w:rsidRPr="009960E1" w:rsidRDefault="00000000">
      <w:pPr>
        <w:pStyle w:val="TOC1"/>
        <w:rPr>
          <w:rFonts w:asciiTheme="minorHAnsi" w:eastAsiaTheme="minorEastAsia" w:hAnsiTheme="minorHAnsi" w:cstheme="minorBidi"/>
          <w:kern w:val="2"/>
          <w:szCs w:val="24"/>
          <w:lang w:val="es-ES_tradnl" w:eastAsia="es-ES"/>
          <w14:ligatures w14:val="standardContextual"/>
        </w:rPr>
      </w:pPr>
      <w:hyperlink w:anchor="_Toc179189973" w:history="1">
        <w:r w:rsidR="003D28DA" w:rsidRPr="009960E1">
          <w:rPr>
            <w:rStyle w:val="Hyperlink"/>
            <w:bCs/>
            <w:lang w:val="es-ES_tradnl"/>
          </w:rPr>
          <w:t>ANEXO 3 – (Documento WTSA-24/24)</w:t>
        </w:r>
        <w:r w:rsidR="009960E1" w:rsidRPr="009960E1">
          <w:rPr>
            <w:rStyle w:val="Hyperlink"/>
            <w:bCs/>
            <w:lang w:val="es-ES_tradnl"/>
          </w:rPr>
          <w:t xml:space="preserve"> </w:t>
        </w:r>
        <w:r w:rsidR="003D28DA" w:rsidRPr="009960E1">
          <w:rPr>
            <w:rStyle w:val="Hyperlink"/>
            <w:lang w:val="es-ES_tradnl"/>
          </w:rPr>
          <w:t>Plan de acción del UIT-T para una</w:t>
        </w:r>
        <w:r w:rsidR="003D28DA" w:rsidRPr="009960E1">
          <w:rPr>
            <w:rStyle w:val="Hyperlink"/>
            <w:lang w:val="es-ES_tradnl"/>
          </w:rPr>
          <w:br/>
          <w:t>participación eficaz del sector industrial</w:t>
        </w:r>
        <w:r w:rsidR="003D28DA" w:rsidRPr="009960E1">
          <w:rPr>
            <w:webHidden/>
            <w:lang w:val="es-ES_tradnl"/>
          </w:rPr>
          <w:tab/>
        </w:r>
        <w:r w:rsidR="003D28DA" w:rsidRPr="009960E1">
          <w:rPr>
            <w:webHidden/>
            <w:lang w:val="es-ES_tradnl"/>
          </w:rPr>
          <w:tab/>
        </w:r>
        <w:r w:rsidR="003D28DA" w:rsidRPr="009960E1">
          <w:rPr>
            <w:webHidden/>
            <w:lang w:val="es-ES_tradnl"/>
          </w:rPr>
          <w:fldChar w:fldCharType="begin"/>
        </w:r>
        <w:r w:rsidR="003D28DA" w:rsidRPr="009960E1">
          <w:rPr>
            <w:webHidden/>
            <w:lang w:val="es-ES_tradnl"/>
          </w:rPr>
          <w:instrText xml:space="preserve"> PAGEREF _Toc179189973 \h </w:instrText>
        </w:r>
        <w:r w:rsidR="003D28DA" w:rsidRPr="009960E1">
          <w:rPr>
            <w:webHidden/>
            <w:lang w:val="es-ES_tradnl"/>
          </w:rPr>
        </w:r>
        <w:r w:rsidR="003D28DA" w:rsidRPr="009960E1">
          <w:rPr>
            <w:webHidden/>
            <w:lang w:val="es-ES_tradnl"/>
          </w:rPr>
          <w:fldChar w:fldCharType="separate"/>
        </w:r>
        <w:r w:rsidR="00BE4E50">
          <w:rPr>
            <w:webHidden/>
            <w:lang w:val="es-ES_tradnl"/>
          </w:rPr>
          <w:t>27</w:t>
        </w:r>
        <w:r w:rsidR="003D28DA" w:rsidRPr="009960E1">
          <w:rPr>
            <w:webHidden/>
            <w:lang w:val="es-ES_tradnl"/>
          </w:rPr>
          <w:fldChar w:fldCharType="end"/>
        </w:r>
      </w:hyperlink>
    </w:p>
    <w:p w14:paraId="2525F0D1" w14:textId="6D3230FF" w:rsidR="00AD4724" w:rsidRDefault="003D28DA" w:rsidP="00AD4724">
      <w:pPr>
        <w:rPr>
          <w:rFonts w:eastAsia="Batang"/>
          <w:noProof/>
          <w:sz w:val="28"/>
        </w:rPr>
      </w:pPr>
      <w:r w:rsidRPr="009960E1">
        <w:rPr>
          <w:rFonts w:eastAsia="Batang"/>
          <w:noProof/>
        </w:rPr>
        <w:fldChar w:fldCharType="end"/>
      </w:r>
      <w:bookmarkStart w:id="0" w:name="_Toc178345851"/>
      <w:bookmarkStart w:id="1" w:name="_Toc179189945"/>
      <w:r w:rsidR="00AD4724">
        <w:rPr>
          <w:rFonts w:eastAsia="Batang"/>
          <w:noProof/>
        </w:rPr>
        <w:br w:type="page"/>
      </w:r>
    </w:p>
    <w:p w14:paraId="58E7159D" w14:textId="2171F132" w:rsidR="00CF0CB0" w:rsidRPr="00BE4E50" w:rsidRDefault="00AD4724" w:rsidP="00AD4724">
      <w:pPr>
        <w:pStyle w:val="Heading1"/>
        <w:rPr>
          <w:lang w:val="es-ES"/>
        </w:rPr>
      </w:pPr>
      <w:r w:rsidRPr="00BE4E50">
        <w:rPr>
          <w:lang w:val="es-ES"/>
        </w:rPr>
        <w:lastRenderedPageBreak/>
        <w:t>1</w:t>
      </w:r>
      <w:r w:rsidRPr="00BE4E50">
        <w:rPr>
          <w:lang w:val="es-ES"/>
        </w:rPr>
        <w:tab/>
      </w:r>
      <w:proofErr w:type="gramStart"/>
      <w:r w:rsidR="00CF0CB0" w:rsidRPr="00AD4724">
        <w:rPr>
          <w:rFonts w:eastAsia="MS Mincho"/>
          <w:lang w:val="es-ES"/>
        </w:rPr>
        <w:t>Introducción</w:t>
      </w:r>
      <w:bookmarkEnd w:id="0"/>
      <w:bookmarkEnd w:id="1"/>
      <w:proofErr w:type="gramEnd"/>
    </w:p>
    <w:p w14:paraId="34351EB9" w14:textId="77777777" w:rsidR="00CF0CB0" w:rsidRPr="009960E1" w:rsidRDefault="00CF0CB0" w:rsidP="00CF0CB0">
      <w:pPr>
        <w:rPr>
          <w:lang w:val="es-ES_tradnl"/>
        </w:rPr>
      </w:pPr>
      <w:r w:rsidRPr="009960E1">
        <w:rPr>
          <w:lang w:val="es-ES_tradnl"/>
        </w:rPr>
        <w:t xml:space="preserve">De conformidad con los números 197H, 197I y 204 del Convenio, así como con las cláusulas 1.11.1, 4.4 y 4.9 de la Resolución 1 (Rev. Ginebra, 2022), el </w:t>
      </w:r>
      <w:proofErr w:type="gramStart"/>
      <w:r w:rsidRPr="009960E1">
        <w:rPr>
          <w:lang w:val="es-ES_tradnl"/>
        </w:rPr>
        <w:t>Director</w:t>
      </w:r>
      <w:proofErr w:type="gramEnd"/>
      <w:r w:rsidRPr="009960E1">
        <w:rPr>
          <w:lang w:val="es-ES_tradnl"/>
        </w:rPr>
        <w:t xml:space="preserve"> de la TSB presenta adjunto el Informe del Grupo Asesor de Normalización de las Telecomunicaciones (GANT) del Sector de Normalización de las Telecomunicaciones (UIT-T) a la AMNT-24 para su examen y adopción de las medidas adecuadas.</w:t>
      </w:r>
    </w:p>
    <w:p w14:paraId="74E86E41" w14:textId="77777777" w:rsidR="00CF0CB0" w:rsidRPr="00744A80" w:rsidRDefault="00CF0CB0" w:rsidP="00CF0CB0">
      <w:pPr>
        <w:pStyle w:val="Heading2"/>
        <w:rPr>
          <w:lang w:val="es-ES"/>
        </w:rPr>
      </w:pPr>
      <w:bookmarkStart w:id="2" w:name="_Toc178345852"/>
      <w:bookmarkStart w:id="3" w:name="_Toc179189946"/>
      <w:r w:rsidRPr="009960E1">
        <w:rPr>
          <w:bCs/>
          <w:lang w:val="es-ES_tradnl"/>
        </w:rPr>
        <w:t>1.1</w:t>
      </w:r>
      <w:r w:rsidRPr="009960E1">
        <w:rPr>
          <w:lang w:val="es-ES_tradnl"/>
        </w:rPr>
        <w:tab/>
      </w:r>
      <w:r w:rsidRPr="009960E1">
        <w:rPr>
          <w:bCs/>
          <w:lang w:val="es-ES_tradnl"/>
        </w:rPr>
        <w:t>Responsabilidades del GANT</w:t>
      </w:r>
      <w:bookmarkEnd w:id="2"/>
      <w:bookmarkEnd w:id="3"/>
    </w:p>
    <w:p w14:paraId="13DAA5A8" w14:textId="77777777" w:rsidR="00CF0CB0" w:rsidRPr="009960E1" w:rsidRDefault="00CF0CB0" w:rsidP="00CF0CB0">
      <w:pPr>
        <w:rPr>
          <w:lang w:val="es-ES_tradnl"/>
        </w:rPr>
      </w:pPr>
      <w:r w:rsidRPr="009960E1">
        <w:rPr>
          <w:lang w:val="es-ES_tradnl"/>
        </w:rPr>
        <w:t>El mandato del Grupo Asesor de Normalización de las Telecomunicaciones (GANT) figura en el Artículo 14A del Convenio de la UIT, en las Resoluciones 1, 22, 40 y 45 de la AMNT y en otras Resoluciones pertinentes.</w:t>
      </w:r>
    </w:p>
    <w:p w14:paraId="4611E331" w14:textId="77777777" w:rsidR="00CF0CB0" w:rsidRPr="009960E1" w:rsidRDefault="00CF0CB0" w:rsidP="00CF0CB0">
      <w:pPr>
        <w:pStyle w:val="Heading2"/>
        <w:rPr>
          <w:lang w:val="es-ES_tradnl"/>
        </w:rPr>
      </w:pPr>
      <w:bookmarkStart w:id="4" w:name="_Toc178345853"/>
      <w:bookmarkStart w:id="5" w:name="_Toc179189947"/>
      <w:r w:rsidRPr="009960E1">
        <w:rPr>
          <w:bCs/>
          <w:lang w:val="es-ES_tradnl"/>
        </w:rPr>
        <w:t>1.2</w:t>
      </w:r>
      <w:r w:rsidRPr="009960E1">
        <w:rPr>
          <w:lang w:val="es-ES_tradnl"/>
        </w:rPr>
        <w:tab/>
      </w:r>
      <w:r w:rsidRPr="009960E1">
        <w:rPr>
          <w:bCs/>
          <w:lang w:val="es-ES_tradnl"/>
        </w:rPr>
        <w:t>Equipo de dirección y reuniones celebradas por el GANT</w:t>
      </w:r>
      <w:bookmarkEnd w:id="4"/>
      <w:bookmarkEnd w:id="5"/>
    </w:p>
    <w:p w14:paraId="37459B61" w14:textId="56C158D1" w:rsidR="00CF0CB0" w:rsidRPr="009960E1" w:rsidRDefault="00CF0CB0" w:rsidP="00CF0CB0">
      <w:pPr>
        <w:rPr>
          <w:lang w:val="es-ES_tradnl"/>
        </w:rPr>
      </w:pPr>
      <w:r w:rsidRPr="009960E1">
        <w:rPr>
          <w:lang w:val="es-ES_tradnl"/>
        </w:rPr>
        <w:t xml:space="preserve">El GANT se reunió cuatro veces en sesión plenaria a lo largo del periodo de estudios (véase el Cuadro 1), bajo la presidencia del </w:t>
      </w:r>
      <w:r w:rsidR="00AF1FAB">
        <w:rPr>
          <w:lang w:val="es-ES_tradnl"/>
        </w:rPr>
        <w:t>Sr. </w:t>
      </w:r>
      <w:r w:rsidRPr="009960E1">
        <w:rPr>
          <w:lang w:val="es-ES_tradnl"/>
        </w:rPr>
        <w:t xml:space="preserve">Abdurahman M. AL HASSAN (Reino de Arabia Saudita), asistido por los Vicepresidentes </w:t>
      </w:r>
      <w:r w:rsidR="00AF1FAB">
        <w:rPr>
          <w:lang w:val="es-ES_tradnl"/>
        </w:rPr>
        <w:t>Sr. </w:t>
      </w:r>
      <w:r w:rsidRPr="009960E1">
        <w:rPr>
          <w:lang w:val="es-ES_tradnl"/>
        </w:rPr>
        <w:t xml:space="preserve">Samuel AGYEKUM (Ghana, desde el 01-2024), </w:t>
      </w:r>
      <w:r w:rsidR="00AF1FAB">
        <w:rPr>
          <w:lang w:val="es-ES_tradnl"/>
        </w:rPr>
        <w:t>Sr. </w:t>
      </w:r>
      <w:r w:rsidRPr="009960E1">
        <w:rPr>
          <w:lang w:val="es-ES_tradnl"/>
        </w:rPr>
        <w:t>Khalid AL</w:t>
      </w:r>
      <w:r w:rsidRPr="009960E1">
        <w:rPr>
          <w:lang w:val="es-ES_tradnl"/>
        </w:rPr>
        <w:noBreakHyphen/>
        <w:t xml:space="preserve">HMOUD (Reino Hachemita de Jordania), </w:t>
      </w:r>
      <w:r w:rsidR="00AF1FAB">
        <w:rPr>
          <w:lang w:val="es-ES_tradnl"/>
        </w:rPr>
        <w:t>Sr. </w:t>
      </w:r>
      <w:r w:rsidRPr="009960E1">
        <w:rPr>
          <w:lang w:val="es-ES_tradnl"/>
        </w:rPr>
        <w:t xml:space="preserve">Ulugbek AZIMOV (República de Uzbekistán), </w:t>
      </w:r>
      <w:r w:rsidR="00AF1FAB">
        <w:rPr>
          <w:lang w:val="es-ES_tradnl"/>
        </w:rPr>
        <w:t>Sr. </w:t>
      </w:r>
      <w:r w:rsidRPr="009960E1">
        <w:rPr>
          <w:lang w:val="es-ES_tradnl"/>
        </w:rPr>
        <w:t>Isaac BOATENG (Ghana, del 03</w:t>
      </w:r>
      <w:r w:rsidR="00783A5D">
        <w:rPr>
          <w:lang w:val="es-ES_tradnl"/>
        </w:rPr>
        <w:t>/</w:t>
      </w:r>
      <w:r w:rsidRPr="009960E1">
        <w:rPr>
          <w:lang w:val="es-ES_tradnl"/>
        </w:rPr>
        <w:t>2022 al 01</w:t>
      </w:r>
      <w:r w:rsidR="00783A5D">
        <w:rPr>
          <w:lang w:val="es-ES_tradnl"/>
        </w:rPr>
        <w:t>/</w:t>
      </w:r>
      <w:r w:rsidRPr="009960E1">
        <w:rPr>
          <w:lang w:val="es-ES_tradnl"/>
        </w:rPr>
        <w:t xml:space="preserve">2024), </w:t>
      </w:r>
      <w:r w:rsidR="00AF1FAB">
        <w:rPr>
          <w:lang w:val="es-ES_tradnl"/>
        </w:rPr>
        <w:t>Sr. </w:t>
      </w:r>
      <w:r w:rsidRPr="009960E1">
        <w:rPr>
          <w:lang w:val="es-ES_tradnl"/>
        </w:rPr>
        <w:t xml:space="preserve">Olivier DUBUISSON (Francia), </w:t>
      </w:r>
      <w:r w:rsidR="00AF1FAB">
        <w:rPr>
          <w:lang w:val="es-ES_tradnl"/>
        </w:rPr>
        <w:t>Sr. </w:t>
      </w:r>
      <w:r w:rsidRPr="009960E1">
        <w:rPr>
          <w:lang w:val="es-ES_tradnl"/>
        </w:rPr>
        <w:t>Mihail ION (Rumanía, desde el 01</w:t>
      </w:r>
      <w:r w:rsidR="00783A5D">
        <w:rPr>
          <w:lang w:val="es-ES_tradnl"/>
        </w:rPr>
        <w:t>/</w:t>
      </w:r>
      <w:r w:rsidRPr="009960E1">
        <w:rPr>
          <w:lang w:val="es-ES_tradnl"/>
        </w:rPr>
        <w:t xml:space="preserve">2024), </w:t>
      </w:r>
      <w:r w:rsidR="00AF1FAB">
        <w:rPr>
          <w:lang w:val="es-ES_tradnl"/>
        </w:rPr>
        <w:t>Sr. </w:t>
      </w:r>
      <w:proofErr w:type="spellStart"/>
      <w:r w:rsidRPr="009960E1">
        <w:rPr>
          <w:lang w:val="es-ES_tradnl"/>
        </w:rPr>
        <w:t>Tobias</w:t>
      </w:r>
      <w:proofErr w:type="spellEnd"/>
      <w:r w:rsidRPr="009960E1">
        <w:rPr>
          <w:lang w:val="es-ES_tradnl"/>
        </w:rPr>
        <w:t xml:space="preserve"> KAUFMANN (República Federal de Alemania, del 03</w:t>
      </w:r>
      <w:r w:rsidR="00783A5D">
        <w:rPr>
          <w:lang w:val="es-ES_tradnl"/>
        </w:rPr>
        <w:t>/</w:t>
      </w:r>
      <w:r w:rsidRPr="009960E1">
        <w:rPr>
          <w:lang w:val="es-ES_tradnl"/>
        </w:rPr>
        <w:t>2022 al 01</w:t>
      </w:r>
      <w:r w:rsidR="00783A5D">
        <w:rPr>
          <w:lang w:val="es-ES_tradnl"/>
        </w:rPr>
        <w:t>/</w:t>
      </w:r>
      <w:r w:rsidRPr="009960E1">
        <w:rPr>
          <w:lang w:val="es-ES_tradnl"/>
        </w:rPr>
        <w:t xml:space="preserve">2024), </w:t>
      </w:r>
      <w:r w:rsidR="00AF1FAB">
        <w:rPr>
          <w:lang w:val="es-ES_tradnl"/>
        </w:rPr>
        <w:t>Sr. </w:t>
      </w:r>
      <w:r w:rsidRPr="009960E1">
        <w:rPr>
          <w:lang w:val="es-ES_tradnl"/>
        </w:rPr>
        <w:t xml:space="preserve">Guy-Michel KOUAKOU (República de Côte d'Ivoire), </w:t>
      </w:r>
      <w:r w:rsidR="00082221">
        <w:rPr>
          <w:lang w:val="es-ES_tradnl"/>
        </w:rPr>
        <w:t>Sra. </w:t>
      </w:r>
      <w:r w:rsidRPr="009960E1">
        <w:rPr>
          <w:lang w:val="es-ES_tradnl"/>
        </w:rPr>
        <w:t>Fang LI (República Popular China, del 03</w:t>
      </w:r>
      <w:r w:rsidR="00783A5D">
        <w:rPr>
          <w:lang w:val="es-ES_tradnl"/>
        </w:rPr>
        <w:t>/</w:t>
      </w:r>
      <w:r w:rsidRPr="009960E1">
        <w:rPr>
          <w:lang w:val="es-ES_tradnl"/>
        </w:rPr>
        <w:t>2022 al 07</w:t>
      </w:r>
      <w:r w:rsidR="00783A5D">
        <w:rPr>
          <w:lang w:val="es-ES_tradnl"/>
        </w:rPr>
        <w:t>/</w:t>
      </w:r>
      <w:r w:rsidRPr="009960E1">
        <w:rPr>
          <w:lang w:val="es-ES_tradnl"/>
        </w:rPr>
        <w:t xml:space="preserve">2024), </w:t>
      </w:r>
      <w:r w:rsidR="00082221">
        <w:rPr>
          <w:lang w:val="es-ES_tradnl"/>
        </w:rPr>
        <w:t>Sra. </w:t>
      </w:r>
      <w:proofErr w:type="spellStart"/>
      <w:r w:rsidRPr="009960E1">
        <w:rPr>
          <w:lang w:val="es-ES_tradnl"/>
        </w:rPr>
        <w:t>Gaëlle</w:t>
      </w:r>
      <w:proofErr w:type="spellEnd"/>
      <w:r w:rsidRPr="009960E1">
        <w:rPr>
          <w:lang w:val="es-ES_tradnl"/>
        </w:rPr>
        <w:t xml:space="preserve"> MARTIN-COCHER (</w:t>
      </w:r>
      <w:proofErr w:type="spellStart"/>
      <w:r w:rsidRPr="009960E1">
        <w:rPr>
          <w:lang w:val="es-ES_tradnl"/>
        </w:rPr>
        <w:t>InterDigital</w:t>
      </w:r>
      <w:proofErr w:type="spellEnd"/>
      <w:r w:rsidRPr="009960E1">
        <w:rPr>
          <w:lang w:val="es-ES_tradnl"/>
        </w:rPr>
        <w:t xml:space="preserve">, Canadá), </w:t>
      </w:r>
      <w:r w:rsidR="00AF1FAB">
        <w:rPr>
          <w:lang w:val="es-ES_tradnl"/>
        </w:rPr>
        <w:t>Sr. </w:t>
      </w:r>
      <w:r w:rsidRPr="009960E1">
        <w:rPr>
          <w:lang w:val="es-ES_tradnl"/>
        </w:rPr>
        <w:t xml:space="preserve">Victor Manuel MARTINEZ VANEGAS (México), </w:t>
      </w:r>
      <w:r w:rsidR="00082221">
        <w:rPr>
          <w:lang w:val="es-ES_tradnl"/>
        </w:rPr>
        <w:t>Sra. </w:t>
      </w:r>
      <w:r w:rsidRPr="009960E1">
        <w:rPr>
          <w:lang w:val="es-ES_tradnl"/>
        </w:rPr>
        <w:t>Miho NAGANUMA (NEC Corporation, Japón) y Tong WU (China Telecom, República Popular China, desde el 07</w:t>
      </w:r>
      <w:r w:rsidR="00783A5D">
        <w:rPr>
          <w:lang w:val="es-ES_tradnl"/>
        </w:rPr>
        <w:t>/</w:t>
      </w:r>
      <w:r w:rsidRPr="009960E1">
        <w:rPr>
          <w:lang w:val="es-ES_tradnl"/>
        </w:rPr>
        <w:t>2024).</w:t>
      </w:r>
    </w:p>
    <w:p w14:paraId="0466A425" w14:textId="77777777" w:rsidR="00CF0CB0" w:rsidRPr="009960E1" w:rsidRDefault="00CF0CB0" w:rsidP="00AD4724">
      <w:pPr>
        <w:spacing w:after="120"/>
        <w:rPr>
          <w:lang w:val="es-ES_tradnl"/>
        </w:rPr>
      </w:pPr>
      <w:r w:rsidRPr="009960E1">
        <w:rPr>
          <w:lang w:val="es-ES_tradnl"/>
        </w:rPr>
        <w:t>Durante el mismo periodo de estudios se celebraron también numerosas reuniones de Grupos de Relator en formato electrónico (véase el Cuadro 2).</w:t>
      </w:r>
    </w:p>
    <w:p w14:paraId="70B3D2FD" w14:textId="77777777" w:rsidR="00CF0CB0" w:rsidRPr="009960E1" w:rsidRDefault="00CF0CB0" w:rsidP="00F5642F">
      <w:pPr>
        <w:pStyle w:val="TableNotitle"/>
        <w:rPr>
          <w:lang w:val="es-ES_tradnl"/>
        </w:rPr>
      </w:pPr>
      <w:r w:rsidRPr="005C3A5A">
        <w:rPr>
          <w:b w:val="0"/>
          <w:bCs/>
          <w:lang w:val="es-ES_tradnl"/>
        </w:rPr>
        <w:t>CUADRO 1</w:t>
      </w:r>
      <w:r w:rsidRPr="005C3A5A">
        <w:rPr>
          <w:b w:val="0"/>
          <w:bCs/>
          <w:lang w:val="es-ES_tradnl"/>
        </w:rPr>
        <w:br/>
      </w:r>
      <w:r w:rsidRPr="009960E1">
        <w:rPr>
          <w:lang w:val="es-ES_tradnl"/>
        </w:rPr>
        <w:t>Reuniones del GANT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11"/>
        <w:gridCol w:w="4536"/>
        <w:gridCol w:w="2835"/>
      </w:tblGrid>
      <w:tr w:rsidR="00CF0CB0" w:rsidRPr="009960E1" w14:paraId="4CC74EF6" w14:textId="77777777" w:rsidTr="00F27F0E">
        <w:trPr>
          <w:tblHeader/>
          <w:jc w:val="center"/>
        </w:trPr>
        <w:tc>
          <w:tcPr>
            <w:tcW w:w="2211" w:type="dxa"/>
            <w:tcBorders>
              <w:top w:val="single" w:sz="12" w:space="0" w:color="auto"/>
              <w:bottom w:val="single" w:sz="12" w:space="0" w:color="auto"/>
            </w:tcBorders>
            <w:shd w:val="clear" w:color="auto" w:fill="F2F2F2" w:themeFill="background1" w:themeFillShade="F2"/>
            <w:vAlign w:val="center"/>
          </w:tcPr>
          <w:p w14:paraId="3DB232EA" w14:textId="77777777" w:rsidR="00CF0CB0" w:rsidRPr="009960E1" w:rsidRDefault="00CF0CB0" w:rsidP="00F27F0E">
            <w:pPr>
              <w:pStyle w:val="Tablehead"/>
              <w:rPr>
                <w:lang w:val="es-ES_tradnl"/>
              </w:rPr>
            </w:pPr>
            <w:r w:rsidRPr="009960E1">
              <w:rPr>
                <w:bCs/>
                <w:lang w:val="es-ES_tradnl"/>
              </w:rPr>
              <w:t>Reuniones</w:t>
            </w:r>
          </w:p>
        </w:tc>
        <w:tc>
          <w:tcPr>
            <w:tcW w:w="4536" w:type="dxa"/>
            <w:tcBorders>
              <w:top w:val="single" w:sz="12" w:space="0" w:color="auto"/>
              <w:bottom w:val="single" w:sz="12" w:space="0" w:color="auto"/>
            </w:tcBorders>
            <w:shd w:val="clear" w:color="auto" w:fill="F2F2F2" w:themeFill="background1" w:themeFillShade="F2"/>
            <w:vAlign w:val="center"/>
          </w:tcPr>
          <w:p w14:paraId="78581059" w14:textId="77777777" w:rsidR="00CF0CB0" w:rsidRPr="009960E1" w:rsidRDefault="00CF0CB0" w:rsidP="00F27F0E">
            <w:pPr>
              <w:pStyle w:val="Tablehead"/>
              <w:rPr>
                <w:lang w:val="es-ES_tradnl"/>
              </w:rPr>
            </w:pPr>
            <w:r w:rsidRPr="009960E1">
              <w:rPr>
                <w:bCs/>
                <w:lang w:val="es-ES_tradnl"/>
              </w:rPr>
              <w:t>Lugar, fecha</w:t>
            </w:r>
          </w:p>
        </w:tc>
        <w:tc>
          <w:tcPr>
            <w:tcW w:w="2835" w:type="dxa"/>
            <w:tcBorders>
              <w:top w:val="single" w:sz="12" w:space="0" w:color="auto"/>
              <w:bottom w:val="single" w:sz="12" w:space="0" w:color="auto"/>
            </w:tcBorders>
            <w:shd w:val="clear" w:color="auto" w:fill="F2F2F2" w:themeFill="background1" w:themeFillShade="F2"/>
            <w:vAlign w:val="center"/>
          </w:tcPr>
          <w:p w14:paraId="65782243" w14:textId="77777777" w:rsidR="00CF0CB0" w:rsidRPr="009960E1" w:rsidRDefault="00CF0CB0" w:rsidP="00F27F0E">
            <w:pPr>
              <w:pStyle w:val="Tablehead"/>
              <w:rPr>
                <w:lang w:val="es-ES_tradnl"/>
              </w:rPr>
            </w:pPr>
            <w:r w:rsidRPr="009960E1">
              <w:rPr>
                <w:bCs/>
                <w:lang w:val="es-ES_tradnl"/>
              </w:rPr>
              <w:t>Informes</w:t>
            </w:r>
          </w:p>
        </w:tc>
      </w:tr>
      <w:tr w:rsidR="00CF0CB0" w:rsidRPr="009960E1" w14:paraId="727F06E8" w14:textId="77777777" w:rsidTr="00F27F0E">
        <w:trPr>
          <w:jc w:val="center"/>
        </w:trPr>
        <w:tc>
          <w:tcPr>
            <w:tcW w:w="2211" w:type="dxa"/>
            <w:tcBorders>
              <w:top w:val="single" w:sz="12" w:space="0" w:color="auto"/>
            </w:tcBorders>
            <w:shd w:val="clear" w:color="auto" w:fill="auto"/>
          </w:tcPr>
          <w:p w14:paraId="152D1F6B" w14:textId="77777777" w:rsidR="00CF0CB0" w:rsidRPr="009960E1" w:rsidRDefault="00CF0CB0" w:rsidP="00F27F0E">
            <w:pPr>
              <w:pStyle w:val="Tabletext"/>
              <w:rPr>
                <w:lang w:val="es-ES_tradnl"/>
              </w:rPr>
            </w:pPr>
            <w:r w:rsidRPr="009960E1">
              <w:rPr>
                <w:lang w:val="es-ES_tradnl"/>
              </w:rPr>
              <w:t>GANT</w:t>
            </w:r>
          </w:p>
        </w:tc>
        <w:tc>
          <w:tcPr>
            <w:tcW w:w="4536" w:type="dxa"/>
            <w:tcBorders>
              <w:top w:val="single" w:sz="12" w:space="0" w:color="auto"/>
            </w:tcBorders>
            <w:shd w:val="clear" w:color="auto" w:fill="auto"/>
          </w:tcPr>
          <w:p w14:paraId="7F1AFC7F" w14:textId="77777777" w:rsidR="00CF0CB0" w:rsidRPr="009960E1" w:rsidRDefault="00CF0CB0" w:rsidP="00F27F0E">
            <w:pPr>
              <w:pStyle w:val="Tabletext"/>
              <w:rPr>
                <w:lang w:val="es-ES_tradnl"/>
              </w:rPr>
            </w:pPr>
            <w:r w:rsidRPr="009960E1">
              <w:rPr>
                <w:lang w:val="es-ES_tradnl"/>
              </w:rPr>
              <w:t>Ginebra, 12-16 de diciembre de 2022</w:t>
            </w:r>
          </w:p>
        </w:tc>
        <w:tc>
          <w:tcPr>
            <w:tcW w:w="2835" w:type="dxa"/>
            <w:tcBorders>
              <w:top w:val="single" w:sz="12" w:space="0" w:color="auto"/>
            </w:tcBorders>
            <w:shd w:val="clear" w:color="auto" w:fill="auto"/>
          </w:tcPr>
          <w:p w14:paraId="49558FEB" w14:textId="77777777" w:rsidR="00CF0CB0" w:rsidRPr="009960E1" w:rsidRDefault="00CF0CB0" w:rsidP="00F27F0E">
            <w:pPr>
              <w:pStyle w:val="Tabletext"/>
              <w:rPr>
                <w:lang w:val="es-ES_tradnl"/>
              </w:rPr>
            </w:pPr>
            <w:r w:rsidRPr="009960E1">
              <w:rPr>
                <w:lang w:val="es-ES_tradnl"/>
              </w:rPr>
              <w:t>TSAG-</w:t>
            </w:r>
            <w:hyperlink r:id="rId14" w:history="1">
              <w:r w:rsidRPr="009960E1">
                <w:rPr>
                  <w:rStyle w:val="Hyperlink"/>
                  <w:lang w:val="es-ES_tradnl"/>
                </w:rPr>
                <w:t>R1</w:t>
              </w:r>
            </w:hyperlink>
          </w:p>
        </w:tc>
      </w:tr>
      <w:tr w:rsidR="00CF0CB0" w:rsidRPr="009960E1" w14:paraId="31A395DA" w14:textId="77777777" w:rsidTr="00F27F0E">
        <w:trPr>
          <w:jc w:val="center"/>
        </w:trPr>
        <w:tc>
          <w:tcPr>
            <w:tcW w:w="2211" w:type="dxa"/>
            <w:shd w:val="clear" w:color="auto" w:fill="auto"/>
          </w:tcPr>
          <w:p w14:paraId="0E38D8A3" w14:textId="77777777" w:rsidR="00CF0CB0" w:rsidRPr="009960E1" w:rsidRDefault="00CF0CB0" w:rsidP="00F27F0E">
            <w:pPr>
              <w:pStyle w:val="Tabletext"/>
              <w:rPr>
                <w:lang w:val="es-ES_tradnl"/>
              </w:rPr>
            </w:pPr>
            <w:r w:rsidRPr="009960E1">
              <w:rPr>
                <w:lang w:val="es-ES_tradnl"/>
              </w:rPr>
              <w:t>GANT</w:t>
            </w:r>
          </w:p>
        </w:tc>
        <w:tc>
          <w:tcPr>
            <w:tcW w:w="4536" w:type="dxa"/>
            <w:shd w:val="clear" w:color="auto" w:fill="auto"/>
          </w:tcPr>
          <w:p w14:paraId="35DB9D7D" w14:textId="77777777" w:rsidR="00CF0CB0" w:rsidRPr="009960E1" w:rsidRDefault="00CF0CB0" w:rsidP="00F27F0E">
            <w:pPr>
              <w:pStyle w:val="Tabletext"/>
              <w:rPr>
                <w:lang w:val="es-ES_tradnl"/>
              </w:rPr>
            </w:pPr>
            <w:r w:rsidRPr="009960E1">
              <w:rPr>
                <w:lang w:val="es-ES_tradnl"/>
              </w:rPr>
              <w:t>Ginebra, 30 de mayo – 2 de junio de 2023</w:t>
            </w:r>
          </w:p>
        </w:tc>
        <w:tc>
          <w:tcPr>
            <w:tcW w:w="2835" w:type="dxa"/>
            <w:shd w:val="clear" w:color="auto" w:fill="auto"/>
          </w:tcPr>
          <w:p w14:paraId="453587B2" w14:textId="77777777" w:rsidR="00CF0CB0" w:rsidRPr="009960E1" w:rsidRDefault="00CF0CB0" w:rsidP="00F27F0E">
            <w:pPr>
              <w:pStyle w:val="Tabletext"/>
              <w:rPr>
                <w:lang w:val="es-ES_tradnl"/>
              </w:rPr>
            </w:pPr>
            <w:r w:rsidRPr="009960E1">
              <w:rPr>
                <w:lang w:val="es-ES_tradnl"/>
              </w:rPr>
              <w:t>TSAG-</w:t>
            </w:r>
            <w:hyperlink r:id="rId15" w:history="1">
              <w:r w:rsidRPr="009960E1">
                <w:rPr>
                  <w:rStyle w:val="Hyperlink"/>
                  <w:lang w:val="es-ES_tradnl"/>
                </w:rPr>
                <w:t>R2</w:t>
              </w:r>
            </w:hyperlink>
            <w:r w:rsidRPr="009960E1">
              <w:rPr>
                <w:lang w:val="es-ES_tradnl"/>
              </w:rPr>
              <w:t>-</w:t>
            </w:r>
            <w:hyperlink r:id="rId16" w:history="1">
              <w:r w:rsidRPr="009960E1">
                <w:rPr>
                  <w:rStyle w:val="Hyperlink"/>
                  <w:lang w:val="es-ES_tradnl"/>
                </w:rPr>
                <w:t>R3</w:t>
              </w:r>
            </w:hyperlink>
          </w:p>
        </w:tc>
      </w:tr>
      <w:tr w:rsidR="00CF0CB0" w:rsidRPr="009960E1" w14:paraId="7F7CAB48" w14:textId="77777777" w:rsidTr="00F27F0E">
        <w:trPr>
          <w:jc w:val="center"/>
        </w:trPr>
        <w:tc>
          <w:tcPr>
            <w:tcW w:w="2211" w:type="dxa"/>
            <w:shd w:val="clear" w:color="auto" w:fill="auto"/>
          </w:tcPr>
          <w:p w14:paraId="6BB88C08" w14:textId="77777777" w:rsidR="00CF0CB0" w:rsidRPr="009960E1" w:rsidRDefault="00CF0CB0" w:rsidP="00F27F0E">
            <w:pPr>
              <w:pStyle w:val="Tabletext"/>
              <w:rPr>
                <w:lang w:val="es-ES_tradnl"/>
              </w:rPr>
            </w:pPr>
            <w:r w:rsidRPr="009960E1">
              <w:rPr>
                <w:lang w:val="es-ES_tradnl"/>
              </w:rPr>
              <w:t>GANT</w:t>
            </w:r>
          </w:p>
        </w:tc>
        <w:tc>
          <w:tcPr>
            <w:tcW w:w="4536" w:type="dxa"/>
            <w:shd w:val="clear" w:color="auto" w:fill="auto"/>
          </w:tcPr>
          <w:p w14:paraId="21E105D2" w14:textId="77777777" w:rsidR="00CF0CB0" w:rsidRPr="009960E1" w:rsidRDefault="00CF0CB0" w:rsidP="00F27F0E">
            <w:pPr>
              <w:pStyle w:val="Tabletext"/>
              <w:rPr>
                <w:lang w:val="es-ES_tradnl"/>
              </w:rPr>
            </w:pPr>
            <w:r w:rsidRPr="009960E1">
              <w:rPr>
                <w:lang w:val="es-ES_tradnl"/>
              </w:rPr>
              <w:t>Ginebra, 22-26 de enero de 2024</w:t>
            </w:r>
          </w:p>
        </w:tc>
        <w:tc>
          <w:tcPr>
            <w:tcW w:w="2835" w:type="dxa"/>
            <w:shd w:val="clear" w:color="auto" w:fill="auto"/>
          </w:tcPr>
          <w:p w14:paraId="50A906F4" w14:textId="77777777" w:rsidR="00CF0CB0" w:rsidRPr="009960E1" w:rsidRDefault="00CF0CB0" w:rsidP="00F27F0E">
            <w:pPr>
              <w:pStyle w:val="Tabletext"/>
              <w:rPr>
                <w:lang w:val="es-ES_tradnl"/>
              </w:rPr>
            </w:pPr>
            <w:r w:rsidRPr="009960E1">
              <w:rPr>
                <w:lang w:val="es-ES_tradnl"/>
              </w:rPr>
              <w:t>TSAG-</w:t>
            </w:r>
            <w:hyperlink r:id="rId17" w:history="1">
              <w:r w:rsidRPr="009960E1">
                <w:rPr>
                  <w:rStyle w:val="Hyperlink"/>
                  <w:lang w:val="es-ES_tradnl"/>
                </w:rPr>
                <w:t>R4</w:t>
              </w:r>
            </w:hyperlink>
            <w:r w:rsidRPr="009960E1">
              <w:rPr>
                <w:lang w:val="es-ES_tradnl"/>
              </w:rPr>
              <w:t>-</w:t>
            </w:r>
            <w:hyperlink r:id="rId18" w:history="1">
              <w:r w:rsidRPr="009960E1">
                <w:rPr>
                  <w:rStyle w:val="Hyperlink"/>
                  <w:lang w:val="es-ES_tradnl"/>
                </w:rPr>
                <w:t>R7</w:t>
              </w:r>
            </w:hyperlink>
          </w:p>
        </w:tc>
      </w:tr>
      <w:tr w:rsidR="00CF0CB0" w:rsidRPr="009960E1" w14:paraId="1942BB7F" w14:textId="77777777" w:rsidTr="00F27F0E">
        <w:trPr>
          <w:jc w:val="center"/>
        </w:trPr>
        <w:tc>
          <w:tcPr>
            <w:tcW w:w="2211" w:type="dxa"/>
            <w:shd w:val="clear" w:color="auto" w:fill="auto"/>
          </w:tcPr>
          <w:p w14:paraId="6CC3F7E4" w14:textId="77777777" w:rsidR="00CF0CB0" w:rsidRPr="009960E1" w:rsidRDefault="00CF0CB0" w:rsidP="00F27F0E">
            <w:pPr>
              <w:pStyle w:val="Tabletext"/>
              <w:rPr>
                <w:lang w:val="es-ES_tradnl"/>
              </w:rPr>
            </w:pPr>
            <w:r w:rsidRPr="009960E1">
              <w:rPr>
                <w:lang w:val="es-ES_tradnl"/>
              </w:rPr>
              <w:t>GANT</w:t>
            </w:r>
          </w:p>
        </w:tc>
        <w:tc>
          <w:tcPr>
            <w:tcW w:w="4536" w:type="dxa"/>
            <w:shd w:val="clear" w:color="auto" w:fill="auto"/>
          </w:tcPr>
          <w:p w14:paraId="3509E715" w14:textId="77777777" w:rsidR="00CF0CB0" w:rsidRPr="009960E1" w:rsidRDefault="00CF0CB0" w:rsidP="00F27F0E">
            <w:pPr>
              <w:pStyle w:val="Tabletext"/>
              <w:rPr>
                <w:lang w:val="es-ES_tradnl"/>
              </w:rPr>
            </w:pPr>
            <w:r w:rsidRPr="009960E1">
              <w:rPr>
                <w:lang w:val="es-ES_tradnl"/>
              </w:rPr>
              <w:t>Ginebra, 29 de julio – 2 de agosto de 2024</w:t>
            </w:r>
          </w:p>
        </w:tc>
        <w:tc>
          <w:tcPr>
            <w:tcW w:w="2835" w:type="dxa"/>
            <w:shd w:val="clear" w:color="auto" w:fill="auto"/>
          </w:tcPr>
          <w:p w14:paraId="57F2D0D7" w14:textId="77777777" w:rsidR="00CF0CB0" w:rsidRPr="009960E1" w:rsidRDefault="00CF0CB0" w:rsidP="00F27F0E">
            <w:pPr>
              <w:pStyle w:val="Tabletext"/>
              <w:rPr>
                <w:lang w:val="es-ES_tradnl"/>
              </w:rPr>
            </w:pPr>
            <w:r w:rsidRPr="009960E1">
              <w:rPr>
                <w:lang w:val="es-ES_tradnl"/>
              </w:rPr>
              <w:t>TSAG-</w:t>
            </w:r>
            <w:hyperlink r:id="rId19" w:history="1">
              <w:r w:rsidRPr="009960E1">
                <w:rPr>
                  <w:rStyle w:val="Hyperlink"/>
                  <w:lang w:val="es-ES_tradnl"/>
                </w:rPr>
                <w:t>R8</w:t>
              </w:r>
            </w:hyperlink>
          </w:p>
        </w:tc>
      </w:tr>
    </w:tbl>
    <w:p w14:paraId="301FC67D" w14:textId="77777777" w:rsidR="00CF0CB0" w:rsidRPr="009960E1" w:rsidRDefault="00CF0CB0" w:rsidP="00F5642F">
      <w:pPr>
        <w:pStyle w:val="TableNotitle"/>
        <w:rPr>
          <w:bCs/>
          <w:lang w:val="es-ES_tradnl"/>
        </w:rPr>
      </w:pPr>
      <w:bookmarkStart w:id="6" w:name="_Toc76442730"/>
      <w:bookmarkStart w:id="7" w:name="_Toc320869651"/>
      <w:r w:rsidRPr="009960E1">
        <w:rPr>
          <w:b w:val="0"/>
          <w:bCs/>
          <w:lang w:val="es-ES_tradnl"/>
        </w:rPr>
        <w:t>CUADRO 2</w:t>
      </w:r>
      <w:r w:rsidRPr="009960E1">
        <w:rPr>
          <w:lang w:val="es-ES_tradnl"/>
        </w:rPr>
        <w:br/>
        <w:t>Reuniones de Grupos de Relator organizadas por el GANT durante el periodo de estudios</w:t>
      </w:r>
    </w:p>
    <w:tbl>
      <w:tblPr>
        <w:tblStyle w:val="TableGrid"/>
        <w:tblW w:w="5000" w:type="pct"/>
        <w:jc w:val="center"/>
        <w:tblInd w:w="0"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4A0" w:firstRow="1" w:lastRow="0" w:firstColumn="1" w:lastColumn="0" w:noHBand="0" w:noVBand="1"/>
      </w:tblPr>
      <w:tblGrid>
        <w:gridCol w:w="1612"/>
        <w:gridCol w:w="1943"/>
        <w:gridCol w:w="1945"/>
        <w:gridCol w:w="4109"/>
      </w:tblGrid>
      <w:tr w:rsidR="00CF0CB0" w:rsidRPr="009960E1" w14:paraId="34476D8D" w14:textId="77777777" w:rsidTr="00F27F0E">
        <w:trPr>
          <w:tblHeader/>
          <w:jc w:val="center"/>
        </w:trPr>
        <w:tc>
          <w:tcPr>
            <w:tcW w:w="839" w:type="pct"/>
            <w:tcBorders>
              <w:top w:val="single" w:sz="12" w:space="0" w:color="auto"/>
              <w:bottom w:val="single" w:sz="12" w:space="0" w:color="auto"/>
            </w:tcBorders>
            <w:shd w:val="clear" w:color="auto" w:fill="auto"/>
            <w:vAlign w:val="center"/>
            <w:hideMark/>
          </w:tcPr>
          <w:p w14:paraId="4E0E6A99" w14:textId="77777777" w:rsidR="00CF0CB0" w:rsidRPr="009960E1" w:rsidRDefault="00CF0CB0" w:rsidP="00F27F0E">
            <w:pPr>
              <w:pStyle w:val="Tablehead"/>
              <w:rPr>
                <w:lang w:val="es-ES_tradnl"/>
              </w:rPr>
            </w:pPr>
            <w:r w:rsidRPr="009960E1">
              <w:rPr>
                <w:b w:val="0"/>
                <w:bCs/>
                <w:color w:val="000000"/>
                <w:szCs w:val="22"/>
                <w:lang w:val="es-ES_tradnl"/>
              </w:rPr>
              <w:t>Fechas</w:t>
            </w:r>
          </w:p>
        </w:tc>
        <w:tc>
          <w:tcPr>
            <w:tcW w:w="1011" w:type="pct"/>
            <w:tcBorders>
              <w:top w:val="single" w:sz="12" w:space="0" w:color="auto"/>
              <w:bottom w:val="single" w:sz="12" w:space="0" w:color="auto"/>
            </w:tcBorders>
            <w:shd w:val="clear" w:color="auto" w:fill="auto"/>
            <w:hideMark/>
          </w:tcPr>
          <w:p w14:paraId="1A1C4A79" w14:textId="77777777" w:rsidR="00CF0CB0" w:rsidRPr="009960E1" w:rsidRDefault="00CF0CB0" w:rsidP="00F27F0E">
            <w:pPr>
              <w:pStyle w:val="Tablehead"/>
              <w:rPr>
                <w:lang w:val="es-ES_tradnl"/>
              </w:rPr>
            </w:pPr>
            <w:r w:rsidRPr="009960E1">
              <w:rPr>
                <w:bCs/>
                <w:lang w:val="es-ES_tradnl"/>
              </w:rPr>
              <w:t>Lugar/Anfitrión</w:t>
            </w:r>
          </w:p>
        </w:tc>
        <w:tc>
          <w:tcPr>
            <w:tcW w:w="1012" w:type="pct"/>
            <w:tcBorders>
              <w:top w:val="single" w:sz="12" w:space="0" w:color="auto"/>
              <w:bottom w:val="single" w:sz="12" w:space="0" w:color="auto"/>
            </w:tcBorders>
            <w:shd w:val="clear" w:color="auto" w:fill="auto"/>
            <w:hideMark/>
          </w:tcPr>
          <w:p w14:paraId="4A61C418" w14:textId="77777777" w:rsidR="00CF0CB0" w:rsidRPr="009960E1" w:rsidRDefault="00CF0CB0" w:rsidP="00F27F0E">
            <w:pPr>
              <w:pStyle w:val="Tablehead"/>
              <w:rPr>
                <w:bCs/>
                <w:lang w:val="es-ES_tradnl"/>
              </w:rPr>
            </w:pPr>
            <w:r w:rsidRPr="009960E1">
              <w:rPr>
                <w:bCs/>
                <w:lang w:val="es-ES_tradnl"/>
              </w:rPr>
              <w:t>Grupo de Relator</w:t>
            </w:r>
          </w:p>
        </w:tc>
        <w:tc>
          <w:tcPr>
            <w:tcW w:w="2138" w:type="pct"/>
            <w:tcBorders>
              <w:top w:val="single" w:sz="12" w:space="0" w:color="auto"/>
              <w:bottom w:val="single" w:sz="12" w:space="0" w:color="auto"/>
            </w:tcBorders>
            <w:shd w:val="clear" w:color="auto" w:fill="auto"/>
            <w:hideMark/>
          </w:tcPr>
          <w:p w14:paraId="23ACB924" w14:textId="77777777" w:rsidR="00CF0CB0" w:rsidRPr="009960E1" w:rsidRDefault="00CF0CB0" w:rsidP="00F27F0E">
            <w:pPr>
              <w:pStyle w:val="Tablehead"/>
              <w:rPr>
                <w:bCs/>
                <w:lang w:val="es-ES_tradnl"/>
              </w:rPr>
            </w:pPr>
            <w:r w:rsidRPr="009960E1">
              <w:rPr>
                <w:bCs/>
                <w:lang w:val="es-ES_tradnl"/>
              </w:rPr>
              <w:t>Nombre del evento</w:t>
            </w:r>
          </w:p>
        </w:tc>
      </w:tr>
      <w:tr w:rsidR="00CF0CB0" w:rsidRPr="00BE4E50" w14:paraId="2768A285" w14:textId="77777777" w:rsidTr="00F27F0E">
        <w:trPr>
          <w:jc w:val="center"/>
        </w:trPr>
        <w:tc>
          <w:tcPr>
            <w:tcW w:w="839" w:type="pct"/>
            <w:tcBorders>
              <w:top w:val="single" w:sz="12" w:space="0" w:color="auto"/>
            </w:tcBorders>
            <w:shd w:val="clear" w:color="auto" w:fill="auto"/>
            <w:vAlign w:val="center"/>
            <w:hideMark/>
          </w:tcPr>
          <w:p w14:paraId="33427B09" w14:textId="37E3F7AC" w:rsidR="00CF0CB0" w:rsidRPr="009960E1" w:rsidRDefault="00CF0CB0" w:rsidP="00F27F0E">
            <w:pPr>
              <w:pStyle w:val="Tabletext"/>
              <w:jc w:val="center"/>
              <w:rPr>
                <w:lang w:val="es-ES_tradnl"/>
              </w:rPr>
            </w:pPr>
            <w:r w:rsidRPr="009960E1">
              <w:rPr>
                <w:color w:val="000000"/>
                <w:szCs w:val="22"/>
                <w:lang w:val="es-ES_tradnl"/>
              </w:rPr>
              <w:t>31</w:t>
            </w:r>
            <w:r w:rsidR="00AD4724">
              <w:rPr>
                <w:color w:val="000000"/>
                <w:szCs w:val="22"/>
                <w:lang w:val="es-ES_tradnl"/>
              </w:rPr>
              <w:t>/</w:t>
            </w:r>
            <w:r w:rsidRPr="009960E1">
              <w:rPr>
                <w:color w:val="000000"/>
                <w:szCs w:val="22"/>
                <w:lang w:val="es-ES_tradnl"/>
              </w:rPr>
              <w:t>01</w:t>
            </w:r>
            <w:r w:rsidR="00AD4724">
              <w:rPr>
                <w:color w:val="000000"/>
                <w:szCs w:val="22"/>
                <w:lang w:val="es-ES_tradnl"/>
              </w:rPr>
              <w:t>/</w:t>
            </w:r>
            <w:r w:rsidRPr="009960E1">
              <w:rPr>
                <w:color w:val="000000"/>
                <w:szCs w:val="22"/>
                <w:lang w:val="es-ES_tradnl"/>
              </w:rPr>
              <w:t>2023</w:t>
            </w:r>
          </w:p>
        </w:tc>
        <w:tc>
          <w:tcPr>
            <w:tcW w:w="1011" w:type="pct"/>
            <w:tcBorders>
              <w:top w:val="single" w:sz="12" w:space="0" w:color="auto"/>
            </w:tcBorders>
            <w:shd w:val="clear" w:color="auto" w:fill="auto"/>
            <w:hideMark/>
          </w:tcPr>
          <w:p w14:paraId="1876E6AF"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tcBorders>
              <w:top w:val="single" w:sz="12" w:space="0" w:color="auto"/>
            </w:tcBorders>
            <w:shd w:val="clear" w:color="auto" w:fill="auto"/>
            <w:hideMark/>
          </w:tcPr>
          <w:p w14:paraId="247C75F5" w14:textId="77777777" w:rsidR="00CF0CB0" w:rsidRPr="009960E1" w:rsidRDefault="00000000" w:rsidP="00F27F0E">
            <w:pPr>
              <w:pStyle w:val="Tabletext"/>
              <w:jc w:val="center"/>
              <w:rPr>
                <w:rStyle w:val="Hyperlink"/>
                <w:lang w:val="es-ES_tradnl"/>
              </w:rPr>
            </w:pPr>
            <w:hyperlink r:id="rId20" w:tooltip="Main topic of first meeting:&#10;Action Plan for industry engagement (TSAG-TD153R2)&#10;&#10;" w:history="1">
              <w:r w:rsidR="00CF0CB0" w:rsidRPr="009960E1">
                <w:rPr>
                  <w:rStyle w:val="Hyperlink"/>
                  <w:lang w:val="es-ES_tradnl"/>
                </w:rPr>
                <w:t>RG-IEM</w:t>
              </w:r>
            </w:hyperlink>
          </w:p>
        </w:tc>
        <w:tc>
          <w:tcPr>
            <w:tcW w:w="2138" w:type="pct"/>
            <w:tcBorders>
              <w:top w:val="single" w:sz="12" w:space="0" w:color="auto"/>
            </w:tcBorders>
            <w:shd w:val="clear" w:color="auto" w:fill="auto"/>
            <w:hideMark/>
          </w:tcPr>
          <w:p w14:paraId="55C5FC30"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BE4E50" w14:paraId="5BBBC397" w14:textId="77777777" w:rsidTr="00F27F0E">
        <w:trPr>
          <w:jc w:val="center"/>
        </w:trPr>
        <w:tc>
          <w:tcPr>
            <w:tcW w:w="839" w:type="pct"/>
            <w:shd w:val="clear" w:color="auto" w:fill="auto"/>
            <w:vAlign w:val="center"/>
            <w:hideMark/>
          </w:tcPr>
          <w:p w14:paraId="742F7D10" w14:textId="21C0CA58" w:rsidR="00CF0CB0" w:rsidRPr="009960E1" w:rsidRDefault="00CF0CB0" w:rsidP="00F27F0E">
            <w:pPr>
              <w:pStyle w:val="Tabletext"/>
              <w:jc w:val="center"/>
              <w:rPr>
                <w:lang w:val="es-ES_tradnl"/>
              </w:rPr>
            </w:pPr>
            <w:r w:rsidRPr="009960E1">
              <w:rPr>
                <w:color w:val="000000"/>
                <w:szCs w:val="22"/>
                <w:lang w:val="es-ES_tradnl"/>
              </w:rPr>
              <w:t>01</w:t>
            </w:r>
            <w:r w:rsidR="00AD4724">
              <w:rPr>
                <w:color w:val="000000"/>
                <w:szCs w:val="22"/>
                <w:lang w:val="es-ES_tradnl"/>
              </w:rPr>
              <w:t>/</w:t>
            </w:r>
            <w:r w:rsidRPr="009960E1">
              <w:rPr>
                <w:color w:val="000000"/>
                <w:szCs w:val="22"/>
                <w:lang w:val="es-ES_tradnl"/>
              </w:rPr>
              <w:t>02</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5CDDCA38"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3A3A67A" w14:textId="77777777" w:rsidR="00CF0CB0" w:rsidRPr="009960E1" w:rsidRDefault="00000000" w:rsidP="00F27F0E">
            <w:pPr>
              <w:pStyle w:val="Tabletext"/>
              <w:jc w:val="center"/>
              <w:rPr>
                <w:rStyle w:val="Hyperlink"/>
                <w:lang w:val="es-ES_tradnl"/>
              </w:rPr>
            </w:pPr>
            <w:hyperlink r:id="rId21" w:tooltip="Editing session for Rec. ITU-T A.1.&#10;Contributions are expected to be based either on Rec. ITU-T A.1 (base text) or TD150 (consolidated text) &#10;" w:history="1">
              <w:r w:rsidR="00CF0CB0" w:rsidRPr="009960E1">
                <w:rPr>
                  <w:rStyle w:val="Hyperlink"/>
                  <w:lang w:val="es-ES_tradnl"/>
                </w:rPr>
                <w:t>RG-WM</w:t>
              </w:r>
            </w:hyperlink>
          </w:p>
        </w:tc>
        <w:tc>
          <w:tcPr>
            <w:tcW w:w="2138" w:type="pct"/>
            <w:shd w:val="clear" w:color="auto" w:fill="auto"/>
            <w:hideMark/>
          </w:tcPr>
          <w:p w14:paraId="783671E1"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BE4E50" w14:paraId="2B10672C" w14:textId="77777777" w:rsidTr="00F27F0E">
        <w:trPr>
          <w:jc w:val="center"/>
        </w:trPr>
        <w:tc>
          <w:tcPr>
            <w:tcW w:w="839" w:type="pct"/>
            <w:shd w:val="clear" w:color="auto" w:fill="auto"/>
            <w:vAlign w:val="center"/>
            <w:hideMark/>
          </w:tcPr>
          <w:p w14:paraId="4D4B65A0" w14:textId="30CB1D22" w:rsidR="00CF0CB0" w:rsidRPr="009960E1" w:rsidRDefault="00CF0CB0" w:rsidP="00F27F0E">
            <w:pPr>
              <w:pStyle w:val="Tabletext"/>
              <w:jc w:val="center"/>
              <w:rPr>
                <w:lang w:val="es-ES_tradnl"/>
              </w:rPr>
            </w:pPr>
            <w:r w:rsidRPr="009960E1">
              <w:rPr>
                <w:color w:val="000000"/>
                <w:szCs w:val="22"/>
                <w:lang w:val="es-ES_tradnl"/>
              </w:rPr>
              <w:t>14</w:t>
            </w:r>
            <w:r w:rsidR="00AD4724">
              <w:rPr>
                <w:color w:val="000000"/>
                <w:szCs w:val="22"/>
                <w:lang w:val="es-ES_tradnl"/>
              </w:rPr>
              <w:t>/</w:t>
            </w:r>
            <w:r w:rsidRPr="009960E1">
              <w:rPr>
                <w:color w:val="000000"/>
                <w:szCs w:val="22"/>
                <w:lang w:val="es-ES_tradnl"/>
              </w:rPr>
              <w:t>02</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608688EF"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2440228D" w14:textId="77777777" w:rsidR="00CF0CB0" w:rsidRPr="009960E1" w:rsidRDefault="00000000" w:rsidP="00F27F0E">
            <w:pPr>
              <w:pStyle w:val="Tabletext"/>
              <w:jc w:val="center"/>
              <w:rPr>
                <w:rStyle w:val="Hyperlink"/>
                <w:lang w:val="es-ES_tradnl"/>
              </w:rPr>
            </w:pPr>
            <w:hyperlink r:id="rId22" w:tooltip="Editing session for Rec. ITU-T A.7&#10;Contributions are expected to be based either on Rec. ITU-T A.7 (base text) or TD122R1 (consolidated text)&#10;&#10;" w:history="1">
              <w:r w:rsidR="00CF0CB0" w:rsidRPr="009960E1">
                <w:rPr>
                  <w:rStyle w:val="Hyperlink"/>
                  <w:lang w:val="es-ES_tradnl"/>
                </w:rPr>
                <w:t>RG-WM</w:t>
              </w:r>
            </w:hyperlink>
          </w:p>
        </w:tc>
        <w:tc>
          <w:tcPr>
            <w:tcW w:w="2138" w:type="pct"/>
            <w:shd w:val="clear" w:color="auto" w:fill="auto"/>
            <w:hideMark/>
          </w:tcPr>
          <w:p w14:paraId="4B7A3A03"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BE4E50" w14:paraId="50EF5F0C" w14:textId="77777777" w:rsidTr="00F27F0E">
        <w:trPr>
          <w:jc w:val="center"/>
        </w:trPr>
        <w:tc>
          <w:tcPr>
            <w:tcW w:w="839" w:type="pct"/>
            <w:shd w:val="clear" w:color="auto" w:fill="auto"/>
            <w:vAlign w:val="center"/>
            <w:hideMark/>
          </w:tcPr>
          <w:p w14:paraId="2F52D3E9" w14:textId="6AAB5B5F" w:rsidR="00CF0CB0" w:rsidRPr="009960E1" w:rsidRDefault="00CF0CB0" w:rsidP="00F27F0E">
            <w:pPr>
              <w:pStyle w:val="Tabletext"/>
              <w:jc w:val="center"/>
              <w:rPr>
                <w:lang w:val="es-ES_tradnl"/>
              </w:rPr>
            </w:pPr>
            <w:r w:rsidRPr="009960E1">
              <w:rPr>
                <w:color w:val="000000"/>
                <w:szCs w:val="22"/>
                <w:lang w:val="es-ES_tradnl"/>
              </w:rPr>
              <w:t>15</w:t>
            </w:r>
            <w:r w:rsidR="00AD4724">
              <w:rPr>
                <w:color w:val="000000"/>
                <w:szCs w:val="22"/>
                <w:lang w:val="es-ES_tradnl"/>
              </w:rPr>
              <w:t>/</w:t>
            </w:r>
            <w:r w:rsidRPr="009960E1">
              <w:rPr>
                <w:color w:val="000000"/>
                <w:szCs w:val="22"/>
                <w:lang w:val="es-ES_tradnl"/>
              </w:rPr>
              <w:t>02</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17984BB7"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89D7C8D" w14:textId="77777777" w:rsidR="00CF0CB0" w:rsidRPr="009960E1" w:rsidRDefault="00000000" w:rsidP="00F27F0E">
            <w:pPr>
              <w:pStyle w:val="Tabletext"/>
              <w:jc w:val="center"/>
              <w:rPr>
                <w:rStyle w:val="Hyperlink"/>
                <w:lang w:val="es-ES_tradnl"/>
              </w:rPr>
            </w:pPr>
            <w:hyperlink r:id="rId23" w:tooltip="Discussion on SG restructuring&#10;Contributions are expected on available data, proposals for KPIs (how to use data) &#10;" w:history="1">
              <w:r w:rsidR="00CF0CB0" w:rsidRPr="009960E1">
                <w:rPr>
                  <w:rStyle w:val="Hyperlink"/>
                  <w:lang w:val="es-ES_tradnl"/>
                </w:rPr>
                <w:t>RG-WPR</w:t>
              </w:r>
            </w:hyperlink>
          </w:p>
        </w:tc>
        <w:tc>
          <w:tcPr>
            <w:tcW w:w="2138" w:type="pct"/>
            <w:shd w:val="clear" w:color="auto" w:fill="auto"/>
            <w:hideMark/>
          </w:tcPr>
          <w:p w14:paraId="5CC01B97" w14:textId="77777777" w:rsidR="00CF0CB0" w:rsidRPr="009960E1" w:rsidRDefault="00CF0CB0" w:rsidP="00F27F0E">
            <w:pPr>
              <w:pStyle w:val="Tabletext"/>
              <w:rPr>
                <w:lang w:val="es-ES_tradnl"/>
              </w:rPr>
            </w:pPr>
            <w:r w:rsidRPr="009960E1">
              <w:rPr>
                <w:lang w:val="es-ES_tradnl"/>
              </w:rPr>
              <w:t>Reunión virtual del RG-WPR del GANT</w:t>
            </w:r>
          </w:p>
        </w:tc>
      </w:tr>
      <w:tr w:rsidR="00CF0CB0" w:rsidRPr="00BE4E50" w14:paraId="67D66321" w14:textId="77777777" w:rsidTr="00F27F0E">
        <w:trPr>
          <w:jc w:val="center"/>
        </w:trPr>
        <w:tc>
          <w:tcPr>
            <w:tcW w:w="839" w:type="pct"/>
            <w:shd w:val="clear" w:color="auto" w:fill="auto"/>
            <w:vAlign w:val="center"/>
            <w:hideMark/>
          </w:tcPr>
          <w:p w14:paraId="0A1E3E7B" w14:textId="2F5A7788" w:rsidR="00CF0CB0" w:rsidRPr="009960E1" w:rsidRDefault="00CF0CB0" w:rsidP="00F27F0E">
            <w:pPr>
              <w:pStyle w:val="Tabletext"/>
              <w:jc w:val="center"/>
              <w:rPr>
                <w:lang w:val="es-ES_tradnl"/>
              </w:rPr>
            </w:pPr>
            <w:r w:rsidRPr="009960E1">
              <w:rPr>
                <w:color w:val="000000"/>
                <w:szCs w:val="22"/>
                <w:lang w:val="es-ES_tradnl"/>
              </w:rPr>
              <w:t>28</w:t>
            </w:r>
            <w:r w:rsidR="00AD4724">
              <w:rPr>
                <w:color w:val="000000"/>
                <w:szCs w:val="22"/>
                <w:lang w:val="es-ES_tradnl"/>
              </w:rPr>
              <w:t>/</w:t>
            </w:r>
            <w:r w:rsidRPr="009960E1">
              <w:rPr>
                <w:color w:val="000000"/>
                <w:szCs w:val="22"/>
                <w:lang w:val="es-ES_tradnl"/>
              </w:rPr>
              <w:t>02</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454FB678"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1E1805DE" w14:textId="77777777" w:rsidR="00CF0CB0" w:rsidRPr="009960E1" w:rsidRDefault="00000000" w:rsidP="00F27F0E">
            <w:pPr>
              <w:pStyle w:val="Tabletext"/>
              <w:jc w:val="center"/>
              <w:rPr>
                <w:rStyle w:val="Hyperlink"/>
                <w:lang w:val="es-ES_tradnl"/>
              </w:rPr>
            </w:pPr>
            <w:hyperlink r:id="rId24" w:tooltip="Editing session on Rec. ITU-T A.8 and draft new Supplement A.supplRA; discussion on the SG17 incubation mechanism&#10;Contributions are expected, in particular with relation to TD138 (ITU-T A.8), TD154 (A.supplRA) and TD158 (SG17 ..." w:history="1">
              <w:r w:rsidR="00CF0CB0" w:rsidRPr="009960E1">
                <w:rPr>
                  <w:rStyle w:val="Hyperlink"/>
                  <w:lang w:val="es-ES_tradnl"/>
                </w:rPr>
                <w:t>RG-WM</w:t>
              </w:r>
            </w:hyperlink>
          </w:p>
        </w:tc>
        <w:tc>
          <w:tcPr>
            <w:tcW w:w="2138" w:type="pct"/>
            <w:shd w:val="clear" w:color="auto" w:fill="auto"/>
            <w:hideMark/>
          </w:tcPr>
          <w:p w14:paraId="1AA5DB2F"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BE4E50" w14:paraId="55969198" w14:textId="77777777" w:rsidTr="00F27F0E">
        <w:trPr>
          <w:jc w:val="center"/>
        </w:trPr>
        <w:tc>
          <w:tcPr>
            <w:tcW w:w="839" w:type="pct"/>
            <w:shd w:val="clear" w:color="auto" w:fill="auto"/>
            <w:vAlign w:val="center"/>
            <w:hideMark/>
          </w:tcPr>
          <w:p w14:paraId="26A5C6A7" w14:textId="533F7023" w:rsidR="00CF0CB0" w:rsidRPr="009960E1" w:rsidRDefault="00CF0CB0" w:rsidP="00F27F0E">
            <w:pPr>
              <w:pStyle w:val="Tabletext"/>
              <w:jc w:val="center"/>
              <w:rPr>
                <w:lang w:val="es-ES_tradnl"/>
              </w:rPr>
            </w:pPr>
            <w:r w:rsidRPr="009960E1">
              <w:rPr>
                <w:color w:val="000000"/>
                <w:szCs w:val="22"/>
                <w:lang w:val="es-ES_tradnl"/>
              </w:rPr>
              <w:t>07</w:t>
            </w:r>
            <w:r w:rsidR="00AD4724">
              <w:rPr>
                <w:color w:val="000000"/>
                <w:szCs w:val="22"/>
                <w:lang w:val="es-ES_tradnl"/>
              </w:rPr>
              <w:t>/</w:t>
            </w:r>
            <w:r w:rsidRPr="009960E1">
              <w:rPr>
                <w:color w:val="000000"/>
                <w:szCs w:val="22"/>
                <w:lang w:val="es-ES_tradnl"/>
              </w:rPr>
              <w:t>03</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40C2AA18"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070421C1" w14:textId="77777777" w:rsidR="00CF0CB0" w:rsidRPr="009960E1" w:rsidRDefault="00000000" w:rsidP="00F27F0E">
            <w:pPr>
              <w:pStyle w:val="Tabletext"/>
              <w:jc w:val="center"/>
              <w:rPr>
                <w:rStyle w:val="Hyperlink"/>
                <w:lang w:val="es-ES_tradnl"/>
              </w:rPr>
            </w:pPr>
            <w:hyperlink r:id="rId25" w:tooltip="Main topic: WTSA Resolution 68. Contributors are invited to consider TSAG-TD145: Reference material for WTSA-20 Action 10 &quot;Industry engagement&quot; - C99R1" w:history="1">
              <w:r w:rsidR="00CF0CB0" w:rsidRPr="009960E1">
                <w:rPr>
                  <w:rStyle w:val="Hyperlink"/>
                  <w:lang w:val="es-ES_tradnl"/>
                </w:rPr>
                <w:t>RG-IEM</w:t>
              </w:r>
            </w:hyperlink>
          </w:p>
        </w:tc>
        <w:tc>
          <w:tcPr>
            <w:tcW w:w="2138" w:type="pct"/>
            <w:shd w:val="clear" w:color="auto" w:fill="auto"/>
            <w:hideMark/>
          </w:tcPr>
          <w:p w14:paraId="448FA415"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BE4E50" w14:paraId="4FA21296" w14:textId="77777777" w:rsidTr="00F27F0E">
        <w:trPr>
          <w:jc w:val="center"/>
        </w:trPr>
        <w:tc>
          <w:tcPr>
            <w:tcW w:w="839" w:type="pct"/>
            <w:shd w:val="clear" w:color="auto" w:fill="auto"/>
            <w:vAlign w:val="center"/>
            <w:hideMark/>
          </w:tcPr>
          <w:p w14:paraId="0C5C5781" w14:textId="397072CC" w:rsidR="00CF0CB0" w:rsidRPr="009960E1" w:rsidRDefault="00CF0CB0" w:rsidP="00F27F0E">
            <w:pPr>
              <w:pStyle w:val="Tabletext"/>
              <w:jc w:val="center"/>
              <w:rPr>
                <w:lang w:val="es-ES_tradnl"/>
              </w:rPr>
            </w:pPr>
            <w:r w:rsidRPr="009960E1">
              <w:rPr>
                <w:color w:val="000000"/>
                <w:szCs w:val="22"/>
                <w:lang w:val="es-ES_tradnl"/>
              </w:rPr>
              <w:lastRenderedPageBreak/>
              <w:t>09</w:t>
            </w:r>
            <w:r w:rsidR="00AD4724">
              <w:rPr>
                <w:color w:val="000000"/>
                <w:szCs w:val="22"/>
                <w:lang w:val="es-ES_tradnl"/>
              </w:rPr>
              <w:t>/</w:t>
            </w:r>
            <w:r w:rsidRPr="009960E1">
              <w:rPr>
                <w:color w:val="000000"/>
                <w:szCs w:val="22"/>
                <w:lang w:val="es-ES_tradnl"/>
              </w:rPr>
              <w:t>03</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4D9596D3"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EC807DF" w14:textId="77777777" w:rsidR="00CF0CB0" w:rsidRPr="009960E1" w:rsidRDefault="00000000" w:rsidP="00F27F0E">
            <w:pPr>
              <w:pStyle w:val="Tabletext"/>
              <w:jc w:val="center"/>
              <w:rPr>
                <w:rStyle w:val="Hyperlink"/>
                <w:lang w:val="es-ES_tradnl"/>
              </w:rPr>
            </w:pPr>
            <w:hyperlink r:id="rId26" w:tooltip="1) Resolutions mapping analysis on WTSA-20 Res. with PP-22 Res. , WTDC-21 Res. and ITU-R Res.&#10;2) Resolution streamlining and review principles; &#10;3) Guidelines on how to draft a good Resolution; and&#10;4) Briefing note on how to..." w:history="1">
              <w:r w:rsidR="00CF0CB0" w:rsidRPr="009960E1">
                <w:rPr>
                  <w:rStyle w:val="Hyperlink"/>
                  <w:lang w:val="es-ES_tradnl"/>
                </w:rPr>
                <w:t>RG-WTSA</w:t>
              </w:r>
            </w:hyperlink>
          </w:p>
        </w:tc>
        <w:tc>
          <w:tcPr>
            <w:tcW w:w="2138" w:type="pct"/>
            <w:shd w:val="clear" w:color="auto" w:fill="auto"/>
            <w:hideMark/>
          </w:tcPr>
          <w:p w14:paraId="5AE2F371" w14:textId="77777777" w:rsidR="00CF0CB0" w:rsidRPr="009960E1" w:rsidRDefault="00CF0CB0" w:rsidP="00F27F0E">
            <w:pPr>
              <w:pStyle w:val="Tabletext"/>
              <w:rPr>
                <w:lang w:val="es-ES_tradnl"/>
              </w:rPr>
            </w:pPr>
            <w:r w:rsidRPr="009960E1">
              <w:rPr>
                <w:lang w:val="es-ES_tradnl"/>
              </w:rPr>
              <w:t>Reunión virtual del RG-WTSA del GANT</w:t>
            </w:r>
          </w:p>
        </w:tc>
      </w:tr>
      <w:tr w:rsidR="00CF0CB0" w:rsidRPr="00BE4E50" w14:paraId="796983B6" w14:textId="77777777" w:rsidTr="00F27F0E">
        <w:trPr>
          <w:jc w:val="center"/>
        </w:trPr>
        <w:tc>
          <w:tcPr>
            <w:tcW w:w="839" w:type="pct"/>
            <w:shd w:val="clear" w:color="auto" w:fill="auto"/>
            <w:vAlign w:val="center"/>
            <w:hideMark/>
          </w:tcPr>
          <w:p w14:paraId="17AFEAD9" w14:textId="5EA4BE23" w:rsidR="00CF0CB0" w:rsidRPr="009960E1" w:rsidRDefault="00CF0CB0" w:rsidP="00F27F0E">
            <w:pPr>
              <w:pStyle w:val="Tabletext"/>
              <w:jc w:val="center"/>
              <w:rPr>
                <w:lang w:val="es-ES_tradnl"/>
              </w:rPr>
            </w:pPr>
            <w:r w:rsidRPr="009960E1">
              <w:rPr>
                <w:color w:val="000000"/>
                <w:szCs w:val="22"/>
                <w:lang w:val="es-ES_tradnl"/>
              </w:rPr>
              <w:t>15</w:t>
            </w:r>
            <w:r w:rsidR="00AD4724">
              <w:rPr>
                <w:color w:val="000000"/>
                <w:szCs w:val="22"/>
                <w:lang w:val="es-ES_tradnl"/>
              </w:rPr>
              <w:t>/</w:t>
            </w:r>
            <w:r w:rsidRPr="009960E1">
              <w:rPr>
                <w:color w:val="000000"/>
                <w:szCs w:val="22"/>
                <w:lang w:val="es-ES_tradnl"/>
              </w:rPr>
              <w:t>03</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52D13EF4"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068F25A" w14:textId="77777777" w:rsidR="00CF0CB0" w:rsidRPr="009960E1" w:rsidRDefault="00000000" w:rsidP="00F27F0E">
            <w:pPr>
              <w:pStyle w:val="Tabletext"/>
              <w:jc w:val="center"/>
              <w:rPr>
                <w:rStyle w:val="Hyperlink"/>
                <w:lang w:val="es-ES_tradnl"/>
              </w:rPr>
            </w:pPr>
            <w:hyperlink r:id="rId27" w:tooltip="Contributions invited on: Available data, proposals for KPIs, relative priorities of KPIs, how conducive current structure is to the standardization process." w:history="1">
              <w:r w:rsidR="00CF0CB0" w:rsidRPr="009960E1">
                <w:rPr>
                  <w:rStyle w:val="Hyperlink"/>
                  <w:lang w:val="es-ES_tradnl"/>
                </w:rPr>
                <w:t>RG-WPR</w:t>
              </w:r>
            </w:hyperlink>
          </w:p>
        </w:tc>
        <w:tc>
          <w:tcPr>
            <w:tcW w:w="2138" w:type="pct"/>
            <w:shd w:val="clear" w:color="auto" w:fill="auto"/>
            <w:hideMark/>
          </w:tcPr>
          <w:p w14:paraId="15264D20" w14:textId="77777777" w:rsidR="00CF0CB0" w:rsidRPr="009960E1" w:rsidRDefault="00CF0CB0" w:rsidP="00F27F0E">
            <w:pPr>
              <w:pStyle w:val="Tabletext"/>
              <w:rPr>
                <w:lang w:val="es-ES_tradnl"/>
              </w:rPr>
            </w:pPr>
            <w:r w:rsidRPr="009960E1">
              <w:rPr>
                <w:lang w:val="es-ES_tradnl"/>
              </w:rPr>
              <w:t>Reunión virtual del RG-WPR del GANT</w:t>
            </w:r>
          </w:p>
        </w:tc>
      </w:tr>
      <w:tr w:rsidR="00CF0CB0" w:rsidRPr="00BE4E50" w14:paraId="4D160FC7" w14:textId="77777777" w:rsidTr="00F27F0E">
        <w:trPr>
          <w:jc w:val="center"/>
        </w:trPr>
        <w:tc>
          <w:tcPr>
            <w:tcW w:w="839" w:type="pct"/>
            <w:shd w:val="clear" w:color="auto" w:fill="auto"/>
            <w:vAlign w:val="center"/>
            <w:hideMark/>
          </w:tcPr>
          <w:p w14:paraId="5FEEDB12" w14:textId="23E9A26C" w:rsidR="00CF0CB0" w:rsidRPr="009960E1" w:rsidRDefault="00CF0CB0" w:rsidP="00F27F0E">
            <w:pPr>
              <w:pStyle w:val="Tabletext"/>
              <w:jc w:val="center"/>
              <w:rPr>
                <w:lang w:val="es-ES_tradnl"/>
              </w:rPr>
            </w:pPr>
            <w:r w:rsidRPr="009960E1">
              <w:rPr>
                <w:color w:val="000000"/>
                <w:szCs w:val="22"/>
                <w:lang w:val="es-ES_tradnl"/>
              </w:rPr>
              <w:t>04</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6957286A"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FB65368" w14:textId="77777777" w:rsidR="00CF0CB0" w:rsidRPr="009960E1" w:rsidRDefault="00000000" w:rsidP="00F27F0E">
            <w:pPr>
              <w:pStyle w:val="Tabletext"/>
              <w:jc w:val="center"/>
              <w:rPr>
                <w:rStyle w:val="Hyperlink"/>
                <w:lang w:val="es-ES_tradnl"/>
              </w:rPr>
            </w:pPr>
            <w:hyperlink r:id="rId28" w:tooltip="Main topic: metrics" w:history="1">
              <w:r w:rsidR="00CF0CB0" w:rsidRPr="009960E1">
                <w:rPr>
                  <w:rStyle w:val="Hyperlink"/>
                  <w:lang w:val="es-ES_tradnl"/>
                </w:rPr>
                <w:t>RG-IEM</w:t>
              </w:r>
            </w:hyperlink>
          </w:p>
        </w:tc>
        <w:tc>
          <w:tcPr>
            <w:tcW w:w="2138" w:type="pct"/>
            <w:shd w:val="clear" w:color="auto" w:fill="auto"/>
            <w:hideMark/>
          </w:tcPr>
          <w:p w14:paraId="20AAA203"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BE4E50" w14:paraId="7FCA053F" w14:textId="77777777" w:rsidTr="00F27F0E">
        <w:trPr>
          <w:jc w:val="center"/>
        </w:trPr>
        <w:tc>
          <w:tcPr>
            <w:tcW w:w="839" w:type="pct"/>
            <w:shd w:val="clear" w:color="auto" w:fill="auto"/>
            <w:vAlign w:val="center"/>
            <w:hideMark/>
          </w:tcPr>
          <w:p w14:paraId="62681218" w14:textId="38192FF5" w:rsidR="00CF0CB0" w:rsidRPr="009960E1" w:rsidRDefault="00CF0CB0" w:rsidP="00F27F0E">
            <w:pPr>
              <w:pStyle w:val="Tabletext"/>
              <w:jc w:val="center"/>
              <w:rPr>
                <w:lang w:val="es-ES_tradnl"/>
              </w:rPr>
            </w:pPr>
            <w:r w:rsidRPr="009960E1">
              <w:rPr>
                <w:color w:val="000000"/>
                <w:szCs w:val="22"/>
                <w:lang w:val="es-ES_tradnl"/>
              </w:rPr>
              <w:t>13</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4D8B0387"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69131F97" w14:textId="77777777" w:rsidR="00CF0CB0" w:rsidRPr="009960E1" w:rsidRDefault="00000000" w:rsidP="00F27F0E">
            <w:pPr>
              <w:pStyle w:val="Tabletext"/>
              <w:jc w:val="center"/>
              <w:rPr>
                <w:rStyle w:val="Hyperlink"/>
                <w:lang w:val="es-ES_tradnl"/>
              </w:rPr>
            </w:pPr>
            <w:hyperlink r:id="rId29" w:tooltip="Contributions invited on:&#10;1) Resolutions mapping analysis on WTSA-20 Resolutions with PP-22 Resolutions, WTDC-21 Resolutions and ITU-R Resolution&#10;2)  Resolution streamlining and review principles, and guidelines on how to dra..." w:history="1">
              <w:r w:rsidR="00CF0CB0" w:rsidRPr="009960E1">
                <w:rPr>
                  <w:rStyle w:val="Hyperlink"/>
                  <w:lang w:val="es-ES_tradnl"/>
                </w:rPr>
                <w:t>RG-WTSA</w:t>
              </w:r>
            </w:hyperlink>
          </w:p>
        </w:tc>
        <w:tc>
          <w:tcPr>
            <w:tcW w:w="2138" w:type="pct"/>
            <w:shd w:val="clear" w:color="auto" w:fill="auto"/>
            <w:hideMark/>
          </w:tcPr>
          <w:p w14:paraId="1DAFE3FC" w14:textId="77777777" w:rsidR="00CF0CB0" w:rsidRPr="009960E1" w:rsidRDefault="00CF0CB0" w:rsidP="00F27F0E">
            <w:pPr>
              <w:pStyle w:val="Tabletext"/>
              <w:rPr>
                <w:lang w:val="es-ES_tradnl"/>
              </w:rPr>
            </w:pPr>
            <w:r w:rsidRPr="009960E1">
              <w:rPr>
                <w:lang w:val="es-ES_tradnl"/>
              </w:rPr>
              <w:t>Reunión virtual del RG-WTSA del GANT</w:t>
            </w:r>
          </w:p>
        </w:tc>
      </w:tr>
      <w:tr w:rsidR="00CF0CB0" w:rsidRPr="00BE4E50" w14:paraId="70087D4B" w14:textId="77777777" w:rsidTr="00F27F0E">
        <w:trPr>
          <w:jc w:val="center"/>
        </w:trPr>
        <w:tc>
          <w:tcPr>
            <w:tcW w:w="839" w:type="pct"/>
            <w:shd w:val="clear" w:color="auto" w:fill="auto"/>
            <w:vAlign w:val="center"/>
            <w:hideMark/>
          </w:tcPr>
          <w:p w14:paraId="043845C4" w14:textId="23CC0A61" w:rsidR="00CF0CB0" w:rsidRPr="009960E1" w:rsidRDefault="00CF0CB0" w:rsidP="00F27F0E">
            <w:pPr>
              <w:pStyle w:val="Tabletext"/>
              <w:jc w:val="center"/>
              <w:rPr>
                <w:lang w:val="es-ES_tradnl"/>
              </w:rPr>
            </w:pPr>
            <w:r w:rsidRPr="009960E1">
              <w:rPr>
                <w:color w:val="000000"/>
                <w:szCs w:val="22"/>
                <w:lang w:val="es-ES_tradnl"/>
              </w:rPr>
              <w:t>18</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7DD917B0"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0C6EB094" w14:textId="77777777" w:rsidR="00CF0CB0" w:rsidRPr="009960E1" w:rsidRDefault="00000000" w:rsidP="00F27F0E">
            <w:pPr>
              <w:pStyle w:val="Tabletext"/>
              <w:jc w:val="center"/>
              <w:rPr>
                <w:rStyle w:val="Hyperlink"/>
                <w:lang w:val="es-ES_tradnl"/>
              </w:rPr>
            </w:pPr>
            <w:hyperlink r:id="rId30" w:tooltip="Editing session for Rec. ITU-T A.7&#10;Contributions are expected to be based either on Rec. ITU-T A.7 (base text) or TD122R1 (consolidated text)&#10;" w:history="1">
              <w:r w:rsidR="00CF0CB0" w:rsidRPr="009960E1">
                <w:rPr>
                  <w:rStyle w:val="Hyperlink"/>
                  <w:lang w:val="es-ES_tradnl"/>
                </w:rPr>
                <w:t>RG-WM</w:t>
              </w:r>
            </w:hyperlink>
          </w:p>
        </w:tc>
        <w:tc>
          <w:tcPr>
            <w:tcW w:w="2138" w:type="pct"/>
            <w:shd w:val="clear" w:color="auto" w:fill="auto"/>
            <w:hideMark/>
          </w:tcPr>
          <w:p w14:paraId="0D78D823"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BE4E50" w14:paraId="029935B8" w14:textId="77777777" w:rsidTr="00F27F0E">
        <w:trPr>
          <w:jc w:val="center"/>
        </w:trPr>
        <w:tc>
          <w:tcPr>
            <w:tcW w:w="839" w:type="pct"/>
            <w:shd w:val="clear" w:color="auto" w:fill="auto"/>
            <w:vAlign w:val="center"/>
            <w:hideMark/>
          </w:tcPr>
          <w:p w14:paraId="10BBAA7F" w14:textId="79AFC6BD" w:rsidR="00CF0CB0" w:rsidRPr="009960E1" w:rsidRDefault="00CF0CB0" w:rsidP="00F27F0E">
            <w:pPr>
              <w:pStyle w:val="Tabletext"/>
              <w:jc w:val="center"/>
              <w:rPr>
                <w:lang w:val="es-ES_tradnl"/>
              </w:rPr>
            </w:pPr>
            <w:r w:rsidRPr="009960E1">
              <w:rPr>
                <w:color w:val="000000"/>
                <w:szCs w:val="22"/>
                <w:lang w:val="es-ES_tradnl"/>
              </w:rPr>
              <w:t>19</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0A88948B"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34B75A22" w14:textId="77777777" w:rsidR="00CF0CB0" w:rsidRPr="009960E1" w:rsidRDefault="00000000" w:rsidP="00F27F0E">
            <w:pPr>
              <w:pStyle w:val="Tabletext"/>
              <w:jc w:val="center"/>
              <w:rPr>
                <w:rStyle w:val="Hyperlink"/>
                <w:lang w:val="es-ES_tradnl"/>
              </w:rPr>
            </w:pPr>
            <w:hyperlink r:id="rId31" w:tooltip="Click here for more details" w:history="1">
              <w:r w:rsidR="00CF0CB0" w:rsidRPr="009960E1">
                <w:rPr>
                  <w:rStyle w:val="Hyperlink"/>
                  <w:lang w:val="es-ES_tradnl"/>
                </w:rPr>
                <w:t>RG-WPR</w:t>
              </w:r>
            </w:hyperlink>
          </w:p>
        </w:tc>
        <w:tc>
          <w:tcPr>
            <w:tcW w:w="2138" w:type="pct"/>
            <w:shd w:val="clear" w:color="auto" w:fill="auto"/>
            <w:hideMark/>
          </w:tcPr>
          <w:p w14:paraId="7909A8AF" w14:textId="77777777" w:rsidR="00CF0CB0" w:rsidRPr="009960E1" w:rsidRDefault="00CF0CB0" w:rsidP="00F27F0E">
            <w:pPr>
              <w:pStyle w:val="Tabletext"/>
              <w:rPr>
                <w:lang w:val="es-ES_tradnl"/>
              </w:rPr>
            </w:pPr>
            <w:r w:rsidRPr="009960E1">
              <w:rPr>
                <w:lang w:val="es-ES_tradnl"/>
              </w:rPr>
              <w:t>Reunión virtual del RG-WPR del GANT</w:t>
            </w:r>
          </w:p>
        </w:tc>
      </w:tr>
      <w:tr w:rsidR="00CF0CB0" w:rsidRPr="00BE4E50" w14:paraId="5130958B" w14:textId="77777777" w:rsidTr="00F27F0E">
        <w:trPr>
          <w:jc w:val="center"/>
        </w:trPr>
        <w:tc>
          <w:tcPr>
            <w:tcW w:w="839" w:type="pct"/>
            <w:shd w:val="clear" w:color="auto" w:fill="auto"/>
            <w:vAlign w:val="center"/>
            <w:hideMark/>
          </w:tcPr>
          <w:p w14:paraId="4AAE75F0" w14:textId="66B864A7" w:rsidR="00CF0CB0" w:rsidRPr="009960E1" w:rsidRDefault="00CF0CB0" w:rsidP="00F27F0E">
            <w:pPr>
              <w:pStyle w:val="Tabletext"/>
              <w:jc w:val="center"/>
              <w:rPr>
                <w:lang w:val="es-ES_tradnl"/>
              </w:rPr>
            </w:pPr>
            <w:r w:rsidRPr="009960E1">
              <w:rPr>
                <w:color w:val="000000"/>
                <w:szCs w:val="22"/>
                <w:lang w:val="es-ES_tradnl"/>
              </w:rPr>
              <w:t>27</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21EF4478"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322769F" w14:textId="77777777" w:rsidR="00CF0CB0" w:rsidRPr="009960E1" w:rsidRDefault="00000000" w:rsidP="00F27F0E">
            <w:pPr>
              <w:pStyle w:val="Tabletext"/>
              <w:jc w:val="center"/>
              <w:rPr>
                <w:rStyle w:val="Hyperlink"/>
                <w:lang w:val="es-ES_tradnl"/>
              </w:rPr>
            </w:pPr>
            <w:hyperlink r:id="rId32" w:tooltip="Governance and management of meetings with remote participation&#10;Contributions are expected, in particular with relation to TD159" w:history="1">
              <w:r w:rsidR="00CF0CB0" w:rsidRPr="009960E1">
                <w:rPr>
                  <w:rStyle w:val="Hyperlink"/>
                  <w:lang w:val="es-ES_tradnl"/>
                </w:rPr>
                <w:t>RG-WM</w:t>
              </w:r>
            </w:hyperlink>
          </w:p>
        </w:tc>
        <w:tc>
          <w:tcPr>
            <w:tcW w:w="2138" w:type="pct"/>
            <w:shd w:val="clear" w:color="auto" w:fill="auto"/>
            <w:hideMark/>
          </w:tcPr>
          <w:p w14:paraId="0C2DB976"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BE4E50" w14:paraId="22B66BCC" w14:textId="77777777" w:rsidTr="00F27F0E">
        <w:trPr>
          <w:jc w:val="center"/>
        </w:trPr>
        <w:tc>
          <w:tcPr>
            <w:tcW w:w="839" w:type="pct"/>
            <w:shd w:val="clear" w:color="auto" w:fill="auto"/>
            <w:vAlign w:val="center"/>
            <w:hideMark/>
          </w:tcPr>
          <w:p w14:paraId="4FE5DFBE" w14:textId="7A3086FD" w:rsidR="00CF0CB0" w:rsidRPr="009960E1" w:rsidRDefault="00CF0CB0" w:rsidP="00F27F0E">
            <w:pPr>
              <w:pStyle w:val="Tabletext"/>
              <w:jc w:val="center"/>
              <w:rPr>
                <w:lang w:val="es-ES_tradnl"/>
              </w:rPr>
            </w:pPr>
            <w:r w:rsidRPr="009960E1">
              <w:rPr>
                <w:color w:val="000000"/>
                <w:szCs w:val="22"/>
                <w:lang w:val="es-ES_tradnl"/>
              </w:rPr>
              <w:t>04</w:t>
            </w:r>
            <w:r w:rsidR="00AD4724">
              <w:rPr>
                <w:color w:val="000000"/>
                <w:szCs w:val="22"/>
                <w:lang w:val="es-ES_tradnl"/>
              </w:rPr>
              <w:t>/</w:t>
            </w:r>
            <w:r w:rsidRPr="009960E1">
              <w:rPr>
                <w:color w:val="000000"/>
                <w:szCs w:val="22"/>
                <w:lang w:val="es-ES_tradnl"/>
              </w:rPr>
              <w:t>05</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40C56B98"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0BD6B73" w14:textId="77777777" w:rsidR="00CF0CB0" w:rsidRPr="009960E1" w:rsidRDefault="00000000" w:rsidP="00F27F0E">
            <w:pPr>
              <w:pStyle w:val="Tabletext"/>
              <w:jc w:val="center"/>
              <w:rPr>
                <w:rStyle w:val="Hyperlink"/>
                <w:lang w:val="es-ES_tradnl"/>
              </w:rPr>
            </w:pPr>
            <w:hyperlink r:id="rId33" w:tooltip="Editing session for Rec. ITU-T A.1&#10;Contributions are expected to be based either on Rec. ITU-T A.1 (base text) or TD150 (consolidated text)" w:history="1">
              <w:r w:rsidR="00CF0CB0" w:rsidRPr="009960E1">
                <w:rPr>
                  <w:rStyle w:val="Hyperlink"/>
                  <w:lang w:val="es-ES_tradnl"/>
                </w:rPr>
                <w:t>RG-WM</w:t>
              </w:r>
            </w:hyperlink>
          </w:p>
        </w:tc>
        <w:tc>
          <w:tcPr>
            <w:tcW w:w="2138" w:type="pct"/>
            <w:shd w:val="clear" w:color="auto" w:fill="auto"/>
            <w:hideMark/>
          </w:tcPr>
          <w:p w14:paraId="2DD014B0"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BE4E50" w14:paraId="290FD0C4" w14:textId="77777777" w:rsidTr="00F27F0E">
        <w:trPr>
          <w:jc w:val="center"/>
        </w:trPr>
        <w:tc>
          <w:tcPr>
            <w:tcW w:w="839" w:type="pct"/>
            <w:shd w:val="clear" w:color="auto" w:fill="auto"/>
            <w:vAlign w:val="center"/>
            <w:hideMark/>
          </w:tcPr>
          <w:p w14:paraId="4B522C01" w14:textId="458E5FAC" w:rsidR="00CF0CB0" w:rsidRPr="009960E1" w:rsidRDefault="00CF0CB0" w:rsidP="00F27F0E">
            <w:pPr>
              <w:pStyle w:val="Tabletext"/>
              <w:jc w:val="center"/>
              <w:rPr>
                <w:lang w:val="es-ES_tradnl"/>
              </w:rPr>
            </w:pPr>
            <w:r w:rsidRPr="009960E1">
              <w:rPr>
                <w:color w:val="000000"/>
                <w:szCs w:val="22"/>
                <w:lang w:val="es-ES_tradnl"/>
              </w:rPr>
              <w:t>05</w:t>
            </w:r>
            <w:r w:rsidR="00AD4724">
              <w:rPr>
                <w:color w:val="000000"/>
                <w:szCs w:val="22"/>
                <w:lang w:val="es-ES_tradnl"/>
              </w:rPr>
              <w:t>/</w:t>
            </w:r>
            <w:r w:rsidRPr="009960E1">
              <w:rPr>
                <w:color w:val="000000"/>
                <w:szCs w:val="22"/>
                <w:lang w:val="es-ES_tradnl"/>
              </w:rPr>
              <w:t>05</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2A6EF35D"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D7AF7D2" w14:textId="77777777" w:rsidR="00CF0CB0" w:rsidRPr="009960E1" w:rsidRDefault="00000000" w:rsidP="00F27F0E">
            <w:pPr>
              <w:pStyle w:val="Tabletext"/>
              <w:jc w:val="center"/>
              <w:rPr>
                <w:rStyle w:val="Hyperlink"/>
                <w:lang w:val="es-ES_tradnl"/>
              </w:rPr>
            </w:pPr>
            <w:hyperlink r:id="rId34" w:tooltip="Main topic: new technologies mechanism" w:history="1">
              <w:r w:rsidR="00CF0CB0" w:rsidRPr="009960E1">
                <w:rPr>
                  <w:rStyle w:val="Hyperlink"/>
                  <w:lang w:val="es-ES_tradnl"/>
                </w:rPr>
                <w:t>RG-IEM</w:t>
              </w:r>
            </w:hyperlink>
          </w:p>
        </w:tc>
        <w:tc>
          <w:tcPr>
            <w:tcW w:w="2138" w:type="pct"/>
            <w:shd w:val="clear" w:color="auto" w:fill="auto"/>
            <w:hideMark/>
          </w:tcPr>
          <w:p w14:paraId="7182269A"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BE4E50" w14:paraId="50EC6F42" w14:textId="77777777" w:rsidTr="00F27F0E">
        <w:trPr>
          <w:jc w:val="center"/>
        </w:trPr>
        <w:tc>
          <w:tcPr>
            <w:tcW w:w="839" w:type="pct"/>
            <w:shd w:val="clear" w:color="auto" w:fill="auto"/>
            <w:vAlign w:val="center"/>
            <w:hideMark/>
          </w:tcPr>
          <w:p w14:paraId="5EC8BB8E" w14:textId="62311179" w:rsidR="00CF0CB0" w:rsidRPr="009960E1" w:rsidRDefault="00CF0CB0" w:rsidP="00F27F0E">
            <w:pPr>
              <w:pStyle w:val="Tabletext"/>
              <w:jc w:val="center"/>
              <w:rPr>
                <w:lang w:val="es-ES_tradnl"/>
              </w:rPr>
            </w:pPr>
            <w:r w:rsidRPr="009960E1">
              <w:rPr>
                <w:color w:val="000000"/>
                <w:szCs w:val="22"/>
                <w:lang w:val="es-ES_tradnl"/>
              </w:rPr>
              <w:t>11</w:t>
            </w:r>
            <w:r w:rsidR="00AD4724">
              <w:rPr>
                <w:color w:val="000000"/>
                <w:szCs w:val="22"/>
                <w:lang w:val="es-ES_tradnl"/>
              </w:rPr>
              <w:t>/</w:t>
            </w:r>
            <w:r w:rsidRPr="009960E1">
              <w:rPr>
                <w:color w:val="000000"/>
                <w:szCs w:val="22"/>
                <w:lang w:val="es-ES_tradnl"/>
              </w:rPr>
              <w:t>05</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55D013F2"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2A9A1131" w14:textId="77777777" w:rsidR="00CF0CB0" w:rsidRPr="009960E1" w:rsidRDefault="00000000" w:rsidP="00F27F0E">
            <w:pPr>
              <w:pStyle w:val="Tabletext"/>
              <w:jc w:val="center"/>
              <w:rPr>
                <w:rStyle w:val="Hyperlink"/>
                <w:lang w:val="es-ES_tradnl"/>
              </w:rPr>
            </w:pPr>
            <w:hyperlink r:id="rId35" w:tooltip="Contributions are invited especially to progress the following two interim documents:&#10;1. Briefing note on how to chair WTSA meeting in a more effective and rules-based way, using RGWTSA-DOC2Rev.1 (230413) as the baseline for f..." w:history="1">
              <w:r w:rsidR="00CF0CB0" w:rsidRPr="009960E1">
                <w:rPr>
                  <w:rStyle w:val="Hyperlink"/>
                  <w:lang w:val="es-ES_tradnl"/>
                </w:rPr>
                <w:t>RG-WTSA</w:t>
              </w:r>
            </w:hyperlink>
          </w:p>
        </w:tc>
        <w:tc>
          <w:tcPr>
            <w:tcW w:w="2138" w:type="pct"/>
            <w:shd w:val="clear" w:color="auto" w:fill="auto"/>
            <w:hideMark/>
          </w:tcPr>
          <w:p w14:paraId="73925C50" w14:textId="77777777" w:rsidR="00CF0CB0" w:rsidRPr="009960E1" w:rsidRDefault="00CF0CB0" w:rsidP="00F27F0E">
            <w:pPr>
              <w:pStyle w:val="Tabletext"/>
              <w:rPr>
                <w:lang w:val="es-ES_tradnl"/>
              </w:rPr>
            </w:pPr>
            <w:r w:rsidRPr="009960E1">
              <w:rPr>
                <w:lang w:val="es-ES_tradnl"/>
              </w:rPr>
              <w:t>Reunión virtual del RG-WTSA del GANT</w:t>
            </w:r>
          </w:p>
        </w:tc>
      </w:tr>
      <w:tr w:rsidR="00CF0CB0" w:rsidRPr="00BE4E50" w14:paraId="5C5518D7" w14:textId="77777777" w:rsidTr="00F27F0E">
        <w:trPr>
          <w:jc w:val="center"/>
        </w:trPr>
        <w:tc>
          <w:tcPr>
            <w:tcW w:w="839" w:type="pct"/>
            <w:shd w:val="clear" w:color="auto" w:fill="auto"/>
            <w:vAlign w:val="center"/>
            <w:hideMark/>
          </w:tcPr>
          <w:p w14:paraId="19751D1B" w14:textId="0FE22D44" w:rsidR="00CF0CB0" w:rsidRPr="009960E1" w:rsidRDefault="00CF0CB0" w:rsidP="00F27F0E">
            <w:pPr>
              <w:pStyle w:val="Tabletext"/>
              <w:jc w:val="center"/>
              <w:rPr>
                <w:lang w:val="es-ES_tradnl"/>
              </w:rPr>
            </w:pPr>
            <w:r w:rsidRPr="009960E1">
              <w:rPr>
                <w:color w:val="000000"/>
                <w:szCs w:val="22"/>
                <w:lang w:val="es-ES_tradnl"/>
              </w:rPr>
              <w:t>23</w:t>
            </w:r>
            <w:r w:rsidR="00AD4724">
              <w:rPr>
                <w:color w:val="000000"/>
                <w:szCs w:val="22"/>
                <w:lang w:val="es-ES_tradnl"/>
              </w:rPr>
              <w:t>/</w:t>
            </w:r>
            <w:r w:rsidRPr="009960E1">
              <w:rPr>
                <w:color w:val="000000"/>
                <w:szCs w:val="22"/>
                <w:lang w:val="es-ES_tradnl"/>
              </w:rPr>
              <w:t>05</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3CEA5E64"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0633E40B" w14:textId="77777777" w:rsidR="00CF0CB0" w:rsidRPr="009960E1" w:rsidRDefault="00000000" w:rsidP="00F27F0E">
            <w:pPr>
              <w:pStyle w:val="Tabletext"/>
              <w:jc w:val="center"/>
              <w:rPr>
                <w:rStyle w:val="Hyperlink"/>
                <w:lang w:val="es-ES_tradnl"/>
              </w:rPr>
            </w:pPr>
            <w:hyperlink r:id="rId36" w:tooltip="Contributions invited on: Finalizing data and KPIs for reporting to TSAG, new structure" w:history="1">
              <w:r w:rsidR="00CF0CB0" w:rsidRPr="009960E1">
                <w:rPr>
                  <w:rStyle w:val="Hyperlink"/>
                  <w:lang w:val="es-ES_tradnl"/>
                </w:rPr>
                <w:t>RG-WPR</w:t>
              </w:r>
            </w:hyperlink>
          </w:p>
        </w:tc>
        <w:tc>
          <w:tcPr>
            <w:tcW w:w="2138" w:type="pct"/>
            <w:shd w:val="clear" w:color="auto" w:fill="auto"/>
            <w:hideMark/>
          </w:tcPr>
          <w:p w14:paraId="0FC038F0" w14:textId="77777777" w:rsidR="00CF0CB0" w:rsidRPr="009960E1" w:rsidRDefault="00CF0CB0" w:rsidP="00F27F0E">
            <w:pPr>
              <w:pStyle w:val="Tabletext"/>
              <w:rPr>
                <w:lang w:val="es-ES_tradnl"/>
              </w:rPr>
            </w:pPr>
            <w:r w:rsidRPr="009960E1">
              <w:rPr>
                <w:lang w:val="es-ES_tradnl"/>
              </w:rPr>
              <w:t>Reunión virtual del RG-WPR del GANT</w:t>
            </w:r>
          </w:p>
        </w:tc>
      </w:tr>
      <w:tr w:rsidR="00CF0CB0" w:rsidRPr="00A7143D" w14:paraId="75CDA0B1" w14:textId="77777777" w:rsidTr="00F27F0E">
        <w:trPr>
          <w:jc w:val="center"/>
        </w:trPr>
        <w:tc>
          <w:tcPr>
            <w:tcW w:w="839" w:type="pct"/>
            <w:shd w:val="clear" w:color="auto" w:fill="auto"/>
            <w:vAlign w:val="center"/>
            <w:hideMark/>
          </w:tcPr>
          <w:p w14:paraId="47A6DF26" w14:textId="7B1F23BA" w:rsidR="00CF0CB0" w:rsidRPr="009960E1" w:rsidRDefault="00CF0CB0" w:rsidP="00F27F0E">
            <w:pPr>
              <w:pStyle w:val="Tabletext"/>
              <w:jc w:val="center"/>
              <w:rPr>
                <w:lang w:val="es-ES_tradnl"/>
              </w:rPr>
            </w:pPr>
            <w:r w:rsidRPr="009960E1">
              <w:rPr>
                <w:color w:val="000000"/>
                <w:szCs w:val="22"/>
                <w:lang w:val="es-ES_tradnl"/>
              </w:rPr>
              <w:t>27</w:t>
            </w:r>
            <w:r w:rsidR="00AD4724">
              <w:rPr>
                <w:color w:val="000000"/>
                <w:szCs w:val="22"/>
                <w:lang w:val="es-ES_tradnl"/>
              </w:rPr>
              <w:t>/</w:t>
            </w:r>
            <w:r w:rsidRPr="009960E1">
              <w:rPr>
                <w:color w:val="000000"/>
                <w:szCs w:val="22"/>
                <w:lang w:val="es-ES_tradnl"/>
              </w:rPr>
              <w:t>06</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67CB95FC"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0845D4F1" w14:textId="77777777" w:rsidR="00CF0CB0" w:rsidRPr="009960E1" w:rsidRDefault="00000000" w:rsidP="00F27F0E">
            <w:pPr>
              <w:pStyle w:val="Tabletext"/>
              <w:jc w:val="center"/>
              <w:rPr>
                <w:rStyle w:val="Hyperlink"/>
                <w:lang w:val="es-ES_tradnl"/>
              </w:rPr>
            </w:pPr>
            <w:hyperlink r:id="rId37" w:tooltip="ToR : progress on draft Rec. ITU-T A.1-rev, baseline document for contributions: TD255R5." w:history="1">
              <w:r w:rsidR="00CF0CB0" w:rsidRPr="009960E1">
                <w:rPr>
                  <w:rStyle w:val="Hyperlink"/>
                  <w:lang w:val="es-ES_tradnl"/>
                </w:rPr>
                <w:t>RG-WM</w:t>
              </w:r>
            </w:hyperlink>
          </w:p>
        </w:tc>
        <w:tc>
          <w:tcPr>
            <w:tcW w:w="2138" w:type="pct"/>
            <w:shd w:val="clear" w:color="auto" w:fill="auto"/>
            <w:hideMark/>
          </w:tcPr>
          <w:p w14:paraId="7A06E6B5"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5A2C2A37" w14:textId="77777777" w:rsidTr="00F27F0E">
        <w:trPr>
          <w:jc w:val="center"/>
        </w:trPr>
        <w:tc>
          <w:tcPr>
            <w:tcW w:w="839" w:type="pct"/>
            <w:shd w:val="clear" w:color="auto" w:fill="auto"/>
            <w:vAlign w:val="center"/>
            <w:hideMark/>
          </w:tcPr>
          <w:p w14:paraId="6C9A98B7" w14:textId="717CD14A" w:rsidR="00CF0CB0" w:rsidRPr="009960E1" w:rsidRDefault="00CF0CB0" w:rsidP="00F27F0E">
            <w:pPr>
              <w:pStyle w:val="Tabletext"/>
              <w:jc w:val="center"/>
              <w:rPr>
                <w:lang w:val="es-ES_tradnl"/>
              </w:rPr>
            </w:pPr>
            <w:r w:rsidRPr="009960E1">
              <w:rPr>
                <w:color w:val="000000"/>
                <w:szCs w:val="22"/>
                <w:lang w:val="es-ES_tradnl"/>
              </w:rPr>
              <w:t>04</w:t>
            </w:r>
            <w:r w:rsidR="00AD4724">
              <w:rPr>
                <w:color w:val="000000"/>
                <w:szCs w:val="22"/>
                <w:lang w:val="es-ES_tradnl"/>
              </w:rPr>
              <w:t>/</w:t>
            </w:r>
            <w:r w:rsidRPr="009960E1">
              <w:rPr>
                <w:color w:val="000000"/>
                <w:szCs w:val="22"/>
                <w:lang w:val="es-ES_tradnl"/>
              </w:rPr>
              <w:t>07</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01E18C69"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4D44939" w14:textId="77777777" w:rsidR="00CF0CB0" w:rsidRPr="009960E1" w:rsidRDefault="00000000" w:rsidP="00F27F0E">
            <w:pPr>
              <w:pStyle w:val="Tabletext"/>
              <w:jc w:val="center"/>
              <w:rPr>
                <w:rStyle w:val="Hyperlink"/>
                <w:lang w:val="es-ES_tradnl"/>
              </w:rPr>
            </w:pPr>
            <w:hyperlink r:id="rId38" w:tooltip="ToR : progress on draft Rec. ITU-T A.7-rev, , baseline document for contributions: TD217R2." w:history="1">
              <w:r w:rsidR="00CF0CB0" w:rsidRPr="009960E1">
                <w:rPr>
                  <w:rStyle w:val="Hyperlink"/>
                  <w:lang w:val="es-ES_tradnl"/>
                </w:rPr>
                <w:t>RG-WM</w:t>
              </w:r>
            </w:hyperlink>
          </w:p>
        </w:tc>
        <w:tc>
          <w:tcPr>
            <w:tcW w:w="2138" w:type="pct"/>
            <w:shd w:val="clear" w:color="auto" w:fill="auto"/>
            <w:hideMark/>
          </w:tcPr>
          <w:p w14:paraId="1F09E894"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1669E4F9" w14:textId="77777777" w:rsidTr="00F27F0E">
        <w:trPr>
          <w:jc w:val="center"/>
        </w:trPr>
        <w:tc>
          <w:tcPr>
            <w:tcW w:w="839" w:type="pct"/>
            <w:shd w:val="clear" w:color="auto" w:fill="auto"/>
            <w:vAlign w:val="center"/>
            <w:hideMark/>
          </w:tcPr>
          <w:p w14:paraId="6B5C5F83" w14:textId="5CED650D" w:rsidR="00CF0CB0" w:rsidRPr="009960E1" w:rsidRDefault="00CF0CB0" w:rsidP="00F27F0E">
            <w:pPr>
              <w:pStyle w:val="Tabletext"/>
              <w:jc w:val="center"/>
              <w:rPr>
                <w:lang w:val="es-ES_tradnl"/>
              </w:rPr>
            </w:pPr>
            <w:r w:rsidRPr="009960E1">
              <w:rPr>
                <w:color w:val="000000"/>
                <w:szCs w:val="22"/>
                <w:lang w:val="es-ES_tradnl"/>
              </w:rPr>
              <w:t>05</w:t>
            </w:r>
            <w:r w:rsidR="00AD4724">
              <w:rPr>
                <w:color w:val="000000"/>
                <w:szCs w:val="22"/>
                <w:lang w:val="es-ES_tradnl"/>
              </w:rPr>
              <w:t>/</w:t>
            </w:r>
            <w:r w:rsidRPr="009960E1">
              <w:rPr>
                <w:color w:val="000000"/>
                <w:szCs w:val="22"/>
                <w:lang w:val="es-ES_tradnl"/>
              </w:rPr>
              <w:t>07</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51C91522"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2A3C8C99" w14:textId="77777777" w:rsidR="00CF0CB0" w:rsidRPr="009960E1" w:rsidRDefault="00000000" w:rsidP="00F27F0E">
            <w:pPr>
              <w:pStyle w:val="Tabletext"/>
              <w:jc w:val="center"/>
              <w:rPr>
                <w:rStyle w:val="Hyperlink"/>
                <w:lang w:val="es-ES_tradnl"/>
              </w:rPr>
            </w:pPr>
            <w:hyperlink r:id="rId39" w:tooltip="Revisions for the baseline text (TD214R1) concerning:&#10; definitions of KPIs&#10; relative priorities of KPIs&#10; possible new structures" w:history="1">
              <w:r w:rsidR="00CF0CB0" w:rsidRPr="009960E1">
                <w:rPr>
                  <w:rStyle w:val="Hyperlink"/>
                  <w:lang w:val="es-ES_tradnl"/>
                </w:rPr>
                <w:t>RG-WPR</w:t>
              </w:r>
            </w:hyperlink>
          </w:p>
        </w:tc>
        <w:tc>
          <w:tcPr>
            <w:tcW w:w="2138" w:type="pct"/>
            <w:shd w:val="clear" w:color="auto" w:fill="auto"/>
            <w:hideMark/>
          </w:tcPr>
          <w:p w14:paraId="6FEA9BDA" w14:textId="77777777" w:rsidR="00CF0CB0" w:rsidRPr="009960E1" w:rsidRDefault="00CF0CB0" w:rsidP="00F27F0E">
            <w:pPr>
              <w:pStyle w:val="Tabletext"/>
              <w:rPr>
                <w:lang w:val="es-ES_tradnl"/>
              </w:rPr>
            </w:pPr>
            <w:r w:rsidRPr="009960E1">
              <w:rPr>
                <w:lang w:val="es-ES_tradnl"/>
              </w:rPr>
              <w:t>Reunión virtual del RG-WPR del GANT</w:t>
            </w:r>
          </w:p>
        </w:tc>
      </w:tr>
      <w:tr w:rsidR="00CF0CB0" w:rsidRPr="00A7143D" w14:paraId="2D11C5B6" w14:textId="77777777" w:rsidTr="00F27F0E">
        <w:trPr>
          <w:jc w:val="center"/>
        </w:trPr>
        <w:tc>
          <w:tcPr>
            <w:tcW w:w="839" w:type="pct"/>
            <w:shd w:val="clear" w:color="auto" w:fill="auto"/>
            <w:vAlign w:val="center"/>
            <w:hideMark/>
          </w:tcPr>
          <w:p w14:paraId="7781D1C9" w14:textId="5D7DD736" w:rsidR="00CF0CB0" w:rsidRPr="009960E1" w:rsidRDefault="00CF0CB0" w:rsidP="00F27F0E">
            <w:pPr>
              <w:pStyle w:val="Tabletext"/>
              <w:jc w:val="center"/>
              <w:rPr>
                <w:lang w:val="es-ES_tradnl"/>
              </w:rPr>
            </w:pPr>
            <w:r w:rsidRPr="009960E1">
              <w:rPr>
                <w:color w:val="000000"/>
                <w:szCs w:val="22"/>
                <w:lang w:val="es-ES_tradnl"/>
              </w:rPr>
              <w:t>24</w:t>
            </w:r>
            <w:r w:rsidR="00AD4724">
              <w:rPr>
                <w:color w:val="000000"/>
                <w:szCs w:val="22"/>
                <w:lang w:val="es-ES_tradnl"/>
              </w:rPr>
              <w:t>/</w:t>
            </w:r>
            <w:r w:rsidRPr="009960E1">
              <w:rPr>
                <w:color w:val="000000"/>
                <w:szCs w:val="22"/>
                <w:lang w:val="es-ES_tradnl"/>
              </w:rPr>
              <w:t>07</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4A5A081A"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AF59F7D" w14:textId="77777777" w:rsidR="00CF0CB0" w:rsidRPr="009960E1" w:rsidRDefault="00000000" w:rsidP="00F27F0E">
            <w:pPr>
              <w:pStyle w:val="Tabletext"/>
              <w:jc w:val="center"/>
              <w:rPr>
                <w:rStyle w:val="Hyperlink"/>
                <w:lang w:val="es-ES_tradnl"/>
              </w:rPr>
            </w:pPr>
            <w:hyperlink r:id="rId40" w:tooltip=" Collect inputs to be used for performing a gap analysis on the activities and studies on digital transformation in ITU-T, ITU-D and ITU-R as well as in other standardization bodies;&#10; Consider inter alia, definitions, concep..." w:history="1">
              <w:r w:rsidR="00CF0CB0" w:rsidRPr="009960E1">
                <w:rPr>
                  <w:rStyle w:val="Hyperlink"/>
                  <w:lang w:val="es-ES_tradnl"/>
                </w:rPr>
                <w:t>RG-DT</w:t>
              </w:r>
            </w:hyperlink>
          </w:p>
        </w:tc>
        <w:tc>
          <w:tcPr>
            <w:tcW w:w="2138" w:type="pct"/>
            <w:shd w:val="clear" w:color="auto" w:fill="auto"/>
            <w:hideMark/>
          </w:tcPr>
          <w:p w14:paraId="3BF47AA4" w14:textId="77777777" w:rsidR="00CF0CB0" w:rsidRPr="009960E1" w:rsidRDefault="00CF0CB0" w:rsidP="00F27F0E">
            <w:pPr>
              <w:pStyle w:val="Tabletext"/>
              <w:rPr>
                <w:lang w:val="es-ES_tradnl"/>
              </w:rPr>
            </w:pPr>
            <w:r w:rsidRPr="009960E1">
              <w:rPr>
                <w:lang w:val="es-ES_tradnl"/>
              </w:rPr>
              <w:t>Reunión virtual del RG-DT del GANT</w:t>
            </w:r>
          </w:p>
        </w:tc>
      </w:tr>
      <w:tr w:rsidR="00CF0CB0" w:rsidRPr="00A7143D" w14:paraId="26A4B348" w14:textId="77777777" w:rsidTr="00F27F0E">
        <w:trPr>
          <w:jc w:val="center"/>
        </w:trPr>
        <w:tc>
          <w:tcPr>
            <w:tcW w:w="839" w:type="pct"/>
            <w:shd w:val="clear" w:color="auto" w:fill="auto"/>
            <w:vAlign w:val="center"/>
            <w:hideMark/>
          </w:tcPr>
          <w:p w14:paraId="1DDAB2AF" w14:textId="4F9BB620" w:rsidR="00CF0CB0" w:rsidRPr="009960E1" w:rsidRDefault="00CF0CB0" w:rsidP="00F27F0E">
            <w:pPr>
              <w:pStyle w:val="Tabletext"/>
              <w:jc w:val="center"/>
              <w:rPr>
                <w:lang w:val="es-ES_tradnl"/>
              </w:rPr>
            </w:pPr>
            <w:r w:rsidRPr="009960E1">
              <w:rPr>
                <w:color w:val="000000"/>
                <w:szCs w:val="22"/>
                <w:lang w:val="es-ES_tradnl"/>
              </w:rPr>
              <w:t>27</w:t>
            </w:r>
            <w:r w:rsidR="00AD4724">
              <w:rPr>
                <w:color w:val="000000"/>
                <w:szCs w:val="22"/>
                <w:lang w:val="es-ES_tradnl"/>
              </w:rPr>
              <w:t>/</w:t>
            </w:r>
            <w:r w:rsidRPr="009960E1">
              <w:rPr>
                <w:color w:val="000000"/>
                <w:szCs w:val="22"/>
                <w:lang w:val="es-ES_tradnl"/>
              </w:rPr>
              <w:t>07</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6A0595B3"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34CE1B8" w14:textId="77777777" w:rsidR="00CF0CB0" w:rsidRPr="009960E1" w:rsidRDefault="00000000" w:rsidP="00F27F0E">
            <w:pPr>
              <w:pStyle w:val="Tabletext"/>
              <w:jc w:val="center"/>
              <w:rPr>
                <w:rStyle w:val="Hyperlink"/>
                <w:lang w:val="es-ES_tradnl"/>
              </w:rPr>
            </w:pPr>
            <w:hyperlink r:id="rId41" w:tooltip="CTO/CxO review" w:history="1">
              <w:r w:rsidR="00CF0CB0" w:rsidRPr="009960E1">
                <w:rPr>
                  <w:rStyle w:val="Hyperlink"/>
                  <w:lang w:val="es-ES_tradnl"/>
                </w:rPr>
                <w:t>RG-IEM</w:t>
              </w:r>
            </w:hyperlink>
          </w:p>
        </w:tc>
        <w:tc>
          <w:tcPr>
            <w:tcW w:w="2138" w:type="pct"/>
            <w:shd w:val="clear" w:color="auto" w:fill="auto"/>
            <w:hideMark/>
          </w:tcPr>
          <w:p w14:paraId="677C4D0C"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A7143D" w14:paraId="7B64D624" w14:textId="77777777" w:rsidTr="00F27F0E">
        <w:trPr>
          <w:jc w:val="center"/>
        </w:trPr>
        <w:tc>
          <w:tcPr>
            <w:tcW w:w="839" w:type="pct"/>
            <w:shd w:val="clear" w:color="auto" w:fill="auto"/>
            <w:vAlign w:val="center"/>
            <w:hideMark/>
          </w:tcPr>
          <w:p w14:paraId="177E968B" w14:textId="37AA2077" w:rsidR="00CF0CB0" w:rsidRPr="009960E1" w:rsidRDefault="00CF0CB0" w:rsidP="00F27F0E">
            <w:pPr>
              <w:pStyle w:val="Tabletext"/>
              <w:jc w:val="center"/>
              <w:rPr>
                <w:lang w:val="es-ES_tradnl"/>
              </w:rPr>
            </w:pPr>
            <w:r w:rsidRPr="009960E1">
              <w:rPr>
                <w:color w:val="000000"/>
                <w:szCs w:val="22"/>
                <w:lang w:val="es-ES_tradnl"/>
              </w:rPr>
              <w:t>05</w:t>
            </w:r>
            <w:r w:rsidR="00AD4724">
              <w:rPr>
                <w:color w:val="000000"/>
                <w:szCs w:val="22"/>
                <w:lang w:val="es-ES_tradnl"/>
              </w:rPr>
              <w:t>/</w:t>
            </w:r>
            <w:r w:rsidRPr="009960E1">
              <w:rPr>
                <w:color w:val="000000"/>
                <w:szCs w:val="22"/>
                <w:lang w:val="es-ES_tradnl"/>
              </w:rPr>
              <w:t>09</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6E620D9D"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2B125F0" w14:textId="77777777" w:rsidR="00CF0CB0" w:rsidRPr="009960E1" w:rsidRDefault="00000000" w:rsidP="00F27F0E">
            <w:pPr>
              <w:pStyle w:val="Tabletext"/>
              <w:jc w:val="center"/>
              <w:rPr>
                <w:rStyle w:val="Hyperlink"/>
                <w:lang w:val="es-ES_tradnl"/>
              </w:rPr>
            </w:pPr>
            <w:hyperlink r:id="rId42" w:tooltip="Workshop" w:history="1">
              <w:r w:rsidR="00CF0CB0" w:rsidRPr="009960E1">
                <w:rPr>
                  <w:rStyle w:val="Hyperlink"/>
                  <w:lang w:val="es-ES_tradnl"/>
                </w:rPr>
                <w:t>RG-IEM</w:t>
              </w:r>
            </w:hyperlink>
          </w:p>
        </w:tc>
        <w:tc>
          <w:tcPr>
            <w:tcW w:w="2138" w:type="pct"/>
            <w:shd w:val="clear" w:color="auto" w:fill="auto"/>
            <w:hideMark/>
          </w:tcPr>
          <w:p w14:paraId="2109433A"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A7143D" w14:paraId="019B7D9B" w14:textId="77777777" w:rsidTr="00F27F0E">
        <w:trPr>
          <w:jc w:val="center"/>
        </w:trPr>
        <w:tc>
          <w:tcPr>
            <w:tcW w:w="839" w:type="pct"/>
            <w:shd w:val="clear" w:color="auto" w:fill="auto"/>
            <w:vAlign w:val="center"/>
            <w:hideMark/>
          </w:tcPr>
          <w:p w14:paraId="66782D9E" w14:textId="141712DD" w:rsidR="00CF0CB0" w:rsidRPr="009960E1" w:rsidRDefault="00CF0CB0" w:rsidP="00F27F0E">
            <w:pPr>
              <w:pStyle w:val="Tabletext"/>
              <w:jc w:val="center"/>
              <w:rPr>
                <w:lang w:val="es-ES_tradnl"/>
              </w:rPr>
            </w:pPr>
            <w:r w:rsidRPr="009960E1">
              <w:rPr>
                <w:color w:val="000000"/>
                <w:szCs w:val="22"/>
                <w:lang w:val="es-ES_tradnl"/>
              </w:rPr>
              <w:t>12</w:t>
            </w:r>
            <w:r w:rsidR="00AD4724">
              <w:rPr>
                <w:color w:val="000000"/>
                <w:szCs w:val="22"/>
                <w:lang w:val="es-ES_tradnl"/>
              </w:rPr>
              <w:t>/</w:t>
            </w:r>
            <w:r w:rsidRPr="009960E1">
              <w:rPr>
                <w:color w:val="000000"/>
                <w:szCs w:val="22"/>
                <w:lang w:val="es-ES_tradnl"/>
              </w:rPr>
              <w:t>09</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2B7B010F"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28E45D30" w14:textId="77777777" w:rsidR="00CF0CB0" w:rsidRPr="009960E1" w:rsidRDefault="00000000" w:rsidP="00F27F0E">
            <w:pPr>
              <w:pStyle w:val="Tabletext"/>
              <w:jc w:val="center"/>
              <w:rPr>
                <w:rStyle w:val="Hyperlink"/>
                <w:lang w:val="es-ES_tradnl"/>
              </w:rPr>
            </w:pPr>
            <w:hyperlink r:id="rId43" w:tooltip="ToR :&#10;- progress on draft new Supplement A.supRA, baseline document for contributions: TD251R1; &#10;- possible way forward for Recs ITU-T A.4 and A.6, baseline document for contributions: TD275R4.&#10;" w:history="1">
              <w:r w:rsidR="00CF0CB0" w:rsidRPr="009960E1">
                <w:rPr>
                  <w:rStyle w:val="Hyperlink"/>
                  <w:lang w:val="es-ES_tradnl"/>
                </w:rPr>
                <w:t>RG-WM</w:t>
              </w:r>
            </w:hyperlink>
          </w:p>
        </w:tc>
        <w:tc>
          <w:tcPr>
            <w:tcW w:w="2138" w:type="pct"/>
            <w:shd w:val="clear" w:color="auto" w:fill="auto"/>
            <w:hideMark/>
          </w:tcPr>
          <w:p w14:paraId="5BD7D1E1"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62C0B795" w14:textId="77777777" w:rsidTr="00F27F0E">
        <w:trPr>
          <w:jc w:val="center"/>
        </w:trPr>
        <w:tc>
          <w:tcPr>
            <w:tcW w:w="839" w:type="pct"/>
            <w:shd w:val="clear" w:color="auto" w:fill="auto"/>
            <w:vAlign w:val="center"/>
            <w:hideMark/>
          </w:tcPr>
          <w:p w14:paraId="452E671E" w14:textId="792B9BF9" w:rsidR="00CF0CB0" w:rsidRPr="009960E1" w:rsidRDefault="00CF0CB0" w:rsidP="00F27F0E">
            <w:pPr>
              <w:pStyle w:val="Tabletext"/>
              <w:jc w:val="center"/>
              <w:rPr>
                <w:lang w:val="es-ES_tradnl"/>
              </w:rPr>
            </w:pPr>
            <w:r w:rsidRPr="009960E1">
              <w:rPr>
                <w:color w:val="000000"/>
                <w:szCs w:val="22"/>
                <w:lang w:val="es-ES_tradnl"/>
              </w:rPr>
              <w:t>27</w:t>
            </w:r>
            <w:r w:rsidR="00AD4724">
              <w:rPr>
                <w:color w:val="000000"/>
                <w:szCs w:val="22"/>
                <w:lang w:val="es-ES_tradnl"/>
              </w:rPr>
              <w:t>/</w:t>
            </w:r>
            <w:r w:rsidRPr="009960E1">
              <w:rPr>
                <w:color w:val="000000"/>
                <w:szCs w:val="22"/>
                <w:lang w:val="es-ES_tradnl"/>
              </w:rPr>
              <w:t>09</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2036D280"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2364D51" w14:textId="77777777" w:rsidR="00CF0CB0" w:rsidRPr="009960E1" w:rsidRDefault="00000000" w:rsidP="00F27F0E">
            <w:pPr>
              <w:pStyle w:val="Tabletext"/>
              <w:jc w:val="center"/>
              <w:rPr>
                <w:rStyle w:val="Hyperlink"/>
                <w:lang w:val="es-ES_tradnl"/>
              </w:rPr>
            </w:pPr>
            <w:hyperlink r:id="rId44" w:tooltip=" Progress a gap analysis on the activities and studies on digital transformation;&#10; Consider inter alia, definitions, concepts, system architectures, use-cases, fundamental underlying technologies, interoperability, and the e..." w:history="1">
              <w:r w:rsidR="00CF0CB0" w:rsidRPr="009960E1">
                <w:rPr>
                  <w:rStyle w:val="Hyperlink"/>
                  <w:lang w:val="es-ES_tradnl"/>
                </w:rPr>
                <w:t>RG-DT</w:t>
              </w:r>
            </w:hyperlink>
          </w:p>
        </w:tc>
        <w:tc>
          <w:tcPr>
            <w:tcW w:w="2138" w:type="pct"/>
            <w:shd w:val="clear" w:color="auto" w:fill="auto"/>
            <w:hideMark/>
          </w:tcPr>
          <w:p w14:paraId="28410DF2" w14:textId="77777777" w:rsidR="00CF0CB0" w:rsidRPr="009960E1" w:rsidRDefault="00CF0CB0" w:rsidP="00F27F0E">
            <w:pPr>
              <w:pStyle w:val="Tabletext"/>
              <w:rPr>
                <w:lang w:val="es-ES_tradnl"/>
              </w:rPr>
            </w:pPr>
            <w:r w:rsidRPr="009960E1">
              <w:rPr>
                <w:lang w:val="es-ES_tradnl"/>
              </w:rPr>
              <w:t>Reunión virtual del RG-DT del GANT</w:t>
            </w:r>
          </w:p>
        </w:tc>
      </w:tr>
      <w:tr w:rsidR="00CF0CB0" w:rsidRPr="00A7143D" w14:paraId="3999C89A" w14:textId="77777777" w:rsidTr="00F27F0E">
        <w:trPr>
          <w:jc w:val="center"/>
        </w:trPr>
        <w:tc>
          <w:tcPr>
            <w:tcW w:w="839" w:type="pct"/>
            <w:shd w:val="clear" w:color="auto" w:fill="auto"/>
            <w:vAlign w:val="center"/>
            <w:hideMark/>
          </w:tcPr>
          <w:p w14:paraId="164FB196" w14:textId="1A2A305E" w:rsidR="00CF0CB0" w:rsidRPr="009960E1" w:rsidRDefault="00CF0CB0" w:rsidP="00F27F0E">
            <w:pPr>
              <w:pStyle w:val="Tabletext"/>
              <w:jc w:val="center"/>
              <w:rPr>
                <w:lang w:val="es-ES_tradnl"/>
              </w:rPr>
            </w:pPr>
            <w:r w:rsidRPr="009960E1">
              <w:rPr>
                <w:color w:val="000000"/>
                <w:szCs w:val="22"/>
                <w:lang w:val="es-ES_tradnl"/>
              </w:rPr>
              <w:t>24</w:t>
            </w:r>
            <w:r w:rsidR="00AD4724">
              <w:rPr>
                <w:color w:val="000000"/>
                <w:szCs w:val="22"/>
                <w:lang w:val="es-ES_tradnl"/>
              </w:rPr>
              <w:t>/</w:t>
            </w:r>
            <w:r w:rsidRPr="009960E1">
              <w:rPr>
                <w:color w:val="000000"/>
                <w:szCs w:val="22"/>
                <w:lang w:val="es-ES_tradnl"/>
              </w:rPr>
              <w:t>10</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0A5C94E6"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1CC8E105" w14:textId="77777777" w:rsidR="00CF0CB0" w:rsidRPr="009960E1" w:rsidRDefault="00000000" w:rsidP="00F27F0E">
            <w:pPr>
              <w:pStyle w:val="Tabletext"/>
              <w:jc w:val="center"/>
              <w:rPr>
                <w:rStyle w:val="Hyperlink"/>
                <w:lang w:val="es-ES_tradnl"/>
              </w:rPr>
            </w:pPr>
            <w:hyperlink r:id="rId45" w:tooltip="Progress Rec. ITU-T A.1" w:history="1">
              <w:r w:rsidR="00CF0CB0" w:rsidRPr="009960E1">
                <w:rPr>
                  <w:rStyle w:val="Hyperlink"/>
                  <w:lang w:val="es-ES_tradnl"/>
                </w:rPr>
                <w:t>RG-WM</w:t>
              </w:r>
            </w:hyperlink>
          </w:p>
        </w:tc>
        <w:tc>
          <w:tcPr>
            <w:tcW w:w="2138" w:type="pct"/>
            <w:shd w:val="clear" w:color="auto" w:fill="auto"/>
            <w:hideMark/>
          </w:tcPr>
          <w:p w14:paraId="616D4FC3"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2FBBF071" w14:textId="77777777" w:rsidTr="00F27F0E">
        <w:trPr>
          <w:jc w:val="center"/>
        </w:trPr>
        <w:tc>
          <w:tcPr>
            <w:tcW w:w="839" w:type="pct"/>
            <w:shd w:val="clear" w:color="auto" w:fill="auto"/>
            <w:vAlign w:val="center"/>
            <w:hideMark/>
          </w:tcPr>
          <w:p w14:paraId="5BB190D6" w14:textId="0EF84EE7" w:rsidR="00CF0CB0" w:rsidRPr="009960E1" w:rsidRDefault="00CF0CB0" w:rsidP="00F27F0E">
            <w:pPr>
              <w:pStyle w:val="Tabletext"/>
              <w:jc w:val="center"/>
              <w:rPr>
                <w:lang w:val="es-ES_tradnl"/>
              </w:rPr>
            </w:pPr>
            <w:r w:rsidRPr="009960E1">
              <w:rPr>
                <w:color w:val="000000"/>
                <w:szCs w:val="22"/>
                <w:lang w:val="es-ES_tradnl"/>
              </w:rPr>
              <w:t>15</w:t>
            </w:r>
            <w:r w:rsidR="00AD4724">
              <w:rPr>
                <w:color w:val="000000"/>
                <w:szCs w:val="22"/>
                <w:lang w:val="es-ES_tradnl"/>
              </w:rPr>
              <w:t>/</w:t>
            </w:r>
            <w:r w:rsidRPr="009960E1">
              <w:rPr>
                <w:color w:val="000000"/>
                <w:szCs w:val="22"/>
                <w:lang w:val="es-ES_tradnl"/>
              </w:rPr>
              <w:t>11</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460E5A3A"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2FA83FE8" w14:textId="77777777" w:rsidR="00CF0CB0" w:rsidRPr="009960E1" w:rsidRDefault="00000000" w:rsidP="00F27F0E">
            <w:pPr>
              <w:pStyle w:val="Tabletext"/>
              <w:jc w:val="center"/>
              <w:rPr>
                <w:rStyle w:val="Hyperlink"/>
                <w:lang w:val="es-ES_tradnl"/>
              </w:rPr>
            </w:pPr>
            <w:hyperlink r:id="rId46" w:tooltip="Revisions for the baseline text (TD214R1) concerning:&#10; definitions of KPIs&#10; relative priorities of KPIs&#10; possible new structures&#10;" w:history="1">
              <w:r w:rsidR="00CF0CB0" w:rsidRPr="009960E1">
                <w:rPr>
                  <w:rStyle w:val="Hyperlink"/>
                  <w:lang w:val="es-ES_tradnl"/>
                </w:rPr>
                <w:t>RG-WPR</w:t>
              </w:r>
            </w:hyperlink>
          </w:p>
        </w:tc>
        <w:tc>
          <w:tcPr>
            <w:tcW w:w="2138" w:type="pct"/>
            <w:shd w:val="clear" w:color="auto" w:fill="auto"/>
            <w:hideMark/>
          </w:tcPr>
          <w:p w14:paraId="64A88324" w14:textId="77777777" w:rsidR="00CF0CB0" w:rsidRPr="009960E1" w:rsidRDefault="00CF0CB0" w:rsidP="00F27F0E">
            <w:pPr>
              <w:pStyle w:val="Tabletext"/>
              <w:rPr>
                <w:lang w:val="es-ES_tradnl"/>
              </w:rPr>
            </w:pPr>
            <w:r w:rsidRPr="009960E1">
              <w:rPr>
                <w:lang w:val="es-ES_tradnl"/>
              </w:rPr>
              <w:t>Reunión virtual del RG-WPR del GANT</w:t>
            </w:r>
          </w:p>
        </w:tc>
      </w:tr>
      <w:tr w:rsidR="00CF0CB0" w:rsidRPr="00A7143D" w14:paraId="2D7C1872" w14:textId="77777777" w:rsidTr="00F27F0E">
        <w:trPr>
          <w:jc w:val="center"/>
        </w:trPr>
        <w:tc>
          <w:tcPr>
            <w:tcW w:w="839" w:type="pct"/>
            <w:shd w:val="clear" w:color="auto" w:fill="auto"/>
            <w:vAlign w:val="center"/>
            <w:hideMark/>
          </w:tcPr>
          <w:p w14:paraId="5803FC43" w14:textId="6E725785" w:rsidR="00CF0CB0" w:rsidRPr="009960E1" w:rsidRDefault="00CF0CB0" w:rsidP="00F27F0E">
            <w:pPr>
              <w:pStyle w:val="Tabletext"/>
              <w:jc w:val="center"/>
              <w:rPr>
                <w:lang w:val="es-ES_tradnl"/>
              </w:rPr>
            </w:pPr>
            <w:r w:rsidRPr="009960E1">
              <w:rPr>
                <w:color w:val="000000"/>
                <w:szCs w:val="22"/>
                <w:lang w:val="es-ES_tradnl"/>
              </w:rPr>
              <w:t>17</w:t>
            </w:r>
            <w:r w:rsidR="00AD4724">
              <w:rPr>
                <w:color w:val="000000"/>
                <w:szCs w:val="22"/>
                <w:lang w:val="es-ES_tradnl"/>
              </w:rPr>
              <w:t>/</w:t>
            </w:r>
            <w:r w:rsidRPr="009960E1">
              <w:rPr>
                <w:color w:val="000000"/>
                <w:szCs w:val="22"/>
                <w:lang w:val="es-ES_tradnl"/>
              </w:rPr>
              <w:t>11</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2BF16EAF"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682FE8F8" w14:textId="77777777" w:rsidR="00CF0CB0" w:rsidRPr="009960E1" w:rsidRDefault="00000000" w:rsidP="00F27F0E">
            <w:pPr>
              <w:pStyle w:val="Tabletext"/>
              <w:jc w:val="center"/>
              <w:rPr>
                <w:rStyle w:val="Hyperlink"/>
                <w:lang w:val="es-ES_tradnl"/>
              </w:rPr>
            </w:pPr>
            <w:hyperlink r:id="rId47" w:tooltip=" Progress a gap analysis on the activities and studies on digital transformation;&#10; Consider inter alia, definitions, concepts, system architectures, use-cases, fundamental underlying technologies, interoperability, and the e..." w:history="1">
              <w:r w:rsidR="00CF0CB0" w:rsidRPr="009960E1">
                <w:rPr>
                  <w:rStyle w:val="Hyperlink"/>
                  <w:lang w:val="es-ES_tradnl"/>
                </w:rPr>
                <w:t>RG-DT</w:t>
              </w:r>
            </w:hyperlink>
          </w:p>
        </w:tc>
        <w:tc>
          <w:tcPr>
            <w:tcW w:w="2138" w:type="pct"/>
            <w:shd w:val="clear" w:color="auto" w:fill="auto"/>
            <w:hideMark/>
          </w:tcPr>
          <w:p w14:paraId="1109512E" w14:textId="77777777" w:rsidR="00CF0CB0" w:rsidRPr="009960E1" w:rsidRDefault="00CF0CB0" w:rsidP="00F27F0E">
            <w:pPr>
              <w:pStyle w:val="Tabletext"/>
              <w:rPr>
                <w:lang w:val="es-ES_tradnl"/>
              </w:rPr>
            </w:pPr>
            <w:r w:rsidRPr="009960E1">
              <w:rPr>
                <w:lang w:val="es-ES_tradnl"/>
              </w:rPr>
              <w:t>Reunión virtual del RG-DT del GANT</w:t>
            </w:r>
          </w:p>
        </w:tc>
      </w:tr>
      <w:tr w:rsidR="00CF0CB0" w:rsidRPr="00A7143D" w14:paraId="72452D65" w14:textId="77777777" w:rsidTr="00F27F0E">
        <w:trPr>
          <w:jc w:val="center"/>
        </w:trPr>
        <w:tc>
          <w:tcPr>
            <w:tcW w:w="839" w:type="pct"/>
            <w:shd w:val="clear" w:color="auto" w:fill="auto"/>
            <w:vAlign w:val="center"/>
            <w:hideMark/>
          </w:tcPr>
          <w:p w14:paraId="0CC292E0" w14:textId="4D6DF93A" w:rsidR="00CF0CB0" w:rsidRPr="009960E1" w:rsidRDefault="00CF0CB0" w:rsidP="00F27F0E">
            <w:pPr>
              <w:pStyle w:val="Tabletext"/>
              <w:jc w:val="center"/>
              <w:rPr>
                <w:lang w:val="es-ES_tradnl"/>
              </w:rPr>
            </w:pPr>
            <w:r w:rsidRPr="009960E1">
              <w:rPr>
                <w:color w:val="000000"/>
                <w:szCs w:val="22"/>
                <w:lang w:val="es-ES_tradnl"/>
              </w:rPr>
              <w:t>21</w:t>
            </w:r>
            <w:r w:rsidR="00AD4724">
              <w:rPr>
                <w:color w:val="000000"/>
                <w:szCs w:val="22"/>
                <w:lang w:val="es-ES_tradnl"/>
              </w:rPr>
              <w:t>/</w:t>
            </w:r>
            <w:r w:rsidRPr="009960E1">
              <w:rPr>
                <w:color w:val="000000"/>
                <w:szCs w:val="22"/>
                <w:lang w:val="es-ES_tradnl"/>
              </w:rPr>
              <w:t>11</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1F895D77"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3D359A5" w14:textId="77777777" w:rsidR="00CF0CB0" w:rsidRPr="009960E1" w:rsidRDefault="00000000" w:rsidP="00F27F0E">
            <w:pPr>
              <w:pStyle w:val="Tabletext"/>
              <w:jc w:val="center"/>
              <w:rPr>
                <w:rStyle w:val="Hyperlink"/>
                <w:lang w:val="es-ES_tradnl"/>
              </w:rPr>
            </w:pPr>
            <w:hyperlink r:id="rId48" w:tooltip="Updated ToR :&#10;o Discuss pending issues in draft revised Rec. ITU-T A.7 &#10;o Discuss pending issues in draft revised Rec. ITU-T A.1&#10;" w:history="1">
              <w:r w:rsidR="00CF0CB0" w:rsidRPr="009960E1">
                <w:rPr>
                  <w:rStyle w:val="Hyperlink"/>
                  <w:lang w:val="es-ES_tradnl"/>
                </w:rPr>
                <w:t>RG-WM</w:t>
              </w:r>
            </w:hyperlink>
          </w:p>
        </w:tc>
        <w:tc>
          <w:tcPr>
            <w:tcW w:w="2138" w:type="pct"/>
            <w:shd w:val="clear" w:color="auto" w:fill="auto"/>
            <w:hideMark/>
          </w:tcPr>
          <w:p w14:paraId="0E2310B8"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0318B641" w14:textId="77777777" w:rsidTr="00F27F0E">
        <w:trPr>
          <w:jc w:val="center"/>
        </w:trPr>
        <w:tc>
          <w:tcPr>
            <w:tcW w:w="839" w:type="pct"/>
            <w:shd w:val="clear" w:color="auto" w:fill="auto"/>
            <w:vAlign w:val="center"/>
            <w:hideMark/>
          </w:tcPr>
          <w:p w14:paraId="62EB71A0" w14:textId="4962AD3C" w:rsidR="00CF0CB0" w:rsidRPr="009960E1" w:rsidRDefault="00CF0CB0" w:rsidP="00F27F0E">
            <w:pPr>
              <w:pStyle w:val="Tabletext"/>
              <w:jc w:val="center"/>
              <w:rPr>
                <w:lang w:val="es-ES_tradnl"/>
              </w:rPr>
            </w:pPr>
            <w:r w:rsidRPr="009960E1">
              <w:rPr>
                <w:color w:val="000000"/>
                <w:szCs w:val="22"/>
                <w:lang w:val="es-ES_tradnl"/>
              </w:rPr>
              <w:t>05</w:t>
            </w:r>
            <w:r w:rsidR="00AD4724">
              <w:rPr>
                <w:color w:val="000000"/>
                <w:szCs w:val="22"/>
                <w:lang w:val="es-ES_tradnl"/>
              </w:rPr>
              <w:t>/</w:t>
            </w:r>
            <w:r w:rsidRPr="009960E1">
              <w:rPr>
                <w:color w:val="000000"/>
                <w:szCs w:val="22"/>
                <w:lang w:val="es-ES_tradnl"/>
              </w:rPr>
              <w:t>12</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7D7303BA"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062F965" w14:textId="77777777" w:rsidR="00CF0CB0" w:rsidRPr="009960E1" w:rsidRDefault="00000000" w:rsidP="00F27F0E">
            <w:pPr>
              <w:pStyle w:val="Tabletext"/>
              <w:jc w:val="center"/>
              <w:rPr>
                <w:rStyle w:val="Hyperlink"/>
                <w:lang w:val="es-ES_tradnl"/>
              </w:rPr>
            </w:pPr>
            <w:hyperlink r:id="rId49" w:tooltip="Updated ToR:&#10;o Progress on draft new Supplement A.supRA; &#10;o Revision of Supplement 5 (as a possible way forward for Recs ITU-T A.4 and A.6); &#10;o Discuss pending issues in draft revised Rec. ITU-T A.1&#10;&#10;&#10;" w:history="1">
              <w:r w:rsidR="00CF0CB0" w:rsidRPr="009960E1">
                <w:rPr>
                  <w:rStyle w:val="Hyperlink"/>
                  <w:lang w:val="es-ES_tradnl"/>
                </w:rPr>
                <w:t>RG-WM</w:t>
              </w:r>
            </w:hyperlink>
          </w:p>
        </w:tc>
        <w:tc>
          <w:tcPr>
            <w:tcW w:w="2138" w:type="pct"/>
            <w:shd w:val="clear" w:color="auto" w:fill="auto"/>
            <w:hideMark/>
          </w:tcPr>
          <w:p w14:paraId="3006773A"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3CF4A6B3" w14:textId="77777777" w:rsidTr="00F27F0E">
        <w:trPr>
          <w:jc w:val="center"/>
        </w:trPr>
        <w:tc>
          <w:tcPr>
            <w:tcW w:w="839" w:type="pct"/>
            <w:shd w:val="clear" w:color="auto" w:fill="auto"/>
            <w:vAlign w:val="center"/>
            <w:hideMark/>
          </w:tcPr>
          <w:p w14:paraId="66148858" w14:textId="36E0C1E6" w:rsidR="00CF0CB0" w:rsidRPr="009960E1" w:rsidRDefault="00CF0CB0" w:rsidP="00F27F0E">
            <w:pPr>
              <w:pStyle w:val="Tabletext"/>
              <w:jc w:val="center"/>
              <w:rPr>
                <w:lang w:val="es-ES_tradnl"/>
              </w:rPr>
            </w:pPr>
            <w:r w:rsidRPr="009960E1">
              <w:rPr>
                <w:color w:val="000000"/>
                <w:szCs w:val="22"/>
                <w:lang w:val="es-ES_tradnl"/>
              </w:rPr>
              <w:t>12</w:t>
            </w:r>
            <w:r w:rsidR="00AD4724">
              <w:rPr>
                <w:color w:val="000000"/>
                <w:szCs w:val="22"/>
                <w:lang w:val="es-ES_tradnl"/>
              </w:rPr>
              <w:t>/</w:t>
            </w:r>
            <w:r w:rsidRPr="009960E1">
              <w:rPr>
                <w:color w:val="000000"/>
                <w:szCs w:val="22"/>
                <w:lang w:val="es-ES_tradnl"/>
              </w:rPr>
              <w:t>12</w:t>
            </w:r>
            <w:r w:rsidR="00AD4724">
              <w:rPr>
                <w:color w:val="000000"/>
                <w:szCs w:val="22"/>
                <w:lang w:val="es-ES_tradnl"/>
              </w:rPr>
              <w:t>/</w:t>
            </w:r>
            <w:r w:rsidRPr="009960E1">
              <w:rPr>
                <w:color w:val="000000"/>
                <w:szCs w:val="22"/>
                <w:lang w:val="es-ES_tradnl"/>
              </w:rPr>
              <w:t>2023</w:t>
            </w:r>
          </w:p>
        </w:tc>
        <w:tc>
          <w:tcPr>
            <w:tcW w:w="1011" w:type="pct"/>
            <w:shd w:val="clear" w:color="auto" w:fill="auto"/>
            <w:hideMark/>
          </w:tcPr>
          <w:p w14:paraId="3CBF82AB"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1A04BDC7" w14:textId="77777777" w:rsidR="00CF0CB0" w:rsidRPr="009960E1" w:rsidRDefault="00000000" w:rsidP="00F27F0E">
            <w:pPr>
              <w:pStyle w:val="Tabletext"/>
              <w:jc w:val="center"/>
              <w:rPr>
                <w:rStyle w:val="Hyperlink"/>
                <w:lang w:val="es-ES_tradnl"/>
              </w:rPr>
            </w:pPr>
            <w:hyperlink r:id="rId50" w:tooltip="Metrics" w:history="1">
              <w:r w:rsidR="00CF0CB0" w:rsidRPr="009960E1">
                <w:rPr>
                  <w:rStyle w:val="Hyperlink"/>
                  <w:lang w:val="es-ES_tradnl"/>
                </w:rPr>
                <w:t>RG-IEM</w:t>
              </w:r>
            </w:hyperlink>
          </w:p>
        </w:tc>
        <w:tc>
          <w:tcPr>
            <w:tcW w:w="2138" w:type="pct"/>
            <w:shd w:val="clear" w:color="auto" w:fill="auto"/>
            <w:hideMark/>
          </w:tcPr>
          <w:p w14:paraId="42F14519"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A7143D" w14:paraId="39E15783" w14:textId="77777777" w:rsidTr="00F27F0E">
        <w:trPr>
          <w:jc w:val="center"/>
        </w:trPr>
        <w:tc>
          <w:tcPr>
            <w:tcW w:w="839" w:type="pct"/>
            <w:shd w:val="clear" w:color="auto" w:fill="auto"/>
            <w:vAlign w:val="center"/>
            <w:hideMark/>
          </w:tcPr>
          <w:p w14:paraId="10ABF9F8" w14:textId="177E64B3" w:rsidR="00CF0CB0" w:rsidRPr="009960E1" w:rsidRDefault="00CF0CB0" w:rsidP="00F27F0E">
            <w:pPr>
              <w:pStyle w:val="Tabletext"/>
              <w:jc w:val="center"/>
              <w:rPr>
                <w:lang w:val="es-ES_tradnl"/>
              </w:rPr>
            </w:pPr>
            <w:r w:rsidRPr="009960E1">
              <w:rPr>
                <w:color w:val="000000"/>
                <w:szCs w:val="22"/>
                <w:lang w:val="es-ES_tradnl"/>
              </w:rPr>
              <w:t>20</w:t>
            </w:r>
            <w:r w:rsidR="00AD4724">
              <w:rPr>
                <w:color w:val="000000"/>
                <w:szCs w:val="22"/>
                <w:lang w:val="es-ES_tradnl"/>
              </w:rPr>
              <w:t>/</w:t>
            </w:r>
            <w:r w:rsidRPr="009960E1">
              <w:rPr>
                <w:color w:val="000000"/>
                <w:szCs w:val="22"/>
                <w:lang w:val="es-ES_tradnl"/>
              </w:rPr>
              <w:t>02</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30A169E0"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3B67747E" w14:textId="77777777" w:rsidR="00CF0CB0" w:rsidRPr="009960E1" w:rsidRDefault="00000000" w:rsidP="00F27F0E">
            <w:pPr>
              <w:pStyle w:val="Tabletext"/>
              <w:jc w:val="center"/>
              <w:rPr>
                <w:rStyle w:val="Hyperlink"/>
                <w:lang w:val="es-ES_tradnl"/>
              </w:rPr>
            </w:pPr>
            <w:hyperlink r:id="rId51" w:tooltip="Workshop status" w:history="1">
              <w:r w:rsidR="00CF0CB0" w:rsidRPr="009960E1">
                <w:rPr>
                  <w:rStyle w:val="Hyperlink"/>
                  <w:lang w:val="es-ES_tradnl"/>
                </w:rPr>
                <w:t>RG-IEM</w:t>
              </w:r>
            </w:hyperlink>
          </w:p>
        </w:tc>
        <w:tc>
          <w:tcPr>
            <w:tcW w:w="2138" w:type="pct"/>
            <w:shd w:val="clear" w:color="auto" w:fill="auto"/>
            <w:hideMark/>
          </w:tcPr>
          <w:p w14:paraId="0AECCF82"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A7143D" w14:paraId="1CC818D6" w14:textId="77777777" w:rsidTr="00F27F0E">
        <w:trPr>
          <w:jc w:val="center"/>
        </w:trPr>
        <w:tc>
          <w:tcPr>
            <w:tcW w:w="839" w:type="pct"/>
            <w:shd w:val="clear" w:color="auto" w:fill="auto"/>
            <w:vAlign w:val="center"/>
            <w:hideMark/>
          </w:tcPr>
          <w:p w14:paraId="14E719A7" w14:textId="02AF1C70" w:rsidR="00CF0CB0" w:rsidRPr="009960E1" w:rsidRDefault="00CF0CB0" w:rsidP="00F27F0E">
            <w:pPr>
              <w:pStyle w:val="Tabletext"/>
              <w:jc w:val="center"/>
              <w:rPr>
                <w:lang w:val="es-ES_tradnl"/>
              </w:rPr>
            </w:pPr>
            <w:r w:rsidRPr="009960E1">
              <w:rPr>
                <w:color w:val="000000"/>
                <w:szCs w:val="22"/>
                <w:lang w:val="es-ES_tradnl"/>
              </w:rPr>
              <w:t>21</w:t>
            </w:r>
            <w:r w:rsidR="00AD4724">
              <w:rPr>
                <w:color w:val="000000"/>
                <w:szCs w:val="22"/>
                <w:lang w:val="es-ES_tradnl"/>
              </w:rPr>
              <w:t>/</w:t>
            </w:r>
            <w:r w:rsidRPr="009960E1">
              <w:rPr>
                <w:color w:val="000000"/>
                <w:szCs w:val="22"/>
                <w:lang w:val="es-ES_tradnl"/>
              </w:rPr>
              <w:t>02</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00CFE613"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2BA288A" w14:textId="77777777" w:rsidR="00CF0CB0" w:rsidRPr="009960E1" w:rsidRDefault="00000000" w:rsidP="00F27F0E">
            <w:pPr>
              <w:pStyle w:val="Tabletext"/>
              <w:jc w:val="center"/>
              <w:rPr>
                <w:rStyle w:val="Hyperlink"/>
                <w:lang w:val="es-ES_tradnl"/>
              </w:rPr>
            </w:pPr>
            <w:hyperlink r:id="rId52" w:tooltip="Draft ITU-T A.RA (TSAG-TD396R1)" w:history="1">
              <w:r w:rsidR="00CF0CB0" w:rsidRPr="009960E1">
                <w:rPr>
                  <w:rStyle w:val="Hyperlink"/>
                  <w:lang w:val="es-ES_tradnl"/>
                </w:rPr>
                <w:t>RG-WM</w:t>
              </w:r>
            </w:hyperlink>
          </w:p>
        </w:tc>
        <w:tc>
          <w:tcPr>
            <w:tcW w:w="2138" w:type="pct"/>
            <w:shd w:val="clear" w:color="auto" w:fill="auto"/>
            <w:hideMark/>
          </w:tcPr>
          <w:p w14:paraId="7AB21477"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3129C4E3" w14:textId="77777777" w:rsidTr="00F27F0E">
        <w:trPr>
          <w:jc w:val="center"/>
        </w:trPr>
        <w:tc>
          <w:tcPr>
            <w:tcW w:w="839" w:type="pct"/>
            <w:shd w:val="clear" w:color="auto" w:fill="auto"/>
            <w:vAlign w:val="center"/>
            <w:hideMark/>
          </w:tcPr>
          <w:p w14:paraId="436D8A1B" w14:textId="0EE447DB" w:rsidR="00CF0CB0" w:rsidRPr="009960E1" w:rsidRDefault="00CF0CB0" w:rsidP="00F27F0E">
            <w:pPr>
              <w:pStyle w:val="Tabletext"/>
              <w:jc w:val="center"/>
              <w:rPr>
                <w:lang w:val="es-ES_tradnl"/>
              </w:rPr>
            </w:pPr>
            <w:r w:rsidRPr="009960E1">
              <w:rPr>
                <w:color w:val="000000"/>
                <w:szCs w:val="22"/>
                <w:lang w:val="es-ES_tradnl"/>
              </w:rPr>
              <w:t>05</w:t>
            </w:r>
            <w:r w:rsidR="00AD4724">
              <w:rPr>
                <w:color w:val="000000"/>
                <w:szCs w:val="22"/>
                <w:lang w:val="es-ES_tradnl"/>
              </w:rPr>
              <w:t>/</w:t>
            </w:r>
            <w:r w:rsidRPr="009960E1">
              <w:rPr>
                <w:color w:val="000000"/>
                <w:szCs w:val="22"/>
                <w:lang w:val="es-ES_tradnl"/>
              </w:rPr>
              <w:t>03</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5C5808C5"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38555B0A" w14:textId="77777777" w:rsidR="00CF0CB0" w:rsidRPr="009960E1" w:rsidRDefault="00000000" w:rsidP="00F27F0E">
            <w:pPr>
              <w:pStyle w:val="Tabletext"/>
              <w:jc w:val="center"/>
              <w:rPr>
                <w:rStyle w:val="Hyperlink"/>
                <w:lang w:val="es-ES_tradnl"/>
              </w:rPr>
            </w:pPr>
            <w:hyperlink r:id="rId53" w:tooltip=" Progress a gap analysis on the activities and studies on digital transformation;&#10; Consider inter alia, definitions, concepts, system architectures, use-cases, fundamental underlying technologies, interoperability, and the e..." w:history="1">
              <w:r w:rsidR="00CF0CB0" w:rsidRPr="009960E1">
                <w:rPr>
                  <w:rStyle w:val="Hyperlink"/>
                  <w:lang w:val="es-ES_tradnl"/>
                </w:rPr>
                <w:t>RG-DT</w:t>
              </w:r>
            </w:hyperlink>
          </w:p>
        </w:tc>
        <w:tc>
          <w:tcPr>
            <w:tcW w:w="2138" w:type="pct"/>
            <w:shd w:val="clear" w:color="auto" w:fill="auto"/>
            <w:hideMark/>
          </w:tcPr>
          <w:p w14:paraId="3D925092" w14:textId="77777777" w:rsidR="00CF0CB0" w:rsidRPr="009960E1" w:rsidRDefault="00CF0CB0" w:rsidP="00F27F0E">
            <w:pPr>
              <w:pStyle w:val="Tabletext"/>
              <w:rPr>
                <w:lang w:val="es-ES_tradnl"/>
              </w:rPr>
            </w:pPr>
            <w:r w:rsidRPr="009960E1">
              <w:rPr>
                <w:lang w:val="es-ES_tradnl"/>
              </w:rPr>
              <w:t>Reunión virtual del RG-DT del GANT</w:t>
            </w:r>
          </w:p>
        </w:tc>
      </w:tr>
      <w:tr w:rsidR="00CF0CB0" w:rsidRPr="00A7143D" w14:paraId="78031AC9" w14:textId="77777777" w:rsidTr="00F27F0E">
        <w:trPr>
          <w:jc w:val="center"/>
        </w:trPr>
        <w:tc>
          <w:tcPr>
            <w:tcW w:w="839" w:type="pct"/>
            <w:shd w:val="clear" w:color="auto" w:fill="auto"/>
            <w:vAlign w:val="center"/>
            <w:hideMark/>
          </w:tcPr>
          <w:p w14:paraId="2A72F5C2" w14:textId="73E34540" w:rsidR="00CF0CB0" w:rsidRPr="009960E1" w:rsidRDefault="00CF0CB0" w:rsidP="00F27F0E">
            <w:pPr>
              <w:pStyle w:val="Tabletext"/>
              <w:jc w:val="center"/>
              <w:rPr>
                <w:lang w:val="es-ES_tradnl"/>
              </w:rPr>
            </w:pPr>
            <w:r w:rsidRPr="009960E1">
              <w:rPr>
                <w:color w:val="000000"/>
                <w:szCs w:val="22"/>
                <w:lang w:val="es-ES_tradnl"/>
              </w:rPr>
              <w:t>13</w:t>
            </w:r>
            <w:r w:rsidR="00AD4724">
              <w:rPr>
                <w:color w:val="000000"/>
                <w:szCs w:val="22"/>
                <w:lang w:val="es-ES_tradnl"/>
              </w:rPr>
              <w:t>/</w:t>
            </w:r>
            <w:r w:rsidRPr="009960E1">
              <w:rPr>
                <w:color w:val="000000"/>
                <w:szCs w:val="22"/>
                <w:lang w:val="es-ES_tradnl"/>
              </w:rPr>
              <w:t>03</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174ADD49"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2E17E9C6" w14:textId="77777777" w:rsidR="00CF0CB0" w:rsidRPr="009960E1" w:rsidRDefault="00000000" w:rsidP="00F27F0E">
            <w:pPr>
              <w:pStyle w:val="Tabletext"/>
              <w:jc w:val="center"/>
              <w:rPr>
                <w:rStyle w:val="Hyperlink"/>
                <w:lang w:val="es-ES_tradnl"/>
              </w:rPr>
            </w:pPr>
            <w:hyperlink r:id="rId54" w:tooltip="Draft A.SupplSGA (TSAG-TD385R1)&#10;&#10;" w:history="1">
              <w:r w:rsidR="00CF0CB0" w:rsidRPr="009960E1">
                <w:rPr>
                  <w:rStyle w:val="Hyperlink"/>
                  <w:lang w:val="es-ES_tradnl"/>
                </w:rPr>
                <w:t>RG-WM</w:t>
              </w:r>
            </w:hyperlink>
          </w:p>
        </w:tc>
        <w:tc>
          <w:tcPr>
            <w:tcW w:w="2138" w:type="pct"/>
            <w:shd w:val="clear" w:color="auto" w:fill="auto"/>
            <w:hideMark/>
          </w:tcPr>
          <w:p w14:paraId="667029DE"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423393D5" w14:textId="77777777" w:rsidTr="00F27F0E">
        <w:trPr>
          <w:jc w:val="center"/>
        </w:trPr>
        <w:tc>
          <w:tcPr>
            <w:tcW w:w="839" w:type="pct"/>
            <w:shd w:val="clear" w:color="auto" w:fill="auto"/>
            <w:vAlign w:val="center"/>
            <w:hideMark/>
          </w:tcPr>
          <w:p w14:paraId="2A279BDD" w14:textId="28ED99EC" w:rsidR="00CF0CB0" w:rsidRPr="009960E1" w:rsidRDefault="00CF0CB0" w:rsidP="00F27F0E">
            <w:pPr>
              <w:pStyle w:val="Tabletext"/>
              <w:jc w:val="center"/>
              <w:rPr>
                <w:lang w:val="es-ES_tradnl"/>
              </w:rPr>
            </w:pPr>
            <w:r w:rsidRPr="009960E1">
              <w:rPr>
                <w:color w:val="000000"/>
                <w:szCs w:val="22"/>
                <w:lang w:val="es-ES_tradnl"/>
              </w:rPr>
              <w:t>03</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4C933717"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6B543F9" w14:textId="77777777" w:rsidR="00CF0CB0" w:rsidRPr="009960E1" w:rsidRDefault="00000000" w:rsidP="00F27F0E">
            <w:pPr>
              <w:pStyle w:val="Tabletext"/>
              <w:jc w:val="center"/>
              <w:rPr>
                <w:rStyle w:val="Hyperlink"/>
                <w:lang w:val="es-ES_tradnl"/>
              </w:rPr>
            </w:pPr>
            <w:hyperlink r:id="rId55" w:tooltip="Draft revised A.1 including Appendices II and III (TSAG-TD478)" w:history="1">
              <w:r w:rsidR="00CF0CB0" w:rsidRPr="009960E1">
                <w:rPr>
                  <w:rStyle w:val="Hyperlink"/>
                  <w:lang w:val="es-ES_tradnl"/>
                </w:rPr>
                <w:t>RG-WM</w:t>
              </w:r>
            </w:hyperlink>
          </w:p>
        </w:tc>
        <w:tc>
          <w:tcPr>
            <w:tcW w:w="2138" w:type="pct"/>
            <w:shd w:val="clear" w:color="auto" w:fill="auto"/>
            <w:hideMark/>
          </w:tcPr>
          <w:p w14:paraId="32FD8066"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172566D1" w14:textId="77777777" w:rsidTr="00F27F0E">
        <w:trPr>
          <w:jc w:val="center"/>
        </w:trPr>
        <w:tc>
          <w:tcPr>
            <w:tcW w:w="839" w:type="pct"/>
            <w:shd w:val="clear" w:color="auto" w:fill="auto"/>
            <w:vAlign w:val="center"/>
            <w:hideMark/>
          </w:tcPr>
          <w:p w14:paraId="4FBB36DB" w14:textId="4403C983" w:rsidR="00CF0CB0" w:rsidRPr="009960E1" w:rsidRDefault="00CF0CB0" w:rsidP="00F27F0E">
            <w:pPr>
              <w:pStyle w:val="Tabletext"/>
              <w:jc w:val="center"/>
              <w:rPr>
                <w:lang w:val="es-ES_tradnl"/>
              </w:rPr>
            </w:pPr>
            <w:r w:rsidRPr="009960E1">
              <w:rPr>
                <w:color w:val="000000"/>
                <w:szCs w:val="22"/>
                <w:lang w:val="es-ES_tradnl"/>
              </w:rPr>
              <w:t>18</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5C345FA6"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60465951" w14:textId="77777777" w:rsidR="00CF0CB0" w:rsidRPr="009960E1" w:rsidRDefault="00000000" w:rsidP="00F27F0E">
            <w:pPr>
              <w:pStyle w:val="Tabletext"/>
              <w:jc w:val="center"/>
              <w:rPr>
                <w:rStyle w:val="Hyperlink"/>
                <w:lang w:val="es-ES_tradnl"/>
              </w:rPr>
            </w:pPr>
            <w:hyperlink r:id="rId56" w:tooltip="Progress draft new A.SupWTSAGL and A.BN; review proposals on concrete implementation of streamlining of WTSA Resolutions and Opinion." w:history="1">
              <w:r w:rsidR="00CF0CB0" w:rsidRPr="009960E1">
                <w:rPr>
                  <w:rStyle w:val="Hyperlink"/>
                  <w:lang w:val="es-ES_tradnl"/>
                </w:rPr>
                <w:t>RG-WTSA</w:t>
              </w:r>
            </w:hyperlink>
          </w:p>
        </w:tc>
        <w:tc>
          <w:tcPr>
            <w:tcW w:w="2138" w:type="pct"/>
            <w:shd w:val="clear" w:color="auto" w:fill="auto"/>
            <w:hideMark/>
          </w:tcPr>
          <w:p w14:paraId="05DD557E" w14:textId="77777777" w:rsidR="00CF0CB0" w:rsidRPr="009960E1" w:rsidRDefault="00CF0CB0" w:rsidP="00F27F0E">
            <w:pPr>
              <w:pStyle w:val="Tabletext"/>
              <w:rPr>
                <w:lang w:val="es-ES_tradnl"/>
              </w:rPr>
            </w:pPr>
            <w:r w:rsidRPr="009960E1">
              <w:rPr>
                <w:lang w:val="es-ES_tradnl"/>
              </w:rPr>
              <w:t>Reunión virtual del RG-WTSA del GANT</w:t>
            </w:r>
          </w:p>
        </w:tc>
      </w:tr>
      <w:tr w:rsidR="00CF0CB0" w:rsidRPr="00A7143D" w14:paraId="2B179788" w14:textId="77777777" w:rsidTr="00F27F0E">
        <w:trPr>
          <w:jc w:val="center"/>
        </w:trPr>
        <w:tc>
          <w:tcPr>
            <w:tcW w:w="839" w:type="pct"/>
            <w:shd w:val="clear" w:color="auto" w:fill="auto"/>
            <w:vAlign w:val="center"/>
            <w:hideMark/>
          </w:tcPr>
          <w:p w14:paraId="10E62191" w14:textId="77B1E012" w:rsidR="00CF0CB0" w:rsidRPr="009960E1" w:rsidRDefault="00CF0CB0" w:rsidP="00F27F0E">
            <w:pPr>
              <w:pStyle w:val="Tabletext"/>
              <w:jc w:val="center"/>
              <w:rPr>
                <w:lang w:val="es-ES_tradnl"/>
              </w:rPr>
            </w:pPr>
            <w:r w:rsidRPr="009960E1">
              <w:rPr>
                <w:color w:val="000000"/>
                <w:szCs w:val="22"/>
                <w:lang w:val="es-ES_tradnl"/>
              </w:rPr>
              <w:t>23</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67A26FA5"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5DA20114" w14:textId="77777777" w:rsidR="00CF0CB0" w:rsidRPr="009960E1" w:rsidRDefault="00000000" w:rsidP="00F27F0E">
            <w:pPr>
              <w:pStyle w:val="Tabletext"/>
              <w:jc w:val="center"/>
              <w:rPr>
                <w:rStyle w:val="Hyperlink"/>
                <w:lang w:val="es-ES_tradnl"/>
              </w:rPr>
            </w:pPr>
            <w:hyperlink r:id="rId57" w:tooltip=" Progress a gap analysis on the activities and studies on digital transformation;&#10; Consider inter alia, definitions, concepts, system architectures, use-cases, fundamental underlying technologies, interoperability, and the e..." w:history="1">
              <w:r w:rsidR="00CF0CB0" w:rsidRPr="009960E1">
                <w:rPr>
                  <w:rStyle w:val="Hyperlink"/>
                  <w:lang w:val="es-ES_tradnl"/>
                </w:rPr>
                <w:t>RG-DT</w:t>
              </w:r>
            </w:hyperlink>
          </w:p>
        </w:tc>
        <w:tc>
          <w:tcPr>
            <w:tcW w:w="2138" w:type="pct"/>
            <w:shd w:val="clear" w:color="auto" w:fill="auto"/>
            <w:hideMark/>
          </w:tcPr>
          <w:p w14:paraId="2B104AF0" w14:textId="77777777" w:rsidR="00CF0CB0" w:rsidRPr="009960E1" w:rsidRDefault="00CF0CB0" w:rsidP="00F27F0E">
            <w:pPr>
              <w:pStyle w:val="Tabletext"/>
              <w:rPr>
                <w:lang w:val="es-ES_tradnl"/>
              </w:rPr>
            </w:pPr>
            <w:r w:rsidRPr="009960E1">
              <w:rPr>
                <w:lang w:val="es-ES_tradnl"/>
              </w:rPr>
              <w:t>Reunión virtual del RG-DT del GANT</w:t>
            </w:r>
          </w:p>
        </w:tc>
      </w:tr>
      <w:tr w:rsidR="00CF0CB0" w:rsidRPr="00A7143D" w14:paraId="54EDEBD2" w14:textId="77777777" w:rsidTr="00F27F0E">
        <w:trPr>
          <w:jc w:val="center"/>
        </w:trPr>
        <w:tc>
          <w:tcPr>
            <w:tcW w:w="839" w:type="pct"/>
            <w:shd w:val="clear" w:color="auto" w:fill="auto"/>
            <w:vAlign w:val="center"/>
            <w:hideMark/>
          </w:tcPr>
          <w:p w14:paraId="431CF4AD" w14:textId="0E5DFE88" w:rsidR="00CF0CB0" w:rsidRPr="009960E1" w:rsidRDefault="00CF0CB0" w:rsidP="00F27F0E">
            <w:pPr>
              <w:pStyle w:val="Tabletext"/>
              <w:jc w:val="center"/>
              <w:rPr>
                <w:lang w:val="es-ES_tradnl"/>
              </w:rPr>
            </w:pPr>
            <w:r w:rsidRPr="009960E1">
              <w:rPr>
                <w:color w:val="000000"/>
                <w:szCs w:val="22"/>
                <w:lang w:val="es-ES_tradnl"/>
              </w:rPr>
              <w:t>26</w:t>
            </w:r>
            <w:r w:rsidR="00AD4724">
              <w:rPr>
                <w:color w:val="000000"/>
                <w:szCs w:val="22"/>
                <w:lang w:val="es-ES_tradnl"/>
              </w:rPr>
              <w:t>/</w:t>
            </w:r>
            <w:r w:rsidRPr="009960E1">
              <w:rPr>
                <w:color w:val="000000"/>
                <w:szCs w:val="22"/>
                <w:lang w:val="es-ES_tradnl"/>
              </w:rPr>
              <w:t>04</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48E37A7F"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59DF3852" w14:textId="77777777" w:rsidR="00CF0CB0" w:rsidRPr="009960E1" w:rsidRDefault="00000000" w:rsidP="00F27F0E">
            <w:pPr>
              <w:pStyle w:val="Tabletext"/>
              <w:jc w:val="center"/>
              <w:rPr>
                <w:rStyle w:val="Hyperlink"/>
                <w:lang w:val="es-ES_tradnl"/>
              </w:rPr>
            </w:pPr>
            <w:hyperlink r:id="rId58" w:tooltip="Draft ITU-T A.RA (TSAG-TD396R1)" w:history="1">
              <w:r w:rsidR="00CF0CB0" w:rsidRPr="009960E1">
                <w:rPr>
                  <w:rStyle w:val="Hyperlink"/>
                  <w:lang w:val="es-ES_tradnl"/>
                </w:rPr>
                <w:t>RG-WM</w:t>
              </w:r>
            </w:hyperlink>
          </w:p>
        </w:tc>
        <w:tc>
          <w:tcPr>
            <w:tcW w:w="2138" w:type="pct"/>
            <w:shd w:val="clear" w:color="auto" w:fill="auto"/>
            <w:hideMark/>
          </w:tcPr>
          <w:p w14:paraId="638087FD"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22D6C475" w14:textId="77777777" w:rsidTr="00F27F0E">
        <w:trPr>
          <w:jc w:val="center"/>
        </w:trPr>
        <w:tc>
          <w:tcPr>
            <w:tcW w:w="839" w:type="pct"/>
            <w:shd w:val="clear" w:color="auto" w:fill="auto"/>
            <w:vAlign w:val="center"/>
            <w:hideMark/>
          </w:tcPr>
          <w:p w14:paraId="467CBB3E" w14:textId="0CCA6CD2" w:rsidR="00CF0CB0" w:rsidRPr="009960E1" w:rsidRDefault="00CF0CB0" w:rsidP="00F27F0E">
            <w:pPr>
              <w:pStyle w:val="Tabletext"/>
              <w:jc w:val="center"/>
              <w:rPr>
                <w:lang w:val="es-ES_tradnl"/>
              </w:rPr>
            </w:pPr>
            <w:r w:rsidRPr="009960E1">
              <w:rPr>
                <w:color w:val="000000"/>
                <w:szCs w:val="22"/>
                <w:lang w:val="es-ES_tradnl"/>
              </w:rPr>
              <w:t>07</w:t>
            </w:r>
            <w:r w:rsidR="00AD4724">
              <w:rPr>
                <w:color w:val="000000"/>
                <w:szCs w:val="22"/>
                <w:lang w:val="es-ES_tradnl"/>
              </w:rPr>
              <w:t>/</w:t>
            </w:r>
            <w:r w:rsidRPr="009960E1">
              <w:rPr>
                <w:color w:val="000000"/>
                <w:szCs w:val="22"/>
                <w:lang w:val="es-ES_tradnl"/>
              </w:rPr>
              <w:t>05</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3A281F34"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3041D406" w14:textId="77777777" w:rsidR="00CF0CB0" w:rsidRPr="009960E1" w:rsidRDefault="00000000" w:rsidP="00F27F0E">
            <w:pPr>
              <w:pStyle w:val="Tabletext"/>
              <w:jc w:val="center"/>
              <w:rPr>
                <w:rStyle w:val="Hyperlink"/>
                <w:lang w:val="es-ES_tradnl"/>
              </w:rPr>
            </w:pPr>
            <w:hyperlink r:id="rId59" w:tooltip="Workshop results" w:history="1">
              <w:r w:rsidR="00CF0CB0" w:rsidRPr="009960E1">
                <w:rPr>
                  <w:rStyle w:val="Hyperlink"/>
                  <w:lang w:val="es-ES_tradnl"/>
                </w:rPr>
                <w:t>RG-IEM</w:t>
              </w:r>
            </w:hyperlink>
          </w:p>
        </w:tc>
        <w:tc>
          <w:tcPr>
            <w:tcW w:w="2138" w:type="pct"/>
            <w:shd w:val="clear" w:color="auto" w:fill="auto"/>
            <w:hideMark/>
          </w:tcPr>
          <w:p w14:paraId="686FC49E"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A7143D" w14:paraId="59403DF8" w14:textId="77777777" w:rsidTr="00F27F0E">
        <w:trPr>
          <w:jc w:val="center"/>
        </w:trPr>
        <w:tc>
          <w:tcPr>
            <w:tcW w:w="839" w:type="pct"/>
            <w:shd w:val="clear" w:color="auto" w:fill="auto"/>
            <w:vAlign w:val="center"/>
            <w:hideMark/>
          </w:tcPr>
          <w:p w14:paraId="243B74ED" w14:textId="194743A6" w:rsidR="00CF0CB0" w:rsidRPr="009960E1" w:rsidRDefault="00CF0CB0" w:rsidP="00F27F0E">
            <w:pPr>
              <w:pStyle w:val="Tabletext"/>
              <w:jc w:val="center"/>
              <w:rPr>
                <w:lang w:val="es-ES_tradnl"/>
              </w:rPr>
            </w:pPr>
            <w:r w:rsidRPr="009960E1">
              <w:rPr>
                <w:color w:val="000000"/>
                <w:szCs w:val="22"/>
                <w:lang w:val="es-ES_tradnl"/>
              </w:rPr>
              <w:t>14</w:t>
            </w:r>
            <w:r w:rsidR="00AD4724">
              <w:rPr>
                <w:color w:val="000000"/>
                <w:szCs w:val="22"/>
                <w:lang w:val="es-ES_tradnl"/>
              </w:rPr>
              <w:t>/</w:t>
            </w:r>
            <w:r w:rsidRPr="009960E1">
              <w:rPr>
                <w:color w:val="000000"/>
                <w:szCs w:val="22"/>
                <w:lang w:val="es-ES_tradnl"/>
              </w:rPr>
              <w:t>05</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18017953"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0B9814BC" w14:textId="77777777" w:rsidR="00CF0CB0" w:rsidRPr="009960E1" w:rsidRDefault="00000000" w:rsidP="00F27F0E">
            <w:pPr>
              <w:pStyle w:val="Tabletext"/>
              <w:jc w:val="center"/>
              <w:rPr>
                <w:rStyle w:val="Hyperlink"/>
                <w:lang w:val="es-ES_tradnl"/>
              </w:rPr>
            </w:pPr>
            <w:hyperlink r:id="rId60" w:tooltip="Pending issues from previous rapporteur group meetings" w:history="1">
              <w:r w:rsidR="00CF0CB0" w:rsidRPr="009960E1">
                <w:rPr>
                  <w:rStyle w:val="Hyperlink"/>
                  <w:lang w:val="es-ES_tradnl"/>
                </w:rPr>
                <w:t>RG-WM</w:t>
              </w:r>
            </w:hyperlink>
          </w:p>
        </w:tc>
        <w:tc>
          <w:tcPr>
            <w:tcW w:w="2138" w:type="pct"/>
            <w:shd w:val="clear" w:color="auto" w:fill="auto"/>
            <w:hideMark/>
          </w:tcPr>
          <w:p w14:paraId="646030E2"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175A815B" w14:textId="77777777" w:rsidTr="00F27F0E">
        <w:trPr>
          <w:jc w:val="center"/>
        </w:trPr>
        <w:tc>
          <w:tcPr>
            <w:tcW w:w="839" w:type="pct"/>
            <w:shd w:val="clear" w:color="auto" w:fill="auto"/>
            <w:vAlign w:val="center"/>
            <w:hideMark/>
          </w:tcPr>
          <w:p w14:paraId="10963434" w14:textId="20DD3A1A" w:rsidR="00CF0CB0" w:rsidRPr="009960E1" w:rsidRDefault="00CF0CB0" w:rsidP="00F27F0E">
            <w:pPr>
              <w:pStyle w:val="Tabletext"/>
              <w:jc w:val="center"/>
              <w:rPr>
                <w:lang w:val="es-ES_tradnl"/>
              </w:rPr>
            </w:pPr>
            <w:r w:rsidRPr="009960E1">
              <w:rPr>
                <w:color w:val="000000"/>
                <w:szCs w:val="22"/>
                <w:lang w:val="es-ES_tradnl"/>
              </w:rPr>
              <w:t>17</w:t>
            </w:r>
            <w:r w:rsidR="00AD4724">
              <w:rPr>
                <w:color w:val="000000"/>
                <w:szCs w:val="22"/>
                <w:lang w:val="es-ES_tradnl"/>
              </w:rPr>
              <w:t>/</w:t>
            </w:r>
            <w:r w:rsidRPr="009960E1">
              <w:rPr>
                <w:color w:val="000000"/>
                <w:szCs w:val="22"/>
                <w:lang w:val="es-ES_tradnl"/>
              </w:rPr>
              <w:t>06</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6D5D71F3"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34E966EC" w14:textId="77777777" w:rsidR="00CF0CB0" w:rsidRPr="009960E1" w:rsidRDefault="00000000" w:rsidP="00F27F0E">
            <w:pPr>
              <w:pStyle w:val="Tabletext"/>
              <w:jc w:val="center"/>
              <w:rPr>
                <w:rStyle w:val="Hyperlink"/>
                <w:lang w:val="es-ES_tradnl"/>
              </w:rPr>
            </w:pPr>
            <w:hyperlink r:id="rId61" w:tooltip="Emerging technology mechanism" w:history="1">
              <w:r w:rsidR="00CF0CB0" w:rsidRPr="009960E1">
                <w:rPr>
                  <w:rStyle w:val="Hyperlink"/>
                  <w:lang w:val="es-ES_tradnl"/>
                </w:rPr>
                <w:t>RG-IEM</w:t>
              </w:r>
            </w:hyperlink>
          </w:p>
        </w:tc>
        <w:tc>
          <w:tcPr>
            <w:tcW w:w="2138" w:type="pct"/>
            <w:shd w:val="clear" w:color="auto" w:fill="auto"/>
            <w:hideMark/>
          </w:tcPr>
          <w:p w14:paraId="791E3815" w14:textId="77777777" w:rsidR="00CF0CB0" w:rsidRPr="009960E1" w:rsidRDefault="00CF0CB0" w:rsidP="00F27F0E">
            <w:pPr>
              <w:pStyle w:val="Tabletext"/>
              <w:rPr>
                <w:lang w:val="es-ES_tradnl"/>
              </w:rPr>
            </w:pPr>
            <w:r w:rsidRPr="009960E1">
              <w:rPr>
                <w:lang w:val="es-ES_tradnl"/>
              </w:rPr>
              <w:t>Reunión virtual del RG-IEM del GANT</w:t>
            </w:r>
          </w:p>
        </w:tc>
      </w:tr>
      <w:tr w:rsidR="00CF0CB0" w:rsidRPr="00A7143D" w14:paraId="6458D689" w14:textId="77777777" w:rsidTr="00F27F0E">
        <w:trPr>
          <w:jc w:val="center"/>
        </w:trPr>
        <w:tc>
          <w:tcPr>
            <w:tcW w:w="839" w:type="pct"/>
            <w:shd w:val="clear" w:color="auto" w:fill="auto"/>
            <w:vAlign w:val="center"/>
            <w:hideMark/>
          </w:tcPr>
          <w:p w14:paraId="06214020" w14:textId="412C5DF4" w:rsidR="00CF0CB0" w:rsidRPr="009960E1" w:rsidRDefault="00CF0CB0" w:rsidP="00F27F0E">
            <w:pPr>
              <w:pStyle w:val="Tabletext"/>
              <w:jc w:val="center"/>
              <w:rPr>
                <w:lang w:val="es-ES_tradnl"/>
              </w:rPr>
            </w:pPr>
            <w:r w:rsidRPr="009960E1">
              <w:rPr>
                <w:color w:val="000000"/>
                <w:szCs w:val="22"/>
                <w:lang w:val="es-ES_tradnl"/>
              </w:rPr>
              <w:t>18</w:t>
            </w:r>
            <w:r w:rsidR="00AD4724">
              <w:rPr>
                <w:color w:val="000000"/>
                <w:szCs w:val="22"/>
                <w:lang w:val="es-ES_tradnl"/>
              </w:rPr>
              <w:t>/</w:t>
            </w:r>
            <w:r w:rsidRPr="009960E1">
              <w:rPr>
                <w:color w:val="000000"/>
                <w:szCs w:val="22"/>
                <w:lang w:val="es-ES_tradnl"/>
              </w:rPr>
              <w:t>06</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44A5CAB7"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275EA613" w14:textId="77777777" w:rsidR="00CF0CB0" w:rsidRPr="009960E1" w:rsidRDefault="00000000" w:rsidP="00F27F0E">
            <w:pPr>
              <w:pStyle w:val="Tabletext"/>
              <w:jc w:val="center"/>
              <w:rPr>
                <w:rStyle w:val="Hyperlink"/>
                <w:lang w:val="es-ES_tradnl"/>
              </w:rPr>
            </w:pPr>
            <w:hyperlink r:id="rId62" w:tooltip="1. Review the results of the Industry Engagement Workshop, particularly the value proposition for ITU-T;&#10;2. Determine an appropriate methodology for the review of the ITU-T Operational Plans; &#10;3. Establish a work plan for RG-..." w:history="1">
              <w:r w:rsidR="00CF0CB0" w:rsidRPr="009960E1">
                <w:rPr>
                  <w:rStyle w:val="Hyperlink"/>
                  <w:lang w:val="es-ES_tradnl"/>
                </w:rPr>
                <w:t>RG-SOP</w:t>
              </w:r>
            </w:hyperlink>
          </w:p>
        </w:tc>
        <w:tc>
          <w:tcPr>
            <w:tcW w:w="2138" w:type="pct"/>
            <w:shd w:val="clear" w:color="auto" w:fill="auto"/>
            <w:hideMark/>
          </w:tcPr>
          <w:p w14:paraId="7515E756" w14:textId="77777777" w:rsidR="00CF0CB0" w:rsidRPr="009960E1" w:rsidRDefault="00CF0CB0" w:rsidP="00F27F0E">
            <w:pPr>
              <w:pStyle w:val="Tabletext"/>
              <w:rPr>
                <w:lang w:val="es-ES_tradnl"/>
              </w:rPr>
            </w:pPr>
            <w:r w:rsidRPr="009960E1">
              <w:rPr>
                <w:lang w:val="es-ES_tradnl"/>
              </w:rPr>
              <w:t>Reunión virtual del RG-SOP del GANT</w:t>
            </w:r>
          </w:p>
        </w:tc>
      </w:tr>
      <w:tr w:rsidR="00CF0CB0" w:rsidRPr="00A7143D" w14:paraId="5072BDC1" w14:textId="77777777" w:rsidTr="00F27F0E">
        <w:trPr>
          <w:jc w:val="center"/>
        </w:trPr>
        <w:tc>
          <w:tcPr>
            <w:tcW w:w="839" w:type="pct"/>
            <w:shd w:val="clear" w:color="auto" w:fill="auto"/>
            <w:vAlign w:val="center"/>
            <w:hideMark/>
          </w:tcPr>
          <w:p w14:paraId="3F2B2F32" w14:textId="4945D761" w:rsidR="00CF0CB0" w:rsidRPr="009960E1" w:rsidRDefault="00CF0CB0" w:rsidP="00F27F0E">
            <w:pPr>
              <w:pStyle w:val="Tabletext"/>
              <w:jc w:val="center"/>
              <w:rPr>
                <w:lang w:val="es-ES_tradnl"/>
              </w:rPr>
            </w:pPr>
            <w:r w:rsidRPr="009960E1">
              <w:rPr>
                <w:color w:val="000000"/>
                <w:szCs w:val="22"/>
                <w:lang w:val="es-ES_tradnl"/>
              </w:rPr>
              <w:t>19</w:t>
            </w:r>
            <w:r w:rsidR="00AD4724">
              <w:rPr>
                <w:color w:val="000000"/>
                <w:szCs w:val="22"/>
                <w:lang w:val="es-ES_tradnl"/>
              </w:rPr>
              <w:t>/</w:t>
            </w:r>
            <w:r w:rsidRPr="009960E1">
              <w:rPr>
                <w:color w:val="000000"/>
                <w:szCs w:val="22"/>
                <w:lang w:val="es-ES_tradnl"/>
              </w:rPr>
              <w:t>06</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76BE5A71"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7FA0939D" w14:textId="77777777" w:rsidR="00CF0CB0" w:rsidRPr="009960E1" w:rsidRDefault="00000000" w:rsidP="00F27F0E">
            <w:pPr>
              <w:pStyle w:val="Tabletext"/>
              <w:jc w:val="center"/>
              <w:rPr>
                <w:rStyle w:val="Hyperlink"/>
                <w:lang w:val="es-ES_tradnl"/>
              </w:rPr>
            </w:pPr>
            <w:hyperlink r:id="rId63" w:tooltip="Preparation status on the consolidation of ITU-T SG9 and SG16" w:history="1">
              <w:r w:rsidR="00CF0CB0" w:rsidRPr="009960E1">
                <w:rPr>
                  <w:rStyle w:val="Hyperlink"/>
                  <w:lang w:val="es-ES_tradnl"/>
                </w:rPr>
                <w:t>RG-WPR</w:t>
              </w:r>
            </w:hyperlink>
          </w:p>
        </w:tc>
        <w:tc>
          <w:tcPr>
            <w:tcW w:w="2138" w:type="pct"/>
            <w:shd w:val="clear" w:color="auto" w:fill="auto"/>
            <w:hideMark/>
          </w:tcPr>
          <w:p w14:paraId="4E4BE3E6" w14:textId="77777777" w:rsidR="00CF0CB0" w:rsidRPr="009960E1" w:rsidRDefault="00CF0CB0" w:rsidP="00F27F0E">
            <w:pPr>
              <w:pStyle w:val="Tabletext"/>
              <w:rPr>
                <w:lang w:val="es-ES_tradnl"/>
              </w:rPr>
            </w:pPr>
            <w:r w:rsidRPr="009960E1">
              <w:rPr>
                <w:lang w:val="es-ES_tradnl"/>
              </w:rPr>
              <w:t>Reunión virtual del RG-WPR del GANT</w:t>
            </w:r>
          </w:p>
        </w:tc>
      </w:tr>
      <w:tr w:rsidR="00CF0CB0" w:rsidRPr="00A7143D" w14:paraId="53B689CB" w14:textId="77777777" w:rsidTr="00F27F0E">
        <w:trPr>
          <w:jc w:val="center"/>
        </w:trPr>
        <w:tc>
          <w:tcPr>
            <w:tcW w:w="839" w:type="pct"/>
            <w:shd w:val="clear" w:color="auto" w:fill="auto"/>
            <w:vAlign w:val="center"/>
            <w:hideMark/>
          </w:tcPr>
          <w:p w14:paraId="5CE66EBA" w14:textId="0CF15FCD" w:rsidR="00CF0CB0" w:rsidRPr="009960E1" w:rsidRDefault="00CF0CB0" w:rsidP="00F27F0E">
            <w:pPr>
              <w:pStyle w:val="Tabletext"/>
              <w:jc w:val="center"/>
              <w:rPr>
                <w:lang w:val="es-ES_tradnl"/>
              </w:rPr>
            </w:pPr>
            <w:r w:rsidRPr="009960E1">
              <w:rPr>
                <w:color w:val="000000"/>
                <w:szCs w:val="22"/>
                <w:lang w:val="es-ES_tradnl"/>
              </w:rPr>
              <w:t>20</w:t>
            </w:r>
            <w:r w:rsidR="00AD4724">
              <w:rPr>
                <w:color w:val="000000"/>
                <w:szCs w:val="22"/>
                <w:lang w:val="es-ES_tradnl"/>
              </w:rPr>
              <w:t>/</w:t>
            </w:r>
            <w:r w:rsidRPr="009960E1">
              <w:rPr>
                <w:color w:val="000000"/>
                <w:szCs w:val="22"/>
                <w:lang w:val="es-ES_tradnl"/>
              </w:rPr>
              <w:t>06</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0F32B8B4"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27E490C8" w14:textId="77777777" w:rsidR="00CF0CB0" w:rsidRPr="009960E1" w:rsidRDefault="00000000" w:rsidP="00F27F0E">
            <w:pPr>
              <w:pStyle w:val="Tabletext"/>
              <w:jc w:val="center"/>
              <w:rPr>
                <w:rStyle w:val="Hyperlink"/>
                <w:lang w:val="es-ES_tradnl"/>
              </w:rPr>
            </w:pPr>
            <w:hyperlink r:id="rId64" w:tooltip="Progress draft new A.SupWTSAGL and A.BN; review proposals on concrete implementation of streamlining of WTSA Resolutions and Opinion." w:history="1">
              <w:r w:rsidR="00CF0CB0" w:rsidRPr="009960E1">
                <w:rPr>
                  <w:rStyle w:val="Hyperlink"/>
                  <w:lang w:val="es-ES_tradnl"/>
                </w:rPr>
                <w:t>RG-WTSA</w:t>
              </w:r>
            </w:hyperlink>
          </w:p>
        </w:tc>
        <w:tc>
          <w:tcPr>
            <w:tcW w:w="2138" w:type="pct"/>
            <w:shd w:val="clear" w:color="auto" w:fill="auto"/>
            <w:hideMark/>
          </w:tcPr>
          <w:p w14:paraId="069315C3" w14:textId="77777777" w:rsidR="00CF0CB0" w:rsidRPr="009960E1" w:rsidRDefault="00CF0CB0" w:rsidP="00F27F0E">
            <w:pPr>
              <w:pStyle w:val="Tabletext"/>
              <w:rPr>
                <w:lang w:val="es-ES_tradnl"/>
              </w:rPr>
            </w:pPr>
            <w:r w:rsidRPr="009960E1">
              <w:rPr>
                <w:lang w:val="es-ES_tradnl"/>
              </w:rPr>
              <w:t>Reunión virtual del RG-WTSA del GANT</w:t>
            </w:r>
          </w:p>
        </w:tc>
      </w:tr>
      <w:tr w:rsidR="00CF0CB0" w:rsidRPr="00A7143D" w14:paraId="406BFC64" w14:textId="77777777" w:rsidTr="00F27F0E">
        <w:trPr>
          <w:jc w:val="center"/>
        </w:trPr>
        <w:tc>
          <w:tcPr>
            <w:tcW w:w="839" w:type="pct"/>
            <w:shd w:val="clear" w:color="auto" w:fill="auto"/>
            <w:vAlign w:val="center"/>
            <w:hideMark/>
          </w:tcPr>
          <w:p w14:paraId="1CD1142E" w14:textId="2016FCBF" w:rsidR="00CF0CB0" w:rsidRPr="009960E1" w:rsidRDefault="00CF0CB0" w:rsidP="00F27F0E">
            <w:pPr>
              <w:pStyle w:val="Tabletext"/>
              <w:jc w:val="center"/>
              <w:rPr>
                <w:lang w:val="es-ES_tradnl"/>
              </w:rPr>
            </w:pPr>
            <w:r w:rsidRPr="009960E1">
              <w:rPr>
                <w:color w:val="000000"/>
                <w:szCs w:val="22"/>
                <w:lang w:val="es-ES_tradnl"/>
              </w:rPr>
              <w:t>24</w:t>
            </w:r>
            <w:r w:rsidR="00AD4724">
              <w:rPr>
                <w:color w:val="000000"/>
                <w:szCs w:val="22"/>
                <w:lang w:val="es-ES_tradnl"/>
              </w:rPr>
              <w:t>/</w:t>
            </w:r>
            <w:r w:rsidRPr="009960E1">
              <w:rPr>
                <w:color w:val="000000"/>
                <w:szCs w:val="22"/>
                <w:lang w:val="es-ES_tradnl"/>
              </w:rPr>
              <w:t>06</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1BFFDD9D"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41E58CA7" w14:textId="77777777" w:rsidR="00CF0CB0" w:rsidRPr="009960E1" w:rsidRDefault="00000000" w:rsidP="00F27F0E">
            <w:pPr>
              <w:pStyle w:val="Tabletext"/>
              <w:jc w:val="center"/>
              <w:rPr>
                <w:rStyle w:val="Hyperlink"/>
                <w:lang w:val="es-ES_tradnl"/>
              </w:rPr>
            </w:pPr>
            <w:hyperlink r:id="rId65" w:tooltip=" Progress a gap analysis on the activities and studies on digital transformation;&#10; Consider inter alia, definitions, concepts, system architectures, use-cases, fundamental underlying technologies, interoperability, and the e..." w:history="1">
              <w:r w:rsidR="00CF0CB0" w:rsidRPr="009960E1">
                <w:rPr>
                  <w:rStyle w:val="Hyperlink"/>
                  <w:lang w:val="es-ES_tradnl"/>
                </w:rPr>
                <w:t>RG-DT</w:t>
              </w:r>
            </w:hyperlink>
          </w:p>
        </w:tc>
        <w:tc>
          <w:tcPr>
            <w:tcW w:w="2138" w:type="pct"/>
            <w:shd w:val="clear" w:color="auto" w:fill="auto"/>
            <w:hideMark/>
          </w:tcPr>
          <w:p w14:paraId="1E51BA7C" w14:textId="77777777" w:rsidR="00CF0CB0" w:rsidRPr="009960E1" w:rsidRDefault="00CF0CB0" w:rsidP="00F27F0E">
            <w:pPr>
              <w:pStyle w:val="Tabletext"/>
              <w:rPr>
                <w:lang w:val="es-ES_tradnl"/>
              </w:rPr>
            </w:pPr>
            <w:r w:rsidRPr="009960E1">
              <w:rPr>
                <w:lang w:val="es-ES_tradnl"/>
              </w:rPr>
              <w:t>Reunión virtual del RG-DT del GANT</w:t>
            </w:r>
          </w:p>
        </w:tc>
      </w:tr>
      <w:tr w:rsidR="00CF0CB0" w:rsidRPr="00A7143D" w14:paraId="1751CCC6" w14:textId="77777777" w:rsidTr="00F27F0E">
        <w:trPr>
          <w:jc w:val="center"/>
        </w:trPr>
        <w:tc>
          <w:tcPr>
            <w:tcW w:w="839" w:type="pct"/>
            <w:shd w:val="clear" w:color="auto" w:fill="auto"/>
            <w:vAlign w:val="center"/>
            <w:hideMark/>
          </w:tcPr>
          <w:p w14:paraId="09BE5DE6" w14:textId="039DB9E2" w:rsidR="00CF0CB0" w:rsidRPr="009960E1" w:rsidRDefault="00CF0CB0" w:rsidP="00F27F0E">
            <w:pPr>
              <w:pStyle w:val="Tabletext"/>
              <w:jc w:val="center"/>
              <w:rPr>
                <w:lang w:val="es-ES_tradnl"/>
              </w:rPr>
            </w:pPr>
            <w:r w:rsidRPr="009960E1">
              <w:rPr>
                <w:color w:val="000000"/>
                <w:szCs w:val="22"/>
                <w:lang w:val="es-ES_tradnl"/>
              </w:rPr>
              <w:t>01</w:t>
            </w:r>
            <w:r w:rsidR="00AD4724">
              <w:rPr>
                <w:color w:val="000000"/>
                <w:szCs w:val="22"/>
                <w:lang w:val="es-ES_tradnl"/>
              </w:rPr>
              <w:t>/</w:t>
            </w:r>
            <w:r w:rsidRPr="009960E1">
              <w:rPr>
                <w:color w:val="000000"/>
                <w:szCs w:val="22"/>
                <w:lang w:val="es-ES_tradnl"/>
              </w:rPr>
              <w:t>07</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672504AA"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1230CBDF" w14:textId="77777777" w:rsidR="00CF0CB0" w:rsidRPr="009960E1" w:rsidRDefault="00000000" w:rsidP="00F27F0E">
            <w:pPr>
              <w:pStyle w:val="Tabletext"/>
              <w:jc w:val="center"/>
              <w:rPr>
                <w:rStyle w:val="Hyperlink"/>
                <w:lang w:val="es-ES_tradnl"/>
              </w:rPr>
            </w:pPr>
            <w:hyperlink r:id="rId66" w:tooltip=" Progress a gap analysis on the activities and studies on digital transformation;&#10; Consider inter alia, definitions, concepts, system architectures, use-cases, fundamental underlying technologies, interoperability, and the e..." w:history="1">
              <w:r w:rsidR="00CF0CB0" w:rsidRPr="009960E1">
                <w:rPr>
                  <w:rStyle w:val="Hyperlink"/>
                  <w:lang w:val="es-ES_tradnl"/>
                </w:rPr>
                <w:t>RG-DT</w:t>
              </w:r>
            </w:hyperlink>
          </w:p>
        </w:tc>
        <w:tc>
          <w:tcPr>
            <w:tcW w:w="2138" w:type="pct"/>
            <w:shd w:val="clear" w:color="auto" w:fill="auto"/>
            <w:hideMark/>
          </w:tcPr>
          <w:p w14:paraId="7509E2E1" w14:textId="77777777" w:rsidR="00CF0CB0" w:rsidRPr="009960E1" w:rsidRDefault="00CF0CB0" w:rsidP="00F27F0E">
            <w:pPr>
              <w:pStyle w:val="Tabletext"/>
              <w:rPr>
                <w:lang w:val="es-ES_tradnl"/>
              </w:rPr>
            </w:pPr>
            <w:r w:rsidRPr="009960E1">
              <w:rPr>
                <w:lang w:val="es-ES_tradnl"/>
              </w:rPr>
              <w:t>Reunión virtual del RG-DT del GANT</w:t>
            </w:r>
          </w:p>
        </w:tc>
      </w:tr>
      <w:tr w:rsidR="00CF0CB0" w:rsidRPr="00A7143D" w14:paraId="76C7F34F" w14:textId="77777777" w:rsidTr="00F27F0E">
        <w:trPr>
          <w:jc w:val="center"/>
        </w:trPr>
        <w:tc>
          <w:tcPr>
            <w:tcW w:w="839" w:type="pct"/>
            <w:shd w:val="clear" w:color="auto" w:fill="auto"/>
            <w:vAlign w:val="center"/>
            <w:hideMark/>
          </w:tcPr>
          <w:p w14:paraId="3829854C" w14:textId="54BE9E3E" w:rsidR="00CF0CB0" w:rsidRPr="009960E1" w:rsidRDefault="00CF0CB0" w:rsidP="00F27F0E">
            <w:pPr>
              <w:pStyle w:val="Tabletext"/>
              <w:jc w:val="center"/>
              <w:rPr>
                <w:lang w:val="es-ES_tradnl"/>
              </w:rPr>
            </w:pPr>
            <w:r w:rsidRPr="009960E1">
              <w:rPr>
                <w:color w:val="000000"/>
                <w:szCs w:val="22"/>
                <w:lang w:val="es-ES_tradnl"/>
              </w:rPr>
              <w:lastRenderedPageBreak/>
              <w:t>02</w:t>
            </w:r>
            <w:r w:rsidR="00AD4724">
              <w:rPr>
                <w:color w:val="000000"/>
                <w:szCs w:val="22"/>
                <w:lang w:val="es-ES_tradnl"/>
              </w:rPr>
              <w:t>/</w:t>
            </w:r>
            <w:r w:rsidRPr="009960E1">
              <w:rPr>
                <w:color w:val="000000"/>
                <w:szCs w:val="22"/>
                <w:lang w:val="es-ES_tradnl"/>
              </w:rPr>
              <w:t>07</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2BEB8562"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0568D31A" w14:textId="77777777" w:rsidR="00CF0CB0" w:rsidRPr="009960E1" w:rsidRDefault="00000000" w:rsidP="00F27F0E">
            <w:pPr>
              <w:pStyle w:val="Tabletext"/>
              <w:jc w:val="center"/>
              <w:rPr>
                <w:rStyle w:val="Hyperlink"/>
                <w:lang w:val="es-ES_tradnl"/>
              </w:rPr>
            </w:pPr>
            <w:hyperlink r:id="rId67" w:tooltip="A-Suppl.4; pending issues from previous rapporteur group meetings" w:history="1">
              <w:r w:rsidR="00CF0CB0" w:rsidRPr="009960E1">
                <w:rPr>
                  <w:rStyle w:val="Hyperlink"/>
                  <w:lang w:val="es-ES_tradnl"/>
                </w:rPr>
                <w:t>RG-WM</w:t>
              </w:r>
            </w:hyperlink>
          </w:p>
        </w:tc>
        <w:tc>
          <w:tcPr>
            <w:tcW w:w="2138" w:type="pct"/>
            <w:shd w:val="clear" w:color="auto" w:fill="auto"/>
            <w:hideMark/>
          </w:tcPr>
          <w:p w14:paraId="21773F66" w14:textId="77777777" w:rsidR="00CF0CB0" w:rsidRPr="009960E1" w:rsidRDefault="00CF0CB0" w:rsidP="00F27F0E">
            <w:pPr>
              <w:pStyle w:val="Tabletext"/>
              <w:rPr>
                <w:lang w:val="es-ES_tradnl"/>
              </w:rPr>
            </w:pPr>
            <w:r w:rsidRPr="009960E1">
              <w:rPr>
                <w:lang w:val="es-ES_tradnl"/>
              </w:rPr>
              <w:t>Reunión virtual del RG-WM del GANT</w:t>
            </w:r>
          </w:p>
        </w:tc>
      </w:tr>
      <w:tr w:rsidR="00CF0CB0" w:rsidRPr="00A7143D" w14:paraId="3151CF82" w14:textId="77777777" w:rsidTr="00F27F0E">
        <w:trPr>
          <w:jc w:val="center"/>
        </w:trPr>
        <w:tc>
          <w:tcPr>
            <w:tcW w:w="839" w:type="pct"/>
            <w:shd w:val="clear" w:color="auto" w:fill="auto"/>
            <w:vAlign w:val="center"/>
            <w:hideMark/>
          </w:tcPr>
          <w:p w14:paraId="6FCE13EF" w14:textId="781D9C51" w:rsidR="00CF0CB0" w:rsidRPr="009960E1" w:rsidRDefault="00CF0CB0" w:rsidP="00F27F0E">
            <w:pPr>
              <w:pStyle w:val="Tabletext"/>
              <w:jc w:val="center"/>
              <w:rPr>
                <w:lang w:val="es-ES_tradnl"/>
              </w:rPr>
            </w:pPr>
            <w:r w:rsidRPr="009960E1">
              <w:rPr>
                <w:color w:val="000000"/>
                <w:szCs w:val="22"/>
                <w:lang w:val="es-ES_tradnl"/>
              </w:rPr>
              <w:t>04</w:t>
            </w:r>
            <w:r w:rsidR="00AD4724">
              <w:rPr>
                <w:color w:val="000000"/>
                <w:szCs w:val="22"/>
                <w:lang w:val="es-ES_tradnl"/>
              </w:rPr>
              <w:t>/</w:t>
            </w:r>
            <w:r w:rsidRPr="009960E1">
              <w:rPr>
                <w:color w:val="000000"/>
                <w:szCs w:val="22"/>
                <w:lang w:val="es-ES_tradnl"/>
              </w:rPr>
              <w:t>09</w:t>
            </w:r>
            <w:r w:rsidR="00AD4724">
              <w:rPr>
                <w:color w:val="000000"/>
                <w:szCs w:val="22"/>
                <w:lang w:val="es-ES_tradnl"/>
              </w:rPr>
              <w:t>/</w:t>
            </w:r>
            <w:r w:rsidRPr="009960E1">
              <w:rPr>
                <w:color w:val="000000"/>
                <w:szCs w:val="22"/>
                <w:lang w:val="es-ES_tradnl"/>
              </w:rPr>
              <w:t>2024</w:t>
            </w:r>
          </w:p>
        </w:tc>
        <w:tc>
          <w:tcPr>
            <w:tcW w:w="1011" w:type="pct"/>
            <w:shd w:val="clear" w:color="auto" w:fill="auto"/>
            <w:hideMark/>
          </w:tcPr>
          <w:p w14:paraId="4FDFA9F0" w14:textId="77777777" w:rsidR="00CF0CB0" w:rsidRPr="009960E1" w:rsidRDefault="00CF0CB0" w:rsidP="00F27F0E">
            <w:pPr>
              <w:pStyle w:val="Tabletext"/>
              <w:jc w:val="center"/>
              <w:rPr>
                <w:lang w:val="es-ES_tradnl"/>
              </w:rPr>
            </w:pPr>
            <w:r w:rsidRPr="009960E1">
              <w:rPr>
                <w:lang w:val="es-ES_tradnl"/>
              </w:rPr>
              <w:t>Reunión virtual</w:t>
            </w:r>
          </w:p>
        </w:tc>
        <w:tc>
          <w:tcPr>
            <w:tcW w:w="1012" w:type="pct"/>
            <w:shd w:val="clear" w:color="auto" w:fill="auto"/>
            <w:hideMark/>
          </w:tcPr>
          <w:p w14:paraId="52874E9A" w14:textId="77777777" w:rsidR="00CF0CB0" w:rsidRPr="009960E1" w:rsidRDefault="00000000" w:rsidP="00F27F0E">
            <w:pPr>
              <w:pStyle w:val="Tabletext"/>
              <w:jc w:val="center"/>
              <w:rPr>
                <w:rStyle w:val="Hyperlink"/>
                <w:lang w:val="es-ES_tradnl"/>
              </w:rPr>
            </w:pPr>
            <w:hyperlink r:id="rId68" w:tooltip="RG-SOP topics" w:history="1">
              <w:r w:rsidR="00CF0CB0" w:rsidRPr="009960E1">
                <w:rPr>
                  <w:rStyle w:val="Hyperlink"/>
                  <w:lang w:val="es-ES_tradnl"/>
                </w:rPr>
                <w:t>RG-SOP</w:t>
              </w:r>
            </w:hyperlink>
          </w:p>
        </w:tc>
        <w:tc>
          <w:tcPr>
            <w:tcW w:w="2138" w:type="pct"/>
            <w:shd w:val="clear" w:color="auto" w:fill="auto"/>
            <w:hideMark/>
          </w:tcPr>
          <w:p w14:paraId="2BDF51CC" w14:textId="77777777" w:rsidR="00CF0CB0" w:rsidRPr="009960E1" w:rsidRDefault="00CF0CB0" w:rsidP="00F27F0E">
            <w:pPr>
              <w:pStyle w:val="Tabletext"/>
              <w:rPr>
                <w:lang w:val="es-ES_tradnl"/>
              </w:rPr>
            </w:pPr>
            <w:r w:rsidRPr="009960E1">
              <w:rPr>
                <w:lang w:val="es-ES_tradnl"/>
              </w:rPr>
              <w:t>Reunión virtual del RG-SOP del GANT</w:t>
            </w:r>
          </w:p>
        </w:tc>
      </w:tr>
    </w:tbl>
    <w:p w14:paraId="2A92843F" w14:textId="77777777" w:rsidR="00CF0CB0" w:rsidRPr="009960E1" w:rsidRDefault="00CF0CB0" w:rsidP="00CF0CB0">
      <w:pPr>
        <w:pStyle w:val="Heading1"/>
        <w:rPr>
          <w:lang w:val="es-ES_tradnl"/>
        </w:rPr>
      </w:pPr>
      <w:bookmarkStart w:id="8" w:name="_Toc178345854"/>
      <w:bookmarkStart w:id="9" w:name="_Toc179189948"/>
      <w:r w:rsidRPr="009960E1">
        <w:rPr>
          <w:bCs/>
          <w:lang w:val="es-ES_tradnl"/>
        </w:rPr>
        <w:t>2</w:t>
      </w:r>
      <w:r w:rsidRPr="009960E1">
        <w:rPr>
          <w:lang w:val="es-ES_tradnl"/>
        </w:rPr>
        <w:tab/>
      </w:r>
      <w:proofErr w:type="gramStart"/>
      <w:r w:rsidRPr="009960E1">
        <w:rPr>
          <w:bCs/>
          <w:lang w:val="es-ES_tradnl"/>
        </w:rPr>
        <w:t>Organización</w:t>
      </w:r>
      <w:proofErr w:type="gramEnd"/>
      <w:r w:rsidRPr="009960E1">
        <w:rPr>
          <w:bCs/>
          <w:lang w:val="es-ES_tradnl"/>
        </w:rPr>
        <w:t xml:space="preserve"> del trabajo</w:t>
      </w:r>
      <w:bookmarkEnd w:id="6"/>
      <w:bookmarkEnd w:id="7"/>
      <w:bookmarkEnd w:id="8"/>
      <w:bookmarkEnd w:id="9"/>
    </w:p>
    <w:p w14:paraId="51E82C71" w14:textId="77777777" w:rsidR="00CF0CB0" w:rsidRPr="009960E1" w:rsidRDefault="00CF0CB0" w:rsidP="00CF0CB0">
      <w:pPr>
        <w:pStyle w:val="Heading2"/>
        <w:rPr>
          <w:lang w:val="es-ES_tradnl"/>
        </w:rPr>
      </w:pPr>
      <w:bookmarkStart w:id="10" w:name="_Toc178345855"/>
      <w:bookmarkStart w:id="11" w:name="_Toc179189949"/>
      <w:r w:rsidRPr="009960E1">
        <w:rPr>
          <w:bCs/>
          <w:lang w:val="es-ES_tradnl"/>
        </w:rPr>
        <w:t>2.1</w:t>
      </w:r>
      <w:r w:rsidRPr="009960E1">
        <w:rPr>
          <w:lang w:val="es-ES_tradnl"/>
        </w:rPr>
        <w:tab/>
      </w:r>
      <w:r w:rsidRPr="009960E1">
        <w:rPr>
          <w:bCs/>
          <w:lang w:val="es-ES_tradnl"/>
        </w:rPr>
        <w:t>Organización de los estudios y atribución de trabajos</w:t>
      </w:r>
      <w:bookmarkEnd w:id="10"/>
      <w:bookmarkEnd w:id="11"/>
    </w:p>
    <w:p w14:paraId="52FDD6CC" w14:textId="77777777" w:rsidR="00CF0CB0" w:rsidRPr="009960E1" w:rsidRDefault="00CF0CB0" w:rsidP="00CF0CB0">
      <w:pPr>
        <w:rPr>
          <w:lang w:val="es-ES_tradnl"/>
        </w:rPr>
      </w:pPr>
      <w:r w:rsidRPr="009960E1">
        <w:rPr>
          <w:b/>
          <w:bCs/>
          <w:lang w:val="es-ES_tradnl"/>
        </w:rPr>
        <w:t>2.1.1</w:t>
      </w:r>
      <w:r w:rsidRPr="009960E1">
        <w:rPr>
          <w:lang w:val="es-ES_tradnl"/>
        </w:rPr>
        <w:tab/>
        <w:t>En su primera reunión del periodo de estudios, el GANT decidió crear dos Grupos de Trabajo.</w:t>
      </w:r>
    </w:p>
    <w:p w14:paraId="6F263197" w14:textId="77777777" w:rsidR="00CF0CB0" w:rsidRPr="009960E1" w:rsidRDefault="00CF0CB0" w:rsidP="00CF0CB0">
      <w:pPr>
        <w:rPr>
          <w:lang w:val="es-ES_tradnl"/>
        </w:rPr>
      </w:pPr>
      <w:r w:rsidRPr="009960E1">
        <w:rPr>
          <w:b/>
          <w:bCs/>
          <w:lang w:val="es-ES_tradnl"/>
        </w:rPr>
        <w:t>2.1.2</w:t>
      </w:r>
      <w:r w:rsidRPr="009960E1">
        <w:rPr>
          <w:lang w:val="es-ES_tradnl"/>
        </w:rPr>
        <w:tab/>
        <w:t>En el Cuadro 3 se indica el número y el nombre de los distintos Grupos de Trabajo, junto con los Grupos de Relator que tienen asignados y el nombre de sus Presidentes.</w:t>
      </w:r>
    </w:p>
    <w:p w14:paraId="274953C3" w14:textId="77777777" w:rsidR="00CF0CB0" w:rsidRPr="009960E1" w:rsidRDefault="00CF0CB0" w:rsidP="00CF0CB0">
      <w:pPr>
        <w:rPr>
          <w:lang w:val="es-ES_tradnl"/>
        </w:rPr>
      </w:pPr>
      <w:r w:rsidRPr="009960E1">
        <w:rPr>
          <w:b/>
          <w:bCs/>
          <w:lang w:val="es-ES_tradnl"/>
        </w:rPr>
        <w:t>2.1.3</w:t>
      </w:r>
      <w:r w:rsidRPr="009960E1">
        <w:rPr>
          <w:lang w:val="es-ES_tradnl"/>
        </w:rPr>
        <w:tab/>
        <w:t>En el Cuadro 4 se enumeran otros grupos organizados por el GANT durante el periodo de estudios.</w:t>
      </w:r>
    </w:p>
    <w:p w14:paraId="431F1484" w14:textId="77777777" w:rsidR="00CF0CB0" w:rsidRPr="009960E1" w:rsidRDefault="00CF0CB0" w:rsidP="00CF0CB0">
      <w:pPr>
        <w:pStyle w:val="TableNotitle"/>
        <w:rPr>
          <w:lang w:val="es-ES_tradnl"/>
        </w:rPr>
      </w:pPr>
      <w:r w:rsidRPr="009960E1">
        <w:rPr>
          <w:b w:val="0"/>
          <w:bCs/>
          <w:lang w:val="es-ES_tradnl"/>
        </w:rPr>
        <w:t>CUADRO 3</w:t>
      </w:r>
      <w:r w:rsidRPr="009960E1">
        <w:rPr>
          <w:lang w:val="es-ES_tradnl"/>
        </w:rPr>
        <w:br/>
        <w:t>Organización del GANT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1"/>
        <w:gridCol w:w="1870"/>
        <w:gridCol w:w="2373"/>
        <w:gridCol w:w="3965"/>
      </w:tblGrid>
      <w:tr w:rsidR="00CF0CB0" w:rsidRPr="009960E1" w14:paraId="0BC28180" w14:textId="77777777" w:rsidTr="00F27F0E">
        <w:trPr>
          <w:cantSplit/>
          <w:tblHeader/>
          <w:jc w:val="center"/>
        </w:trPr>
        <w:tc>
          <w:tcPr>
            <w:tcW w:w="1420" w:type="dxa"/>
            <w:tcBorders>
              <w:top w:val="single" w:sz="12" w:space="0" w:color="auto"/>
              <w:bottom w:val="single" w:sz="12" w:space="0" w:color="auto"/>
            </w:tcBorders>
            <w:shd w:val="clear" w:color="auto" w:fill="F2F2F2" w:themeFill="background1" w:themeFillShade="F2"/>
            <w:tcMar>
              <w:left w:w="57" w:type="dxa"/>
              <w:right w:w="57" w:type="dxa"/>
            </w:tcMar>
            <w:vAlign w:val="center"/>
          </w:tcPr>
          <w:p w14:paraId="1A62DA08" w14:textId="77777777" w:rsidR="00CF0CB0" w:rsidRPr="009960E1" w:rsidRDefault="00CF0CB0" w:rsidP="00F27F0E">
            <w:pPr>
              <w:pStyle w:val="Tablehead"/>
              <w:rPr>
                <w:lang w:val="es-ES_tradnl"/>
              </w:rPr>
            </w:pPr>
            <w:r w:rsidRPr="009960E1">
              <w:rPr>
                <w:bCs/>
                <w:lang w:val="es-ES_tradnl"/>
              </w:rPr>
              <w:t>Designación</w:t>
            </w:r>
          </w:p>
        </w:tc>
        <w:tc>
          <w:tcPr>
            <w:tcW w:w="1898" w:type="dxa"/>
            <w:tcBorders>
              <w:top w:val="single" w:sz="12" w:space="0" w:color="auto"/>
              <w:bottom w:val="single" w:sz="12" w:space="0" w:color="auto"/>
            </w:tcBorders>
            <w:shd w:val="clear" w:color="auto" w:fill="F2F2F2" w:themeFill="background1" w:themeFillShade="F2"/>
            <w:tcMar>
              <w:left w:w="57" w:type="dxa"/>
              <w:right w:w="57" w:type="dxa"/>
            </w:tcMar>
            <w:vAlign w:val="center"/>
          </w:tcPr>
          <w:p w14:paraId="5D5322B8" w14:textId="77777777" w:rsidR="00CF0CB0" w:rsidRPr="009960E1" w:rsidRDefault="00CF0CB0" w:rsidP="00F27F0E">
            <w:pPr>
              <w:pStyle w:val="Tablehead"/>
              <w:rPr>
                <w:lang w:val="es-ES_tradnl"/>
              </w:rPr>
            </w:pPr>
            <w:r w:rsidRPr="009960E1">
              <w:rPr>
                <w:bCs/>
                <w:lang w:val="es-ES_tradnl"/>
              </w:rPr>
              <w:t>Grupos de Relator asignados</w:t>
            </w:r>
          </w:p>
        </w:tc>
        <w:tc>
          <w:tcPr>
            <w:tcW w:w="2409" w:type="dxa"/>
            <w:tcBorders>
              <w:top w:val="single" w:sz="12" w:space="0" w:color="auto"/>
              <w:bottom w:val="single" w:sz="12" w:space="0" w:color="auto"/>
            </w:tcBorders>
            <w:shd w:val="clear" w:color="auto" w:fill="F2F2F2" w:themeFill="background1" w:themeFillShade="F2"/>
            <w:tcMar>
              <w:left w:w="57" w:type="dxa"/>
              <w:right w:w="57" w:type="dxa"/>
            </w:tcMar>
            <w:vAlign w:val="center"/>
          </w:tcPr>
          <w:p w14:paraId="5967E76D" w14:textId="77777777" w:rsidR="00CF0CB0" w:rsidRPr="009960E1" w:rsidRDefault="00CF0CB0" w:rsidP="00F27F0E">
            <w:pPr>
              <w:pStyle w:val="Tablehead"/>
              <w:rPr>
                <w:lang w:val="es-ES_tradnl"/>
              </w:rPr>
            </w:pPr>
            <w:r w:rsidRPr="009960E1">
              <w:rPr>
                <w:bCs/>
                <w:lang w:val="es-ES_tradnl"/>
              </w:rPr>
              <w:t>Nombre del Grupo de Trabajo</w:t>
            </w:r>
          </w:p>
        </w:tc>
        <w:tc>
          <w:tcPr>
            <w:tcW w:w="4026" w:type="dxa"/>
            <w:tcBorders>
              <w:top w:val="single" w:sz="12" w:space="0" w:color="auto"/>
              <w:bottom w:val="single" w:sz="12" w:space="0" w:color="auto"/>
            </w:tcBorders>
            <w:shd w:val="clear" w:color="auto" w:fill="F2F2F2" w:themeFill="background1" w:themeFillShade="F2"/>
            <w:tcMar>
              <w:left w:w="57" w:type="dxa"/>
              <w:right w:w="57" w:type="dxa"/>
            </w:tcMar>
            <w:vAlign w:val="center"/>
          </w:tcPr>
          <w:p w14:paraId="022620BC" w14:textId="77777777" w:rsidR="00CF0CB0" w:rsidRPr="009960E1" w:rsidRDefault="00CF0CB0" w:rsidP="00F27F0E">
            <w:pPr>
              <w:pStyle w:val="Tablehead"/>
              <w:rPr>
                <w:lang w:val="es-ES_tradnl"/>
              </w:rPr>
            </w:pPr>
            <w:r w:rsidRPr="009960E1">
              <w:rPr>
                <w:bCs/>
                <w:lang w:val="es-ES_tradnl"/>
              </w:rPr>
              <w:t>Presidencia y Vicepresidencia</w:t>
            </w:r>
          </w:p>
        </w:tc>
      </w:tr>
      <w:tr w:rsidR="00CF0CB0" w:rsidRPr="00A7143D" w14:paraId="30C5E6C0" w14:textId="77777777" w:rsidTr="00F27F0E">
        <w:trPr>
          <w:cantSplit/>
          <w:jc w:val="center"/>
        </w:trPr>
        <w:tc>
          <w:tcPr>
            <w:tcW w:w="1420" w:type="dxa"/>
            <w:tcBorders>
              <w:top w:val="single" w:sz="12" w:space="0" w:color="auto"/>
            </w:tcBorders>
            <w:shd w:val="clear" w:color="auto" w:fill="auto"/>
            <w:tcMar>
              <w:left w:w="57" w:type="dxa"/>
              <w:right w:w="57" w:type="dxa"/>
            </w:tcMar>
          </w:tcPr>
          <w:p w14:paraId="3FEEBDA1" w14:textId="77777777" w:rsidR="00CF0CB0" w:rsidRPr="009960E1" w:rsidRDefault="00CF0CB0" w:rsidP="00F27F0E">
            <w:pPr>
              <w:pStyle w:val="Tabletext"/>
              <w:rPr>
                <w:lang w:val="es-ES_tradnl"/>
              </w:rPr>
            </w:pPr>
            <w:r w:rsidRPr="009960E1">
              <w:rPr>
                <w:lang w:val="es-ES_tradnl"/>
              </w:rPr>
              <w:t>WP1/TSAG</w:t>
            </w:r>
          </w:p>
        </w:tc>
        <w:tc>
          <w:tcPr>
            <w:tcW w:w="1898" w:type="dxa"/>
            <w:tcBorders>
              <w:top w:val="single" w:sz="12" w:space="0" w:color="auto"/>
            </w:tcBorders>
            <w:shd w:val="clear" w:color="auto" w:fill="auto"/>
            <w:tcMar>
              <w:left w:w="57" w:type="dxa"/>
              <w:right w:w="57" w:type="dxa"/>
            </w:tcMar>
          </w:tcPr>
          <w:p w14:paraId="44EDA7D0" w14:textId="3FB1C745" w:rsidR="00CF0CB0" w:rsidRPr="009960E1" w:rsidRDefault="00CF0CB0" w:rsidP="00F27F0E">
            <w:pPr>
              <w:pStyle w:val="Tabletext"/>
              <w:rPr>
                <w:lang w:val="es-ES_tradnl"/>
              </w:rPr>
            </w:pPr>
            <w:r w:rsidRPr="009960E1">
              <w:rPr>
                <w:lang w:val="es-ES_tradnl"/>
              </w:rPr>
              <w:t>RG-WM, RG</w:t>
            </w:r>
            <w:r w:rsidRPr="009960E1">
              <w:rPr>
                <w:lang w:val="es-ES_tradnl"/>
              </w:rPr>
              <w:noBreakHyphen/>
              <w:t>WTSA</w:t>
            </w:r>
          </w:p>
        </w:tc>
        <w:tc>
          <w:tcPr>
            <w:tcW w:w="2409" w:type="dxa"/>
            <w:tcBorders>
              <w:top w:val="single" w:sz="12" w:space="0" w:color="auto"/>
            </w:tcBorders>
            <w:shd w:val="clear" w:color="auto" w:fill="auto"/>
            <w:tcMar>
              <w:left w:w="57" w:type="dxa"/>
              <w:right w:w="57" w:type="dxa"/>
            </w:tcMar>
          </w:tcPr>
          <w:p w14:paraId="6C4BBB6A" w14:textId="77777777" w:rsidR="00CF0CB0" w:rsidRPr="009960E1" w:rsidRDefault="00CF0CB0" w:rsidP="00F27F0E">
            <w:pPr>
              <w:pStyle w:val="Tabletext"/>
              <w:rPr>
                <w:lang w:val="es-ES_tradnl"/>
              </w:rPr>
            </w:pPr>
            <w:r w:rsidRPr="009960E1">
              <w:rPr>
                <w:lang w:val="es-ES_tradnl"/>
              </w:rPr>
              <w:t>Métodos de trabajo y preparativos relacionados con la AMNT (WP</w:t>
            </w:r>
            <w:r w:rsidRPr="009960E1">
              <w:rPr>
                <w:lang w:val="es-ES_tradnl"/>
              </w:rPr>
              <w:noBreakHyphen/>
              <w:t>WMW)</w:t>
            </w:r>
          </w:p>
        </w:tc>
        <w:tc>
          <w:tcPr>
            <w:tcW w:w="4026" w:type="dxa"/>
            <w:tcBorders>
              <w:top w:val="single" w:sz="12" w:space="0" w:color="auto"/>
            </w:tcBorders>
            <w:shd w:val="clear" w:color="auto" w:fill="auto"/>
            <w:tcMar>
              <w:left w:w="57" w:type="dxa"/>
              <w:right w:w="57" w:type="dxa"/>
            </w:tcMar>
          </w:tcPr>
          <w:p w14:paraId="3061BE15" w14:textId="0DEF700D" w:rsidR="00CF0CB0" w:rsidRPr="009960E1" w:rsidRDefault="00CF0CB0" w:rsidP="00F27F0E">
            <w:pPr>
              <w:pStyle w:val="Tabletext"/>
              <w:rPr>
                <w:lang w:val="es-ES_tradnl"/>
              </w:rPr>
            </w:pPr>
            <w:r w:rsidRPr="009960E1">
              <w:rPr>
                <w:lang w:val="es-ES_tradnl"/>
              </w:rPr>
              <w:t>Presidencia: Mihail Ion (Organismo Nacional de Gestión y Reglamentación de las Comunicaciones de Rumania, Rumanía) (desde 01/2024); Tobias Kaufmann (Ministerio Federal de Economía y Energía, Alemania) (del 03</w:t>
            </w:r>
            <w:r w:rsidR="00412F3C">
              <w:rPr>
                <w:lang w:val="es-ES_tradnl"/>
              </w:rPr>
              <w:t>/</w:t>
            </w:r>
            <w:r w:rsidRPr="009960E1">
              <w:rPr>
                <w:lang w:val="es-ES_tradnl"/>
              </w:rPr>
              <w:t>2022 al 12</w:t>
            </w:r>
            <w:r w:rsidR="00412F3C">
              <w:rPr>
                <w:lang w:val="es-ES_tradnl"/>
              </w:rPr>
              <w:t>/</w:t>
            </w:r>
            <w:r w:rsidRPr="009960E1">
              <w:rPr>
                <w:lang w:val="es-ES_tradnl"/>
              </w:rPr>
              <w:t>2023)</w:t>
            </w:r>
            <w:r w:rsidRPr="009960E1">
              <w:rPr>
                <w:lang w:val="es-ES_tradnl"/>
              </w:rPr>
              <w:br/>
              <w:t xml:space="preserve">Vicepresidencia: </w:t>
            </w:r>
            <w:proofErr w:type="spellStart"/>
            <w:r w:rsidRPr="009960E1">
              <w:rPr>
                <w:lang w:val="es-ES_tradnl"/>
              </w:rPr>
              <w:t>Minah</w:t>
            </w:r>
            <w:proofErr w:type="spellEnd"/>
            <w:r w:rsidRPr="009960E1">
              <w:rPr>
                <w:lang w:val="es-ES_tradnl"/>
              </w:rPr>
              <w:t xml:space="preserve"> Lee (Ministerio de Ciencia y TIC, Rep. de Corea)</w:t>
            </w:r>
          </w:p>
        </w:tc>
      </w:tr>
      <w:tr w:rsidR="00CF0CB0" w:rsidRPr="00A7143D" w14:paraId="2C7BFD76" w14:textId="77777777" w:rsidTr="00F27F0E">
        <w:trPr>
          <w:cantSplit/>
          <w:jc w:val="center"/>
        </w:trPr>
        <w:tc>
          <w:tcPr>
            <w:tcW w:w="1420" w:type="dxa"/>
            <w:shd w:val="clear" w:color="auto" w:fill="auto"/>
            <w:tcMar>
              <w:left w:w="57" w:type="dxa"/>
              <w:right w:w="57" w:type="dxa"/>
            </w:tcMar>
          </w:tcPr>
          <w:p w14:paraId="3332134A" w14:textId="77777777" w:rsidR="00CF0CB0" w:rsidRPr="009960E1" w:rsidRDefault="00CF0CB0" w:rsidP="00F27F0E">
            <w:pPr>
              <w:pStyle w:val="Tabletext"/>
              <w:rPr>
                <w:lang w:val="es-ES_tradnl"/>
              </w:rPr>
            </w:pPr>
            <w:r w:rsidRPr="009960E1">
              <w:rPr>
                <w:lang w:val="es-ES_tradnl"/>
              </w:rPr>
              <w:t>WP2/TSAG</w:t>
            </w:r>
          </w:p>
        </w:tc>
        <w:tc>
          <w:tcPr>
            <w:tcW w:w="1898" w:type="dxa"/>
            <w:shd w:val="clear" w:color="auto" w:fill="auto"/>
            <w:tcMar>
              <w:left w:w="57" w:type="dxa"/>
              <w:right w:w="57" w:type="dxa"/>
            </w:tcMar>
          </w:tcPr>
          <w:p w14:paraId="231AD8EC" w14:textId="77777777" w:rsidR="00CF0CB0" w:rsidRPr="009960E1" w:rsidRDefault="00CF0CB0" w:rsidP="00F27F0E">
            <w:pPr>
              <w:pStyle w:val="Tabletext"/>
              <w:rPr>
                <w:lang w:val="es-ES_tradnl"/>
              </w:rPr>
            </w:pPr>
            <w:r w:rsidRPr="009960E1">
              <w:rPr>
                <w:lang w:val="es-ES_tradnl"/>
              </w:rPr>
              <w:t>RG-DT, RG-IEM, RG-WPR</w:t>
            </w:r>
          </w:p>
        </w:tc>
        <w:tc>
          <w:tcPr>
            <w:tcW w:w="2409" w:type="dxa"/>
            <w:shd w:val="clear" w:color="auto" w:fill="auto"/>
            <w:tcMar>
              <w:left w:w="57" w:type="dxa"/>
              <w:right w:w="57" w:type="dxa"/>
            </w:tcMar>
          </w:tcPr>
          <w:p w14:paraId="5800A3CF" w14:textId="77777777" w:rsidR="00CF0CB0" w:rsidRPr="009960E1" w:rsidRDefault="00CF0CB0" w:rsidP="00F27F0E">
            <w:pPr>
              <w:pStyle w:val="Tabletext"/>
              <w:rPr>
                <w:lang w:val="es-ES_tradnl"/>
              </w:rPr>
            </w:pPr>
            <w:r w:rsidRPr="009960E1">
              <w:rPr>
                <w:lang w:val="es-ES_tradnl"/>
              </w:rPr>
              <w:t>Participación de la industria, programa de trabajo y reestructuración (WP-IEWPR)</w:t>
            </w:r>
          </w:p>
        </w:tc>
        <w:tc>
          <w:tcPr>
            <w:tcW w:w="4026" w:type="dxa"/>
            <w:shd w:val="clear" w:color="auto" w:fill="auto"/>
            <w:tcMar>
              <w:left w:w="57" w:type="dxa"/>
              <w:right w:w="57" w:type="dxa"/>
            </w:tcMar>
          </w:tcPr>
          <w:p w14:paraId="2B992061" w14:textId="77777777" w:rsidR="00CF0CB0" w:rsidRPr="009960E1" w:rsidRDefault="00CF0CB0" w:rsidP="00F27F0E">
            <w:pPr>
              <w:pStyle w:val="Tabletext"/>
              <w:rPr>
                <w:lang w:val="es-ES_tradnl"/>
              </w:rPr>
            </w:pPr>
            <w:r w:rsidRPr="009960E1">
              <w:rPr>
                <w:lang w:val="es-ES_tradnl"/>
              </w:rPr>
              <w:t>Presidencia: Gaëlle Martin-Cocher (InterDigital, Canadá)</w:t>
            </w:r>
            <w:r w:rsidRPr="009960E1">
              <w:rPr>
                <w:lang w:val="es-ES_tradnl"/>
              </w:rPr>
              <w:br/>
              <w:t xml:space="preserve">Vicepresidencia: Guy-Michel Kouakou (Autoridad de Reglamentación de las Telecomunicaciones-TIC, Côte d'Ivoire) </w:t>
            </w:r>
          </w:p>
        </w:tc>
      </w:tr>
    </w:tbl>
    <w:p w14:paraId="2BB751A3" w14:textId="77777777" w:rsidR="00CF0CB0" w:rsidRPr="009960E1" w:rsidRDefault="00CF0CB0" w:rsidP="00CF0CB0">
      <w:pPr>
        <w:pStyle w:val="Note"/>
        <w:rPr>
          <w:lang w:val="es-ES_tradnl"/>
        </w:rPr>
      </w:pPr>
      <w:r w:rsidRPr="009960E1">
        <w:rPr>
          <w:lang w:val="es-ES_tradnl"/>
        </w:rPr>
        <w:t>NOTA – El RG-SOP informó directamente a la sesión plenaria del GANT.</w:t>
      </w:r>
    </w:p>
    <w:p w14:paraId="32C3B5C7" w14:textId="77777777" w:rsidR="00CF0CB0" w:rsidRPr="009960E1" w:rsidRDefault="00CF0CB0" w:rsidP="00CF0CB0">
      <w:pPr>
        <w:pStyle w:val="TableNotitle"/>
        <w:rPr>
          <w:lang w:val="es-ES_tradnl"/>
        </w:rPr>
      </w:pPr>
      <w:r w:rsidRPr="009960E1">
        <w:rPr>
          <w:b w:val="0"/>
          <w:bCs/>
          <w:lang w:val="es-ES_tradnl"/>
        </w:rPr>
        <w:t>CUADRO 4</w:t>
      </w:r>
      <w:r w:rsidRPr="009960E1">
        <w:rPr>
          <w:lang w:val="es-ES_tradnl"/>
        </w:rPr>
        <w:br/>
        <w:t>Otros grupos</w:t>
      </w:r>
    </w:p>
    <w:tbl>
      <w:tblPr>
        <w:tblStyle w:val="TableGrid"/>
        <w:tblW w:w="9602"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4"/>
        <w:gridCol w:w="3118"/>
        <w:gridCol w:w="3950"/>
      </w:tblGrid>
      <w:tr w:rsidR="00CF0CB0" w:rsidRPr="009960E1" w14:paraId="40BF499D" w14:textId="77777777" w:rsidTr="00F27F0E">
        <w:trPr>
          <w:tblHeader/>
          <w:jc w:val="center"/>
        </w:trPr>
        <w:tc>
          <w:tcPr>
            <w:tcW w:w="2534" w:type="dxa"/>
            <w:tcBorders>
              <w:top w:val="single" w:sz="12" w:space="0" w:color="auto"/>
              <w:bottom w:val="single" w:sz="12" w:space="0" w:color="auto"/>
            </w:tcBorders>
            <w:shd w:val="clear" w:color="auto" w:fill="auto"/>
            <w:tcMar>
              <w:left w:w="57" w:type="dxa"/>
              <w:right w:w="57" w:type="dxa"/>
            </w:tcMar>
          </w:tcPr>
          <w:p w14:paraId="19216BC9" w14:textId="77777777" w:rsidR="00CF0CB0" w:rsidRPr="009960E1" w:rsidRDefault="00CF0CB0" w:rsidP="00F27F0E">
            <w:pPr>
              <w:pStyle w:val="Tablehead"/>
              <w:rPr>
                <w:lang w:val="es-ES_tradnl"/>
              </w:rPr>
            </w:pPr>
            <w:r w:rsidRPr="009960E1">
              <w:rPr>
                <w:bCs/>
                <w:lang w:val="es-ES_tradnl"/>
              </w:rPr>
              <w:t>Nombre del Grupo</w:t>
            </w:r>
          </w:p>
        </w:tc>
        <w:tc>
          <w:tcPr>
            <w:tcW w:w="3118" w:type="dxa"/>
            <w:tcBorders>
              <w:top w:val="single" w:sz="12" w:space="0" w:color="auto"/>
              <w:bottom w:val="single" w:sz="12" w:space="0" w:color="auto"/>
            </w:tcBorders>
            <w:shd w:val="clear" w:color="auto" w:fill="auto"/>
            <w:tcMar>
              <w:left w:w="57" w:type="dxa"/>
              <w:right w:w="57" w:type="dxa"/>
            </w:tcMar>
          </w:tcPr>
          <w:p w14:paraId="3230C55A" w14:textId="77777777" w:rsidR="00CF0CB0" w:rsidRPr="009960E1" w:rsidRDefault="00CF0CB0" w:rsidP="00F27F0E">
            <w:pPr>
              <w:pStyle w:val="Tablehead"/>
              <w:rPr>
                <w:lang w:val="es-ES_tradnl"/>
              </w:rPr>
            </w:pPr>
            <w:r w:rsidRPr="009960E1">
              <w:rPr>
                <w:bCs/>
                <w:lang w:val="es-ES_tradnl"/>
              </w:rPr>
              <w:t>Presidencia/Copresidencia</w:t>
            </w:r>
          </w:p>
        </w:tc>
        <w:tc>
          <w:tcPr>
            <w:tcW w:w="3950" w:type="dxa"/>
            <w:tcBorders>
              <w:top w:val="single" w:sz="12" w:space="0" w:color="auto"/>
              <w:bottom w:val="single" w:sz="12" w:space="0" w:color="auto"/>
            </w:tcBorders>
            <w:shd w:val="clear" w:color="auto" w:fill="auto"/>
            <w:tcMar>
              <w:left w:w="57" w:type="dxa"/>
              <w:right w:w="57" w:type="dxa"/>
            </w:tcMar>
          </w:tcPr>
          <w:p w14:paraId="140FE48A" w14:textId="77777777" w:rsidR="00CF0CB0" w:rsidRPr="009960E1" w:rsidRDefault="00CF0CB0" w:rsidP="00F27F0E">
            <w:pPr>
              <w:pStyle w:val="Tablehead"/>
              <w:rPr>
                <w:lang w:val="es-ES_tradnl"/>
              </w:rPr>
            </w:pPr>
            <w:r w:rsidRPr="009960E1">
              <w:rPr>
                <w:bCs/>
                <w:lang w:val="es-ES_tradnl"/>
              </w:rPr>
              <w:t>Vicepresidencia</w:t>
            </w:r>
          </w:p>
        </w:tc>
      </w:tr>
      <w:tr w:rsidR="00CF0CB0" w:rsidRPr="009960E1" w14:paraId="60E63834" w14:textId="77777777" w:rsidTr="00F27F0E">
        <w:trPr>
          <w:jc w:val="center"/>
        </w:trPr>
        <w:tc>
          <w:tcPr>
            <w:tcW w:w="2534" w:type="dxa"/>
            <w:tcBorders>
              <w:top w:val="single" w:sz="12" w:space="0" w:color="auto"/>
            </w:tcBorders>
            <w:shd w:val="clear" w:color="auto" w:fill="auto"/>
            <w:tcMar>
              <w:left w:w="57" w:type="dxa"/>
              <w:right w:w="57" w:type="dxa"/>
            </w:tcMar>
          </w:tcPr>
          <w:p w14:paraId="0577F0D1" w14:textId="77777777" w:rsidR="00CF0CB0" w:rsidRPr="009960E1" w:rsidRDefault="00CF0CB0" w:rsidP="00F27F0E">
            <w:pPr>
              <w:pStyle w:val="Tabletext"/>
              <w:rPr>
                <w:lang w:val="es-ES_tradnl"/>
              </w:rPr>
            </w:pPr>
            <w:r w:rsidRPr="009960E1">
              <w:rPr>
                <w:lang w:val="es-ES_tradnl"/>
              </w:rPr>
              <w:t>Grupo Temático sobre el metaverso (FG-MV)</w:t>
            </w:r>
          </w:p>
        </w:tc>
        <w:tc>
          <w:tcPr>
            <w:tcW w:w="3118" w:type="dxa"/>
            <w:tcBorders>
              <w:top w:val="single" w:sz="12" w:space="0" w:color="auto"/>
            </w:tcBorders>
            <w:shd w:val="clear" w:color="auto" w:fill="auto"/>
            <w:tcMar>
              <w:left w:w="57" w:type="dxa"/>
              <w:right w:w="57" w:type="dxa"/>
            </w:tcMar>
          </w:tcPr>
          <w:p w14:paraId="655E412A" w14:textId="77777777" w:rsidR="00CF0CB0" w:rsidRPr="001D1703" w:rsidRDefault="00CF0CB0" w:rsidP="00F27F0E">
            <w:pPr>
              <w:pStyle w:val="Tabletext"/>
              <w:rPr>
                <w:lang w:val="en-US"/>
              </w:rPr>
            </w:pPr>
            <w:r w:rsidRPr="001D1703">
              <w:rPr>
                <w:lang w:val="en-US"/>
              </w:rPr>
              <w:t>Shin-Gak Kang</w:t>
            </w:r>
            <w:r w:rsidRPr="001D1703">
              <w:rPr>
                <w:lang w:val="en-US"/>
              </w:rPr>
              <w:br/>
              <w:t>(ETRI, Rep. de Corea)</w:t>
            </w:r>
          </w:p>
        </w:tc>
        <w:tc>
          <w:tcPr>
            <w:tcW w:w="3950" w:type="dxa"/>
            <w:tcBorders>
              <w:top w:val="single" w:sz="12" w:space="0" w:color="auto"/>
            </w:tcBorders>
            <w:shd w:val="clear" w:color="auto" w:fill="auto"/>
            <w:tcMar>
              <w:left w:w="57" w:type="dxa"/>
              <w:right w:w="57" w:type="dxa"/>
            </w:tcMar>
          </w:tcPr>
          <w:p w14:paraId="6BF6CDC9" w14:textId="77777777" w:rsidR="00CF0CB0" w:rsidRPr="009960E1" w:rsidRDefault="00CF0CB0" w:rsidP="00F27F0E">
            <w:pPr>
              <w:pStyle w:val="Tabletext"/>
              <w:rPr>
                <w:lang w:val="es-ES_tradnl"/>
              </w:rPr>
            </w:pPr>
            <w:r w:rsidRPr="009960E1">
              <w:rPr>
                <w:lang w:val="es-ES_tradnl"/>
              </w:rPr>
              <w:t>Andrey Perez (Brasil)</w:t>
            </w:r>
          </w:p>
          <w:p w14:paraId="76417693" w14:textId="77777777" w:rsidR="00CF0CB0" w:rsidRPr="009960E1" w:rsidRDefault="00CF0CB0" w:rsidP="00F27F0E">
            <w:pPr>
              <w:pStyle w:val="Tabletext"/>
              <w:rPr>
                <w:lang w:val="es-ES_tradnl"/>
              </w:rPr>
            </w:pPr>
            <w:r w:rsidRPr="009960E1">
              <w:rPr>
                <w:lang w:val="es-ES_tradnl"/>
              </w:rPr>
              <w:t>Hideo Imanaka (NICT, Japón)</w:t>
            </w:r>
          </w:p>
          <w:p w14:paraId="486EEE99" w14:textId="77777777" w:rsidR="00CF0CB0" w:rsidRPr="001D1703" w:rsidRDefault="00CF0CB0" w:rsidP="00F27F0E">
            <w:pPr>
              <w:pStyle w:val="Tabletext"/>
              <w:rPr>
                <w:lang w:val="en-US"/>
              </w:rPr>
            </w:pPr>
            <w:r w:rsidRPr="001D1703">
              <w:rPr>
                <w:lang w:val="en-US"/>
              </w:rPr>
              <w:t>Per Fröjdh (Ericsson, Suecia)</w:t>
            </w:r>
          </w:p>
          <w:p w14:paraId="62C42D89" w14:textId="77777777" w:rsidR="00CF0CB0" w:rsidRPr="001D1703" w:rsidRDefault="00CF0CB0" w:rsidP="00F27F0E">
            <w:pPr>
              <w:pStyle w:val="Tabletext"/>
              <w:rPr>
                <w:lang w:val="en-US"/>
              </w:rPr>
            </w:pPr>
            <w:r w:rsidRPr="001D1703">
              <w:rPr>
                <w:lang w:val="en-US"/>
              </w:rPr>
              <w:t>Shane He (Nokia, Finlandia)</w:t>
            </w:r>
          </w:p>
          <w:p w14:paraId="1B13C553" w14:textId="77777777" w:rsidR="00CF0CB0" w:rsidRPr="009960E1" w:rsidRDefault="00CF0CB0" w:rsidP="00F27F0E">
            <w:pPr>
              <w:pStyle w:val="Tabletext"/>
              <w:rPr>
                <w:lang w:val="es-ES_tradnl"/>
              </w:rPr>
            </w:pPr>
            <w:r w:rsidRPr="009960E1">
              <w:rPr>
                <w:lang w:val="es-ES_tradnl"/>
              </w:rPr>
              <w:t>Vincent Affleck (Reino Unido)</w:t>
            </w:r>
          </w:p>
          <w:p w14:paraId="6085D1D9" w14:textId="77777777" w:rsidR="00CF0CB0" w:rsidRPr="009960E1" w:rsidRDefault="00CF0CB0" w:rsidP="00F27F0E">
            <w:pPr>
              <w:pStyle w:val="Tabletext"/>
              <w:rPr>
                <w:lang w:val="es-ES_tradnl"/>
              </w:rPr>
            </w:pPr>
            <w:r w:rsidRPr="009960E1">
              <w:rPr>
                <w:lang w:val="es-ES_tradnl"/>
              </w:rPr>
              <w:t>Yuntao Wang (China)</w:t>
            </w:r>
          </w:p>
          <w:p w14:paraId="08D063BA" w14:textId="77777777" w:rsidR="00CF0CB0" w:rsidRPr="009960E1" w:rsidRDefault="00CF0CB0" w:rsidP="00F27F0E">
            <w:pPr>
              <w:pStyle w:val="Tabletext"/>
              <w:rPr>
                <w:lang w:val="es-ES_tradnl"/>
              </w:rPr>
            </w:pPr>
            <w:r w:rsidRPr="009960E1">
              <w:rPr>
                <w:lang w:val="es-ES_tradnl"/>
              </w:rPr>
              <w:t>Leonidas Anthopoulos (Universidad de Thessaly, Grecia)</w:t>
            </w:r>
          </w:p>
          <w:p w14:paraId="3D8E8DA5" w14:textId="77777777" w:rsidR="00CF0CB0" w:rsidRPr="009960E1" w:rsidRDefault="00CF0CB0" w:rsidP="00F27F0E">
            <w:pPr>
              <w:pStyle w:val="Tabletext"/>
              <w:rPr>
                <w:lang w:val="es-ES_tradnl"/>
              </w:rPr>
            </w:pPr>
            <w:r w:rsidRPr="009960E1">
              <w:rPr>
                <w:lang w:val="es-ES_tradnl"/>
              </w:rPr>
              <w:lastRenderedPageBreak/>
              <w:t>Manuel Barreiro</w:t>
            </w:r>
            <w:r w:rsidRPr="009960E1">
              <w:rPr>
                <w:lang w:val="es-ES_tradnl"/>
              </w:rPr>
              <w:br/>
              <w:t>(Aston Group, México)</w:t>
            </w:r>
          </w:p>
          <w:p w14:paraId="20DCB9D3" w14:textId="77777777" w:rsidR="00CF0CB0" w:rsidRPr="009960E1" w:rsidRDefault="00CF0CB0" w:rsidP="00F27F0E">
            <w:pPr>
              <w:pStyle w:val="Tabletext"/>
              <w:rPr>
                <w:lang w:val="es-ES_tradnl"/>
              </w:rPr>
            </w:pPr>
            <w:r w:rsidRPr="009960E1">
              <w:rPr>
                <w:lang w:val="es-ES_tradnl"/>
              </w:rPr>
              <w:t>Cristina Martinez (Comisión Europea)</w:t>
            </w:r>
          </w:p>
          <w:p w14:paraId="4ED1A70C" w14:textId="77777777" w:rsidR="00CF0CB0" w:rsidRPr="009960E1" w:rsidRDefault="00CF0CB0" w:rsidP="00F27F0E">
            <w:pPr>
              <w:pStyle w:val="Tabletext"/>
              <w:rPr>
                <w:lang w:val="es-ES_tradnl"/>
              </w:rPr>
            </w:pPr>
            <w:r w:rsidRPr="009960E1">
              <w:rPr>
                <w:lang w:val="es-ES_tradnl"/>
              </w:rPr>
              <w:t>Stella Kipsaita (Autoridad de Comunicaciones, Kenya)</w:t>
            </w:r>
          </w:p>
          <w:p w14:paraId="5C025791" w14:textId="77777777" w:rsidR="00CF0CB0" w:rsidRPr="009960E1" w:rsidRDefault="00CF0CB0" w:rsidP="00F27F0E">
            <w:pPr>
              <w:pStyle w:val="Tabletext"/>
              <w:rPr>
                <w:lang w:val="es-ES_tradnl"/>
              </w:rPr>
            </w:pPr>
            <w:r w:rsidRPr="009960E1">
              <w:rPr>
                <w:lang w:val="es-ES_tradnl"/>
              </w:rPr>
              <w:t>Natalia Bayona (ONU Turismo)</w:t>
            </w:r>
          </w:p>
        </w:tc>
      </w:tr>
      <w:tr w:rsidR="00CF0CB0" w:rsidRPr="009960E1" w14:paraId="6CC3AC23" w14:textId="77777777" w:rsidTr="00F27F0E">
        <w:trPr>
          <w:jc w:val="center"/>
        </w:trPr>
        <w:tc>
          <w:tcPr>
            <w:tcW w:w="2534" w:type="dxa"/>
            <w:shd w:val="clear" w:color="auto" w:fill="auto"/>
            <w:tcMar>
              <w:left w:w="57" w:type="dxa"/>
              <w:right w:w="57" w:type="dxa"/>
            </w:tcMar>
          </w:tcPr>
          <w:p w14:paraId="7B071D9F" w14:textId="77777777" w:rsidR="00CF0CB0" w:rsidRPr="009960E1" w:rsidRDefault="00CF0CB0" w:rsidP="00F27F0E">
            <w:pPr>
              <w:pStyle w:val="Tabletext"/>
              <w:rPr>
                <w:lang w:val="es-ES_tradnl"/>
              </w:rPr>
            </w:pPr>
            <w:r w:rsidRPr="009960E1">
              <w:rPr>
                <w:lang w:val="es-ES_tradnl"/>
              </w:rPr>
              <w:lastRenderedPageBreak/>
              <w:t>Colaboración sobre normas de comunicación en los STI (CITS)</w:t>
            </w:r>
          </w:p>
        </w:tc>
        <w:tc>
          <w:tcPr>
            <w:tcW w:w="3118" w:type="dxa"/>
            <w:shd w:val="clear" w:color="auto" w:fill="auto"/>
            <w:tcMar>
              <w:left w:w="57" w:type="dxa"/>
              <w:right w:w="57" w:type="dxa"/>
            </w:tcMar>
          </w:tcPr>
          <w:p w14:paraId="5B084AD4" w14:textId="77777777" w:rsidR="00CF0CB0" w:rsidRPr="009960E1" w:rsidRDefault="00CF0CB0" w:rsidP="00F27F0E">
            <w:pPr>
              <w:pStyle w:val="Tabletext"/>
              <w:rPr>
                <w:lang w:val="es-ES_tradnl"/>
              </w:rPr>
            </w:pPr>
            <w:r w:rsidRPr="009960E1">
              <w:rPr>
                <w:lang w:val="es-ES_tradnl"/>
              </w:rPr>
              <w:t>T. Russell Shields</w:t>
            </w:r>
            <w:r w:rsidRPr="009960E1">
              <w:rPr>
                <w:lang w:val="es-ES_tradnl"/>
              </w:rPr>
              <w:br/>
              <w:t>(Estados Unidos)</w:t>
            </w:r>
          </w:p>
        </w:tc>
        <w:tc>
          <w:tcPr>
            <w:tcW w:w="3950" w:type="dxa"/>
            <w:shd w:val="clear" w:color="auto" w:fill="auto"/>
            <w:tcMar>
              <w:left w:w="57" w:type="dxa"/>
              <w:right w:w="57" w:type="dxa"/>
            </w:tcMar>
          </w:tcPr>
          <w:p w14:paraId="682BA0C6" w14:textId="77777777" w:rsidR="00CF0CB0" w:rsidRPr="009960E1" w:rsidRDefault="00CF0CB0" w:rsidP="00F27F0E">
            <w:pPr>
              <w:pStyle w:val="Tabletext"/>
              <w:rPr>
                <w:lang w:val="es-ES_tradnl"/>
              </w:rPr>
            </w:pPr>
            <w:r w:rsidRPr="009960E1">
              <w:rPr>
                <w:lang w:val="es-ES_tradnl"/>
              </w:rPr>
              <w:t>–</w:t>
            </w:r>
          </w:p>
        </w:tc>
      </w:tr>
      <w:tr w:rsidR="00CF0CB0" w:rsidRPr="009960E1" w14:paraId="4A3F3F03" w14:textId="77777777" w:rsidTr="00F27F0E">
        <w:trPr>
          <w:jc w:val="center"/>
        </w:trPr>
        <w:tc>
          <w:tcPr>
            <w:tcW w:w="2534" w:type="dxa"/>
            <w:shd w:val="clear" w:color="auto" w:fill="auto"/>
            <w:tcMar>
              <w:left w:w="57" w:type="dxa"/>
              <w:right w:w="57" w:type="dxa"/>
            </w:tcMar>
          </w:tcPr>
          <w:p w14:paraId="29AF9D3F" w14:textId="77777777" w:rsidR="00CF0CB0" w:rsidRPr="009960E1" w:rsidRDefault="00CF0CB0" w:rsidP="00F27F0E">
            <w:pPr>
              <w:pStyle w:val="Tabletext"/>
              <w:rPr>
                <w:lang w:val="es-ES_tradnl"/>
              </w:rPr>
            </w:pPr>
            <w:r w:rsidRPr="009960E1">
              <w:rPr>
                <w:lang w:val="es-ES_tradnl"/>
              </w:rPr>
              <w:t>Actividad conjunta de coordinación sobre accesibilidad y factores humanos (JCA-AHF)</w:t>
            </w:r>
          </w:p>
        </w:tc>
        <w:tc>
          <w:tcPr>
            <w:tcW w:w="3118" w:type="dxa"/>
            <w:shd w:val="clear" w:color="auto" w:fill="auto"/>
            <w:tcMar>
              <w:left w:w="57" w:type="dxa"/>
              <w:right w:w="57" w:type="dxa"/>
            </w:tcMar>
          </w:tcPr>
          <w:p w14:paraId="51304E55" w14:textId="77777777" w:rsidR="00CF0CB0" w:rsidRPr="009960E1" w:rsidRDefault="00CF0CB0" w:rsidP="00F27F0E">
            <w:pPr>
              <w:pStyle w:val="Tabletext"/>
              <w:rPr>
                <w:lang w:val="es-ES_tradnl"/>
              </w:rPr>
            </w:pPr>
            <w:r w:rsidRPr="009960E1">
              <w:rPr>
                <w:lang w:val="es-ES_tradnl"/>
              </w:rPr>
              <w:t>Andrea Saks</w:t>
            </w:r>
            <w:r w:rsidRPr="009960E1">
              <w:rPr>
                <w:lang w:val="es-ES_tradnl"/>
              </w:rPr>
              <w:br/>
              <w:t>(G3ict, Estados Unidos)</w:t>
            </w:r>
          </w:p>
        </w:tc>
        <w:tc>
          <w:tcPr>
            <w:tcW w:w="3950" w:type="dxa"/>
            <w:shd w:val="clear" w:color="auto" w:fill="auto"/>
            <w:tcMar>
              <w:left w:w="57" w:type="dxa"/>
              <w:right w:w="57" w:type="dxa"/>
            </w:tcMar>
          </w:tcPr>
          <w:p w14:paraId="4539E18E" w14:textId="77777777" w:rsidR="00CF0CB0" w:rsidRPr="009960E1" w:rsidRDefault="00CF0CB0" w:rsidP="00F27F0E">
            <w:pPr>
              <w:pStyle w:val="Tabletext"/>
              <w:rPr>
                <w:lang w:val="es-ES_tradnl"/>
              </w:rPr>
            </w:pPr>
            <w:r w:rsidRPr="009960E1">
              <w:rPr>
                <w:lang w:val="es-ES_tradnl"/>
              </w:rPr>
              <w:t>Christopher Jones (G3ict, Estados Unidos)</w:t>
            </w:r>
          </w:p>
          <w:p w14:paraId="588ED3C9" w14:textId="77777777" w:rsidR="00CF0CB0" w:rsidRPr="009960E1" w:rsidRDefault="00CF0CB0" w:rsidP="00F27F0E">
            <w:pPr>
              <w:pStyle w:val="Tabletext"/>
              <w:rPr>
                <w:lang w:val="es-ES_tradnl"/>
              </w:rPr>
            </w:pPr>
            <w:r w:rsidRPr="009960E1">
              <w:rPr>
                <w:lang w:val="es-ES_tradnl"/>
              </w:rPr>
              <w:t>Lidia Best (G3ict, Estados Unidos)</w:t>
            </w:r>
          </w:p>
          <w:p w14:paraId="7A5F9FA1" w14:textId="77777777" w:rsidR="00CF0CB0" w:rsidRPr="001D1703" w:rsidRDefault="00CF0CB0" w:rsidP="00F27F0E">
            <w:pPr>
              <w:pStyle w:val="Tabletext"/>
              <w:rPr>
                <w:lang w:val="en-US"/>
              </w:rPr>
            </w:pPr>
            <w:r w:rsidRPr="001D1703">
              <w:rPr>
                <w:lang w:val="en-US"/>
              </w:rPr>
              <w:t xml:space="preserve">Jerry Ellis (Irlanda; </w:t>
            </w:r>
            <w:r w:rsidRPr="001D1703">
              <w:rPr>
                <w:i/>
                <w:iCs/>
                <w:lang w:val="en-US"/>
              </w:rPr>
              <w:t>in memoriam</w:t>
            </w:r>
            <w:r w:rsidRPr="001D1703">
              <w:rPr>
                <w:lang w:val="en-US"/>
              </w:rPr>
              <w:t>)</w:t>
            </w:r>
          </w:p>
          <w:p w14:paraId="417BECFB" w14:textId="77777777" w:rsidR="00CF0CB0" w:rsidRPr="001D1703" w:rsidRDefault="00CF0CB0" w:rsidP="00F27F0E">
            <w:pPr>
              <w:pStyle w:val="Tabletext"/>
              <w:rPr>
                <w:lang w:val="en-US"/>
              </w:rPr>
            </w:pPr>
            <w:r w:rsidRPr="001D1703">
              <w:rPr>
                <w:lang w:val="en-US"/>
              </w:rPr>
              <w:t>David Fourney (G3ict, Estados Unidos)</w:t>
            </w:r>
          </w:p>
        </w:tc>
      </w:tr>
      <w:tr w:rsidR="00CF0CB0" w:rsidRPr="009960E1" w14:paraId="659AD47B" w14:textId="77777777" w:rsidTr="00F27F0E">
        <w:trPr>
          <w:jc w:val="center"/>
        </w:trPr>
        <w:tc>
          <w:tcPr>
            <w:tcW w:w="2534" w:type="dxa"/>
            <w:shd w:val="clear" w:color="auto" w:fill="auto"/>
            <w:tcMar>
              <w:left w:w="57" w:type="dxa"/>
              <w:right w:w="57" w:type="dxa"/>
            </w:tcMar>
          </w:tcPr>
          <w:p w14:paraId="77612A28" w14:textId="77777777" w:rsidR="00CF0CB0" w:rsidRPr="009960E1" w:rsidRDefault="00CF0CB0" w:rsidP="00F27F0E">
            <w:pPr>
              <w:pStyle w:val="Tabletext"/>
              <w:rPr>
                <w:lang w:val="es-ES_tradnl"/>
              </w:rPr>
            </w:pPr>
            <w:r w:rsidRPr="009960E1">
              <w:rPr>
                <w:lang w:val="es-ES_tradnl"/>
              </w:rPr>
              <w:t>Actividad de Coordinación Conjunta sobre certificados COVID-19 digitales (JCA</w:t>
            </w:r>
            <w:r w:rsidRPr="009960E1">
              <w:rPr>
                <w:lang w:val="es-ES_tradnl"/>
              </w:rPr>
              <w:noBreakHyphen/>
              <w:t>DCC)</w:t>
            </w:r>
          </w:p>
        </w:tc>
        <w:tc>
          <w:tcPr>
            <w:tcW w:w="3118" w:type="dxa"/>
            <w:shd w:val="clear" w:color="auto" w:fill="auto"/>
            <w:tcMar>
              <w:left w:w="57" w:type="dxa"/>
              <w:right w:w="57" w:type="dxa"/>
            </w:tcMar>
          </w:tcPr>
          <w:p w14:paraId="659B3917" w14:textId="77777777" w:rsidR="00CF0CB0" w:rsidRPr="009960E1" w:rsidRDefault="00CF0CB0" w:rsidP="00F27F0E">
            <w:pPr>
              <w:pStyle w:val="Tabletext"/>
              <w:rPr>
                <w:lang w:val="es-ES_tradnl"/>
              </w:rPr>
            </w:pPr>
            <w:r w:rsidRPr="009960E1">
              <w:rPr>
                <w:lang w:val="es-ES_tradnl"/>
              </w:rPr>
              <w:t>Heung Youl Youm</w:t>
            </w:r>
            <w:r w:rsidRPr="009960E1">
              <w:rPr>
                <w:lang w:val="es-ES_tradnl"/>
              </w:rPr>
              <w:br/>
              <w:t>(Universidad de Soonchunhyang, Rep. de Corea)</w:t>
            </w:r>
          </w:p>
          <w:p w14:paraId="0EEA0B3D" w14:textId="77777777" w:rsidR="00CF0CB0" w:rsidRPr="009960E1" w:rsidRDefault="00CF0CB0" w:rsidP="00F27F0E">
            <w:pPr>
              <w:pStyle w:val="Tabletext"/>
              <w:rPr>
                <w:lang w:val="es-ES_tradnl"/>
              </w:rPr>
            </w:pPr>
            <w:r w:rsidRPr="009960E1">
              <w:rPr>
                <w:lang w:val="es-ES_tradnl"/>
              </w:rPr>
              <w:t>Carl Leitner (OMS)</w:t>
            </w:r>
          </w:p>
        </w:tc>
        <w:tc>
          <w:tcPr>
            <w:tcW w:w="3950" w:type="dxa"/>
            <w:shd w:val="clear" w:color="auto" w:fill="auto"/>
            <w:tcMar>
              <w:left w:w="57" w:type="dxa"/>
              <w:right w:w="57" w:type="dxa"/>
            </w:tcMar>
          </w:tcPr>
          <w:p w14:paraId="43BDDB82" w14:textId="77777777" w:rsidR="00CF0CB0" w:rsidRPr="009960E1" w:rsidRDefault="00CF0CB0" w:rsidP="00F27F0E">
            <w:pPr>
              <w:pStyle w:val="Tabletext"/>
              <w:rPr>
                <w:lang w:val="es-ES_tradnl"/>
              </w:rPr>
            </w:pPr>
            <w:r w:rsidRPr="009960E1">
              <w:rPr>
                <w:lang w:val="es-ES_tradnl"/>
              </w:rPr>
              <w:t>–</w:t>
            </w:r>
          </w:p>
        </w:tc>
      </w:tr>
      <w:tr w:rsidR="00CF0CB0" w:rsidRPr="00A7143D" w14:paraId="1CFBA219" w14:textId="77777777" w:rsidTr="00F27F0E">
        <w:trPr>
          <w:jc w:val="center"/>
        </w:trPr>
        <w:tc>
          <w:tcPr>
            <w:tcW w:w="2534" w:type="dxa"/>
            <w:shd w:val="clear" w:color="auto" w:fill="auto"/>
            <w:tcMar>
              <w:left w:w="57" w:type="dxa"/>
              <w:right w:w="57" w:type="dxa"/>
            </w:tcMar>
          </w:tcPr>
          <w:p w14:paraId="7FD64CBE" w14:textId="314CA8AF" w:rsidR="00CF0CB0" w:rsidRPr="009960E1" w:rsidRDefault="00CF0CB0" w:rsidP="00F27F0E">
            <w:pPr>
              <w:pStyle w:val="Tabletext"/>
              <w:rPr>
                <w:lang w:val="es-ES_tradnl"/>
              </w:rPr>
            </w:pPr>
            <w:r w:rsidRPr="009960E1">
              <w:rPr>
                <w:lang w:val="es-ES_tradnl"/>
              </w:rPr>
              <w:t>Actividad Conjunta de Coordinación sobre las redes de distribución de claves cuánticas (JCA</w:t>
            </w:r>
            <w:r w:rsidR="00412F3C">
              <w:rPr>
                <w:lang w:val="es-ES_tradnl"/>
              </w:rPr>
              <w:noBreakHyphen/>
            </w:r>
            <w:r w:rsidRPr="009960E1">
              <w:rPr>
                <w:lang w:val="es-ES_tradnl"/>
              </w:rPr>
              <w:t>QKDN)</w:t>
            </w:r>
          </w:p>
        </w:tc>
        <w:tc>
          <w:tcPr>
            <w:tcW w:w="3118" w:type="dxa"/>
            <w:shd w:val="clear" w:color="auto" w:fill="auto"/>
            <w:tcMar>
              <w:left w:w="57" w:type="dxa"/>
              <w:right w:w="57" w:type="dxa"/>
            </w:tcMar>
          </w:tcPr>
          <w:p w14:paraId="5B4B21F6" w14:textId="77777777" w:rsidR="00CF0CB0" w:rsidRPr="009960E1" w:rsidRDefault="00CF0CB0" w:rsidP="00F27F0E">
            <w:pPr>
              <w:pStyle w:val="Tabletext"/>
              <w:rPr>
                <w:lang w:val="es-ES_tradnl"/>
              </w:rPr>
            </w:pPr>
            <w:r w:rsidRPr="009960E1">
              <w:rPr>
                <w:lang w:val="es-ES_tradnl"/>
              </w:rPr>
              <w:t>Junsen Lai</w:t>
            </w:r>
            <w:r w:rsidRPr="009960E1">
              <w:rPr>
                <w:lang w:val="es-ES_tradnl"/>
              </w:rPr>
              <w:br/>
              <w:t>(CAICT, Ministerio de Industria y Tecnologías de la Información, China)</w:t>
            </w:r>
          </w:p>
        </w:tc>
        <w:tc>
          <w:tcPr>
            <w:tcW w:w="3950" w:type="dxa"/>
            <w:shd w:val="clear" w:color="auto" w:fill="auto"/>
            <w:tcMar>
              <w:left w:w="57" w:type="dxa"/>
              <w:right w:w="57" w:type="dxa"/>
            </w:tcMar>
          </w:tcPr>
          <w:p w14:paraId="6C62CDD4" w14:textId="77777777" w:rsidR="00CF0CB0" w:rsidRPr="009960E1" w:rsidRDefault="00CF0CB0" w:rsidP="00F27F0E">
            <w:pPr>
              <w:pStyle w:val="Tabletext"/>
              <w:rPr>
                <w:lang w:val="es-ES_tradnl"/>
              </w:rPr>
            </w:pPr>
            <w:r w:rsidRPr="009960E1">
              <w:rPr>
                <w:lang w:val="es-ES_tradnl"/>
              </w:rPr>
              <w:t>Mark McFadden (Reino Unido)</w:t>
            </w:r>
          </w:p>
          <w:p w14:paraId="257F3AB3" w14:textId="77777777" w:rsidR="00CF0CB0" w:rsidRPr="009960E1" w:rsidRDefault="00CF0CB0" w:rsidP="00F27F0E">
            <w:pPr>
              <w:pStyle w:val="Tabletext"/>
              <w:rPr>
                <w:lang w:val="es-ES_tradnl"/>
              </w:rPr>
            </w:pPr>
            <w:r w:rsidRPr="009960E1">
              <w:rPr>
                <w:lang w:val="es-ES_tradnl"/>
              </w:rPr>
              <w:t>Hao Qin (Universidad Nacional de Singapur, Singapur)</w:t>
            </w:r>
          </w:p>
        </w:tc>
      </w:tr>
    </w:tbl>
    <w:p w14:paraId="7C864DFA" w14:textId="77777777" w:rsidR="00CF0CB0" w:rsidRPr="009960E1" w:rsidRDefault="00CF0CB0" w:rsidP="00CF0CB0">
      <w:pPr>
        <w:pStyle w:val="Heading2"/>
        <w:rPr>
          <w:lang w:val="es-ES_tradnl"/>
        </w:rPr>
      </w:pPr>
      <w:bookmarkStart w:id="12" w:name="_Toc320869652"/>
      <w:bookmarkStart w:id="13" w:name="_Toc178345856"/>
      <w:bookmarkStart w:id="14" w:name="_Toc179189950"/>
      <w:r w:rsidRPr="009960E1">
        <w:rPr>
          <w:bCs/>
          <w:lang w:val="es-ES_tradnl"/>
        </w:rPr>
        <w:t>2.2</w:t>
      </w:r>
      <w:r w:rsidRPr="009960E1">
        <w:rPr>
          <w:lang w:val="es-ES_tradnl"/>
        </w:rPr>
        <w:tab/>
      </w:r>
      <w:r w:rsidRPr="009960E1">
        <w:rPr>
          <w:bCs/>
          <w:lang w:val="es-ES_tradnl"/>
        </w:rPr>
        <w:t>Grupos de Relator</w:t>
      </w:r>
      <w:bookmarkEnd w:id="12"/>
      <w:bookmarkEnd w:id="13"/>
      <w:bookmarkEnd w:id="14"/>
    </w:p>
    <w:p w14:paraId="476A792A" w14:textId="77777777" w:rsidR="00CF0CB0" w:rsidRPr="009960E1" w:rsidRDefault="00CF0CB0" w:rsidP="00CF0CB0">
      <w:pPr>
        <w:rPr>
          <w:lang w:val="es-ES_tradnl"/>
        </w:rPr>
      </w:pPr>
      <w:r w:rsidRPr="009960E1">
        <w:rPr>
          <w:b/>
          <w:bCs/>
          <w:lang w:val="es-ES_tradnl"/>
        </w:rPr>
        <w:t>2.2.1</w:t>
      </w:r>
      <w:r w:rsidRPr="009960E1">
        <w:rPr>
          <w:lang w:val="es-ES_tradnl"/>
        </w:rPr>
        <w:tab/>
        <w:t>Grupos de Relator creados por el GANT enumerados en el Cuadro 5.</w:t>
      </w:r>
    </w:p>
    <w:p w14:paraId="5AB71826" w14:textId="77777777" w:rsidR="00CF0CB0" w:rsidRPr="009960E1" w:rsidRDefault="00CF0CB0" w:rsidP="00CF0CB0">
      <w:pPr>
        <w:pStyle w:val="TableNotitle"/>
        <w:rPr>
          <w:lang w:val="es-ES_tradnl"/>
        </w:rPr>
      </w:pPr>
      <w:r w:rsidRPr="009960E1">
        <w:rPr>
          <w:b w:val="0"/>
          <w:bCs/>
          <w:lang w:val="es-ES_tradnl"/>
        </w:rPr>
        <w:t>CUADRO 5</w:t>
      </w:r>
      <w:r w:rsidRPr="009960E1">
        <w:rPr>
          <w:b w:val="0"/>
          <w:bCs/>
          <w:lang w:val="es-ES_tradnl"/>
        </w:rPr>
        <w:br/>
      </w:r>
      <w:r w:rsidRPr="009960E1">
        <w:rPr>
          <w:lang w:val="es-ES_tradnl"/>
        </w:rPr>
        <w:t>GANT – Grupos de Relator</w:t>
      </w:r>
    </w:p>
    <w:tbl>
      <w:tblPr>
        <w:tblStyle w:val="TableGrid"/>
        <w:tblW w:w="5000" w:type="pct"/>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2693"/>
        <w:gridCol w:w="851"/>
        <w:gridCol w:w="4662"/>
      </w:tblGrid>
      <w:tr w:rsidR="00CF0CB0" w:rsidRPr="009960E1" w14:paraId="0BA4BCF5" w14:textId="77777777" w:rsidTr="00F27F0E">
        <w:trPr>
          <w:tblHeader/>
          <w:jc w:val="center"/>
        </w:trPr>
        <w:tc>
          <w:tcPr>
            <w:tcW w:w="1403" w:type="dxa"/>
            <w:tcBorders>
              <w:top w:val="single" w:sz="12" w:space="0" w:color="auto"/>
              <w:bottom w:val="single" w:sz="12" w:space="0" w:color="auto"/>
            </w:tcBorders>
            <w:shd w:val="clear" w:color="auto" w:fill="auto"/>
            <w:tcMar>
              <w:left w:w="85" w:type="dxa"/>
              <w:right w:w="85" w:type="dxa"/>
            </w:tcMar>
          </w:tcPr>
          <w:p w14:paraId="3D26461E" w14:textId="77777777" w:rsidR="00CF0CB0" w:rsidRPr="009960E1" w:rsidRDefault="00CF0CB0" w:rsidP="00F27F0E">
            <w:pPr>
              <w:pStyle w:val="Tablehead"/>
              <w:rPr>
                <w:lang w:val="es-ES_tradnl"/>
              </w:rPr>
            </w:pPr>
            <w:r w:rsidRPr="009960E1">
              <w:rPr>
                <w:bCs/>
                <w:lang w:val="es-ES_tradnl"/>
              </w:rPr>
              <w:t>Grupos de Relator</w:t>
            </w:r>
          </w:p>
        </w:tc>
        <w:tc>
          <w:tcPr>
            <w:tcW w:w="2693" w:type="dxa"/>
            <w:tcBorders>
              <w:top w:val="single" w:sz="12" w:space="0" w:color="auto"/>
              <w:bottom w:val="single" w:sz="12" w:space="0" w:color="auto"/>
            </w:tcBorders>
            <w:shd w:val="clear" w:color="auto" w:fill="auto"/>
            <w:tcMar>
              <w:left w:w="85" w:type="dxa"/>
              <w:right w:w="85" w:type="dxa"/>
            </w:tcMar>
          </w:tcPr>
          <w:p w14:paraId="005CBE5A" w14:textId="77777777" w:rsidR="00CF0CB0" w:rsidRPr="009960E1" w:rsidRDefault="00CF0CB0" w:rsidP="00F27F0E">
            <w:pPr>
              <w:pStyle w:val="Tablehead"/>
              <w:rPr>
                <w:lang w:val="es-ES_tradnl"/>
              </w:rPr>
            </w:pPr>
            <w:r w:rsidRPr="009960E1">
              <w:rPr>
                <w:bCs/>
                <w:lang w:val="es-ES_tradnl"/>
              </w:rPr>
              <w:t>Nombre</w:t>
            </w:r>
          </w:p>
        </w:tc>
        <w:tc>
          <w:tcPr>
            <w:tcW w:w="851" w:type="dxa"/>
            <w:tcBorders>
              <w:top w:val="single" w:sz="12" w:space="0" w:color="auto"/>
              <w:bottom w:val="single" w:sz="12" w:space="0" w:color="auto"/>
            </w:tcBorders>
            <w:shd w:val="clear" w:color="auto" w:fill="auto"/>
            <w:tcMar>
              <w:left w:w="85" w:type="dxa"/>
              <w:right w:w="85" w:type="dxa"/>
            </w:tcMar>
          </w:tcPr>
          <w:p w14:paraId="00FF20D2" w14:textId="77777777" w:rsidR="00CF0CB0" w:rsidRPr="009960E1" w:rsidRDefault="00CF0CB0" w:rsidP="00F27F0E">
            <w:pPr>
              <w:pStyle w:val="Tablehead"/>
              <w:rPr>
                <w:lang w:val="es-ES_tradnl"/>
              </w:rPr>
            </w:pPr>
            <w:r w:rsidRPr="009960E1">
              <w:rPr>
                <w:bCs/>
                <w:lang w:val="es-ES_tradnl"/>
              </w:rPr>
              <w:t>WP</w:t>
            </w:r>
          </w:p>
        </w:tc>
        <w:tc>
          <w:tcPr>
            <w:tcW w:w="4662" w:type="dxa"/>
            <w:tcBorders>
              <w:top w:val="single" w:sz="12" w:space="0" w:color="auto"/>
              <w:bottom w:val="single" w:sz="12" w:space="0" w:color="auto"/>
            </w:tcBorders>
            <w:shd w:val="clear" w:color="auto" w:fill="auto"/>
            <w:tcMar>
              <w:left w:w="85" w:type="dxa"/>
              <w:right w:w="85" w:type="dxa"/>
            </w:tcMar>
          </w:tcPr>
          <w:p w14:paraId="569ACC84" w14:textId="77777777" w:rsidR="00CF0CB0" w:rsidRPr="009960E1" w:rsidRDefault="00CF0CB0" w:rsidP="00F27F0E">
            <w:pPr>
              <w:pStyle w:val="Tablehead"/>
              <w:rPr>
                <w:lang w:val="es-ES_tradnl"/>
              </w:rPr>
            </w:pPr>
            <w:r w:rsidRPr="009960E1">
              <w:rPr>
                <w:bCs/>
                <w:lang w:val="es-ES_tradnl"/>
              </w:rPr>
              <w:t>Relator</w:t>
            </w:r>
          </w:p>
        </w:tc>
      </w:tr>
      <w:tr w:rsidR="00CF0CB0" w:rsidRPr="00A7143D" w14:paraId="5A49C71A" w14:textId="77777777" w:rsidTr="00F27F0E">
        <w:trPr>
          <w:jc w:val="center"/>
        </w:trPr>
        <w:tc>
          <w:tcPr>
            <w:tcW w:w="1403" w:type="dxa"/>
            <w:tcBorders>
              <w:top w:val="single" w:sz="12" w:space="0" w:color="auto"/>
            </w:tcBorders>
            <w:shd w:val="clear" w:color="auto" w:fill="auto"/>
            <w:tcMar>
              <w:left w:w="85" w:type="dxa"/>
              <w:right w:w="85" w:type="dxa"/>
            </w:tcMar>
          </w:tcPr>
          <w:p w14:paraId="49F1C95C" w14:textId="77777777" w:rsidR="00CF0CB0" w:rsidRPr="009960E1" w:rsidRDefault="00CF0CB0" w:rsidP="00F27F0E">
            <w:pPr>
              <w:pStyle w:val="Tabletext"/>
              <w:rPr>
                <w:lang w:val="es-ES_tradnl"/>
              </w:rPr>
            </w:pPr>
            <w:r w:rsidRPr="009960E1">
              <w:rPr>
                <w:lang w:val="es-ES_tradnl"/>
              </w:rPr>
              <w:t>RG-SOP</w:t>
            </w:r>
          </w:p>
        </w:tc>
        <w:tc>
          <w:tcPr>
            <w:tcW w:w="2693" w:type="dxa"/>
            <w:tcBorders>
              <w:top w:val="single" w:sz="12" w:space="0" w:color="auto"/>
            </w:tcBorders>
            <w:shd w:val="clear" w:color="auto" w:fill="auto"/>
            <w:tcMar>
              <w:left w:w="85" w:type="dxa"/>
              <w:right w:w="85" w:type="dxa"/>
            </w:tcMar>
          </w:tcPr>
          <w:p w14:paraId="5BC6BDC4" w14:textId="77777777" w:rsidR="00CF0CB0" w:rsidRPr="009960E1" w:rsidRDefault="00CF0CB0" w:rsidP="00F27F0E">
            <w:pPr>
              <w:pStyle w:val="Tabletext"/>
              <w:rPr>
                <w:lang w:val="es-ES_tradnl"/>
              </w:rPr>
            </w:pPr>
            <w:r w:rsidRPr="009960E1">
              <w:rPr>
                <w:lang w:val="es-ES_tradnl"/>
              </w:rPr>
              <w:t>Plan estratégico y operacional</w:t>
            </w:r>
          </w:p>
        </w:tc>
        <w:tc>
          <w:tcPr>
            <w:tcW w:w="851" w:type="dxa"/>
            <w:tcBorders>
              <w:top w:val="single" w:sz="12" w:space="0" w:color="auto"/>
            </w:tcBorders>
            <w:shd w:val="clear" w:color="auto" w:fill="auto"/>
            <w:tcMar>
              <w:left w:w="85" w:type="dxa"/>
              <w:right w:w="85" w:type="dxa"/>
            </w:tcMar>
          </w:tcPr>
          <w:p w14:paraId="726ADEE4" w14:textId="77777777" w:rsidR="00CF0CB0" w:rsidRPr="009960E1" w:rsidRDefault="00CF0CB0" w:rsidP="00F27F0E">
            <w:pPr>
              <w:pStyle w:val="Tabletext"/>
              <w:jc w:val="center"/>
              <w:rPr>
                <w:lang w:val="es-ES_tradnl"/>
              </w:rPr>
            </w:pPr>
            <w:r w:rsidRPr="009960E1">
              <w:rPr>
                <w:lang w:val="es-ES_tradnl"/>
              </w:rPr>
              <w:t>PLEN</w:t>
            </w:r>
          </w:p>
        </w:tc>
        <w:tc>
          <w:tcPr>
            <w:tcW w:w="4662" w:type="dxa"/>
            <w:tcBorders>
              <w:top w:val="single" w:sz="12" w:space="0" w:color="auto"/>
            </w:tcBorders>
            <w:shd w:val="clear" w:color="auto" w:fill="auto"/>
            <w:tcMar>
              <w:left w:w="85" w:type="dxa"/>
              <w:right w:w="85" w:type="dxa"/>
            </w:tcMar>
          </w:tcPr>
          <w:p w14:paraId="08F5D71A" w14:textId="1B3AACFB" w:rsidR="00CF0CB0" w:rsidRPr="009960E1" w:rsidRDefault="00CF0CB0" w:rsidP="00F27F0E">
            <w:pPr>
              <w:pStyle w:val="Tabletext"/>
              <w:rPr>
                <w:lang w:val="es-ES_tradnl"/>
              </w:rPr>
            </w:pPr>
            <w:r w:rsidRPr="009960E1">
              <w:rPr>
                <w:lang w:val="es-ES_tradnl"/>
              </w:rPr>
              <w:t xml:space="preserve">Relator: </w:t>
            </w:r>
            <w:r w:rsidR="00AF1FAB">
              <w:rPr>
                <w:lang w:val="es-ES_tradnl"/>
              </w:rPr>
              <w:t>Sr. </w:t>
            </w:r>
            <w:r w:rsidRPr="009960E1">
              <w:rPr>
                <w:lang w:val="es-ES_tradnl"/>
              </w:rPr>
              <w:t>Martínez Vanegas Victor Manuel (México)</w:t>
            </w:r>
            <w:r w:rsidRPr="009960E1">
              <w:rPr>
                <w:lang w:val="es-ES_tradnl"/>
              </w:rPr>
              <w:br/>
              <w:t xml:space="preserve">Relatores asociados: </w:t>
            </w:r>
            <w:r w:rsidR="00AF1FAB">
              <w:rPr>
                <w:lang w:val="es-ES_tradnl"/>
              </w:rPr>
              <w:t>Sr. </w:t>
            </w:r>
            <w:r w:rsidRPr="009960E1">
              <w:rPr>
                <w:lang w:val="es-ES_tradnl"/>
              </w:rPr>
              <w:t>Gracie Bruce</w:t>
            </w:r>
            <w:r w:rsidRPr="009960E1">
              <w:rPr>
                <w:lang w:val="es-ES_tradnl"/>
              </w:rPr>
              <w:br/>
              <w:t xml:space="preserve">(Ericsson Canada, Canadá), </w:t>
            </w:r>
            <w:r w:rsidR="00AF1FAB">
              <w:rPr>
                <w:lang w:val="es-ES_tradnl"/>
              </w:rPr>
              <w:t>Sr. </w:t>
            </w:r>
            <w:r w:rsidRPr="009960E1">
              <w:rPr>
                <w:lang w:val="es-ES_tradnl"/>
              </w:rPr>
              <w:t>Tian Dao</w:t>
            </w:r>
            <w:r w:rsidRPr="009960E1">
              <w:rPr>
                <w:lang w:val="es-ES_tradnl"/>
              </w:rPr>
              <w:br/>
              <w:t>(ZTE Corporation, China)</w:t>
            </w:r>
          </w:p>
        </w:tc>
      </w:tr>
      <w:tr w:rsidR="00CF0CB0" w:rsidRPr="00A7143D" w14:paraId="3063BE8A" w14:textId="77777777" w:rsidTr="00F27F0E">
        <w:trPr>
          <w:jc w:val="center"/>
        </w:trPr>
        <w:tc>
          <w:tcPr>
            <w:tcW w:w="1403" w:type="dxa"/>
            <w:shd w:val="clear" w:color="auto" w:fill="auto"/>
            <w:tcMar>
              <w:left w:w="85" w:type="dxa"/>
              <w:right w:w="85" w:type="dxa"/>
            </w:tcMar>
          </w:tcPr>
          <w:p w14:paraId="5B68154C" w14:textId="77777777" w:rsidR="00CF0CB0" w:rsidRPr="009960E1" w:rsidRDefault="00CF0CB0" w:rsidP="00F27F0E">
            <w:pPr>
              <w:pStyle w:val="Tabletext"/>
              <w:rPr>
                <w:lang w:val="es-ES_tradnl"/>
              </w:rPr>
            </w:pPr>
            <w:r w:rsidRPr="009960E1">
              <w:rPr>
                <w:lang w:val="es-ES_tradnl"/>
              </w:rPr>
              <w:t>RG-WM</w:t>
            </w:r>
          </w:p>
        </w:tc>
        <w:tc>
          <w:tcPr>
            <w:tcW w:w="2693" w:type="dxa"/>
            <w:shd w:val="clear" w:color="auto" w:fill="auto"/>
            <w:tcMar>
              <w:left w:w="85" w:type="dxa"/>
              <w:right w:w="85" w:type="dxa"/>
            </w:tcMar>
          </w:tcPr>
          <w:p w14:paraId="4305F12E" w14:textId="77777777" w:rsidR="00CF0CB0" w:rsidRPr="009960E1" w:rsidRDefault="00CF0CB0" w:rsidP="00F27F0E">
            <w:pPr>
              <w:pStyle w:val="Tabletext"/>
              <w:rPr>
                <w:lang w:val="es-ES_tradnl"/>
              </w:rPr>
            </w:pPr>
            <w:r w:rsidRPr="009960E1">
              <w:rPr>
                <w:lang w:val="es-ES_tradnl"/>
              </w:rPr>
              <w:t>Métodos de trabajo</w:t>
            </w:r>
          </w:p>
        </w:tc>
        <w:tc>
          <w:tcPr>
            <w:tcW w:w="851" w:type="dxa"/>
            <w:shd w:val="clear" w:color="auto" w:fill="auto"/>
            <w:tcMar>
              <w:left w:w="85" w:type="dxa"/>
              <w:right w:w="85" w:type="dxa"/>
            </w:tcMar>
          </w:tcPr>
          <w:p w14:paraId="5602531E" w14:textId="77777777" w:rsidR="00CF0CB0" w:rsidRPr="009960E1" w:rsidRDefault="00CF0CB0" w:rsidP="00F27F0E">
            <w:pPr>
              <w:pStyle w:val="Tabletext"/>
              <w:jc w:val="center"/>
              <w:rPr>
                <w:lang w:val="es-ES_tradnl"/>
              </w:rPr>
            </w:pPr>
            <w:r w:rsidRPr="009960E1">
              <w:rPr>
                <w:lang w:val="es-ES_tradnl"/>
              </w:rPr>
              <w:t>1</w:t>
            </w:r>
          </w:p>
        </w:tc>
        <w:tc>
          <w:tcPr>
            <w:tcW w:w="4662" w:type="dxa"/>
            <w:shd w:val="clear" w:color="auto" w:fill="auto"/>
            <w:tcMar>
              <w:left w:w="85" w:type="dxa"/>
              <w:right w:w="85" w:type="dxa"/>
            </w:tcMar>
          </w:tcPr>
          <w:p w14:paraId="323B84D5" w14:textId="3D06181F" w:rsidR="00CF0CB0" w:rsidRPr="009960E1" w:rsidRDefault="00CF0CB0" w:rsidP="00F27F0E">
            <w:pPr>
              <w:pStyle w:val="Tabletext"/>
              <w:rPr>
                <w:lang w:val="es-ES_tradnl"/>
              </w:rPr>
            </w:pPr>
            <w:r w:rsidRPr="009960E1">
              <w:rPr>
                <w:lang w:val="es-ES_tradnl"/>
              </w:rPr>
              <w:t xml:space="preserve">Relator: </w:t>
            </w:r>
            <w:r w:rsidR="00AF1FAB">
              <w:rPr>
                <w:lang w:val="es-ES_tradnl"/>
              </w:rPr>
              <w:t>Sr. </w:t>
            </w:r>
            <w:r w:rsidRPr="009960E1">
              <w:rPr>
                <w:lang w:val="es-ES_tradnl"/>
              </w:rPr>
              <w:t>Dubuisson Olivier (Orange, Francia)</w:t>
            </w:r>
            <w:r w:rsidRPr="009960E1">
              <w:rPr>
                <w:lang w:val="es-ES_tradnl"/>
              </w:rPr>
              <w:br/>
              <w:t xml:space="preserve">Relator asociado: </w:t>
            </w:r>
            <w:r w:rsidR="00AF1FAB">
              <w:rPr>
                <w:lang w:val="es-ES_tradnl"/>
              </w:rPr>
              <w:t>Sr. </w:t>
            </w:r>
            <w:r w:rsidRPr="009960E1">
              <w:rPr>
                <w:lang w:val="es-ES_tradnl"/>
              </w:rPr>
              <w:t>Rushton Phil</w:t>
            </w:r>
            <w:r w:rsidRPr="009960E1">
              <w:rPr>
                <w:lang w:val="es-ES_tradnl"/>
              </w:rPr>
              <w:br/>
              <w:t>(DSIT, Reino Unido)</w:t>
            </w:r>
          </w:p>
        </w:tc>
      </w:tr>
      <w:tr w:rsidR="00CF0CB0" w:rsidRPr="00A7143D" w14:paraId="68E6E9AE" w14:textId="77777777" w:rsidTr="00F27F0E">
        <w:trPr>
          <w:jc w:val="center"/>
        </w:trPr>
        <w:tc>
          <w:tcPr>
            <w:tcW w:w="1403" w:type="dxa"/>
            <w:shd w:val="clear" w:color="auto" w:fill="auto"/>
            <w:tcMar>
              <w:left w:w="85" w:type="dxa"/>
              <w:right w:w="85" w:type="dxa"/>
            </w:tcMar>
          </w:tcPr>
          <w:p w14:paraId="7D9181D4" w14:textId="77777777" w:rsidR="00CF0CB0" w:rsidRPr="009960E1" w:rsidRDefault="00CF0CB0" w:rsidP="00F27F0E">
            <w:pPr>
              <w:pStyle w:val="Tabletext"/>
              <w:rPr>
                <w:lang w:val="es-ES_tradnl"/>
              </w:rPr>
            </w:pPr>
            <w:r w:rsidRPr="009960E1">
              <w:rPr>
                <w:lang w:val="es-ES_tradnl"/>
              </w:rPr>
              <w:t>RG-WTSA</w:t>
            </w:r>
          </w:p>
        </w:tc>
        <w:tc>
          <w:tcPr>
            <w:tcW w:w="2693" w:type="dxa"/>
            <w:shd w:val="clear" w:color="auto" w:fill="auto"/>
            <w:tcMar>
              <w:left w:w="85" w:type="dxa"/>
              <w:right w:w="85" w:type="dxa"/>
            </w:tcMar>
          </w:tcPr>
          <w:p w14:paraId="522EB014" w14:textId="77777777" w:rsidR="00CF0CB0" w:rsidRPr="009960E1" w:rsidRDefault="00CF0CB0" w:rsidP="00F27F0E">
            <w:pPr>
              <w:pStyle w:val="Tabletext"/>
              <w:rPr>
                <w:lang w:val="es-ES_tradnl"/>
              </w:rPr>
            </w:pPr>
            <w:r w:rsidRPr="009960E1">
              <w:rPr>
                <w:lang w:val="es-ES_tradnl"/>
              </w:rPr>
              <w:t>Preparativos de la AMNT</w:t>
            </w:r>
          </w:p>
        </w:tc>
        <w:tc>
          <w:tcPr>
            <w:tcW w:w="851" w:type="dxa"/>
            <w:shd w:val="clear" w:color="auto" w:fill="auto"/>
            <w:tcMar>
              <w:left w:w="85" w:type="dxa"/>
              <w:right w:w="85" w:type="dxa"/>
            </w:tcMar>
          </w:tcPr>
          <w:p w14:paraId="6425D817" w14:textId="77777777" w:rsidR="00CF0CB0" w:rsidRPr="009960E1" w:rsidRDefault="00CF0CB0" w:rsidP="00F27F0E">
            <w:pPr>
              <w:pStyle w:val="Tabletext"/>
              <w:jc w:val="center"/>
              <w:rPr>
                <w:lang w:val="es-ES_tradnl"/>
              </w:rPr>
            </w:pPr>
            <w:r w:rsidRPr="009960E1">
              <w:rPr>
                <w:lang w:val="es-ES_tradnl"/>
              </w:rPr>
              <w:t>1</w:t>
            </w:r>
          </w:p>
        </w:tc>
        <w:tc>
          <w:tcPr>
            <w:tcW w:w="4662" w:type="dxa"/>
            <w:shd w:val="clear" w:color="auto" w:fill="auto"/>
            <w:tcMar>
              <w:left w:w="85" w:type="dxa"/>
              <w:right w:w="85" w:type="dxa"/>
            </w:tcMar>
          </w:tcPr>
          <w:p w14:paraId="1ADFC89E" w14:textId="03640655" w:rsidR="00CF0CB0" w:rsidRPr="009960E1" w:rsidRDefault="00CF0CB0" w:rsidP="00F27F0E">
            <w:pPr>
              <w:pStyle w:val="Tabletext"/>
              <w:rPr>
                <w:lang w:val="es-ES_tradnl"/>
              </w:rPr>
            </w:pPr>
            <w:r w:rsidRPr="009960E1">
              <w:rPr>
                <w:lang w:val="es-ES_tradnl"/>
              </w:rPr>
              <w:t xml:space="preserve">Relatora: </w:t>
            </w:r>
            <w:r w:rsidR="00082221">
              <w:rPr>
                <w:lang w:val="es-ES_tradnl"/>
              </w:rPr>
              <w:t>Sra. </w:t>
            </w:r>
            <w:r w:rsidRPr="009960E1">
              <w:rPr>
                <w:lang w:val="es-ES_tradnl"/>
              </w:rPr>
              <w:t>Li Fang (Ministerio de Industria y Tecnologías de la Información, China)</w:t>
            </w:r>
          </w:p>
          <w:p w14:paraId="16201C35" w14:textId="5F8C1363" w:rsidR="00CF0CB0" w:rsidRPr="009960E1" w:rsidRDefault="00CF0CB0" w:rsidP="00F27F0E">
            <w:pPr>
              <w:pStyle w:val="Tabletext"/>
              <w:rPr>
                <w:lang w:val="es-ES_tradnl"/>
              </w:rPr>
            </w:pPr>
            <w:r w:rsidRPr="009960E1">
              <w:rPr>
                <w:lang w:val="es-ES_tradnl"/>
              </w:rPr>
              <w:t xml:space="preserve">Relatores asociados: </w:t>
            </w:r>
            <w:r w:rsidR="00AF1FAB">
              <w:rPr>
                <w:lang w:val="es-ES_tradnl"/>
              </w:rPr>
              <w:t>Sr. </w:t>
            </w:r>
            <w:r w:rsidRPr="009960E1">
              <w:rPr>
                <w:lang w:val="es-ES_tradnl"/>
              </w:rPr>
              <w:t xml:space="preserve">Agyekum Samuel (Autoridad Nacional de Comunicaciones, Ghana) (desde el 01-2024), </w:t>
            </w:r>
            <w:r w:rsidR="00AF1FAB">
              <w:rPr>
                <w:lang w:val="es-ES_tradnl"/>
              </w:rPr>
              <w:t>Sr. </w:t>
            </w:r>
            <w:r w:rsidRPr="009960E1">
              <w:rPr>
                <w:lang w:val="es-ES_tradnl"/>
              </w:rPr>
              <w:t xml:space="preserve">Tonkikh Evgeny (Ministerio de Desarrollo Digital, Comunicaciones y Medios de Comunicación, Federación de Rusia); </w:t>
            </w:r>
            <w:r w:rsidR="00AF1FAB">
              <w:rPr>
                <w:lang w:val="es-ES_tradnl"/>
              </w:rPr>
              <w:t>Sr. </w:t>
            </w:r>
            <w:r w:rsidRPr="009960E1">
              <w:rPr>
                <w:lang w:val="es-ES_tradnl"/>
              </w:rPr>
              <w:t>Boateng Isaac (Autoridad Nacional de Comunicaciones, Ghana) (del 03-2022 al 01-2024)</w:t>
            </w:r>
          </w:p>
        </w:tc>
      </w:tr>
      <w:tr w:rsidR="00CF0CB0" w:rsidRPr="00A7143D" w14:paraId="77F9583C" w14:textId="77777777" w:rsidTr="00F27F0E">
        <w:trPr>
          <w:jc w:val="center"/>
        </w:trPr>
        <w:tc>
          <w:tcPr>
            <w:tcW w:w="1403" w:type="dxa"/>
            <w:shd w:val="clear" w:color="auto" w:fill="auto"/>
            <w:tcMar>
              <w:left w:w="85" w:type="dxa"/>
              <w:right w:w="85" w:type="dxa"/>
            </w:tcMar>
          </w:tcPr>
          <w:p w14:paraId="7D9F9C89" w14:textId="77777777" w:rsidR="00CF0CB0" w:rsidRPr="009960E1" w:rsidRDefault="00CF0CB0" w:rsidP="00F27F0E">
            <w:pPr>
              <w:pStyle w:val="Tabletext"/>
              <w:rPr>
                <w:lang w:val="es-ES_tradnl"/>
              </w:rPr>
            </w:pPr>
            <w:r w:rsidRPr="009960E1">
              <w:rPr>
                <w:lang w:val="es-ES_tradnl"/>
              </w:rPr>
              <w:lastRenderedPageBreak/>
              <w:t>RG-DT</w:t>
            </w:r>
          </w:p>
        </w:tc>
        <w:tc>
          <w:tcPr>
            <w:tcW w:w="2693" w:type="dxa"/>
            <w:shd w:val="clear" w:color="auto" w:fill="auto"/>
            <w:tcMar>
              <w:left w:w="85" w:type="dxa"/>
              <w:right w:w="85" w:type="dxa"/>
            </w:tcMar>
          </w:tcPr>
          <w:p w14:paraId="6F453C49" w14:textId="77777777" w:rsidR="00CF0CB0" w:rsidRPr="009960E1" w:rsidRDefault="00CF0CB0" w:rsidP="00F27F0E">
            <w:pPr>
              <w:pStyle w:val="Tabletext"/>
              <w:rPr>
                <w:lang w:val="es-ES_tradnl"/>
              </w:rPr>
            </w:pPr>
            <w:r w:rsidRPr="009960E1">
              <w:rPr>
                <w:lang w:val="es-ES_tradnl"/>
              </w:rPr>
              <w:t>Transformación digital sostenible</w:t>
            </w:r>
          </w:p>
        </w:tc>
        <w:tc>
          <w:tcPr>
            <w:tcW w:w="851" w:type="dxa"/>
            <w:shd w:val="clear" w:color="auto" w:fill="auto"/>
            <w:tcMar>
              <w:left w:w="85" w:type="dxa"/>
              <w:right w:w="85" w:type="dxa"/>
            </w:tcMar>
          </w:tcPr>
          <w:p w14:paraId="4E26BAEC" w14:textId="77777777" w:rsidR="00CF0CB0" w:rsidRPr="009960E1" w:rsidRDefault="00CF0CB0" w:rsidP="00F27F0E">
            <w:pPr>
              <w:pStyle w:val="Tabletext"/>
              <w:jc w:val="center"/>
              <w:rPr>
                <w:lang w:val="es-ES_tradnl"/>
              </w:rPr>
            </w:pPr>
            <w:r w:rsidRPr="009960E1">
              <w:rPr>
                <w:lang w:val="es-ES_tradnl"/>
              </w:rPr>
              <w:t>2</w:t>
            </w:r>
          </w:p>
        </w:tc>
        <w:tc>
          <w:tcPr>
            <w:tcW w:w="4662" w:type="dxa"/>
            <w:shd w:val="clear" w:color="auto" w:fill="auto"/>
            <w:tcMar>
              <w:left w:w="85" w:type="dxa"/>
              <w:right w:w="85" w:type="dxa"/>
            </w:tcMar>
          </w:tcPr>
          <w:p w14:paraId="3EDDDA0F" w14:textId="01F5C7D7" w:rsidR="00CF0CB0" w:rsidRPr="009960E1" w:rsidRDefault="00CF0CB0" w:rsidP="00F27F0E">
            <w:pPr>
              <w:pStyle w:val="Tabletext"/>
              <w:rPr>
                <w:lang w:val="es-ES_tradnl"/>
              </w:rPr>
            </w:pPr>
            <w:r w:rsidRPr="009960E1">
              <w:rPr>
                <w:lang w:val="es-ES_tradnl"/>
              </w:rPr>
              <w:t xml:space="preserve">Correlatores: </w:t>
            </w:r>
            <w:r w:rsidR="00AF1FAB">
              <w:rPr>
                <w:lang w:val="es-ES_tradnl"/>
              </w:rPr>
              <w:t>Sr. </w:t>
            </w:r>
            <w:r w:rsidRPr="009960E1">
              <w:rPr>
                <w:lang w:val="es-ES_tradnl"/>
              </w:rPr>
              <w:t xml:space="preserve">Sharafat Ahmad Reza (Ministerio de Tecnologías de la Información y la Comunicación, Irán); </w:t>
            </w:r>
            <w:r w:rsidR="00AF1FAB">
              <w:rPr>
                <w:lang w:val="es-ES_tradnl"/>
              </w:rPr>
              <w:t>Sr. </w:t>
            </w:r>
            <w:r w:rsidRPr="009960E1">
              <w:rPr>
                <w:lang w:val="es-ES_tradnl"/>
              </w:rPr>
              <w:t>Said Ahmed (Autoridad Nacional de Reglamentación de las Telecomunicaciones, Egipto)</w:t>
            </w:r>
          </w:p>
          <w:p w14:paraId="6003419F" w14:textId="3678D486" w:rsidR="00CF0CB0" w:rsidRPr="009960E1" w:rsidRDefault="00CF0CB0" w:rsidP="00F27F0E">
            <w:pPr>
              <w:pStyle w:val="Tabletext"/>
              <w:rPr>
                <w:lang w:val="es-ES_tradnl"/>
              </w:rPr>
            </w:pPr>
            <w:r w:rsidRPr="009960E1">
              <w:rPr>
                <w:lang w:val="es-ES_tradnl"/>
              </w:rPr>
              <w:t xml:space="preserve">Relatora asociada: </w:t>
            </w:r>
            <w:r w:rsidR="00082221">
              <w:rPr>
                <w:lang w:val="es-ES_tradnl"/>
              </w:rPr>
              <w:t>Sra. </w:t>
            </w:r>
            <w:r w:rsidRPr="009960E1">
              <w:rPr>
                <w:lang w:val="es-ES_tradnl"/>
              </w:rPr>
              <w:t>Lesufi Cynthia (Sudáfrica)</w:t>
            </w:r>
          </w:p>
        </w:tc>
      </w:tr>
      <w:tr w:rsidR="00CF0CB0" w:rsidRPr="00A7143D" w14:paraId="494EAE9F" w14:textId="77777777" w:rsidTr="00F27F0E">
        <w:trPr>
          <w:jc w:val="center"/>
        </w:trPr>
        <w:tc>
          <w:tcPr>
            <w:tcW w:w="1403" w:type="dxa"/>
            <w:shd w:val="clear" w:color="auto" w:fill="auto"/>
            <w:tcMar>
              <w:left w:w="85" w:type="dxa"/>
              <w:right w:w="85" w:type="dxa"/>
            </w:tcMar>
          </w:tcPr>
          <w:p w14:paraId="33BAF015" w14:textId="77777777" w:rsidR="00CF0CB0" w:rsidRPr="009960E1" w:rsidRDefault="00CF0CB0" w:rsidP="00F27F0E">
            <w:pPr>
              <w:pStyle w:val="Tabletext"/>
              <w:rPr>
                <w:lang w:val="es-ES_tradnl"/>
              </w:rPr>
            </w:pPr>
            <w:r w:rsidRPr="009960E1">
              <w:rPr>
                <w:lang w:val="es-ES_tradnl"/>
              </w:rPr>
              <w:t>RG-IEM</w:t>
            </w:r>
          </w:p>
        </w:tc>
        <w:tc>
          <w:tcPr>
            <w:tcW w:w="2693" w:type="dxa"/>
            <w:shd w:val="clear" w:color="auto" w:fill="auto"/>
            <w:tcMar>
              <w:left w:w="85" w:type="dxa"/>
              <w:right w:w="85" w:type="dxa"/>
            </w:tcMar>
          </w:tcPr>
          <w:p w14:paraId="259919E4" w14:textId="77777777" w:rsidR="00CF0CB0" w:rsidRPr="009960E1" w:rsidRDefault="00CF0CB0" w:rsidP="00F27F0E">
            <w:pPr>
              <w:pStyle w:val="Tabletext"/>
              <w:rPr>
                <w:lang w:val="es-ES_tradnl"/>
              </w:rPr>
            </w:pPr>
            <w:r w:rsidRPr="009960E1">
              <w:rPr>
                <w:lang w:val="es-ES_tradnl"/>
              </w:rPr>
              <w:t>Participación de la industria y parámetros</w:t>
            </w:r>
          </w:p>
        </w:tc>
        <w:tc>
          <w:tcPr>
            <w:tcW w:w="851" w:type="dxa"/>
            <w:shd w:val="clear" w:color="auto" w:fill="auto"/>
            <w:tcMar>
              <w:left w:w="85" w:type="dxa"/>
              <w:right w:w="85" w:type="dxa"/>
            </w:tcMar>
          </w:tcPr>
          <w:p w14:paraId="7D830582" w14:textId="77777777" w:rsidR="00CF0CB0" w:rsidRPr="009960E1" w:rsidRDefault="00CF0CB0" w:rsidP="00F27F0E">
            <w:pPr>
              <w:pStyle w:val="Tabletext"/>
              <w:jc w:val="center"/>
              <w:rPr>
                <w:lang w:val="es-ES_tradnl"/>
              </w:rPr>
            </w:pPr>
            <w:r w:rsidRPr="009960E1">
              <w:rPr>
                <w:lang w:val="es-ES_tradnl"/>
              </w:rPr>
              <w:t>2</w:t>
            </w:r>
          </w:p>
        </w:tc>
        <w:tc>
          <w:tcPr>
            <w:tcW w:w="4662" w:type="dxa"/>
            <w:shd w:val="clear" w:color="auto" w:fill="auto"/>
            <w:tcMar>
              <w:left w:w="85" w:type="dxa"/>
              <w:right w:w="85" w:type="dxa"/>
            </w:tcMar>
          </w:tcPr>
          <w:p w14:paraId="26774995" w14:textId="489ECB83" w:rsidR="00CF0CB0" w:rsidRPr="009960E1" w:rsidRDefault="00CF0CB0" w:rsidP="00F27F0E">
            <w:pPr>
              <w:pStyle w:val="Tabletext"/>
              <w:rPr>
                <w:lang w:val="es-ES_tradnl"/>
              </w:rPr>
            </w:pPr>
            <w:r w:rsidRPr="009960E1">
              <w:rPr>
                <w:lang w:val="es-ES_tradnl"/>
              </w:rPr>
              <w:t xml:space="preserve">Relator: </w:t>
            </w:r>
            <w:r w:rsidR="00AF1FAB">
              <w:rPr>
                <w:lang w:val="es-ES_tradnl"/>
              </w:rPr>
              <w:t>Sr. </w:t>
            </w:r>
            <w:r w:rsidRPr="009960E1">
              <w:rPr>
                <w:lang w:val="es-ES_tradnl"/>
              </w:rPr>
              <w:t xml:space="preserve">Parsons Glenn (Ericsson Canadá) Relatores asociados: </w:t>
            </w:r>
            <w:r w:rsidR="00AF1FAB">
              <w:rPr>
                <w:lang w:val="es-ES_tradnl"/>
              </w:rPr>
              <w:t>Sr. </w:t>
            </w:r>
            <w:r w:rsidRPr="009960E1">
              <w:rPr>
                <w:lang w:val="es-ES_tradnl"/>
              </w:rPr>
              <w:t xml:space="preserve">Luo (Noah) Zhong (Huawei Technologies, China); </w:t>
            </w:r>
            <w:r w:rsidR="00AF1FAB">
              <w:rPr>
                <w:lang w:val="es-ES_tradnl"/>
              </w:rPr>
              <w:t>Sr. </w:t>
            </w:r>
            <w:r w:rsidRPr="009960E1">
              <w:rPr>
                <w:lang w:val="es-ES_tradnl"/>
              </w:rPr>
              <w:t>Taddei Arnaud (Broadcom Corporation, Estados Unidos)</w:t>
            </w:r>
          </w:p>
        </w:tc>
      </w:tr>
      <w:tr w:rsidR="00CF0CB0" w:rsidRPr="00A7143D" w14:paraId="3C0A9C06" w14:textId="77777777" w:rsidTr="00F27F0E">
        <w:trPr>
          <w:jc w:val="center"/>
        </w:trPr>
        <w:tc>
          <w:tcPr>
            <w:tcW w:w="1403" w:type="dxa"/>
            <w:shd w:val="clear" w:color="auto" w:fill="auto"/>
            <w:tcMar>
              <w:left w:w="85" w:type="dxa"/>
              <w:right w:w="85" w:type="dxa"/>
            </w:tcMar>
          </w:tcPr>
          <w:p w14:paraId="6A8DED44" w14:textId="77777777" w:rsidR="00CF0CB0" w:rsidRPr="009960E1" w:rsidRDefault="00CF0CB0" w:rsidP="00F27F0E">
            <w:pPr>
              <w:pStyle w:val="Tabletext"/>
              <w:rPr>
                <w:lang w:val="es-ES_tradnl"/>
              </w:rPr>
            </w:pPr>
            <w:r w:rsidRPr="009960E1">
              <w:rPr>
                <w:lang w:val="es-ES_tradnl"/>
              </w:rPr>
              <w:t>RG-WPR</w:t>
            </w:r>
          </w:p>
        </w:tc>
        <w:tc>
          <w:tcPr>
            <w:tcW w:w="2693" w:type="dxa"/>
            <w:shd w:val="clear" w:color="auto" w:fill="auto"/>
            <w:tcMar>
              <w:left w:w="85" w:type="dxa"/>
              <w:right w:w="85" w:type="dxa"/>
            </w:tcMar>
          </w:tcPr>
          <w:p w14:paraId="61D42BEF" w14:textId="77777777" w:rsidR="00CF0CB0" w:rsidRPr="009960E1" w:rsidRDefault="00CF0CB0" w:rsidP="00F27F0E">
            <w:pPr>
              <w:pStyle w:val="Tabletext"/>
              <w:rPr>
                <w:lang w:val="es-ES_tradnl"/>
              </w:rPr>
            </w:pPr>
            <w:r w:rsidRPr="009960E1">
              <w:rPr>
                <w:lang w:val="es-ES_tradnl"/>
              </w:rPr>
              <w:t>Programa de trabajo y reestructuración, actividades de las CE, coordinación de las CE</w:t>
            </w:r>
          </w:p>
        </w:tc>
        <w:tc>
          <w:tcPr>
            <w:tcW w:w="851" w:type="dxa"/>
            <w:shd w:val="clear" w:color="auto" w:fill="auto"/>
            <w:tcMar>
              <w:left w:w="85" w:type="dxa"/>
              <w:right w:w="85" w:type="dxa"/>
            </w:tcMar>
          </w:tcPr>
          <w:p w14:paraId="23A64EAF" w14:textId="77777777" w:rsidR="00CF0CB0" w:rsidRPr="009960E1" w:rsidRDefault="00CF0CB0" w:rsidP="00F27F0E">
            <w:pPr>
              <w:pStyle w:val="Tabletext"/>
              <w:jc w:val="center"/>
              <w:rPr>
                <w:lang w:val="es-ES_tradnl"/>
              </w:rPr>
            </w:pPr>
            <w:r w:rsidRPr="009960E1">
              <w:rPr>
                <w:lang w:val="es-ES_tradnl"/>
              </w:rPr>
              <w:t>2</w:t>
            </w:r>
          </w:p>
        </w:tc>
        <w:tc>
          <w:tcPr>
            <w:tcW w:w="4662" w:type="dxa"/>
            <w:shd w:val="clear" w:color="auto" w:fill="auto"/>
            <w:tcMar>
              <w:left w:w="85" w:type="dxa"/>
              <w:right w:w="85" w:type="dxa"/>
            </w:tcMar>
          </w:tcPr>
          <w:p w14:paraId="3E2567C4" w14:textId="7DD6751B" w:rsidR="00CF0CB0" w:rsidRPr="009960E1" w:rsidRDefault="00CF0CB0" w:rsidP="00F27F0E">
            <w:pPr>
              <w:pStyle w:val="Tabletext"/>
              <w:rPr>
                <w:lang w:val="es-ES_tradnl"/>
              </w:rPr>
            </w:pPr>
            <w:r w:rsidRPr="009960E1">
              <w:rPr>
                <w:lang w:val="es-ES_tradnl"/>
              </w:rPr>
              <w:t xml:space="preserve">Relatora: </w:t>
            </w:r>
            <w:r w:rsidR="00082221">
              <w:rPr>
                <w:lang w:val="es-ES_tradnl"/>
              </w:rPr>
              <w:t>Sra. </w:t>
            </w:r>
            <w:r w:rsidRPr="009960E1">
              <w:rPr>
                <w:lang w:val="es-ES_tradnl"/>
              </w:rPr>
              <w:t xml:space="preserve">Naganuma Miho (NEC Corporation, Japón) Relator asociado: </w:t>
            </w:r>
            <w:r w:rsidR="00AF1FAB">
              <w:rPr>
                <w:lang w:val="es-ES_tradnl"/>
              </w:rPr>
              <w:t>Sr. </w:t>
            </w:r>
            <w:r w:rsidRPr="009960E1">
              <w:rPr>
                <w:lang w:val="es-ES_tradnl"/>
              </w:rPr>
              <w:t>Ratta Greg (Administración Nacional de Telecomunicaciones e Información, Estados Unidos)</w:t>
            </w:r>
            <w:r w:rsidRPr="009960E1">
              <w:rPr>
                <w:lang w:val="es-ES_tradnl"/>
              </w:rPr>
              <w:br/>
              <w:t>(2022-03-09-2023)</w:t>
            </w:r>
          </w:p>
        </w:tc>
      </w:tr>
    </w:tbl>
    <w:p w14:paraId="7E107981" w14:textId="77777777" w:rsidR="00CF0CB0" w:rsidRPr="009960E1" w:rsidRDefault="00CF0CB0" w:rsidP="00CF0CB0">
      <w:pPr>
        <w:pStyle w:val="TableNotitle"/>
        <w:rPr>
          <w:lang w:val="es-ES_tradnl"/>
        </w:rPr>
      </w:pPr>
      <w:r w:rsidRPr="009960E1">
        <w:rPr>
          <w:b w:val="0"/>
          <w:bCs/>
          <w:lang w:val="es-ES_tradnl"/>
        </w:rPr>
        <w:t>CUADRO 6</w:t>
      </w:r>
      <w:r w:rsidRPr="009960E1">
        <w:rPr>
          <w:b w:val="0"/>
          <w:bCs/>
          <w:lang w:val="es-ES_tradnl"/>
        </w:rPr>
        <w:br/>
      </w:r>
      <w:r w:rsidRPr="009960E1">
        <w:rPr>
          <w:lang w:val="es-ES_tradnl"/>
        </w:rPr>
        <w:t>GANT – Nuevas Cuestiones adoptadas y Relatores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37"/>
        <w:gridCol w:w="4050"/>
        <w:gridCol w:w="866"/>
        <w:gridCol w:w="2756"/>
      </w:tblGrid>
      <w:tr w:rsidR="00CF0CB0" w:rsidRPr="009960E1" w14:paraId="40C94D33" w14:textId="77777777" w:rsidTr="00F27F0E">
        <w:trPr>
          <w:tblHeader/>
          <w:jc w:val="center"/>
        </w:trPr>
        <w:tc>
          <w:tcPr>
            <w:tcW w:w="1970" w:type="dxa"/>
            <w:tcBorders>
              <w:top w:val="single" w:sz="12" w:space="0" w:color="auto"/>
              <w:bottom w:val="single" w:sz="12" w:space="0" w:color="auto"/>
            </w:tcBorders>
            <w:shd w:val="clear" w:color="auto" w:fill="auto"/>
            <w:vAlign w:val="center"/>
          </w:tcPr>
          <w:p w14:paraId="59123635" w14:textId="77777777" w:rsidR="00CF0CB0" w:rsidRPr="009960E1" w:rsidRDefault="00CF0CB0" w:rsidP="00F27F0E">
            <w:pPr>
              <w:pStyle w:val="Tablehead"/>
              <w:rPr>
                <w:lang w:val="es-ES_tradnl"/>
              </w:rPr>
            </w:pPr>
            <w:r w:rsidRPr="009960E1">
              <w:rPr>
                <w:bCs/>
                <w:lang w:val="es-ES_tradnl"/>
              </w:rPr>
              <w:t>Cuestiones</w:t>
            </w:r>
          </w:p>
        </w:tc>
        <w:tc>
          <w:tcPr>
            <w:tcW w:w="4126" w:type="dxa"/>
            <w:tcBorders>
              <w:top w:val="single" w:sz="12" w:space="0" w:color="auto"/>
              <w:bottom w:val="single" w:sz="12" w:space="0" w:color="auto"/>
            </w:tcBorders>
            <w:shd w:val="clear" w:color="auto" w:fill="auto"/>
            <w:vAlign w:val="center"/>
          </w:tcPr>
          <w:p w14:paraId="2AB68245" w14:textId="77777777" w:rsidR="00CF0CB0" w:rsidRPr="009960E1" w:rsidRDefault="00CF0CB0" w:rsidP="00F27F0E">
            <w:pPr>
              <w:pStyle w:val="Tablehead"/>
              <w:rPr>
                <w:lang w:val="es-ES_tradnl"/>
              </w:rPr>
            </w:pPr>
            <w:r w:rsidRPr="009960E1">
              <w:rPr>
                <w:bCs/>
                <w:lang w:val="es-ES_tradnl"/>
              </w:rPr>
              <w:t>Título de las Cuestiones</w:t>
            </w:r>
          </w:p>
        </w:tc>
        <w:tc>
          <w:tcPr>
            <w:tcW w:w="879" w:type="dxa"/>
            <w:tcBorders>
              <w:top w:val="single" w:sz="12" w:space="0" w:color="auto"/>
              <w:bottom w:val="single" w:sz="12" w:space="0" w:color="auto"/>
            </w:tcBorders>
            <w:shd w:val="clear" w:color="auto" w:fill="auto"/>
            <w:vAlign w:val="center"/>
          </w:tcPr>
          <w:p w14:paraId="36B063F0" w14:textId="77777777" w:rsidR="00CF0CB0" w:rsidRPr="009960E1" w:rsidRDefault="00CF0CB0" w:rsidP="00F27F0E">
            <w:pPr>
              <w:pStyle w:val="Tablehead"/>
              <w:rPr>
                <w:lang w:val="es-ES_tradnl"/>
              </w:rPr>
            </w:pPr>
            <w:r w:rsidRPr="009960E1">
              <w:rPr>
                <w:bCs/>
                <w:lang w:val="es-ES_tradnl"/>
              </w:rPr>
              <w:t>WP</w:t>
            </w:r>
          </w:p>
        </w:tc>
        <w:tc>
          <w:tcPr>
            <w:tcW w:w="2806" w:type="dxa"/>
            <w:tcBorders>
              <w:top w:val="single" w:sz="12" w:space="0" w:color="auto"/>
              <w:bottom w:val="single" w:sz="12" w:space="0" w:color="auto"/>
            </w:tcBorders>
            <w:shd w:val="clear" w:color="auto" w:fill="auto"/>
            <w:vAlign w:val="center"/>
          </w:tcPr>
          <w:p w14:paraId="27F6C3FB" w14:textId="77777777" w:rsidR="00CF0CB0" w:rsidRPr="009960E1" w:rsidRDefault="00CF0CB0" w:rsidP="00F27F0E">
            <w:pPr>
              <w:pStyle w:val="Tablehead"/>
              <w:rPr>
                <w:lang w:val="es-ES_tradnl"/>
              </w:rPr>
            </w:pPr>
            <w:r w:rsidRPr="009960E1">
              <w:rPr>
                <w:bCs/>
                <w:lang w:val="es-ES_tradnl"/>
              </w:rPr>
              <w:t>Relator</w:t>
            </w:r>
          </w:p>
        </w:tc>
      </w:tr>
      <w:tr w:rsidR="00CF0CB0" w:rsidRPr="009960E1" w14:paraId="1EB4B897" w14:textId="77777777" w:rsidTr="00F27F0E">
        <w:trPr>
          <w:jc w:val="center"/>
        </w:trPr>
        <w:tc>
          <w:tcPr>
            <w:tcW w:w="1970" w:type="dxa"/>
            <w:tcBorders>
              <w:top w:val="single" w:sz="12" w:space="0" w:color="auto"/>
              <w:bottom w:val="single" w:sz="12" w:space="0" w:color="auto"/>
              <w:right w:val="nil"/>
            </w:tcBorders>
            <w:shd w:val="clear" w:color="auto" w:fill="auto"/>
          </w:tcPr>
          <w:p w14:paraId="05A36F47" w14:textId="77777777" w:rsidR="00CF0CB0" w:rsidRPr="009960E1" w:rsidRDefault="00CF0CB0" w:rsidP="00F27F0E">
            <w:pPr>
              <w:pStyle w:val="Tabletext"/>
              <w:jc w:val="center"/>
              <w:rPr>
                <w:lang w:val="es-ES_tradnl"/>
              </w:rPr>
            </w:pPr>
            <w:r w:rsidRPr="009960E1">
              <w:rPr>
                <w:lang w:val="es-ES_tradnl"/>
              </w:rPr>
              <w:t>No aplicable.</w:t>
            </w:r>
          </w:p>
        </w:tc>
        <w:tc>
          <w:tcPr>
            <w:tcW w:w="4126" w:type="dxa"/>
            <w:tcBorders>
              <w:top w:val="single" w:sz="12" w:space="0" w:color="auto"/>
              <w:left w:val="nil"/>
              <w:bottom w:val="single" w:sz="12" w:space="0" w:color="auto"/>
              <w:right w:val="nil"/>
            </w:tcBorders>
            <w:shd w:val="clear" w:color="auto" w:fill="auto"/>
          </w:tcPr>
          <w:p w14:paraId="69F0B0C9" w14:textId="77777777" w:rsidR="00CF0CB0" w:rsidRPr="009960E1" w:rsidRDefault="00CF0CB0" w:rsidP="00F27F0E">
            <w:pPr>
              <w:pStyle w:val="Tabletext"/>
              <w:rPr>
                <w:lang w:val="es-ES_tradnl"/>
              </w:rPr>
            </w:pPr>
          </w:p>
        </w:tc>
        <w:tc>
          <w:tcPr>
            <w:tcW w:w="879" w:type="dxa"/>
            <w:tcBorders>
              <w:top w:val="single" w:sz="12" w:space="0" w:color="auto"/>
              <w:left w:val="nil"/>
              <w:bottom w:val="single" w:sz="12" w:space="0" w:color="auto"/>
              <w:right w:val="nil"/>
            </w:tcBorders>
            <w:shd w:val="clear" w:color="auto" w:fill="auto"/>
          </w:tcPr>
          <w:p w14:paraId="51BAFF7C" w14:textId="77777777" w:rsidR="00CF0CB0" w:rsidRPr="009960E1" w:rsidRDefault="00CF0CB0" w:rsidP="00F27F0E">
            <w:pPr>
              <w:pStyle w:val="Tabletext"/>
              <w:rPr>
                <w:lang w:val="es-ES_tradnl"/>
              </w:rPr>
            </w:pPr>
          </w:p>
        </w:tc>
        <w:tc>
          <w:tcPr>
            <w:tcW w:w="2806" w:type="dxa"/>
            <w:tcBorders>
              <w:top w:val="single" w:sz="12" w:space="0" w:color="auto"/>
              <w:left w:val="nil"/>
              <w:bottom w:val="single" w:sz="12" w:space="0" w:color="auto"/>
            </w:tcBorders>
          </w:tcPr>
          <w:p w14:paraId="0DE82A8A" w14:textId="77777777" w:rsidR="00CF0CB0" w:rsidRPr="009960E1" w:rsidRDefault="00CF0CB0" w:rsidP="00F27F0E">
            <w:pPr>
              <w:pStyle w:val="Tabletext"/>
              <w:rPr>
                <w:lang w:val="es-ES_tradnl"/>
              </w:rPr>
            </w:pPr>
          </w:p>
        </w:tc>
      </w:tr>
    </w:tbl>
    <w:p w14:paraId="161A4523" w14:textId="77777777" w:rsidR="00CF0CB0" w:rsidRPr="009960E1" w:rsidRDefault="00CF0CB0" w:rsidP="00CF0CB0">
      <w:pPr>
        <w:pStyle w:val="TableNotitle"/>
        <w:rPr>
          <w:lang w:val="es-ES_tradnl"/>
        </w:rPr>
      </w:pPr>
      <w:r w:rsidRPr="009960E1">
        <w:rPr>
          <w:b w:val="0"/>
          <w:bCs/>
          <w:lang w:val="es-ES_tradnl"/>
        </w:rPr>
        <w:t>CUADRO 7</w:t>
      </w:r>
      <w:r w:rsidRPr="009960E1">
        <w:rPr>
          <w:lang w:val="es-ES_tradnl"/>
        </w:rPr>
        <w:br/>
        <w:t>GANT – Cuestiones suprimidas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16"/>
        <w:gridCol w:w="2048"/>
        <w:gridCol w:w="3029"/>
        <w:gridCol w:w="2616"/>
      </w:tblGrid>
      <w:tr w:rsidR="00CF0CB0" w:rsidRPr="009960E1" w14:paraId="5F23EDBA" w14:textId="77777777" w:rsidTr="00F27F0E">
        <w:trPr>
          <w:tblHeader/>
          <w:jc w:val="center"/>
        </w:trPr>
        <w:tc>
          <w:tcPr>
            <w:tcW w:w="1970" w:type="dxa"/>
            <w:tcBorders>
              <w:top w:val="single" w:sz="12" w:space="0" w:color="auto"/>
              <w:bottom w:val="single" w:sz="12" w:space="0" w:color="auto"/>
            </w:tcBorders>
            <w:shd w:val="clear" w:color="auto" w:fill="auto"/>
            <w:vAlign w:val="center"/>
          </w:tcPr>
          <w:p w14:paraId="08DAFFBF" w14:textId="77777777" w:rsidR="00CF0CB0" w:rsidRPr="009960E1" w:rsidRDefault="00CF0CB0" w:rsidP="00F27F0E">
            <w:pPr>
              <w:pStyle w:val="Tablehead"/>
              <w:rPr>
                <w:lang w:val="es-ES_tradnl"/>
              </w:rPr>
            </w:pPr>
            <w:r w:rsidRPr="009960E1">
              <w:rPr>
                <w:bCs/>
                <w:lang w:val="es-ES_tradnl"/>
              </w:rPr>
              <w:t>Cuestiones</w:t>
            </w:r>
          </w:p>
        </w:tc>
        <w:tc>
          <w:tcPr>
            <w:tcW w:w="2107" w:type="dxa"/>
            <w:tcBorders>
              <w:top w:val="single" w:sz="12" w:space="0" w:color="auto"/>
              <w:bottom w:val="single" w:sz="12" w:space="0" w:color="auto"/>
            </w:tcBorders>
            <w:shd w:val="clear" w:color="auto" w:fill="auto"/>
            <w:vAlign w:val="center"/>
          </w:tcPr>
          <w:p w14:paraId="5492066C" w14:textId="77777777" w:rsidR="00CF0CB0" w:rsidRPr="009960E1" w:rsidRDefault="00CF0CB0" w:rsidP="00F27F0E">
            <w:pPr>
              <w:pStyle w:val="Tablehead"/>
              <w:rPr>
                <w:lang w:val="es-ES_tradnl"/>
              </w:rPr>
            </w:pPr>
            <w:r w:rsidRPr="009960E1">
              <w:rPr>
                <w:bCs/>
                <w:lang w:val="es-ES_tradnl"/>
              </w:rPr>
              <w:t>Título de las Cuestiones</w:t>
            </w:r>
          </w:p>
        </w:tc>
        <w:tc>
          <w:tcPr>
            <w:tcW w:w="3119" w:type="dxa"/>
            <w:tcBorders>
              <w:top w:val="single" w:sz="12" w:space="0" w:color="auto"/>
              <w:bottom w:val="single" w:sz="12" w:space="0" w:color="auto"/>
            </w:tcBorders>
            <w:shd w:val="clear" w:color="auto" w:fill="auto"/>
            <w:vAlign w:val="center"/>
          </w:tcPr>
          <w:p w14:paraId="010D3461" w14:textId="77777777" w:rsidR="00CF0CB0" w:rsidRPr="009960E1" w:rsidRDefault="00CF0CB0" w:rsidP="00F27F0E">
            <w:pPr>
              <w:pStyle w:val="Tablehead"/>
              <w:rPr>
                <w:lang w:val="es-ES_tradnl"/>
              </w:rPr>
            </w:pPr>
            <w:r w:rsidRPr="009960E1">
              <w:rPr>
                <w:bCs/>
                <w:lang w:val="es-ES_tradnl"/>
              </w:rPr>
              <w:t>Relatores</w:t>
            </w:r>
          </w:p>
        </w:tc>
        <w:tc>
          <w:tcPr>
            <w:tcW w:w="2693" w:type="dxa"/>
            <w:tcBorders>
              <w:top w:val="single" w:sz="12" w:space="0" w:color="auto"/>
              <w:bottom w:val="single" w:sz="12" w:space="0" w:color="auto"/>
            </w:tcBorders>
            <w:shd w:val="clear" w:color="auto" w:fill="auto"/>
            <w:vAlign w:val="center"/>
          </w:tcPr>
          <w:p w14:paraId="729F2A3A" w14:textId="77777777" w:rsidR="00CF0CB0" w:rsidRPr="009960E1" w:rsidRDefault="00CF0CB0" w:rsidP="00F27F0E">
            <w:pPr>
              <w:pStyle w:val="Tablehead"/>
              <w:rPr>
                <w:lang w:val="es-ES_tradnl"/>
              </w:rPr>
            </w:pPr>
            <w:r w:rsidRPr="009960E1">
              <w:rPr>
                <w:bCs/>
                <w:lang w:val="es-ES_tradnl"/>
              </w:rPr>
              <w:t>Resultados</w:t>
            </w:r>
          </w:p>
        </w:tc>
      </w:tr>
      <w:tr w:rsidR="00CF0CB0" w:rsidRPr="009960E1" w14:paraId="0FD9D327" w14:textId="77777777" w:rsidTr="00F27F0E">
        <w:trPr>
          <w:jc w:val="center"/>
        </w:trPr>
        <w:tc>
          <w:tcPr>
            <w:tcW w:w="1970" w:type="dxa"/>
            <w:tcBorders>
              <w:top w:val="single" w:sz="12" w:space="0" w:color="auto"/>
              <w:bottom w:val="single" w:sz="4" w:space="0" w:color="auto"/>
              <w:right w:val="nil"/>
            </w:tcBorders>
            <w:shd w:val="clear" w:color="auto" w:fill="auto"/>
          </w:tcPr>
          <w:p w14:paraId="0063EB4A" w14:textId="77777777" w:rsidR="00CF0CB0" w:rsidRPr="009960E1" w:rsidRDefault="00CF0CB0" w:rsidP="00F27F0E">
            <w:pPr>
              <w:pStyle w:val="Tabletext"/>
              <w:jc w:val="center"/>
              <w:rPr>
                <w:bCs/>
                <w:lang w:val="es-ES_tradnl"/>
              </w:rPr>
            </w:pPr>
            <w:r w:rsidRPr="009960E1">
              <w:rPr>
                <w:lang w:val="es-ES_tradnl"/>
              </w:rPr>
              <w:t>No aplicable.</w:t>
            </w:r>
          </w:p>
        </w:tc>
        <w:tc>
          <w:tcPr>
            <w:tcW w:w="2107" w:type="dxa"/>
            <w:tcBorders>
              <w:top w:val="single" w:sz="12" w:space="0" w:color="auto"/>
              <w:left w:val="nil"/>
              <w:bottom w:val="single" w:sz="4" w:space="0" w:color="auto"/>
              <w:right w:val="nil"/>
            </w:tcBorders>
            <w:shd w:val="clear" w:color="auto" w:fill="auto"/>
          </w:tcPr>
          <w:p w14:paraId="14462CE2" w14:textId="77777777" w:rsidR="00CF0CB0" w:rsidRPr="009960E1" w:rsidRDefault="00CF0CB0" w:rsidP="00F27F0E">
            <w:pPr>
              <w:pStyle w:val="Tabletext"/>
              <w:rPr>
                <w:bCs/>
                <w:lang w:val="es-ES_tradnl"/>
              </w:rPr>
            </w:pPr>
          </w:p>
        </w:tc>
        <w:tc>
          <w:tcPr>
            <w:tcW w:w="3119" w:type="dxa"/>
            <w:tcBorders>
              <w:top w:val="single" w:sz="12" w:space="0" w:color="auto"/>
              <w:left w:val="nil"/>
              <w:bottom w:val="single" w:sz="4" w:space="0" w:color="auto"/>
              <w:right w:val="nil"/>
            </w:tcBorders>
            <w:shd w:val="clear" w:color="auto" w:fill="auto"/>
          </w:tcPr>
          <w:p w14:paraId="63349A04" w14:textId="77777777" w:rsidR="00CF0CB0" w:rsidRPr="009960E1" w:rsidRDefault="00CF0CB0" w:rsidP="00F27F0E">
            <w:pPr>
              <w:pStyle w:val="Tabletext"/>
              <w:jc w:val="center"/>
              <w:rPr>
                <w:bCs/>
                <w:lang w:val="es-ES_tradnl"/>
              </w:rPr>
            </w:pPr>
          </w:p>
        </w:tc>
        <w:tc>
          <w:tcPr>
            <w:tcW w:w="2693" w:type="dxa"/>
            <w:tcBorders>
              <w:top w:val="single" w:sz="12" w:space="0" w:color="auto"/>
              <w:left w:val="nil"/>
              <w:bottom w:val="single" w:sz="4" w:space="0" w:color="auto"/>
            </w:tcBorders>
            <w:shd w:val="clear" w:color="auto" w:fill="auto"/>
          </w:tcPr>
          <w:p w14:paraId="74057156" w14:textId="77777777" w:rsidR="00CF0CB0" w:rsidRPr="009960E1" w:rsidRDefault="00CF0CB0" w:rsidP="00F27F0E">
            <w:pPr>
              <w:pStyle w:val="Tabletext"/>
              <w:jc w:val="center"/>
              <w:rPr>
                <w:bCs/>
                <w:lang w:val="es-ES_tradnl"/>
              </w:rPr>
            </w:pPr>
          </w:p>
        </w:tc>
      </w:tr>
    </w:tbl>
    <w:p w14:paraId="328629A7" w14:textId="68A24629" w:rsidR="00CF0CB0" w:rsidRPr="009960E1" w:rsidRDefault="00CF0CB0" w:rsidP="00CF0CB0">
      <w:pPr>
        <w:pStyle w:val="Heading1"/>
        <w:rPr>
          <w:lang w:val="es-ES_tradnl"/>
        </w:rPr>
      </w:pPr>
      <w:bookmarkStart w:id="15" w:name="_Toc320869653"/>
      <w:bookmarkStart w:id="16" w:name="_Toc178345857"/>
      <w:bookmarkStart w:id="17" w:name="_Toc179189951"/>
      <w:r w:rsidRPr="009960E1">
        <w:rPr>
          <w:bCs/>
          <w:lang w:val="es-ES_tradnl"/>
        </w:rPr>
        <w:t>3</w:t>
      </w:r>
      <w:r w:rsidRPr="009960E1">
        <w:rPr>
          <w:lang w:val="es-ES_tradnl"/>
        </w:rPr>
        <w:tab/>
      </w:r>
      <w:r w:rsidRPr="009960E1">
        <w:rPr>
          <w:bCs/>
          <w:lang w:val="es-ES_tradnl"/>
        </w:rPr>
        <w:t>Resultados de los trabajos realizados durante el periodo</w:t>
      </w:r>
      <w:r w:rsidRPr="009960E1">
        <w:rPr>
          <w:bCs/>
          <w:lang w:val="es-ES_tradnl"/>
        </w:rPr>
        <w:br/>
        <w:t>de estudios 2022-2024</w:t>
      </w:r>
      <w:bookmarkEnd w:id="15"/>
      <w:bookmarkEnd w:id="16"/>
      <w:bookmarkEnd w:id="17"/>
    </w:p>
    <w:p w14:paraId="5FF8C521" w14:textId="77777777" w:rsidR="00CF0CB0" w:rsidRPr="009960E1" w:rsidRDefault="00CF0CB0" w:rsidP="00CF0CB0">
      <w:pPr>
        <w:pStyle w:val="Heading2"/>
        <w:rPr>
          <w:lang w:val="es-ES_tradnl"/>
        </w:rPr>
      </w:pPr>
      <w:bookmarkStart w:id="18" w:name="_Toc178345858"/>
      <w:bookmarkStart w:id="19" w:name="_Toc179189952"/>
      <w:r w:rsidRPr="009960E1">
        <w:rPr>
          <w:bCs/>
          <w:lang w:val="es-ES_tradnl"/>
        </w:rPr>
        <w:t>3.1</w:t>
      </w:r>
      <w:r w:rsidRPr="009960E1">
        <w:rPr>
          <w:lang w:val="es-ES_tradnl"/>
        </w:rPr>
        <w:tab/>
      </w:r>
      <w:r w:rsidRPr="009960E1">
        <w:rPr>
          <w:bCs/>
          <w:lang w:val="es-ES_tradnl"/>
        </w:rPr>
        <w:t>Generalidades</w:t>
      </w:r>
      <w:bookmarkEnd w:id="18"/>
      <w:bookmarkEnd w:id="19"/>
    </w:p>
    <w:p w14:paraId="65AF7E8B" w14:textId="77777777" w:rsidR="00CF0CB0" w:rsidRPr="009960E1" w:rsidRDefault="00CF0CB0" w:rsidP="00CF0CB0">
      <w:pPr>
        <w:rPr>
          <w:lang w:val="es-ES_tradnl"/>
        </w:rPr>
      </w:pPr>
      <w:r w:rsidRPr="009960E1">
        <w:rPr>
          <w:lang w:val="es-ES_tradnl"/>
        </w:rPr>
        <w:t>Durante el periodo de estudios, el GANT examinó 111 contribuciones y elaboró un gran número de DT y declaraciones de coordinación. También:</w:t>
      </w:r>
    </w:p>
    <w:p w14:paraId="1896887E" w14:textId="77777777" w:rsidR="00CF0CB0" w:rsidRPr="009960E1" w:rsidRDefault="00CF0CB0" w:rsidP="00CF0CB0">
      <w:pPr>
        <w:pStyle w:val="enumlev1"/>
        <w:rPr>
          <w:lang w:val="es-ES_tradnl"/>
        </w:rPr>
      </w:pPr>
      <w:r w:rsidRPr="009960E1">
        <w:rPr>
          <w:lang w:val="es-ES_tradnl"/>
        </w:rPr>
        <w:t>–</w:t>
      </w:r>
      <w:r w:rsidRPr="009960E1">
        <w:rPr>
          <w:lang w:val="es-ES_tradnl"/>
        </w:rPr>
        <w:tab/>
        <w:t>elaboró dos nuevas Recomendaciones;</w:t>
      </w:r>
    </w:p>
    <w:p w14:paraId="61FF1620" w14:textId="77777777" w:rsidR="00CF0CB0" w:rsidRPr="009960E1" w:rsidRDefault="00CF0CB0" w:rsidP="00CF0CB0">
      <w:pPr>
        <w:pStyle w:val="enumlev1"/>
        <w:rPr>
          <w:lang w:val="es-ES_tradnl"/>
        </w:rPr>
      </w:pPr>
      <w:r w:rsidRPr="009960E1">
        <w:rPr>
          <w:lang w:val="es-ES_tradnl"/>
        </w:rPr>
        <w:t>–</w:t>
      </w:r>
      <w:r w:rsidRPr="009960E1">
        <w:rPr>
          <w:lang w:val="es-ES_tradnl"/>
        </w:rPr>
        <w:tab/>
        <w:t>enmendó/revisó dos Recomendaciones existentes;</w:t>
      </w:r>
    </w:p>
    <w:p w14:paraId="1200A6FD" w14:textId="77777777" w:rsidR="00CF0CB0" w:rsidRPr="009960E1" w:rsidRDefault="00CF0CB0" w:rsidP="00CF0CB0">
      <w:pPr>
        <w:pStyle w:val="enumlev1"/>
        <w:rPr>
          <w:lang w:val="es-ES_tradnl"/>
        </w:rPr>
      </w:pPr>
      <w:r w:rsidRPr="009960E1">
        <w:rPr>
          <w:lang w:val="es-ES_tradnl"/>
        </w:rPr>
        <w:t>–</w:t>
      </w:r>
      <w:r w:rsidRPr="009960E1">
        <w:rPr>
          <w:lang w:val="es-ES_tradnl"/>
        </w:rPr>
        <w:tab/>
        <w:t xml:space="preserve">creó dos suplementos nuevos y dos revisados, y una nota informativa para los presidentes del grupo </w:t>
      </w:r>
      <w:r w:rsidRPr="009960E1">
        <w:rPr>
          <w:i/>
          <w:iCs/>
          <w:lang w:val="es-ES_tradnl"/>
        </w:rPr>
        <w:t>ad hoc</w:t>
      </w:r>
      <w:r w:rsidRPr="009960E1">
        <w:rPr>
          <w:lang w:val="es-ES_tradnl"/>
        </w:rPr>
        <w:t xml:space="preserve"> de la AMNT y los presidentes del grupo de redacción;</w:t>
      </w:r>
    </w:p>
    <w:p w14:paraId="3E12F7D3" w14:textId="77777777" w:rsidR="00CF0CB0" w:rsidRPr="009960E1" w:rsidRDefault="00CF0CB0" w:rsidP="00CF0CB0">
      <w:pPr>
        <w:pStyle w:val="enumlev1"/>
        <w:rPr>
          <w:lang w:val="es-ES_tradnl"/>
        </w:rPr>
      </w:pPr>
      <w:r w:rsidRPr="009960E1">
        <w:rPr>
          <w:lang w:val="es-ES_tradnl"/>
        </w:rPr>
        <w:t>–</w:t>
      </w:r>
      <w:r w:rsidRPr="009960E1">
        <w:rPr>
          <w:lang w:val="es-ES_tradnl"/>
        </w:rPr>
        <w:tab/>
        <w:t>suprimió un suplemento y dos Recomendaciones.</w:t>
      </w:r>
    </w:p>
    <w:p w14:paraId="78BA312A" w14:textId="77777777" w:rsidR="00CF0CB0" w:rsidRPr="009960E1" w:rsidRDefault="00CF0CB0" w:rsidP="00CF0CB0">
      <w:pPr>
        <w:pStyle w:val="Heading2"/>
        <w:rPr>
          <w:lang w:val="es-ES_tradnl"/>
        </w:rPr>
      </w:pPr>
      <w:bookmarkStart w:id="20" w:name="_Toc178345859"/>
      <w:bookmarkStart w:id="21" w:name="_Toc179189953"/>
      <w:r w:rsidRPr="009960E1">
        <w:rPr>
          <w:bCs/>
          <w:lang w:val="es-ES_tradnl"/>
        </w:rPr>
        <w:lastRenderedPageBreak/>
        <w:t>3.2</w:t>
      </w:r>
      <w:r w:rsidRPr="009960E1">
        <w:rPr>
          <w:lang w:val="es-ES_tradnl"/>
        </w:rPr>
        <w:tab/>
      </w:r>
      <w:r w:rsidRPr="009960E1">
        <w:rPr>
          <w:bCs/>
          <w:lang w:val="es-ES_tradnl"/>
        </w:rPr>
        <w:t>Logros más destacados</w:t>
      </w:r>
      <w:bookmarkEnd w:id="20"/>
      <w:bookmarkEnd w:id="21"/>
    </w:p>
    <w:p w14:paraId="19FD1E75" w14:textId="77777777" w:rsidR="00CF0CB0" w:rsidRPr="009960E1" w:rsidRDefault="00CF0CB0" w:rsidP="00CF0CB0">
      <w:pPr>
        <w:keepNext/>
        <w:rPr>
          <w:lang w:val="es-ES_tradnl"/>
        </w:rPr>
      </w:pPr>
      <w:r w:rsidRPr="009960E1">
        <w:rPr>
          <w:lang w:val="es-ES_tradnl"/>
        </w:rPr>
        <w:t>A continuación se resumen brevemente los principales resultados logrados por el GANT.</w:t>
      </w:r>
    </w:p>
    <w:p w14:paraId="1E862E45" w14:textId="77777777" w:rsidR="00CF0CB0" w:rsidRPr="009960E1" w:rsidRDefault="00CF0CB0" w:rsidP="00CF0CB0">
      <w:pPr>
        <w:pStyle w:val="Headingb"/>
        <w:rPr>
          <w:lang w:val="es-ES_tradnl"/>
        </w:rPr>
      </w:pPr>
      <w:r w:rsidRPr="009960E1">
        <w:rPr>
          <w:lang w:val="es-ES_tradnl"/>
        </w:rPr>
        <w:t>a)</w:t>
      </w:r>
      <w:r w:rsidRPr="009960E1">
        <w:rPr>
          <w:lang w:val="es-ES_tradnl"/>
        </w:rPr>
        <w:tab/>
        <w:t>Logros del Grupo de Trabajo 1/GANT</w:t>
      </w:r>
    </w:p>
    <w:p w14:paraId="1CA9D6A6" w14:textId="77777777" w:rsidR="00CF0CB0" w:rsidRPr="009960E1" w:rsidRDefault="00CF0CB0" w:rsidP="00CF0CB0">
      <w:pPr>
        <w:pStyle w:val="enumlev1"/>
        <w:rPr>
          <w:lang w:val="es-ES_tradnl"/>
        </w:rPr>
      </w:pPr>
      <w:r w:rsidRPr="009960E1">
        <w:rPr>
          <w:lang w:val="es-ES_tradnl"/>
        </w:rPr>
        <w:t>–</w:t>
      </w:r>
      <w:r w:rsidRPr="009960E1">
        <w:rPr>
          <w:lang w:val="es-ES_tradnl"/>
        </w:rPr>
        <w:tab/>
        <w:t>Elaboración de las nuevas Recomendaciones UIT-T A.18, A.24 (en sustitución de las Recomendaciones retiradas A.4 y A.6), y revisión de las Recomendaciones UIT-T A.7 y A.8.</w:t>
      </w:r>
    </w:p>
    <w:p w14:paraId="3A9C6004" w14:textId="77777777" w:rsidR="00CF0CB0" w:rsidRPr="009960E1" w:rsidRDefault="00CF0CB0" w:rsidP="00CF0CB0">
      <w:pPr>
        <w:pStyle w:val="enumlev1"/>
        <w:rPr>
          <w:lang w:val="es-ES_tradnl"/>
        </w:rPr>
      </w:pPr>
      <w:r w:rsidRPr="009960E1">
        <w:rPr>
          <w:lang w:val="es-ES_tradnl"/>
        </w:rPr>
        <w:t>–</w:t>
      </w:r>
      <w:r w:rsidRPr="009960E1">
        <w:rPr>
          <w:lang w:val="es-ES_tradnl"/>
        </w:rPr>
        <w:tab/>
        <w:t>Elaboración de los nuevos Suplementos 6 y 7 de la serie A, revisión de los Suplementos 2 y 4 de la serie A, y retirada del Suplemento 5 de la serie A.</w:t>
      </w:r>
    </w:p>
    <w:p w14:paraId="1C1C5EC2" w14:textId="55B19169" w:rsidR="00CF0CB0" w:rsidRPr="009960E1" w:rsidRDefault="00CF0CB0" w:rsidP="00CF0CB0">
      <w:pPr>
        <w:pStyle w:val="enumlev1"/>
        <w:rPr>
          <w:lang w:val="es-ES_tradnl"/>
        </w:rPr>
      </w:pPr>
      <w:r w:rsidRPr="009960E1">
        <w:rPr>
          <w:lang w:val="es-ES_tradnl"/>
        </w:rPr>
        <w:t>–</w:t>
      </w:r>
      <w:r w:rsidRPr="009960E1">
        <w:rPr>
          <w:lang w:val="es-ES_tradnl"/>
        </w:rPr>
        <w:tab/>
        <w:t xml:space="preserve">Elaboración de </w:t>
      </w:r>
      <w:hyperlink r:id="rId69" w:history="1">
        <w:r w:rsidRPr="009960E1">
          <w:rPr>
            <w:rStyle w:val="Hyperlink"/>
            <w:lang w:val="es-ES_tradnl"/>
          </w:rPr>
          <w:t>ASBN-AHDGC</w:t>
        </w:r>
      </w:hyperlink>
      <w:r w:rsidRPr="009960E1">
        <w:rPr>
          <w:lang w:val="es-ES_tradnl"/>
        </w:rPr>
        <w:t xml:space="preserve"> </w:t>
      </w:r>
      <w:r w:rsidRPr="009960E1">
        <w:rPr>
          <w:i/>
          <w:iCs/>
          <w:lang w:val="es-ES_tradnl"/>
        </w:rPr>
        <w:t>"Nota informativa para los presidentes del grupo ad hoc de la AMNT y los presidentes del grupo de redacción"</w:t>
      </w:r>
      <w:r w:rsidRPr="009960E1">
        <w:rPr>
          <w:lang w:val="es-ES_tradnl"/>
        </w:rPr>
        <w:t xml:space="preserve"> (véase </w:t>
      </w:r>
      <w:hyperlink r:id="rId70" w:history="1">
        <w:r w:rsidRPr="009960E1">
          <w:rPr>
            <w:rStyle w:val="Hyperlink"/>
            <w:lang w:val="es-ES_tradnl" w:eastAsia="ja-JP"/>
          </w:rPr>
          <w:t>WTSA-24 INFO-03</w:t>
        </w:r>
      </w:hyperlink>
      <w:r w:rsidRPr="009960E1">
        <w:rPr>
          <w:lang w:val="es-ES_tradnl"/>
        </w:rPr>
        <w:t>)</w:t>
      </w:r>
      <w:r w:rsidR="00412F3C">
        <w:rPr>
          <w:lang w:val="es-ES_tradnl"/>
        </w:rPr>
        <w:t>.</w:t>
      </w:r>
    </w:p>
    <w:p w14:paraId="076C0223" w14:textId="77777777" w:rsidR="00CF0CB0" w:rsidRPr="009960E1" w:rsidRDefault="00CF0CB0" w:rsidP="00CF0CB0">
      <w:pPr>
        <w:pStyle w:val="enumlev1"/>
        <w:rPr>
          <w:lang w:val="es-ES_tradnl"/>
        </w:rPr>
      </w:pPr>
      <w:r w:rsidRPr="009960E1">
        <w:rPr>
          <w:lang w:val="es-ES_tradnl"/>
        </w:rPr>
        <w:t>–</w:t>
      </w:r>
      <w:r w:rsidRPr="009960E1">
        <w:rPr>
          <w:lang w:val="es-ES_tradnl"/>
        </w:rPr>
        <w:tab/>
        <w:t xml:space="preserve">Progresión de los debates sobre la Recomendación UIT-T A.1 (véase </w:t>
      </w:r>
      <w:hyperlink r:id="rId71" w:history="1">
        <w:r w:rsidRPr="009960E1">
          <w:rPr>
            <w:rStyle w:val="Hyperlink"/>
            <w:lang w:val="es-ES_tradnl" w:eastAsia="ja-JP"/>
          </w:rPr>
          <w:t>WTSA-24 INFO-02</w:t>
        </w:r>
      </w:hyperlink>
      <w:r w:rsidRPr="009960E1">
        <w:rPr>
          <w:lang w:val="es-ES_tradnl"/>
        </w:rPr>
        <w:t xml:space="preserve">, </w:t>
      </w:r>
      <w:r w:rsidRPr="009960E1">
        <w:rPr>
          <w:i/>
          <w:iCs/>
          <w:lang w:val="es-ES_tradnl"/>
        </w:rPr>
        <w:t>Proyecto actual de la Revisión de UIT-T A.1 "Métodos de trabajo de las Comisiones de Estudio del Sector de Normalización de las Telecomunicaciones de la UIT"</w:t>
      </w:r>
      <w:r w:rsidRPr="009960E1">
        <w:rPr>
          <w:lang w:val="es-ES_tradnl"/>
        </w:rPr>
        <w:t>).</w:t>
      </w:r>
    </w:p>
    <w:p w14:paraId="559A9B08" w14:textId="7EF9F178" w:rsidR="00CF0CB0" w:rsidRPr="009960E1" w:rsidRDefault="00CF0CB0" w:rsidP="00CF0CB0">
      <w:pPr>
        <w:pStyle w:val="enumlev1"/>
        <w:rPr>
          <w:lang w:val="es-ES_tradnl"/>
        </w:rPr>
      </w:pPr>
      <w:r w:rsidRPr="009960E1">
        <w:rPr>
          <w:lang w:val="es-ES_tradnl"/>
        </w:rPr>
        <w:t>–</w:t>
      </w:r>
      <w:r w:rsidRPr="009960E1">
        <w:rPr>
          <w:lang w:val="es-ES_tradnl"/>
        </w:rPr>
        <w:tab/>
        <w:t xml:space="preserve">Acuerdo de propuesta a la AMNT-24 sobre la supresión de la Resolución 80 de la AMNT relativa al </w:t>
      </w:r>
      <w:r w:rsidRPr="009960E1">
        <w:rPr>
          <w:i/>
          <w:iCs/>
          <w:lang w:val="es-ES_tradnl"/>
        </w:rPr>
        <w:t xml:space="preserve">"Reconocimiento de la </w:t>
      </w:r>
      <w:proofErr w:type="gramStart"/>
      <w:r w:rsidRPr="009960E1">
        <w:rPr>
          <w:i/>
          <w:iCs/>
          <w:lang w:val="es-ES_tradnl"/>
        </w:rPr>
        <w:t>participación activa</w:t>
      </w:r>
      <w:proofErr w:type="gramEnd"/>
      <w:r w:rsidRPr="009960E1">
        <w:rPr>
          <w:i/>
          <w:iCs/>
          <w:lang w:val="es-ES_tradnl"/>
        </w:rPr>
        <w:t xml:space="preserve"> de los Miembros en los resultados del Sector de Normalización de las Telecomunicaciones de la UIT"</w:t>
      </w:r>
      <w:r w:rsidR="00412F3C">
        <w:rPr>
          <w:lang w:val="es-ES_tradnl"/>
        </w:rPr>
        <w:t xml:space="preserve"> (</w:t>
      </w:r>
      <w:r w:rsidRPr="009960E1">
        <w:rPr>
          <w:lang w:val="es-ES_tradnl"/>
        </w:rPr>
        <w:t xml:space="preserve">véase </w:t>
      </w:r>
      <w:hyperlink r:id="rId72" w:history="1">
        <w:r w:rsidRPr="009960E1">
          <w:rPr>
            <w:rStyle w:val="Hyperlink"/>
            <w:lang w:val="es-ES_tradnl"/>
          </w:rPr>
          <w:t>WTSA-24 Doc.25</w:t>
        </w:r>
      </w:hyperlink>
      <w:r w:rsidR="00412F3C" w:rsidRPr="00412F3C">
        <w:rPr>
          <w:lang w:val="es-ES_tradnl"/>
        </w:rPr>
        <w:t>)</w:t>
      </w:r>
      <w:r w:rsidR="00412F3C">
        <w:rPr>
          <w:lang w:val="es-ES_tradnl"/>
        </w:rPr>
        <w:t>.</w:t>
      </w:r>
    </w:p>
    <w:p w14:paraId="273A6317" w14:textId="77777777" w:rsidR="00CF0CB0" w:rsidRPr="009960E1" w:rsidRDefault="00CF0CB0" w:rsidP="00CF0CB0">
      <w:pPr>
        <w:pStyle w:val="enumlev1"/>
        <w:rPr>
          <w:lang w:val="es-ES_tradnl"/>
        </w:rPr>
      </w:pPr>
      <w:r w:rsidRPr="009960E1">
        <w:rPr>
          <w:lang w:val="es-ES_tradnl"/>
        </w:rPr>
        <w:t>–</w:t>
      </w:r>
      <w:r w:rsidRPr="009960E1">
        <w:rPr>
          <w:lang w:val="es-ES_tradnl"/>
        </w:rPr>
        <w:tab/>
        <w:t xml:space="preserve">Progresión de los debates sobre la Resolución 22 de la AMNT relativa a la </w:t>
      </w:r>
      <w:r w:rsidRPr="009960E1">
        <w:rPr>
          <w:i/>
          <w:iCs/>
          <w:lang w:val="es-ES_tradnl"/>
        </w:rPr>
        <w:t>"Autorización para que el Grupo Asesor de Normalización de las Telecomunicaciones actúe en el periodo entre Asambleas Mundiales de Normalización de las Telecomunicaciones"</w:t>
      </w:r>
      <w:r w:rsidRPr="009960E1">
        <w:rPr>
          <w:lang w:val="es-ES_tradnl"/>
        </w:rPr>
        <w:t xml:space="preserve">, que se presentó para información de la AMNT-24 en el Apéndice I de </w:t>
      </w:r>
      <w:hyperlink r:id="rId73" w:history="1">
        <w:r w:rsidRPr="009960E1">
          <w:rPr>
            <w:rStyle w:val="Hyperlink"/>
            <w:lang w:val="es-ES_tradnl"/>
          </w:rPr>
          <w:t>WTSA-24 Doc.25</w:t>
        </w:r>
      </w:hyperlink>
      <w:r w:rsidRPr="009960E1">
        <w:rPr>
          <w:u w:val="single"/>
          <w:lang w:val="es-ES_tradnl"/>
        </w:rPr>
        <w:t>.</w:t>
      </w:r>
    </w:p>
    <w:p w14:paraId="05F83363" w14:textId="77777777" w:rsidR="00CF0CB0" w:rsidRPr="009960E1" w:rsidRDefault="00CF0CB0" w:rsidP="00CF0CB0">
      <w:pPr>
        <w:pStyle w:val="Headingb"/>
        <w:rPr>
          <w:lang w:val="es-ES_tradnl"/>
        </w:rPr>
      </w:pPr>
      <w:r w:rsidRPr="009960E1">
        <w:rPr>
          <w:lang w:val="es-ES_tradnl"/>
        </w:rPr>
        <w:t>b)</w:t>
      </w:r>
      <w:r w:rsidRPr="009960E1">
        <w:rPr>
          <w:lang w:val="es-ES_tradnl"/>
        </w:rPr>
        <w:tab/>
        <w:t>Logros del Grupo de Trabajo 2/GANT</w:t>
      </w:r>
    </w:p>
    <w:p w14:paraId="1DD82220" w14:textId="77777777" w:rsidR="00CF0CB0" w:rsidRPr="009960E1" w:rsidRDefault="00CF0CB0" w:rsidP="00CF0CB0">
      <w:pPr>
        <w:pStyle w:val="enumlev1"/>
        <w:rPr>
          <w:lang w:val="es-ES_tradnl"/>
        </w:rPr>
      </w:pPr>
      <w:r w:rsidRPr="009960E1">
        <w:rPr>
          <w:lang w:val="es-ES_tradnl"/>
        </w:rPr>
        <w:t>–</w:t>
      </w:r>
      <w:r w:rsidRPr="009960E1">
        <w:rPr>
          <w:lang w:val="es-ES_tradnl"/>
        </w:rPr>
        <w:tab/>
        <w:t xml:space="preserve">Acuerdo de propuesta sobre la consolidación de la CE 9 y la CE 16 del UIT-T en una nueva Comisión de Estudio, denominada provisionalmente "nueva Comisión de Estudio C", que puede consultarse en el </w:t>
      </w:r>
      <w:hyperlink w:anchor="Annex2" w:history="1">
        <w:r w:rsidRPr="009960E1">
          <w:rPr>
            <w:rStyle w:val="Hyperlink"/>
            <w:lang w:val="es-ES_tradnl"/>
          </w:rPr>
          <w:t>Anexo 2</w:t>
        </w:r>
      </w:hyperlink>
      <w:r w:rsidRPr="009960E1">
        <w:rPr>
          <w:lang w:val="es-ES_tradnl"/>
        </w:rPr>
        <w:t>.</w:t>
      </w:r>
    </w:p>
    <w:p w14:paraId="07A1F235" w14:textId="77777777" w:rsidR="00CF0CB0" w:rsidRPr="009960E1" w:rsidRDefault="00CF0CB0" w:rsidP="00CF0CB0">
      <w:pPr>
        <w:pStyle w:val="enumlev1"/>
        <w:rPr>
          <w:lang w:val="es-ES_tradnl"/>
        </w:rPr>
      </w:pPr>
      <w:r w:rsidRPr="009960E1">
        <w:rPr>
          <w:lang w:val="es-ES_tradnl"/>
        </w:rPr>
        <w:t>–</w:t>
      </w:r>
      <w:r w:rsidRPr="009960E1">
        <w:rPr>
          <w:lang w:val="es-ES_tradnl"/>
        </w:rPr>
        <w:tab/>
        <w:t xml:space="preserve">Elaboración de un plan de acción para una participación dinámica de la industria (véase el </w:t>
      </w:r>
      <w:hyperlink w:anchor="Annex3" w:history="1">
        <w:r w:rsidRPr="009960E1">
          <w:rPr>
            <w:rStyle w:val="Hyperlink"/>
            <w:lang w:val="es-ES_tradnl"/>
          </w:rPr>
          <w:t>Anexo 3</w:t>
        </w:r>
      </w:hyperlink>
      <w:r w:rsidRPr="009960E1">
        <w:rPr>
          <w:lang w:val="es-ES_tradnl"/>
        </w:rPr>
        <w:t>).</w:t>
      </w:r>
    </w:p>
    <w:p w14:paraId="6AD580CA" w14:textId="1AD4B09C" w:rsidR="00CF0CB0" w:rsidRPr="009960E1" w:rsidRDefault="00CF0CB0" w:rsidP="00CF0CB0">
      <w:pPr>
        <w:pStyle w:val="enumlev1"/>
        <w:rPr>
          <w:lang w:val="es-ES_tradnl"/>
        </w:rPr>
      </w:pPr>
      <w:r w:rsidRPr="009960E1">
        <w:rPr>
          <w:lang w:val="es-ES_tradnl"/>
        </w:rPr>
        <w:t>–</w:t>
      </w:r>
      <w:r w:rsidRPr="009960E1">
        <w:rPr>
          <w:lang w:val="es-ES_tradnl"/>
        </w:rPr>
        <w:tab/>
        <w:t xml:space="preserve">Celebración del Taller del UIT-T sobre la Participación de la Industria (19 de abril de 2024), </w:t>
      </w:r>
      <w:r w:rsidR="00412F3C">
        <w:rPr>
          <w:lang w:val="es-ES_tradnl"/>
        </w:rPr>
        <w:t>(</w:t>
      </w:r>
      <w:r w:rsidRPr="009960E1">
        <w:rPr>
          <w:lang w:val="es-ES_tradnl"/>
        </w:rPr>
        <w:t xml:space="preserve">véase </w:t>
      </w:r>
      <w:hyperlink r:id="rId74" w:history="1">
        <w:r w:rsidR="00412F3C" w:rsidRPr="00074CAB">
          <w:rPr>
            <w:rStyle w:val="Hyperlink"/>
            <w:lang w:val="es-ES_tradnl"/>
          </w:rPr>
          <w:t>https://itu.int/en/ITU-T/Workshops-and-Seminars/2024/0419</w:t>
        </w:r>
      </w:hyperlink>
      <w:r w:rsidR="00412F3C">
        <w:rPr>
          <w:lang w:val="es-ES_tradnl"/>
        </w:rPr>
        <w:t>)</w:t>
      </w:r>
      <w:r w:rsidRPr="009960E1">
        <w:rPr>
          <w:lang w:val="es-ES_tradnl"/>
        </w:rPr>
        <w:t>.</w:t>
      </w:r>
    </w:p>
    <w:p w14:paraId="1BBAC5AA" w14:textId="77777777" w:rsidR="00CF0CB0" w:rsidRPr="009960E1" w:rsidRDefault="00CF0CB0" w:rsidP="00CF0CB0">
      <w:pPr>
        <w:pStyle w:val="enumlev1"/>
        <w:rPr>
          <w:lang w:val="es-ES_tradnl"/>
        </w:rPr>
      </w:pPr>
      <w:r w:rsidRPr="009960E1">
        <w:rPr>
          <w:lang w:val="es-ES_tradnl"/>
        </w:rPr>
        <w:t>–</w:t>
      </w:r>
      <w:r w:rsidRPr="009960E1">
        <w:rPr>
          <w:lang w:val="es-ES_tradnl"/>
        </w:rPr>
        <w:tab/>
        <w:t xml:space="preserve">Acuerdo de propuesta a la AMNT-24 sobre la elaboración de una nueva Resolución de la AMNT [TSAG-DT] relativa a la transformación digital sostenible (véase el texto en </w:t>
      </w:r>
      <w:hyperlink r:id="rId75" w:history="1">
        <w:r w:rsidRPr="009960E1">
          <w:rPr>
            <w:rStyle w:val="Hyperlink"/>
            <w:lang w:val="es-ES_tradnl"/>
          </w:rPr>
          <w:t>WTSA-24 Doc.25</w:t>
        </w:r>
      </w:hyperlink>
      <w:r w:rsidRPr="009960E1">
        <w:rPr>
          <w:lang w:val="es-ES_tradnl"/>
        </w:rPr>
        <w:t>).</w:t>
      </w:r>
    </w:p>
    <w:p w14:paraId="673DBD08" w14:textId="77777777" w:rsidR="00CF0CB0" w:rsidRPr="009960E1" w:rsidRDefault="00CF0CB0" w:rsidP="00CF0CB0">
      <w:pPr>
        <w:pStyle w:val="enumlev1"/>
        <w:rPr>
          <w:lang w:val="es-ES_tradnl"/>
        </w:rPr>
      </w:pPr>
      <w:r w:rsidRPr="009960E1">
        <w:rPr>
          <w:lang w:val="es-ES_tradnl"/>
        </w:rPr>
        <w:t>–</w:t>
      </w:r>
      <w:r w:rsidRPr="009960E1">
        <w:rPr>
          <w:lang w:val="es-ES_tradnl"/>
        </w:rPr>
        <w:tab/>
        <w:t xml:space="preserve">Acuerdo de propuesta a la AMNT-24 sobre la revisión de la Resolución 68 </w:t>
      </w:r>
      <w:r w:rsidRPr="009960E1">
        <w:rPr>
          <w:i/>
          <w:iCs/>
          <w:lang w:val="es-ES_tradnl"/>
        </w:rPr>
        <w:t xml:space="preserve">"Evolución del papel de la industria en el Sector de Normalización de las Telecomunicaciones de la UIT" </w:t>
      </w:r>
      <w:r w:rsidRPr="009960E1">
        <w:rPr>
          <w:lang w:val="es-ES_tradnl"/>
        </w:rPr>
        <w:t xml:space="preserve">(véase el texto en </w:t>
      </w:r>
      <w:hyperlink r:id="rId76" w:history="1">
        <w:r w:rsidRPr="009960E1">
          <w:rPr>
            <w:rStyle w:val="Hyperlink"/>
            <w:lang w:val="es-ES_tradnl"/>
          </w:rPr>
          <w:t>WTSA-24 Doc.25</w:t>
        </w:r>
      </w:hyperlink>
      <w:r w:rsidRPr="009960E1">
        <w:rPr>
          <w:lang w:val="es-ES_tradnl"/>
        </w:rPr>
        <w:t>).</w:t>
      </w:r>
    </w:p>
    <w:p w14:paraId="4689D78A" w14:textId="77777777" w:rsidR="00CF0CB0" w:rsidRPr="009960E1" w:rsidRDefault="00CF0CB0" w:rsidP="00CF0CB0">
      <w:pPr>
        <w:pStyle w:val="Headingb"/>
        <w:rPr>
          <w:lang w:val="es-ES_tradnl"/>
        </w:rPr>
      </w:pPr>
      <w:r w:rsidRPr="009960E1">
        <w:rPr>
          <w:lang w:val="es-ES_tradnl"/>
        </w:rPr>
        <w:t>c)</w:t>
      </w:r>
      <w:r w:rsidRPr="009960E1">
        <w:rPr>
          <w:lang w:val="es-ES_tradnl"/>
        </w:rPr>
        <w:tab/>
        <w:t>Logros de los Grupos de Relator</w:t>
      </w:r>
    </w:p>
    <w:p w14:paraId="311E97BC" w14:textId="77777777" w:rsidR="00CF0CB0" w:rsidRPr="009960E1" w:rsidRDefault="00CF0CB0" w:rsidP="00CF0CB0">
      <w:pPr>
        <w:pStyle w:val="enumlev1"/>
        <w:rPr>
          <w:lang w:val="es-ES_tradnl"/>
        </w:rPr>
      </w:pPr>
      <w:r w:rsidRPr="009960E1">
        <w:rPr>
          <w:lang w:val="es-ES_tradnl"/>
        </w:rPr>
        <w:t>–</w:t>
      </w:r>
      <w:r w:rsidRPr="009960E1">
        <w:rPr>
          <w:lang w:val="es-ES_tradnl"/>
        </w:rPr>
        <w:tab/>
        <w:t>Los logros de los Grupos de Relator figuran en TSAG-</w:t>
      </w:r>
      <w:hyperlink r:id="rId77" w:history="1">
        <w:r w:rsidRPr="009960E1">
          <w:rPr>
            <w:rStyle w:val="Hyperlink"/>
            <w:lang w:val="es-ES_tradnl"/>
          </w:rPr>
          <w:t>R1</w:t>
        </w:r>
      </w:hyperlink>
      <w:r w:rsidRPr="009960E1">
        <w:rPr>
          <w:lang w:val="es-ES_tradnl"/>
        </w:rPr>
        <w:t xml:space="preserve">, </w:t>
      </w:r>
      <w:hyperlink r:id="rId78" w:history="1">
        <w:r w:rsidRPr="009960E1">
          <w:rPr>
            <w:rStyle w:val="Hyperlink"/>
            <w:lang w:val="es-ES_tradnl"/>
          </w:rPr>
          <w:t>2</w:t>
        </w:r>
      </w:hyperlink>
      <w:r w:rsidRPr="009960E1">
        <w:rPr>
          <w:lang w:val="es-ES_tradnl"/>
        </w:rPr>
        <w:t xml:space="preserve">, </w:t>
      </w:r>
      <w:hyperlink r:id="rId79" w:history="1">
        <w:r w:rsidRPr="009960E1">
          <w:rPr>
            <w:rStyle w:val="Hyperlink"/>
            <w:lang w:val="es-ES_tradnl"/>
          </w:rPr>
          <w:t>4</w:t>
        </w:r>
      </w:hyperlink>
      <w:r w:rsidRPr="009960E1">
        <w:rPr>
          <w:lang w:val="es-ES_tradnl"/>
        </w:rPr>
        <w:t xml:space="preserve"> y </w:t>
      </w:r>
      <w:hyperlink r:id="rId80" w:history="1">
        <w:r w:rsidRPr="009960E1">
          <w:rPr>
            <w:rStyle w:val="Hyperlink"/>
            <w:lang w:val="es-ES_tradnl"/>
          </w:rPr>
          <w:t>8</w:t>
        </w:r>
      </w:hyperlink>
      <w:r w:rsidRPr="009960E1">
        <w:rPr>
          <w:lang w:val="es-ES_tradnl"/>
        </w:rPr>
        <w:t>.</w:t>
      </w:r>
    </w:p>
    <w:p w14:paraId="7DAFCF86" w14:textId="77777777" w:rsidR="00CF0CB0" w:rsidRPr="009960E1" w:rsidRDefault="00CF0CB0" w:rsidP="00CF0CB0">
      <w:pPr>
        <w:pStyle w:val="Heading2"/>
        <w:rPr>
          <w:lang w:val="es-ES_tradnl"/>
        </w:rPr>
      </w:pPr>
      <w:bookmarkStart w:id="22" w:name="_Toc320869659"/>
      <w:bookmarkStart w:id="23" w:name="_Toc178345860"/>
      <w:bookmarkStart w:id="24" w:name="_Toc179189954"/>
      <w:r w:rsidRPr="009960E1">
        <w:rPr>
          <w:bCs/>
          <w:lang w:val="es-ES_tradnl"/>
        </w:rPr>
        <w:t>3.3</w:t>
      </w:r>
      <w:r w:rsidRPr="009960E1">
        <w:rPr>
          <w:lang w:val="es-ES_tradnl"/>
        </w:rPr>
        <w:tab/>
      </w:r>
      <w:r w:rsidRPr="009960E1">
        <w:rPr>
          <w:bCs/>
          <w:lang w:val="es-ES_tradnl"/>
        </w:rPr>
        <w:t>Informe de las actividades de la Comisión de Estudio Rectora, las JCA</w:t>
      </w:r>
      <w:r w:rsidRPr="009960E1">
        <w:rPr>
          <w:bCs/>
          <w:lang w:val="es-ES_tradnl"/>
        </w:rPr>
        <w:br/>
        <w:t>y los Grupos Regionales</w:t>
      </w:r>
      <w:bookmarkEnd w:id="22"/>
      <w:bookmarkEnd w:id="23"/>
      <w:bookmarkEnd w:id="24"/>
    </w:p>
    <w:p w14:paraId="5CB94BC7" w14:textId="77777777" w:rsidR="00CF0CB0" w:rsidRPr="009960E1" w:rsidRDefault="00CF0CB0" w:rsidP="00CF0CB0">
      <w:pPr>
        <w:pStyle w:val="Heading3"/>
        <w:rPr>
          <w:lang w:val="es-ES_tradnl"/>
        </w:rPr>
      </w:pPr>
      <w:r w:rsidRPr="009960E1">
        <w:rPr>
          <w:bCs/>
          <w:lang w:val="es-ES_tradnl"/>
        </w:rPr>
        <w:t>3.3.1</w:t>
      </w:r>
      <w:r w:rsidRPr="009960E1">
        <w:rPr>
          <w:lang w:val="es-ES_tradnl"/>
        </w:rPr>
        <w:tab/>
      </w:r>
      <w:r w:rsidRPr="009960E1">
        <w:rPr>
          <w:bCs/>
          <w:lang w:val="es-ES_tradnl"/>
        </w:rPr>
        <w:t>Actividades de la Comisión de Estudio Rectora</w:t>
      </w:r>
    </w:p>
    <w:p w14:paraId="4B9CF41F" w14:textId="77777777" w:rsidR="00CF0CB0" w:rsidRPr="009960E1" w:rsidRDefault="00CF0CB0" w:rsidP="00CF0CB0">
      <w:pPr>
        <w:rPr>
          <w:lang w:val="es-ES_tradnl"/>
        </w:rPr>
      </w:pPr>
      <w:r w:rsidRPr="009960E1">
        <w:rPr>
          <w:lang w:val="es-ES_tradnl"/>
        </w:rPr>
        <w:t>No se aplica al GANT.</w:t>
      </w:r>
    </w:p>
    <w:p w14:paraId="5F4E3981" w14:textId="77777777" w:rsidR="00CF0CB0" w:rsidRPr="009960E1" w:rsidRDefault="00CF0CB0" w:rsidP="00CF0CB0">
      <w:pPr>
        <w:pStyle w:val="Heading3"/>
        <w:rPr>
          <w:lang w:val="es-ES_tradnl"/>
        </w:rPr>
      </w:pPr>
      <w:r w:rsidRPr="009960E1">
        <w:rPr>
          <w:lang w:val="es-ES_tradnl"/>
        </w:rPr>
        <w:lastRenderedPageBreak/>
        <w:t>3.3.2</w:t>
      </w:r>
      <w:r w:rsidRPr="009960E1">
        <w:rPr>
          <w:lang w:val="es-ES_tradnl"/>
        </w:rPr>
        <w:tab/>
        <w:t>Actividades Conjuntas de Coordinación (JCA) organizadas por el GANT</w:t>
      </w:r>
    </w:p>
    <w:p w14:paraId="5700E773" w14:textId="77777777" w:rsidR="00CF0CB0" w:rsidRPr="009960E1" w:rsidRDefault="00CF0CB0" w:rsidP="00CF0CB0">
      <w:pPr>
        <w:pStyle w:val="Heading4"/>
        <w:rPr>
          <w:lang w:val="es-ES_tradnl"/>
        </w:rPr>
      </w:pPr>
      <w:r w:rsidRPr="009960E1">
        <w:rPr>
          <w:bCs/>
          <w:lang w:val="es-ES_tradnl"/>
        </w:rPr>
        <w:t>3.3.2.1</w:t>
      </w:r>
      <w:r w:rsidRPr="009960E1">
        <w:rPr>
          <w:lang w:val="es-ES_tradnl"/>
        </w:rPr>
        <w:tab/>
      </w:r>
      <w:r w:rsidRPr="009960E1">
        <w:rPr>
          <w:bCs/>
          <w:lang w:val="es-ES_tradnl"/>
        </w:rPr>
        <w:t>JCA sobre accesibilidad y factores humanos (JCA-AHF)</w:t>
      </w:r>
    </w:p>
    <w:p w14:paraId="58BBFB98" w14:textId="25F22AAC" w:rsidR="00CF0CB0" w:rsidRPr="009960E1" w:rsidRDefault="00CF0CB0" w:rsidP="00CF0CB0">
      <w:pPr>
        <w:rPr>
          <w:lang w:val="es-ES_tradnl"/>
        </w:rPr>
      </w:pPr>
      <w:r w:rsidRPr="009960E1">
        <w:rPr>
          <w:lang w:val="es-ES_tradnl"/>
        </w:rPr>
        <w:t>La JCA-AHF se creó en diciembre de 2007. La información relativa a esta JCA figura en TSAG</w:t>
      </w:r>
      <w:r w:rsidRPr="009960E1">
        <w:rPr>
          <w:lang w:val="es-ES_tradnl"/>
        </w:rPr>
        <w:noBreakHyphen/>
      </w:r>
      <w:hyperlink r:id="rId81" w:history="1">
        <w:r w:rsidRPr="009960E1">
          <w:rPr>
            <w:rStyle w:val="Hyperlink"/>
            <w:lang w:val="es-ES_tradnl"/>
          </w:rPr>
          <w:t>R1</w:t>
        </w:r>
      </w:hyperlink>
      <w:r w:rsidRPr="009960E1">
        <w:rPr>
          <w:lang w:val="es-ES_tradnl"/>
        </w:rPr>
        <w:t xml:space="preserve">, </w:t>
      </w:r>
      <w:hyperlink r:id="rId82" w:history="1">
        <w:r w:rsidRPr="009960E1">
          <w:rPr>
            <w:rStyle w:val="Hyperlink"/>
            <w:lang w:val="es-ES_tradnl"/>
          </w:rPr>
          <w:t>2</w:t>
        </w:r>
      </w:hyperlink>
      <w:r w:rsidRPr="009960E1">
        <w:rPr>
          <w:lang w:val="es-ES_tradnl"/>
        </w:rPr>
        <w:t xml:space="preserve">, </w:t>
      </w:r>
      <w:hyperlink r:id="rId83" w:history="1">
        <w:r w:rsidRPr="009960E1">
          <w:rPr>
            <w:rStyle w:val="Hyperlink"/>
            <w:lang w:val="es-ES_tradnl"/>
          </w:rPr>
          <w:t>4</w:t>
        </w:r>
      </w:hyperlink>
      <w:r w:rsidRPr="009960E1">
        <w:rPr>
          <w:lang w:val="es-ES_tradnl"/>
        </w:rPr>
        <w:t xml:space="preserve">, </w:t>
      </w:r>
      <w:hyperlink r:id="rId84" w:history="1">
        <w:r w:rsidRPr="009960E1">
          <w:rPr>
            <w:rStyle w:val="Hyperlink"/>
            <w:lang w:val="es-ES_tradnl"/>
          </w:rPr>
          <w:t>8</w:t>
        </w:r>
      </w:hyperlink>
      <w:r w:rsidRPr="009960E1">
        <w:rPr>
          <w:lang w:val="es-ES_tradnl"/>
        </w:rPr>
        <w:t xml:space="preserve"> y en su página web en </w:t>
      </w:r>
      <w:hyperlink r:id="rId85" w:history="1">
        <w:r w:rsidR="0098302F" w:rsidRPr="009960E1">
          <w:rPr>
            <w:rStyle w:val="Hyperlink"/>
            <w:lang w:val="es-ES_tradnl"/>
          </w:rPr>
          <w:t>https://www.itu.int/en/ITU-T/jca/ahf</w:t>
        </w:r>
      </w:hyperlink>
      <w:r w:rsidRPr="009960E1">
        <w:rPr>
          <w:lang w:val="es-ES_tradnl"/>
        </w:rPr>
        <w:t>.</w:t>
      </w:r>
    </w:p>
    <w:p w14:paraId="3EAFE7BC" w14:textId="77777777" w:rsidR="00CF0CB0" w:rsidRPr="009960E1" w:rsidRDefault="00CF0CB0" w:rsidP="00CF0CB0">
      <w:pPr>
        <w:pStyle w:val="Heading4"/>
        <w:rPr>
          <w:lang w:val="es-ES_tradnl"/>
        </w:rPr>
      </w:pPr>
      <w:r w:rsidRPr="009960E1">
        <w:rPr>
          <w:bCs/>
          <w:lang w:val="es-ES_tradnl"/>
        </w:rPr>
        <w:t>3.3.2.2</w:t>
      </w:r>
      <w:r w:rsidRPr="009960E1">
        <w:rPr>
          <w:lang w:val="es-ES_tradnl"/>
        </w:rPr>
        <w:tab/>
      </w:r>
      <w:r w:rsidRPr="009960E1">
        <w:rPr>
          <w:bCs/>
          <w:lang w:val="es-ES_tradnl"/>
        </w:rPr>
        <w:t>JCA sobre certificados COVID-19 digitales (JCA-DCC)</w:t>
      </w:r>
    </w:p>
    <w:p w14:paraId="7D59F840" w14:textId="053BBBDD" w:rsidR="00CF0CB0" w:rsidRPr="009960E1" w:rsidRDefault="00CF0CB0" w:rsidP="00CF0CB0">
      <w:pPr>
        <w:rPr>
          <w:lang w:val="es-ES_tradnl"/>
        </w:rPr>
      </w:pPr>
      <w:r w:rsidRPr="009960E1">
        <w:rPr>
          <w:lang w:val="es-ES_tradnl"/>
        </w:rPr>
        <w:t>La JCA-DCC se creó en octubre de 2021. La información relativa a esta JCA figura en TSAG-</w:t>
      </w:r>
      <w:hyperlink r:id="rId86" w:history="1">
        <w:r w:rsidRPr="009960E1">
          <w:rPr>
            <w:rStyle w:val="Hyperlink"/>
            <w:lang w:val="es-ES_tradnl"/>
          </w:rPr>
          <w:t>R1</w:t>
        </w:r>
      </w:hyperlink>
      <w:r w:rsidRPr="009960E1">
        <w:rPr>
          <w:lang w:val="es-ES_tradnl"/>
        </w:rPr>
        <w:t xml:space="preserve">, </w:t>
      </w:r>
      <w:hyperlink r:id="rId87" w:history="1">
        <w:r w:rsidRPr="009960E1">
          <w:rPr>
            <w:rStyle w:val="Hyperlink"/>
            <w:lang w:val="es-ES_tradnl"/>
          </w:rPr>
          <w:t>2</w:t>
        </w:r>
      </w:hyperlink>
      <w:r w:rsidRPr="009960E1">
        <w:rPr>
          <w:lang w:val="es-ES_tradnl"/>
        </w:rPr>
        <w:t xml:space="preserve">, </w:t>
      </w:r>
      <w:hyperlink r:id="rId88" w:history="1">
        <w:r w:rsidRPr="009960E1">
          <w:rPr>
            <w:rStyle w:val="Hyperlink"/>
            <w:lang w:val="es-ES_tradnl"/>
          </w:rPr>
          <w:t>4</w:t>
        </w:r>
      </w:hyperlink>
      <w:r w:rsidRPr="009960E1">
        <w:rPr>
          <w:lang w:val="es-ES_tradnl"/>
        </w:rPr>
        <w:t xml:space="preserve">, </w:t>
      </w:r>
      <w:hyperlink r:id="rId89" w:history="1">
        <w:r w:rsidRPr="009960E1">
          <w:rPr>
            <w:rStyle w:val="Hyperlink"/>
            <w:lang w:val="es-ES_tradnl"/>
          </w:rPr>
          <w:t>8</w:t>
        </w:r>
      </w:hyperlink>
      <w:r w:rsidRPr="009960E1">
        <w:rPr>
          <w:rStyle w:val="Hyperlink"/>
          <w:lang w:val="es-ES_tradnl"/>
        </w:rPr>
        <w:t xml:space="preserve"> </w:t>
      </w:r>
      <w:r w:rsidRPr="009960E1">
        <w:rPr>
          <w:lang w:val="es-ES_tradnl"/>
        </w:rPr>
        <w:t xml:space="preserve">y en su página web en </w:t>
      </w:r>
      <w:hyperlink r:id="rId90" w:history="1">
        <w:r w:rsidR="00A01B74" w:rsidRPr="00074CAB">
          <w:rPr>
            <w:rStyle w:val="Hyperlink"/>
            <w:lang w:val="es-ES_tradnl"/>
          </w:rPr>
          <w:t>https://itu.int/en/ITU-T/jca/dcc</w:t>
        </w:r>
      </w:hyperlink>
      <w:r w:rsidRPr="009960E1">
        <w:rPr>
          <w:lang w:val="es-ES_tradnl"/>
        </w:rPr>
        <w:t>.</w:t>
      </w:r>
    </w:p>
    <w:p w14:paraId="7F95B119" w14:textId="77777777" w:rsidR="00CF0CB0" w:rsidRPr="009960E1" w:rsidRDefault="00CF0CB0" w:rsidP="00CF0CB0">
      <w:pPr>
        <w:pStyle w:val="Heading4"/>
        <w:rPr>
          <w:lang w:val="es-ES_tradnl"/>
        </w:rPr>
      </w:pPr>
      <w:r w:rsidRPr="009960E1">
        <w:rPr>
          <w:bCs/>
          <w:lang w:val="es-ES_tradnl"/>
        </w:rPr>
        <w:t>3.3.2.3</w:t>
      </w:r>
      <w:r w:rsidRPr="009960E1">
        <w:rPr>
          <w:lang w:val="es-ES_tradnl"/>
        </w:rPr>
        <w:tab/>
      </w:r>
      <w:r w:rsidRPr="009960E1">
        <w:rPr>
          <w:bCs/>
          <w:lang w:val="es-ES_tradnl"/>
        </w:rPr>
        <w:t>JCA sobre las redes de distribución de claves cuánticas (JCA-QKDN)</w:t>
      </w:r>
    </w:p>
    <w:p w14:paraId="2CB8040B" w14:textId="7B50E203" w:rsidR="00CF0CB0" w:rsidRPr="009960E1" w:rsidRDefault="00CF0CB0" w:rsidP="00CF0CB0">
      <w:pPr>
        <w:rPr>
          <w:lang w:val="es-ES_tradnl"/>
        </w:rPr>
      </w:pPr>
      <w:r w:rsidRPr="009960E1">
        <w:rPr>
          <w:lang w:val="es-ES_tradnl"/>
        </w:rPr>
        <w:t xml:space="preserve">La JCA-QKDN se creó en diciembre de 2022. La información relativa a esta JCA figura en </w:t>
      </w:r>
      <w:r w:rsidRPr="009960E1">
        <w:rPr>
          <w:u w:val="single"/>
          <w:lang w:val="es-ES_tradnl"/>
        </w:rPr>
        <w:t>TSAG</w:t>
      </w:r>
      <w:r w:rsidR="0098302F" w:rsidRPr="009960E1">
        <w:rPr>
          <w:u w:val="single"/>
          <w:lang w:val="es-ES_tradnl"/>
        </w:rPr>
        <w:noBreakHyphen/>
      </w:r>
      <w:hyperlink r:id="rId91" w:history="1">
        <w:r w:rsidR="00D50F11" w:rsidRPr="009960E1">
          <w:rPr>
            <w:rStyle w:val="Hyperlink"/>
            <w:lang w:val="es-ES_tradnl"/>
          </w:rPr>
          <w:t>R1</w:t>
        </w:r>
      </w:hyperlink>
      <w:r w:rsidRPr="009960E1">
        <w:rPr>
          <w:lang w:val="es-ES_tradnl"/>
        </w:rPr>
        <w:t xml:space="preserve">, </w:t>
      </w:r>
      <w:hyperlink r:id="rId92" w:history="1">
        <w:r w:rsidRPr="009960E1">
          <w:rPr>
            <w:rStyle w:val="Hyperlink"/>
            <w:lang w:val="es-ES_tradnl"/>
          </w:rPr>
          <w:t>2</w:t>
        </w:r>
      </w:hyperlink>
      <w:r w:rsidRPr="009960E1">
        <w:rPr>
          <w:lang w:val="es-ES_tradnl"/>
        </w:rPr>
        <w:t xml:space="preserve">, </w:t>
      </w:r>
      <w:hyperlink r:id="rId93" w:history="1">
        <w:r w:rsidRPr="009960E1">
          <w:rPr>
            <w:rStyle w:val="Hyperlink"/>
            <w:lang w:val="es-ES_tradnl"/>
          </w:rPr>
          <w:t>4</w:t>
        </w:r>
      </w:hyperlink>
      <w:r w:rsidRPr="009960E1">
        <w:rPr>
          <w:lang w:val="es-ES_tradnl"/>
        </w:rPr>
        <w:t xml:space="preserve">, </w:t>
      </w:r>
      <w:hyperlink r:id="rId94" w:history="1">
        <w:r w:rsidRPr="009960E1">
          <w:rPr>
            <w:rStyle w:val="Hyperlink"/>
            <w:lang w:val="es-ES_tradnl"/>
          </w:rPr>
          <w:t>8</w:t>
        </w:r>
      </w:hyperlink>
      <w:r w:rsidRPr="009960E1">
        <w:rPr>
          <w:lang w:val="es-ES_tradnl"/>
        </w:rPr>
        <w:t xml:space="preserve"> y en su página web en </w:t>
      </w:r>
      <w:hyperlink r:id="rId95" w:history="1">
        <w:r w:rsidR="00A01B74" w:rsidRPr="00074CAB">
          <w:rPr>
            <w:rStyle w:val="Hyperlink"/>
            <w:lang w:val="es-ES_tradnl"/>
          </w:rPr>
          <w:t>https://itu.int/en/ITU-T/jca/qkdn</w:t>
        </w:r>
      </w:hyperlink>
      <w:r w:rsidRPr="009960E1">
        <w:rPr>
          <w:lang w:val="es-ES_tradnl"/>
        </w:rPr>
        <w:t>.</w:t>
      </w:r>
    </w:p>
    <w:p w14:paraId="2A7FEC7E" w14:textId="77777777" w:rsidR="00CF0CB0" w:rsidRPr="009960E1" w:rsidRDefault="00CF0CB0" w:rsidP="00CF0CB0">
      <w:pPr>
        <w:pStyle w:val="Heading3"/>
        <w:rPr>
          <w:lang w:val="es-ES_tradnl"/>
        </w:rPr>
      </w:pPr>
      <w:r w:rsidRPr="009960E1">
        <w:rPr>
          <w:bCs/>
          <w:lang w:val="es-ES_tradnl"/>
        </w:rPr>
        <w:t>3.3.3</w:t>
      </w:r>
      <w:r w:rsidRPr="009960E1">
        <w:rPr>
          <w:lang w:val="es-ES_tradnl"/>
        </w:rPr>
        <w:tab/>
      </w:r>
      <w:r w:rsidRPr="009960E1">
        <w:rPr>
          <w:bCs/>
          <w:lang w:val="es-ES_tradnl"/>
        </w:rPr>
        <w:t>Grupos Regionales en el marco del GANT</w:t>
      </w:r>
    </w:p>
    <w:p w14:paraId="08A07717" w14:textId="77777777" w:rsidR="00CF0CB0" w:rsidRPr="009960E1" w:rsidRDefault="00CF0CB0" w:rsidP="00CF0CB0">
      <w:pPr>
        <w:rPr>
          <w:lang w:val="es-ES_tradnl"/>
        </w:rPr>
      </w:pPr>
      <w:r w:rsidRPr="009960E1">
        <w:rPr>
          <w:lang w:val="es-ES_tradnl"/>
        </w:rPr>
        <w:t>Ninguno.</w:t>
      </w:r>
    </w:p>
    <w:p w14:paraId="0F05749E" w14:textId="77777777" w:rsidR="00CF0CB0" w:rsidRPr="009960E1" w:rsidRDefault="00CF0CB0" w:rsidP="00CF0CB0">
      <w:pPr>
        <w:pStyle w:val="Heading3"/>
        <w:rPr>
          <w:lang w:val="es-ES_tradnl"/>
        </w:rPr>
      </w:pPr>
      <w:r w:rsidRPr="009960E1">
        <w:rPr>
          <w:bCs/>
          <w:lang w:val="es-ES_tradnl"/>
        </w:rPr>
        <w:t>3.3.4</w:t>
      </w:r>
      <w:r w:rsidRPr="009960E1">
        <w:rPr>
          <w:lang w:val="es-ES_tradnl"/>
        </w:rPr>
        <w:tab/>
        <w:t>Grupo Temático sobre el metaverso (FG-MV)</w:t>
      </w:r>
    </w:p>
    <w:p w14:paraId="5F577AE8" w14:textId="1A7D9B1C" w:rsidR="00CF0CB0" w:rsidRPr="009960E1" w:rsidRDefault="00CF0CB0" w:rsidP="00CF0CB0">
      <w:pPr>
        <w:rPr>
          <w:lang w:val="es-ES_tradnl"/>
        </w:rPr>
      </w:pPr>
      <w:r w:rsidRPr="009960E1">
        <w:rPr>
          <w:lang w:val="es-ES_tradnl"/>
        </w:rPr>
        <w:t>El FG-MV fue creado en diciembre de 2022 en el marco del GANT y concluyó en junio de 2024. La información relativa a este FG figura en TSAG-</w:t>
      </w:r>
      <w:hyperlink r:id="rId96" w:history="1">
        <w:r w:rsidRPr="009960E1">
          <w:rPr>
            <w:rStyle w:val="Hyperlink"/>
            <w:lang w:val="es-ES_tradnl"/>
          </w:rPr>
          <w:t>R1</w:t>
        </w:r>
      </w:hyperlink>
      <w:r w:rsidRPr="009960E1">
        <w:rPr>
          <w:lang w:val="es-ES_tradnl"/>
        </w:rPr>
        <w:t xml:space="preserve">, </w:t>
      </w:r>
      <w:hyperlink r:id="rId97" w:history="1">
        <w:r w:rsidRPr="009960E1">
          <w:rPr>
            <w:rStyle w:val="Hyperlink"/>
            <w:lang w:val="es-ES_tradnl"/>
          </w:rPr>
          <w:t>2</w:t>
        </w:r>
      </w:hyperlink>
      <w:r w:rsidRPr="009960E1">
        <w:rPr>
          <w:lang w:val="es-ES_tradnl"/>
        </w:rPr>
        <w:t xml:space="preserve">, </w:t>
      </w:r>
      <w:hyperlink r:id="rId98" w:history="1">
        <w:r w:rsidRPr="009960E1">
          <w:rPr>
            <w:rStyle w:val="Hyperlink"/>
            <w:lang w:val="es-ES_tradnl"/>
          </w:rPr>
          <w:t>4</w:t>
        </w:r>
      </w:hyperlink>
      <w:r w:rsidRPr="009960E1">
        <w:rPr>
          <w:lang w:val="es-ES_tradnl"/>
        </w:rPr>
        <w:t xml:space="preserve">, </w:t>
      </w:r>
      <w:hyperlink r:id="rId99" w:history="1">
        <w:r w:rsidRPr="009960E1">
          <w:rPr>
            <w:rStyle w:val="Hyperlink"/>
            <w:lang w:val="es-ES_tradnl"/>
          </w:rPr>
          <w:t>8</w:t>
        </w:r>
      </w:hyperlink>
      <w:r w:rsidRPr="009960E1">
        <w:rPr>
          <w:lang w:val="es-ES_tradnl"/>
        </w:rPr>
        <w:t xml:space="preserve"> y en su página web en </w:t>
      </w:r>
      <w:hyperlink r:id="rId100" w:history="1">
        <w:r w:rsidR="00D50F11" w:rsidRPr="009960E1">
          <w:rPr>
            <w:rStyle w:val="Hyperlink"/>
            <w:lang w:val="es-ES_tradnl"/>
          </w:rPr>
          <w:t>https://www.itu.int/en/ITU-T/focusgroups/mv</w:t>
        </w:r>
      </w:hyperlink>
      <w:r w:rsidRPr="009960E1">
        <w:rPr>
          <w:lang w:val="es-ES_tradnl"/>
        </w:rPr>
        <w:t>.</w:t>
      </w:r>
    </w:p>
    <w:p w14:paraId="3A13083F" w14:textId="77777777" w:rsidR="00CF0CB0" w:rsidRPr="009960E1" w:rsidRDefault="00CF0CB0" w:rsidP="00D50F11">
      <w:pPr>
        <w:pStyle w:val="Heading2"/>
        <w:rPr>
          <w:lang w:val="es-ES_tradnl"/>
        </w:rPr>
      </w:pPr>
      <w:bookmarkStart w:id="25" w:name="_Toc93408226"/>
      <w:bookmarkStart w:id="26" w:name="_Toc178345861"/>
      <w:bookmarkStart w:id="27" w:name="_Toc179189955"/>
      <w:r w:rsidRPr="009960E1">
        <w:rPr>
          <w:lang w:val="es-ES_tradnl"/>
        </w:rPr>
        <w:t>3.4</w:t>
      </w:r>
      <w:r w:rsidRPr="009960E1">
        <w:rPr>
          <w:lang w:val="es-ES_tradnl"/>
        </w:rPr>
        <w:tab/>
        <w:t>Otros resultados del GANT</w:t>
      </w:r>
      <w:bookmarkEnd w:id="25"/>
      <w:bookmarkEnd w:id="26"/>
      <w:bookmarkEnd w:id="27"/>
    </w:p>
    <w:p w14:paraId="07303D4B" w14:textId="77777777" w:rsidR="00CF0CB0" w:rsidRPr="009960E1" w:rsidRDefault="00CF0CB0" w:rsidP="00D50F11">
      <w:pPr>
        <w:pStyle w:val="Heading3"/>
        <w:rPr>
          <w:lang w:val="es-ES_tradnl"/>
        </w:rPr>
      </w:pPr>
      <w:r w:rsidRPr="009960E1">
        <w:rPr>
          <w:lang w:val="es-ES_tradnl"/>
        </w:rPr>
        <w:t>3.4.1</w:t>
      </w:r>
      <w:r w:rsidRPr="009960E1">
        <w:rPr>
          <w:lang w:val="es-ES_tradnl"/>
        </w:rPr>
        <w:tab/>
        <w:t>Creación/revisión/terminación de Cuestiones durante el periodo de estudios</w:t>
      </w:r>
    </w:p>
    <w:p w14:paraId="60AC2901" w14:textId="138DD2A5" w:rsidR="00CF0CB0" w:rsidRPr="009960E1" w:rsidRDefault="00CF0CB0" w:rsidP="00CF0CB0">
      <w:pPr>
        <w:rPr>
          <w:lang w:val="es-ES_tradnl"/>
        </w:rPr>
      </w:pPr>
      <w:r w:rsidRPr="009960E1">
        <w:rPr>
          <w:lang w:val="es-ES_tradnl"/>
        </w:rPr>
        <w:t>El GANT ha revisado y aprobado el texto modificado de la C1/17, que incluye el traslado de los mecanismos de incubación de la C15/17 a la C1/17 en la CE</w:t>
      </w:r>
      <w:r w:rsidR="00D50F11" w:rsidRPr="009960E1">
        <w:rPr>
          <w:lang w:val="es-ES_tradnl"/>
        </w:rPr>
        <w:t> </w:t>
      </w:r>
      <w:r w:rsidRPr="009960E1">
        <w:rPr>
          <w:lang w:val="es-ES_tradnl"/>
        </w:rPr>
        <w:t>17 en la reunión del GANT celebrada del 29 de julio al 2 de agosto de 2024 (véase TSAG-</w:t>
      </w:r>
      <w:hyperlink r:id="rId101" w:history="1">
        <w:r w:rsidRPr="009960E1">
          <w:rPr>
            <w:rStyle w:val="Hyperlink"/>
            <w:lang w:val="es-ES_tradnl"/>
          </w:rPr>
          <w:t>R8</w:t>
        </w:r>
      </w:hyperlink>
      <w:r w:rsidRPr="009960E1">
        <w:rPr>
          <w:u w:val="single"/>
          <w:lang w:val="es-ES_tradnl"/>
        </w:rPr>
        <w:t xml:space="preserve"> </w:t>
      </w:r>
      <w:r w:rsidRPr="009960E1">
        <w:rPr>
          <w:lang w:val="es-ES_tradnl"/>
        </w:rPr>
        <w:t>para más información al respecto). No hubo cambios en las Cuestiones de otras Comisiones de Estudio durante el periodo de estudios.</w:t>
      </w:r>
    </w:p>
    <w:p w14:paraId="47AE057F" w14:textId="77777777" w:rsidR="00CF0CB0" w:rsidRPr="009960E1" w:rsidRDefault="00CF0CB0" w:rsidP="00D50F11">
      <w:pPr>
        <w:pStyle w:val="Heading3"/>
        <w:rPr>
          <w:lang w:val="es-ES_tradnl"/>
        </w:rPr>
      </w:pPr>
      <w:r w:rsidRPr="009960E1">
        <w:rPr>
          <w:lang w:val="es-ES_tradnl"/>
        </w:rPr>
        <w:t>3.4.2</w:t>
      </w:r>
      <w:r w:rsidRPr="009960E1">
        <w:rPr>
          <w:lang w:val="es-ES_tradnl"/>
        </w:rPr>
        <w:tab/>
        <w:t>Plan de Acción de la AMNT y Plan de Acción de la PP</w:t>
      </w:r>
    </w:p>
    <w:p w14:paraId="7A15B5D2" w14:textId="77777777" w:rsidR="00CF0CB0" w:rsidRPr="009960E1" w:rsidRDefault="00CF0CB0" w:rsidP="00CF0CB0">
      <w:pPr>
        <w:rPr>
          <w:rFonts w:eastAsia="SimSun"/>
          <w:lang w:val="es-ES_tradnl"/>
        </w:rPr>
      </w:pPr>
      <w:r w:rsidRPr="009960E1">
        <w:rPr>
          <w:lang w:val="es-ES_tradnl"/>
        </w:rPr>
        <w:t>El GANT tomó nota en cada reunión del "Plan de Acción de la AMNT-20" de la TSB, que es una herramienta de notificación y supervisión de la aplicación de las Resoluciones de la AMNT.</w:t>
      </w:r>
    </w:p>
    <w:p w14:paraId="2DED2D94" w14:textId="77777777" w:rsidR="00CF0CB0" w:rsidRPr="009960E1" w:rsidRDefault="00CF0CB0" w:rsidP="00D50F11">
      <w:pPr>
        <w:pStyle w:val="Heading3"/>
        <w:rPr>
          <w:lang w:val="es-ES_tradnl"/>
        </w:rPr>
      </w:pPr>
      <w:r w:rsidRPr="009960E1">
        <w:rPr>
          <w:lang w:val="es-ES_tradnl"/>
        </w:rPr>
        <w:t>3.4.3</w:t>
      </w:r>
      <w:r w:rsidRPr="009960E1">
        <w:rPr>
          <w:lang w:val="es-ES_tradnl"/>
        </w:rPr>
        <w:tab/>
        <w:t>Reducción de la brecha de normalización, cooperación con las Oficinas Regionales de la UIT y Objetivos de Desarrollo Sostenible (ODS)</w:t>
      </w:r>
    </w:p>
    <w:p w14:paraId="7EFA5D01" w14:textId="77777777" w:rsidR="00CF0CB0" w:rsidRPr="009960E1" w:rsidRDefault="00CF0CB0" w:rsidP="00CF0CB0">
      <w:pPr>
        <w:rPr>
          <w:rFonts w:asciiTheme="majorBidi" w:hAnsiTheme="majorBidi" w:cstheme="majorBidi"/>
          <w:lang w:val="es-ES_tradnl"/>
        </w:rPr>
      </w:pPr>
      <w:r w:rsidRPr="009960E1">
        <w:rPr>
          <w:lang w:val="es-ES_tradnl"/>
        </w:rPr>
        <w:t>El GANT tomó nota de los Informes de la TSB sobre la reducción de la brecha de normalización. Además, en la reunión del GANT de enero de 2024 se ofreció una sesión de información sobre el nuevo programa de reducción de la brecha de normalización organizado por el Director de la TSB.</w:t>
      </w:r>
    </w:p>
    <w:p w14:paraId="65CEF230" w14:textId="77777777" w:rsidR="00CF0CB0" w:rsidRPr="009960E1" w:rsidRDefault="00CF0CB0" w:rsidP="0077793F">
      <w:pPr>
        <w:pStyle w:val="Heading3"/>
        <w:rPr>
          <w:lang w:val="es-ES_tradnl"/>
        </w:rPr>
      </w:pPr>
      <w:r w:rsidRPr="009960E1">
        <w:rPr>
          <w:bCs/>
          <w:lang w:val="es-ES_tradnl"/>
        </w:rPr>
        <w:t>3.4.4</w:t>
      </w:r>
      <w:r w:rsidRPr="009960E1">
        <w:rPr>
          <w:lang w:val="es-ES_tradnl"/>
        </w:rPr>
        <w:tab/>
      </w:r>
      <w:r w:rsidRPr="009960E1">
        <w:rPr>
          <w:bCs/>
          <w:lang w:val="es-ES_tradnl"/>
        </w:rPr>
        <w:t>Comité para la Normalización del Vocabulario (CNV) del UIT-T</w:t>
      </w:r>
    </w:p>
    <w:p w14:paraId="4F2DFAF8" w14:textId="77777777" w:rsidR="00CF0CB0" w:rsidRPr="009960E1" w:rsidRDefault="00CF0CB0" w:rsidP="00CF0CB0">
      <w:pPr>
        <w:rPr>
          <w:lang w:val="es-ES_tradnl"/>
        </w:rPr>
      </w:pPr>
      <w:r w:rsidRPr="009960E1">
        <w:rPr>
          <w:lang w:val="es-ES_tradnl"/>
        </w:rPr>
        <w:t>El GANT tomó nota de los Informes del CNV en cada una de sus reuniones.</w:t>
      </w:r>
    </w:p>
    <w:p w14:paraId="3201ECA3" w14:textId="77777777" w:rsidR="00CF0CB0" w:rsidRPr="009960E1" w:rsidRDefault="00CF0CB0" w:rsidP="0077793F">
      <w:pPr>
        <w:pStyle w:val="Heading3"/>
        <w:rPr>
          <w:lang w:val="es-ES_tradnl"/>
        </w:rPr>
      </w:pPr>
      <w:r w:rsidRPr="009960E1">
        <w:rPr>
          <w:bCs/>
          <w:lang w:val="es-ES_tradnl"/>
        </w:rPr>
        <w:t>3.4.5</w:t>
      </w:r>
      <w:r w:rsidRPr="009960E1">
        <w:rPr>
          <w:lang w:val="es-ES_tradnl"/>
        </w:rPr>
        <w:tab/>
      </w:r>
      <w:r w:rsidRPr="009960E1">
        <w:rPr>
          <w:bCs/>
          <w:lang w:val="es-ES_tradnl"/>
        </w:rPr>
        <w:t>Academia, Caleidoscopio, Gaceta de la UIT</w:t>
      </w:r>
    </w:p>
    <w:p w14:paraId="0EDFFC50" w14:textId="77777777" w:rsidR="00CF0CB0" w:rsidRPr="009960E1" w:rsidRDefault="00CF0CB0" w:rsidP="00CF0CB0">
      <w:pPr>
        <w:rPr>
          <w:rFonts w:asciiTheme="majorBidi" w:hAnsiTheme="majorBidi" w:cstheme="majorBidi"/>
          <w:lang w:val="es-ES_tradnl"/>
        </w:rPr>
      </w:pPr>
      <w:r w:rsidRPr="009960E1">
        <w:rPr>
          <w:lang w:val="es-ES_tradnl"/>
        </w:rPr>
        <w:t>El GANT tomó nota de los informes sobre los eventos anuales del Caleidoscopio de la UIT. La TSB comunicó su evaluación de los documentos de los eventos del Caleidoscopio en función de su pertinencia para las actividades de la UIT.</w:t>
      </w:r>
    </w:p>
    <w:p w14:paraId="41DF4D66" w14:textId="77777777" w:rsidR="00CF0CB0" w:rsidRPr="009960E1" w:rsidRDefault="00CF0CB0" w:rsidP="00CF0CB0">
      <w:pPr>
        <w:rPr>
          <w:rFonts w:asciiTheme="majorBidi" w:hAnsiTheme="majorBidi" w:cstheme="majorBidi"/>
          <w:lang w:val="es-ES_tradnl"/>
        </w:rPr>
      </w:pPr>
      <w:r w:rsidRPr="009960E1">
        <w:rPr>
          <w:lang w:val="es-ES_tradnl"/>
        </w:rPr>
        <w:t xml:space="preserve">El GANT tomó nota de los informes sobre la </w:t>
      </w:r>
      <w:r w:rsidRPr="009960E1">
        <w:rPr>
          <w:i/>
          <w:iCs/>
          <w:lang w:val="es-ES_tradnl"/>
        </w:rPr>
        <w:t>Gaceta de la UIT: Descubrimientos de las TIC.</w:t>
      </w:r>
    </w:p>
    <w:p w14:paraId="2EA90EB5" w14:textId="77777777" w:rsidR="00CF0CB0" w:rsidRPr="009960E1" w:rsidRDefault="00CF0CB0" w:rsidP="0077793F">
      <w:pPr>
        <w:pStyle w:val="Heading3"/>
        <w:rPr>
          <w:lang w:val="es-ES_tradnl"/>
        </w:rPr>
      </w:pPr>
      <w:r w:rsidRPr="009960E1">
        <w:rPr>
          <w:bCs/>
          <w:lang w:val="es-ES_tradnl"/>
        </w:rPr>
        <w:lastRenderedPageBreak/>
        <w:t>3.4.6</w:t>
      </w:r>
      <w:r w:rsidRPr="009960E1">
        <w:rPr>
          <w:lang w:val="es-ES_tradnl"/>
        </w:rPr>
        <w:tab/>
      </w:r>
      <w:r w:rsidRPr="009960E1">
        <w:rPr>
          <w:bCs/>
          <w:lang w:val="es-ES_tradnl"/>
        </w:rPr>
        <w:t>Plan de reuniones</w:t>
      </w:r>
    </w:p>
    <w:p w14:paraId="26A608A0" w14:textId="77777777" w:rsidR="00CF0CB0" w:rsidRPr="009960E1" w:rsidRDefault="00CF0CB0" w:rsidP="00CF0CB0">
      <w:pPr>
        <w:rPr>
          <w:lang w:val="es-ES_tradnl"/>
        </w:rPr>
      </w:pPr>
      <w:r w:rsidRPr="009960E1">
        <w:rPr>
          <w:lang w:val="es-ES_tradnl"/>
        </w:rPr>
        <w:t>En cada una de sus reuniones, el GANT examinó y aprobó el calendario de reuniones de Comisiones de Estudio y Grupos de Trabajo para los años siguientes.</w:t>
      </w:r>
    </w:p>
    <w:p w14:paraId="4AA5B7EB" w14:textId="77777777" w:rsidR="00CF0CB0" w:rsidRPr="009960E1" w:rsidRDefault="00CF0CB0" w:rsidP="0077793F">
      <w:pPr>
        <w:pStyle w:val="Heading3"/>
        <w:rPr>
          <w:bCs/>
          <w:lang w:val="es-ES_tradnl"/>
        </w:rPr>
      </w:pPr>
      <w:r w:rsidRPr="009960E1">
        <w:rPr>
          <w:bCs/>
          <w:lang w:val="es-ES_tradnl"/>
        </w:rPr>
        <w:t>3.4.7</w:t>
      </w:r>
      <w:r w:rsidRPr="009960E1">
        <w:rPr>
          <w:lang w:val="es-ES_tradnl"/>
        </w:rPr>
        <w:tab/>
      </w:r>
      <w:r w:rsidRPr="009960E1">
        <w:rPr>
          <w:bCs/>
          <w:lang w:val="es-ES_tradnl"/>
        </w:rPr>
        <w:t>Plan Estratégico y Operacional (PEO)</w:t>
      </w:r>
    </w:p>
    <w:p w14:paraId="528D8B63" w14:textId="77777777" w:rsidR="00CF0CB0" w:rsidRPr="009960E1" w:rsidRDefault="00CF0CB0" w:rsidP="00CF0CB0">
      <w:pPr>
        <w:rPr>
          <w:lang w:val="es-ES_tradnl"/>
        </w:rPr>
      </w:pPr>
      <w:r w:rsidRPr="009960E1">
        <w:rPr>
          <w:lang w:val="es-ES_tradnl"/>
        </w:rPr>
        <w:t>En cada una de sus reuniones, el GANT tomó nota de los informes sobre el Plan Estratégico y Operacional (PEO).</w:t>
      </w:r>
    </w:p>
    <w:p w14:paraId="1B2926B7" w14:textId="77777777" w:rsidR="00CF0CB0" w:rsidRPr="009960E1" w:rsidRDefault="00CF0CB0" w:rsidP="0077793F">
      <w:pPr>
        <w:pStyle w:val="Heading3"/>
        <w:rPr>
          <w:bCs/>
          <w:lang w:val="es-ES_tradnl"/>
        </w:rPr>
      </w:pPr>
      <w:r w:rsidRPr="009960E1">
        <w:rPr>
          <w:bCs/>
          <w:lang w:val="es-ES_tradnl"/>
        </w:rPr>
        <w:t>3.4.8</w:t>
      </w:r>
      <w:r w:rsidRPr="009960E1">
        <w:rPr>
          <w:lang w:val="es-ES_tradnl"/>
        </w:rPr>
        <w:tab/>
      </w:r>
      <w:r w:rsidRPr="009960E1">
        <w:rPr>
          <w:bCs/>
          <w:lang w:val="es-ES_tradnl"/>
        </w:rPr>
        <w:t>CEI, ISO y Grupo de Coordinación del Programa de Normalización CEI/ISO/UIT-T (GCPN)</w:t>
      </w:r>
    </w:p>
    <w:p w14:paraId="14BEF47A" w14:textId="7A88FD5B" w:rsidR="00CF0CB0" w:rsidRPr="009960E1" w:rsidRDefault="00CF0CB0" w:rsidP="00CF0CB0">
      <w:pPr>
        <w:rPr>
          <w:lang w:val="es-ES_tradnl"/>
        </w:rPr>
      </w:pPr>
      <w:r w:rsidRPr="009960E1">
        <w:rPr>
          <w:lang w:val="es-ES_tradnl"/>
        </w:rPr>
        <w:t xml:space="preserve">El GANT nombró a la </w:t>
      </w:r>
      <w:r w:rsidR="00082221">
        <w:rPr>
          <w:lang w:val="es-ES_tradnl"/>
        </w:rPr>
        <w:t>Sra. </w:t>
      </w:r>
      <w:r w:rsidRPr="009960E1">
        <w:rPr>
          <w:lang w:val="es-ES_tradnl"/>
        </w:rPr>
        <w:t xml:space="preserve">Miho Naganuma (NEC Corporation, Japón), el </w:t>
      </w:r>
      <w:r w:rsidR="00AF1FAB">
        <w:rPr>
          <w:lang w:val="es-ES_tradnl"/>
        </w:rPr>
        <w:t>Sr. </w:t>
      </w:r>
      <w:r w:rsidRPr="009960E1">
        <w:rPr>
          <w:lang w:val="es-ES_tradnl"/>
        </w:rPr>
        <w:t>Per Fröjdh (Telefon</w:t>
      </w:r>
      <w:r w:rsidR="00783A5D">
        <w:rPr>
          <w:lang w:val="es-ES_tradnl"/>
        </w:rPr>
        <w:t> </w:t>
      </w:r>
      <w:r w:rsidRPr="009960E1">
        <w:rPr>
          <w:lang w:val="es-ES_tradnl"/>
        </w:rPr>
        <w:t xml:space="preserve">AB – LM Ericsson, Suecia), el </w:t>
      </w:r>
      <w:r w:rsidR="00AF1FAB">
        <w:rPr>
          <w:lang w:val="es-ES_tradnl"/>
        </w:rPr>
        <w:t>Sr. </w:t>
      </w:r>
      <w:r w:rsidRPr="009960E1">
        <w:rPr>
          <w:lang w:val="es-ES_tradnl"/>
        </w:rPr>
        <w:t xml:space="preserve">Ajit Jillavenkatesa (Estados Unidos), el </w:t>
      </w:r>
      <w:r w:rsidR="00AF1FAB">
        <w:rPr>
          <w:lang w:val="es-ES_tradnl"/>
        </w:rPr>
        <w:t>Sr. </w:t>
      </w:r>
      <w:r w:rsidRPr="009960E1">
        <w:rPr>
          <w:lang w:val="es-ES_tradnl"/>
        </w:rPr>
        <w:t xml:space="preserve">Olivier Dubuisson (Orange, Francia) y el </w:t>
      </w:r>
      <w:r w:rsidR="00AF1FAB">
        <w:rPr>
          <w:lang w:val="es-ES_tradnl"/>
        </w:rPr>
        <w:t>Sr. </w:t>
      </w:r>
      <w:r w:rsidRPr="009960E1">
        <w:rPr>
          <w:lang w:val="es-ES_tradnl"/>
        </w:rPr>
        <w:t>Zhicheng Qu (ZTE Corporation, China) como representantes del GCPN en diciembre de 2022 en su primera reunión. El GANT tomó nota de los informes del GCPN en cada una de sus reuniones.</w:t>
      </w:r>
    </w:p>
    <w:p w14:paraId="7CB5B66C" w14:textId="52DCEEE5" w:rsidR="00CF0CB0" w:rsidRPr="009960E1" w:rsidRDefault="00CF0CB0" w:rsidP="00CF0CB0">
      <w:pPr>
        <w:rPr>
          <w:lang w:val="es-ES_tradnl"/>
        </w:rPr>
      </w:pPr>
      <w:r w:rsidRPr="009960E1">
        <w:rPr>
          <w:lang w:val="es-ES_tradnl"/>
        </w:rPr>
        <w:t xml:space="preserve">El equipo directivo del GANT nombró al </w:t>
      </w:r>
      <w:r w:rsidR="00AF1FAB">
        <w:rPr>
          <w:lang w:val="es-ES_tradnl"/>
        </w:rPr>
        <w:t>Sr. </w:t>
      </w:r>
      <w:r w:rsidRPr="009960E1">
        <w:rPr>
          <w:lang w:val="es-ES_tradnl"/>
        </w:rPr>
        <w:t>Shigeru Miyake (Hitachi Ltd) como Coordinador del UIT-T para la JTC 1 de ISO/CEI el 22 de agosto de 2022. El GANT tomó nota de los informes de coordinación sobre la JTC 1 de ISO/CEI en cada una de sus reuniones.</w:t>
      </w:r>
    </w:p>
    <w:p w14:paraId="62243FB9" w14:textId="77777777" w:rsidR="00CF0CB0" w:rsidRPr="009960E1" w:rsidRDefault="00CF0CB0" w:rsidP="0077793F">
      <w:pPr>
        <w:pStyle w:val="Heading3"/>
        <w:rPr>
          <w:bCs/>
          <w:lang w:val="es-ES_tradnl"/>
        </w:rPr>
      </w:pPr>
      <w:r w:rsidRPr="009960E1">
        <w:rPr>
          <w:bCs/>
          <w:lang w:val="es-ES_tradnl"/>
        </w:rPr>
        <w:t>3.4.9</w:t>
      </w:r>
      <w:r w:rsidRPr="009960E1">
        <w:rPr>
          <w:lang w:val="es-ES_tradnl"/>
        </w:rPr>
        <w:tab/>
      </w:r>
      <w:r w:rsidRPr="009960E1">
        <w:rPr>
          <w:bCs/>
          <w:lang w:val="es-ES_tradnl"/>
        </w:rPr>
        <w:t>Grupo de Coordinación Intersectorial (GCIS)</w:t>
      </w:r>
    </w:p>
    <w:p w14:paraId="23AD8B07" w14:textId="157C672A" w:rsidR="00CF0CB0" w:rsidRPr="009960E1" w:rsidRDefault="00CF0CB0" w:rsidP="00CF0CB0">
      <w:pPr>
        <w:rPr>
          <w:lang w:val="es-ES_tradnl"/>
        </w:rPr>
      </w:pPr>
      <w:r w:rsidRPr="009960E1">
        <w:rPr>
          <w:lang w:val="es-ES_tradnl"/>
        </w:rPr>
        <w:t xml:space="preserve">El equipo directivo del GANT nombró al </w:t>
      </w:r>
      <w:r w:rsidR="00AF1FAB">
        <w:rPr>
          <w:lang w:val="es-ES_tradnl"/>
        </w:rPr>
        <w:t>Sr. </w:t>
      </w:r>
      <w:r w:rsidRPr="009960E1">
        <w:rPr>
          <w:lang w:val="es-ES_tradnl"/>
        </w:rPr>
        <w:t>Abdurahman Al Hassan (</w:t>
      </w:r>
      <w:proofErr w:type="gramStart"/>
      <w:r w:rsidRPr="009960E1">
        <w:rPr>
          <w:lang w:val="es-ES_tradnl"/>
        </w:rPr>
        <w:t>Presidente</w:t>
      </w:r>
      <w:proofErr w:type="gramEnd"/>
      <w:r w:rsidRPr="009960E1">
        <w:rPr>
          <w:lang w:val="es-ES_tradnl"/>
        </w:rPr>
        <w:t xml:space="preserve"> del GANT), el</w:t>
      </w:r>
      <w:r w:rsidR="0077793F" w:rsidRPr="009960E1">
        <w:rPr>
          <w:lang w:val="es-ES_tradnl"/>
        </w:rPr>
        <w:t> </w:t>
      </w:r>
      <w:r w:rsidR="00AF1FAB">
        <w:rPr>
          <w:lang w:val="es-ES_tradnl"/>
        </w:rPr>
        <w:t>Sr. </w:t>
      </w:r>
      <w:r w:rsidRPr="009960E1">
        <w:rPr>
          <w:lang w:val="es-ES_tradnl"/>
        </w:rPr>
        <w:t>Dominique Würges (Presidente de la CE</w:t>
      </w:r>
      <w:r w:rsidR="00A01B74">
        <w:rPr>
          <w:lang w:val="es-ES_tradnl"/>
        </w:rPr>
        <w:t> </w:t>
      </w:r>
      <w:r w:rsidRPr="009960E1">
        <w:rPr>
          <w:lang w:val="es-ES_tradnl"/>
        </w:rPr>
        <w:t xml:space="preserve">5) y el </w:t>
      </w:r>
      <w:r w:rsidR="00AF1FAB">
        <w:rPr>
          <w:lang w:val="es-ES_tradnl"/>
        </w:rPr>
        <w:t>Sr. </w:t>
      </w:r>
      <w:r w:rsidRPr="009960E1">
        <w:rPr>
          <w:lang w:val="es-ES_tradnl"/>
        </w:rPr>
        <w:t>Noah Luo (Presidente de la CE</w:t>
      </w:r>
      <w:r w:rsidR="0077793F" w:rsidRPr="009960E1">
        <w:rPr>
          <w:lang w:val="es-ES_tradnl"/>
        </w:rPr>
        <w:t> </w:t>
      </w:r>
      <w:r w:rsidRPr="009960E1">
        <w:rPr>
          <w:lang w:val="es-ES_tradnl"/>
        </w:rPr>
        <w:t xml:space="preserve">16) como representantes para el GCIS el 22 de agosto de 2022. El GANT nombró al </w:t>
      </w:r>
      <w:r w:rsidR="00AF1FAB">
        <w:rPr>
          <w:lang w:val="es-ES_tradnl"/>
        </w:rPr>
        <w:t>Sr. </w:t>
      </w:r>
      <w:r w:rsidRPr="009960E1">
        <w:rPr>
          <w:lang w:val="es-ES_tradnl"/>
        </w:rPr>
        <w:t>Phil Rushton (Reino Unido) como representante para el GCIS sobre la participación a distancia en diciembre de</w:t>
      </w:r>
      <w:r w:rsidR="0077793F" w:rsidRPr="009960E1">
        <w:rPr>
          <w:lang w:val="es-ES_tradnl"/>
        </w:rPr>
        <w:t> </w:t>
      </w:r>
      <w:r w:rsidRPr="009960E1">
        <w:rPr>
          <w:lang w:val="es-ES_tradnl"/>
        </w:rPr>
        <w:t>2022 en su primera reunión. El GANT tomó nota de los informes del GCIS en cada una de sus reuniones.</w:t>
      </w:r>
    </w:p>
    <w:p w14:paraId="53BB57D2" w14:textId="77777777" w:rsidR="00CF0CB0" w:rsidRPr="009960E1" w:rsidRDefault="00CF0CB0" w:rsidP="00CF0CB0">
      <w:pPr>
        <w:pStyle w:val="Heading1"/>
        <w:rPr>
          <w:lang w:val="es-ES_tradnl"/>
        </w:rPr>
      </w:pPr>
      <w:bookmarkStart w:id="28" w:name="_Toc320869660"/>
      <w:bookmarkStart w:id="29" w:name="_Toc178345862"/>
      <w:bookmarkStart w:id="30" w:name="_Toc179189956"/>
      <w:r w:rsidRPr="009960E1">
        <w:rPr>
          <w:bCs/>
          <w:lang w:val="es-ES_tradnl"/>
        </w:rPr>
        <w:t>4</w:t>
      </w:r>
      <w:r w:rsidRPr="009960E1">
        <w:rPr>
          <w:lang w:val="es-ES_tradnl"/>
        </w:rPr>
        <w:tab/>
      </w:r>
      <w:r w:rsidRPr="009960E1">
        <w:rPr>
          <w:bCs/>
          <w:lang w:val="es-ES_tradnl"/>
        </w:rPr>
        <w:t>Observaciones en relación con el trabajo futuro</w:t>
      </w:r>
      <w:bookmarkEnd w:id="28"/>
      <w:bookmarkEnd w:id="29"/>
      <w:bookmarkEnd w:id="30"/>
    </w:p>
    <w:p w14:paraId="5524E9AE" w14:textId="62F61AAB" w:rsidR="00CF0CB0" w:rsidRPr="009960E1" w:rsidRDefault="00CF0CB0" w:rsidP="00CF0CB0">
      <w:pPr>
        <w:rPr>
          <w:lang w:val="es-ES_tradnl"/>
        </w:rPr>
      </w:pPr>
      <w:r w:rsidRPr="009960E1">
        <w:rPr>
          <w:lang w:val="es-ES_tradnl"/>
        </w:rPr>
        <w:t>El GANT proseguirá su labor de conformidad con el Artículo</w:t>
      </w:r>
      <w:r w:rsidR="0077793F" w:rsidRPr="009960E1">
        <w:rPr>
          <w:lang w:val="es-ES_tradnl"/>
        </w:rPr>
        <w:t> </w:t>
      </w:r>
      <w:r w:rsidRPr="009960E1">
        <w:rPr>
          <w:lang w:val="es-ES_tradnl"/>
        </w:rPr>
        <w:t>14A del Convenio de la UIT, las Resoluciones</w:t>
      </w:r>
      <w:r w:rsidR="0077793F" w:rsidRPr="009960E1">
        <w:rPr>
          <w:lang w:val="es-ES_tradnl"/>
        </w:rPr>
        <w:t> </w:t>
      </w:r>
      <w:r w:rsidRPr="009960E1">
        <w:rPr>
          <w:lang w:val="es-ES_tradnl"/>
        </w:rPr>
        <w:t>1, 22, 40 y 45 de la AMNT, y otras Resoluciones pertinentes.</w:t>
      </w:r>
    </w:p>
    <w:p w14:paraId="7CB2BE50" w14:textId="4B58A260" w:rsidR="0077793F" w:rsidRPr="009960E1" w:rsidRDefault="0077793F" w:rsidP="00CF0CB0">
      <w:pPr>
        <w:rPr>
          <w:lang w:val="es-ES_tradnl"/>
        </w:rPr>
      </w:pPr>
      <w:r w:rsidRPr="009960E1">
        <w:rPr>
          <w:lang w:val="es-ES_tradnl"/>
        </w:rPr>
        <w:br w:type="page"/>
      </w:r>
    </w:p>
    <w:p w14:paraId="0425A29D" w14:textId="1405CEEF" w:rsidR="00CF0CB0" w:rsidRPr="009960E1" w:rsidRDefault="00CF0CB0" w:rsidP="0077793F">
      <w:pPr>
        <w:pStyle w:val="AnnexNotitle"/>
        <w:rPr>
          <w:lang w:val="es-ES_tradnl"/>
        </w:rPr>
      </w:pPr>
      <w:bookmarkStart w:id="31" w:name="_Toc178345863"/>
      <w:bookmarkStart w:id="32" w:name="_Toc179189957"/>
      <w:r w:rsidRPr="009960E1">
        <w:rPr>
          <w:b w:val="0"/>
          <w:bCs/>
          <w:lang w:val="es-ES_tradnl"/>
        </w:rPr>
        <w:lastRenderedPageBreak/>
        <w:t>ANEXO 1</w:t>
      </w:r>
      <w:r w:rsidRPr="009960E1">
        <w:rPr>
          <w:lang w:val="es-ES_tradnl"/>
        </w:rPr>
        <w:br/>
      </w:r>
      <w:r w:rsidR="0077793F" w:rsidRPr="009960E1">
        <w:rPr>
          <w:lang w:val="es-ES_tradnl"/>
        </w:rPr>
        <w:br/>
      </w:r>
      <w:r w:rsidRPr="009960E1">
        <w:rPr>
          <w:lang w:val="es-ES_tradnl"/>
        </w:rPr>
        <w:t>Lista de Recomendaciones, Suplementos y otros documentos</w:t>
      </w:r>
      <w:r w:rsidR="00F23F92">
        <w:rPr>
          <w:lang w:val="es-ES_tradnl"/>
        </w:rPr>
        <w:t xml:space="preserve"> </w:t>
      </w:r>
      <w:r w:rsidRPr="009960E1">
        <w:rPr>
          <w:lang w:val="es-ES_tradnl"/>
        </w:rPr>
        <w:t>producidos o suprimidos durante el periodo de estudios</w:t>
      </w:r>
      <w:bookmarkStart w:id="33" w:name="Annex1"/>
      <w:bookmarkEnd w:id="31"/>
      <w:bookmarkEnd w:id="32"/>
      <w:bookmarkEnd w:id="33"/>
    </w:p>
    <w:p w14:paraId="3FA43BEB" w14:textId="77777777" w:rsidR="00CF0CB0" w:rsidRPr="009960E1" w:rsidRDefault="00CF0CB0" w:rsidP="0077793F">
      <w:pPr>
        <w:pStyle w:val="Normalaftertitle"/>
        <w:rPr>
          <w:lang w:val="es-ES_tradnl"/>
        </w:rPr>
      </w:pPr>
      <w:r w:rsidRPr="009960E1">
        <w:rPr>
          <w:lang w:val="es-ES_tradnl"/>
        </w:rPr>
        <w:t>En el Cuadro 8 figura la lista de las Recomendaciones nuevas y revisadas aprobadas durante el periodo de estudios.</w:t>
      </w:r>
    </w:p>
    <w:p w14:paraId="1A9B7AAB" w14:textId="77777777" w:rsidR="00CF0CB0" w:rsidRPr="009960E1" w:rsidRDefault="00CF0CB0" w:rsidP="00CF0CB0">
      <w:pPr>
        <w:rPr>
          <w:lang w:val="es-ES_tradnl"/>
        </w:rPr>
      </w:pPr>
      <w:r w:rsidRPr="009960E1">
        <w:rPr>
          <w:lang w:val="es-ES_tradnl"/>
        </w:rPr>
        <w:t>En el Cuadro 9 figura la lista de Recomendaciones determinadas por el GANT o sus grupos de trabajo que estaban pendientes de aprobación a la fecha de publicación del presente informe.</w:t>
      </w:r>
    </w:p>
    <w:p w14:paraId="59BDB2DC" w14:textId="77777777" w:rsidR="00CF0CB0" w:rsidRPr="009960E1" w:rsidRDefault="00CF0CB0" w:rsidP="00CF0CB0">
      <w:pPr>
        <w:rPr>
          <w:lang w:val="es-ES_tradnl"/>
        </w:rPr>
      </w:pPr>
      <w:r w:rsidRPr="009960E1">
        <w:rPr>
          <w:lang w:val="es-ES_tradnl"/>
        </w:rPr>
        <w:t>En el Cuadro 10 figura la lista de Recomendaciones suprimidas por el GANT durante el periodo de estudios.</w:t>
      </w:r>
    </w:p>
    <w:p w14:paraId="5D83795D" w14:textId="77777777" w:rsidR="00CF0CB0" w:rsidRPr="009960E1" w:rsidRDefault="00CF0CB0" w:rsidP="00CF0CB0">
      <w:pPr>
        <w:rPr>
          <w:lang w:val="es-ES_tradnl"/>
        </w:rPr>
      </w:pPr>
      <w:r w:rsidRPr="009960E1">
        <w:rPr>
          <w:lang w:val="es-ES_tradnl"/>
        </w:rPr>
        <w:t>En el Cuadro 11 figura la lista de las Recomendaciones sometidas por el GANT a la AMNT-24 para aprobación.</w:t>
      </w:r>
    </w:p>
    <w:p w14:paraId="17D3BDA7" w14:textId="746C76D4" w:rsidR="00CF0CB0" w:rsidRPr="009960E1" w:rsidRDefault="00CF0CB0" w:rsidP="00CF0CB0">
      <w:pPr>
        <w:rPr>
          <w:lang w:val="es-ES_tradnl"/>
        </w:rPr>
      </w:pPr>
      <w:r w:rsidRPr="009960E1">
        <w:rPr>
          <w:lang w:val="es-ES_tradnl"/>
        </w:rPr>
        <w:t>En los Cuadros 12 y siguientes figura</w:t>
      </w:r>
      <w:r w:rsidR="00783A5D">
        <w:rPr>
          <w:lang w:val="es-ES_tradnl"/>
        </w:rPr>
        <w:t>s</w:t>
      </w:r>
      <w:r w:rsidRPr="009960E1">
        <w:rPr>
          <w:lang w:val="es-ES_tradnl"/>
        </w:rPr>
        <w:t xml:space="preserve"> la lista de otras publicaciones aprobadas y/o suprimidas por el GANT durante el periodo de estudios.</w:t>
      </w:r>
    </w:p>
    <w:p w14:paraId="311F737B" w14:textId="77777777" w:rsidR="00CF0CB0" w:rsidRPr="009960E1" w:rsidRDefault="00CF0CB0" w:rsidP="005D1CF0">
      <w:pPr>
        <w:pStyle w:val="TableNotitle"/>
        <w:rPr>
          <w:lang w:val="es-ES_tradnl"/>
        </w:rPr>
      </w:pPr>
      <w:r w:rsidRPr="009960E1">
        <w:rPr>
          <w:b w:val="0"/>
          <w:bCs/>
          <w:lang w:val="es-ES_tradnl"/>
        </w:rPr>
        <w:t>CUADRO 8</w:t>
      </w:r>
      <w:r w:rsidRPr="009960E1">
        <w:rPr>
          <w:lang w:val="es-ES_tradnl"/>
        </w:rPr>
        <w:br/>
        <w:t>GANT – Recomendaciones aprobadas durante el periodo de estudios</w:t>
      </w:r>
    </w:p>
    <w:tbl>
      <w:tblPr>
        <w:tblStyle w:val="TableGrid"/>
        <w:tblW w:w="9747"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560"/>
        <w:gridCol w:w="1134"/>
        <w:gridCol w:w="1275"/>
        <w:gridCol w:w="3525"/>
      </w:tblGrid>
      <w:tr w:rsidR="00CF0CB0" w:rsidRPr="009960E1" w14:paraId="46566888" w14:textId="77777777" w:rsidTr="005D1CF0">
        <w:trPr>
          <w:tblHeader/>
          <w:jc w:val="center"/>
        </w:trPr>
        <w:tc>
          <w:tcPr>
            <w:tcW w:w="2253" w:type="dxa"/>
            <w:tcBorders>
              <w:top w:val="single" w:sz="12" w:space="0" w:color="auto"/>
              <w:bottom w:val="single" w:sz="12" w:space="0" w:color="auto"/>
            </w:tcBorders>
            <w:shd w:val="clear" w:color="auto" w:fill="auto"/>
          </w:tcPr>
          <w:p w14:paraId="1E9DF7EC" w14:textId="77777777" w:rsidR="00CF0CB0" w:rsidRPr="009960E1" w:rsidRDefault="00CF0CB0" w:rsidP="00F27F0E">
            <w:pPr>
              <w:pStyle w:val="Tablehead"/>
              <w:rPr>
                <w:lang w:val="es-ES_tradnl"/>
              </w:rPr>
            </w:pPr>
            <w:r w:rsidRPr="009960E1">
              <w:rPr>
                <w:bCs/>
                <w:lang w:val="es-ES_tradnl"/>
              </w:rPr>
              <w:t>Recomendación</w:t>
            </w:r>
          </w:p>
        </w:tc>
        <w:tc>
          <w:tcPr>
            <w:tcW w:w="1560" w:type="dxa"/>
            <w:tcBorders>
              <w:top w:val="single" w:sz="12" w:space="0" w:color="auto"/>
              <w:bottom w:val="single" w:sz="12" w:space="0" w:color="auto"/>
            </w:tcBorders>
            <w:shd w:val="clear" w:color="auto" w:fill="auto"/>
          </w:tcPr>
          <w:p w14:paraId="2D3CE217" w14:textId="77777777" w:rsidR="00CF0CB0" w:rsidRPr="009960E1" w:rsidRDefault="00CF0CB0" w:rsidP="00F27F0E">
            <w:pPr>
              <w:pStyle w:val="Tablehead"/>
              <w:rPr>
                <w:lang w:val="es-ES_tradnl"/>
              </w:rPr>
            </w:pPr>
            <w:r w:rsidRPr="009960E1">
              <w:rPr>
                <w:bCs/>
                <w:lang w:val="es-ES_tradnl"/>
              </w:rPr>
              <w:t>Aprobación</w:t>
            </w:r>
          </w:p>
        </w:tc>
        <w:tc>
          <w:tcPr>
            <w:tcW w:w="1134" w:type="dxa"/>
            <w:tcBorders>
              <w:top w:val="single" w:sz="12" w:space="0" w:color="auto"/>
              <w:bottom w:val="single" w:sz="12" w:space="0" w:color="auto"/>
            </w:tcBorders>
            <w:shd w:val="clear" w:color="auto" w:fill="auto"/>
          </w:tcPr>
          <w:p w14:paraId="13BA5F87" w14:textId="77777777" w:rsidR="00CF0CB0" w:rsidRPr="009960E1" w:rsidRDefault="00CF0CB0" w:rsidP="00F27F0E">
            <w:pPr>
              <w:pStyle w:val="Tablehead"/>
              <w:rPr>
                <w:lang w:val="es-ES_tradnl"/>
              </w:rPr>
            </w:pPr>
            <w:r w:rsidRPr="009960E1">
              <w:rPr>
                <w:bCs/>
                <w:lang w:val="es-ES_tradnl"/>
              </w:rPr>
              <w:t>Situación</w:t>
            </w:r>
          </w:p>
        </w:tc>
        <w:tc>
          <w:tcPr>
            <w:tcW w:w="1275" w:type="dxa"/>
            <w:tcBorders>
              <w:top w:val="single" w:sz="12" w:space="0" w:color="auto"/>
              <w:bottom w:val="single" w:sz="12" w:space="0" w:color="auto"/>
            </w:tcBorders>
            <w:shd w:val="clear" w:color="auto" w:fill="auto"/>
          </w:tcPr>
          <w:p w14:paraId="6FEF8958" w14:textId="77777777" w:rsidR="00CF0CB0" w:rsidRPr="009960E1" w:rsidRDefault="00CF0CB0" w:rsidP="00F27F0E">
            <w:pPr>
              <w:pStyle w:val="Tablehead"/>
              <w:rPr>
                <w:lang w:val="es-ES_tradnl"/>
              </w:rPr>
            </w:pPr>
            <w:r w:rsidRPr="009960E1">
              <w:rPr>
                <w:bCs/>
                <w:lang w:val="es-ES_tradnl"/>
              </w:rPr>
              <w:t>TAP/AAP</w:t>
            </w:r>
          </w:p>
        </w:tc>
        <w:tc>
          <w:tcPr>
            <w:tcW w:w="3525" w:type="dxa"/>
            <w:tcBorders>
              <w:top w:val="single" w:sz="12" w:space="0" w:color="auto"/>
              <w:bottom w:val="single" w:sz="12" w:space="0" w:color="auto"/>
            </w:tcBorders>
            <w:shd w:val="clear" w:color="auto" w:fill="auto"/>
          </w:tcPr>
          <w:p w14:paraId="5374E3DD" w14:textId="77777777" w:rsidR="00CF0CB0" w:rsidRPr="009960E1" w:rsidRDefault="00CF0CB0" w:rsidP="00F27F0E">
            <w:pPr>
              <w:pStyle w:val="Tablehead"/>
              <w:rPr>
                <w:lang w:val="es-ES_tradnl"/>
              </w:rPr>
            </w:pPr>
            <w:r w:rsidRPr="009960E1">
              <w:rPr>
                <w:bCs/>
                <w:lang w:val="es-ES_tradnl"/>
              </w:rPr>
              <w:t>Título</w:t>
            </w:r>
          </w:p>
        </w:tc>
      </w:tr>
      <w:tr w:rsidR="00CF0CB0" w:rsidRPr="00A7143D" w14:paraId="36800C27" w14:textId="77777777" w:rsidTr="005D1CF0">
        <w:trPr>
          <w:jc w:val="center"/>
        </w:trPr>
        <w:tc>
          <w:tcPr>
            <w:tcW w:w="2253" w:type="dxa"/>
            <w:tcBorders>
              <w:top w:val="single" w:sz="12" w:space="0" w:color="auto"/>
            </w:tcBorders>
            <w:shd w:val="clear" w:color="auto" w:fill="auto"/>
          </w:tcPr>
          <w:p w14:paraId="7BF4FBAD" w14:textId="77777777" w:rsidR="00CF0CB0" w:rsidRPr="009960E1" w:rsidRDefault="00000000" w:rsidP="00F27F0E">
            <w:pPr>
              <w:pStyle w:val="Tabletext"/>
              <w:rPr>
                <w:lang w:val="es-ES_tradnl"/>
              </w:rPr>
            </w:pPr>
            <w:hyperlink r:id="rId102" w:tooltip="See more details" w:history="1">
              <w:r w:rsidR="00CF0CB0" w:rsidRPr="009960E1">
                <w:rPr>
                  <w:rStyle w:val="Hyperlink"/>
                  <w:lang w:val="es-ES_tradnl"/>
                </w:rPr>
                <w:t>A.7</w:t>
              </w:r>
              <w:r w:rsidR="00CF0CB0" w:rsidRPr="009960E1">
                <w:rPr>
                  <w:lang w:val="es-ES_tradnl"/>
                </w:rPr>
                <w:t xml:space="preserve"> (Rev.)</w:t>
              </w:r>
            </w:hyperlink>
          </w:p>
        </w:tc>
        <w:tc>
          <w:tcPr>
            <w:tcW w:w="1560" w:type="dxa"/>
            <w:tcBorders>
              <w:top w:val="single" w:sz="12" w:space="0" w:color="auto"/>
            </w:tcBorders>
            <w:shd w:val="clear" w:color="auto" w:fill="auto"/>
          </w:tcPr>
          <w:p w14:paraId="006806A0" w14:textId="7452DDA9" w:rsidR="00CF0CB0" w:rsidRPr="009960E1" w:rsidRDefault="00CF0CB0" w:rsidP="00F27F0E">
            <w:pPr>
              <w:pStyle w:val="Tabletext"/>
              <w:jc w:val="center"/>
              <w:rPr>
                <w:lang w:val="es-ES_tradnl"/>
              </w:rPr>
            </w:pPr>
            <w:r w:rsidRPr="009960E1">
              <w:rPr>
                <w:lang w:val="es-ES_tradnl"/>
              </w:rPr>
              <w:t>2</w:t>
            </w:r>
            <w:r w:rsidR="00650DE1">
              <w:rPr>
                <w:lang w:val="es-ES_tradnl"/>
              </w:rPr>
              <w:t>/</w:t>
            </w:r>
            <w:r w:rsidR="005D1CF0" w:rsidRPr="009960E1">
              <w:rPr>
                <w:lang w:val="es-ES_tradnl"/>
              </w:rPr>
              <w:t>08</w:t>
            </w:r>
            <w:r w:rsidR="00650DE1">
              <w:rPr>
                <w:lang w:val="es-ES_tradnl"/>
              </w:rPr>
              <w:t>/</w:t>
            </w:r>
            <w:r w:rsidRPr="009960E1">
              <w:rPr>
                <w:lang w:val="es-ES_tradnl"/>
              </w:rPr>
              <w:t>2024</w:t>
            </w:r>
          </w:p>
        </w:tc>
        <w:tc>
          <w:tcPr>
            <w:tcW w:w="1134" w:type="dxa"/>
            <w:tcBorders>
              <w:top w:val="single" w:sz="12" w:space="0" w:color="auto"/>
            </w:tcBorders>
            <w:shd w:val="clear" w:color="auto" w:fill="auto"/>
          </w:tcPr>
          <w:p w14:paraId="31D2D575" w14:textId="77777777" w:rsidR="00CF0CB0" w:rsidRPr="009960E1" w:rsidRDefault="00CF0CB0" w:rsidP="00F27F0E">
            <w:pPr>
              <w:pStyle w:val="Tabletext"/>
              <w:jc w:val="center"/>
              <w:rPr>
                <w:lang w:val="es-ES_tradnl"/>
              </w:rPr>
            </w:pPr>
            <w:r w:rsidRPr="009960E1">
              <w:rPr>
                <w:lang w:val="es-ES_tradnl"/>
              </w:rPr>
              <w:t>En vigor</w:t>
            </w:r>
          </w:p>
        </w:tc>
        <w:tc>
          <w:tcPr>
            <w:tcW w:w="1275" w:type="dxa"/>
            <w:tcBorders>
              <w:top w:val="single" w:sz="12" w:space="0" w:color="auto"/>
            </w:tcBorders>
            <w:shd w:val="clear" w:color="auto" w:fill="auto"/>
          </w:tcPr>
          <w:p w14:paraId="0053BF3A" w14:textId="77777777" w:rsidR="00CF0CB0" w:rsidRPr="009960E1" w:rsidRDefault="00CF0CB0" w:rsidP="00F27F0E">
            <w:pPr>
              <w:pStyle w:val="Tabletext"/>
              <w:jc w:val="center"/>
              <w:rPr>
                <w:lang w:val="es-ES_tradnl"/>
              </w:rPr>
            </w:pPr>
            <w:r w:rsidRPr="009960E1">
              <w:rPr>
                <w:lang w:val="es-ES_tradnl"/>
              </w:rPr>
              <w:t>TAP</w:t>
            </w:r>
          </w:p>
        </w:tc>
        <w:tc>
          <w:tcPr>
            <w:tcW w:w="3525" w:type="dxa"/>
            <w:tcBorders>
              <w:top w:val="single" w:sz="12" w:space="0" w:color="auto"/>
            </w:tcBorders>
            <w:shd w:val="clear" w:color="auto" w:fill="auto"/>
          </w:tcPr>
          <w:p w14:paraId="27DBCE24" w14:textId="77777777" w:rsidR="00CF0CB0" w:rsidRPr="009960E1" w:rsidRDefault="00CF0CB0" w:rsidP="00F27F0E">
            <w:pPr>
              <w:pStyle w:val="Tabletext"/>
              <w:rPr>
                <w:lang w:val="es-ES_tradnl"/>
              </w:rPr>
            </w:pPr>
            <w:r w:rsidRPr="009960E1">
              <w:rPr>
                <w:lang w:val="es-ES_tradnl"/>
              </w:rPr>
              <w:t>Grupos Temáticos: Establecimiento y procedimientos de trabajo</w:t>
            </w:r>
          </w:p>
        </w:tc>
      </w:tr>
      <w:tr w:rsidR="00CF0CB0" w:rsidRPr="00A7143D" w14:paraId="2BEAA8EC" w14:textId="77777777" w:rsidTr="005D1CF0">
        <w:trPr>
          <w:jc w:val="center"/>
        </w:trPr>
        <w:tc>
          <w:tcPr>
            <w:tcW w:w="2253" w:type="dxa"/>
            <w:shd w:val="clear" w:color="auto" w:fill="auto"/>
          </w:tcPr>
          <w:p w14:paraId="695F0A8F" w14:textId="77777777" w:rsidR="00CF0CB0" w:rsidRPr="009960E1" w:rsidRDefault="00000000" w:rsidP="00F27F0E">
            <w:pPr>
              <w:pStyle w:val="Tabletext"/>
              <w:rPr>
                <w:lang w:val="es-ES_tradnl"/>
              </w:rPr>
            </w:pPr>
            <w:hyperlink r:id="rId103" w:tooltip="See more details" w:history="1">
              <w:r w:rsidR="00CF0CB0" w:rsidRPr="009960E1">
                <w:rPr>
                  <w:rStyle w:val="Hyperlink"/>
                  <w:lang w:val="es-ES_tradnl"/>
                </w:rPr>
                <w:t>A.8</w:t>
              </w:r>
              <w:r w:rsidR="00CF0CB0" w:rsidRPr="009960E1">
                <w:rPr>
                  <w:lang w:val="es-ES_tradnl"/>
                </w:rPr>
                <w:t xml:space="preserve"> (Rev.)</w:t>
              </w:r>
            </w:hyperlink>
          </w:p>
        </w:tc>
        <w:tc>
          <w:tcPr>
            <w:tcW w:w="1560" w:type="dxa"/>
            <w:shd w:val="clear" w:color="auto" w:fill="auto"/>
          </w:tcPr>
          <w:p w14:paraId="7E24FA58" w14:textId="0014B41B" w:rsidR="00CF0CB0" w:rsidRPr="009960E1" w:rsidRDefault="00CF0CB0" w:rsidP="00F27F0E">
            <w:pPr>
              <w:pStyle w:val="Tabletext"/>
              <w:jc w:val="center"/>
              <w:rPr>
                <w:lang w:val="es-ES_tradnl"/>
              </w:rPr>
            </w:pPr>
            <w:r w:rsidRPr="009960E1">
              <w:rPr>
                <w:lang w:val="es-ES_tradnl"/>
              </w:rPr>
              <w:t>26</w:t>
            </w:r>
            <w:r w:rsidR="00650DE1">
              <w:rPr>
                <w:lang w:val="es-ES_tradnl"/>
              </w:rPr>
              <w:t>/</w:t>
            </w:r>
            <w:r w:rsidR="005D1CF0" w:rsidRPr="009960E1">
              <w:rPr>
                <w:lang w:val="es-ES_tradnl"/>
              </w:rPr>
              <w:t>01</w:t>
            </w:r>
            <w:r w:rsidR="00650DE1">
              <w:rPr>
                <w:lang w:val="es-ES_tradnl"/>
              </w:rPr>
              <w:t>/</w:t>
            </w:r>
            <w:r w:rsidRPr="009960E1">
              <w:rPr>
                <w:lang w:val="es-ES_tradnl"/>
              </w:rPr>
              <w:t>2024</w:t>
            </w:r>
          </w:p>
        </w:tc>
        <w:tc>
          <w:tcPr>
            <w:tcW w:w="1134" w:type="dxa"/>
            <w:shd w:val="clear" w:color="auto" w:fill="auto"/>
          </w:tcPr>
          <w:p w14:paraId="6BA4FF79" w14:textId="77777777" w:rsidR="00CF0CB0" w:rsidRPr="009960E1" w:rsidRDefault="00CF0CB0" w:rsidP="00F27F0E">
            <w:pPr>
              <w:pStyle w:val="Tabletext"/>
              <w:jc w:val="center"/>
              <w:rPr>
                <w:lang w:val="es-ES_tradnl"/>
              </w:rPr>
            </w:pPr>
            <w:r w:rsidRPr="009960E1">
              <w:rPr>
                <w:lang w:val="es-ES_tradnl"/>
              </w:rPr>
              <w:t>En vigor</w:t>
            </w:r>
          </w:p>
        </w:tc>
        <w:tc>
          <w:tcPr>
            <w:tcW w:w="1275" w:type="dxa"/>
            <w:shd w:val="clear" w:color="auto" w:fill="auto"/>
          </w:tcPr>
          <w:p w14:paraId="33E9A863" w14:textId="77777777" w:rsidR="00CF0CB0" w:rsidRPr="009960E1" w:rsidRDefault="00CF0CB0" w:rsidP="00F27F0E">
            <w:pPr>
              <w:pStyle w:val="Tabletext"/>
              <w:jc w:val="center"/>
              <w:rPr>
                <w:lang w:val="es-ES_tradnl"/>
              </w:rPr>
            </w:pPr>
            <w:r w:rsidRPr="009960E1">
              <w:rPr>
                <w:lang w:val="es-ES_tradnl"/>
              </w:rPr>
              <w:t>TAP</w:t>
            </w:r>
          </w:p>
        </w:tc>
        <w:tc>
          <w:tcPr>
            <w:tcW w:w="3525" w:type="dxa"/>
            <w:shd w:val="clear" w:color="auto" w:fill="auto"/>
          </w:tcPr>
          <w:p w14:paraId="25EDB94E" w14:textId="77777777" w:rsidR="00CF0CB0" w:rsidRPr="009960E1" w:rsidRDefault="00CF0CB0" w:rsidP="00F27F0E">
            <w:pPr>
              <w:pStyle w:val="Tabletext"/>
              <w:rPr>
                <w:lang w:val="es-ES_tradnl"/>
              </w:rPr>
            </w:pPr>
            <w:r w:rsidRPr="009960E1">
              <w:rPr>
                <w:lang w:val="es-ES_tradnl"/>
              </w:rPr>
              <w:t>Proceso de aprobación alternativo para las Recomendaciones UIT-T nuevas y revisadas</w:t>
            </w:r>
          </w:p>
        </w:tc>
      </w:tr>
      <w:tr w:rsidR="00CF0CB0" w:rsidRPr="00A7143D" w14:paraId="14681596" w14:textId="77777777" w:rsidTr="005D1CF0">
        <w:trPr>
          <w:jc w:val="center"/>
        </w:trPr>
        <w:tc>
          <w:tcPr>
            <w:tcW w:w="2253" w:type="dxa"/>
            <w:shd w:val="clear" w:color="auto" w:fill="auto"/>
          </w:tcPr>
          <w:p w14:paraId="645F396D" w14:textId="77777777" w:rsidR="00CF0CB0" w:rsidRPr="009960E1" w:rsidRDefault="00000000" w:rsidP="00F27F0E">
            <w:pPr>
              <w:pStyle w:val="Tabletext"/>
              <w:rPr>
                <w:lang w:val="es-ES_tradnl"/>
              </w:rPr>
            </w:pPr>
            <w:hyperlink r:id="rId104" w:tooltip="See more details" w:history="1">
              <w:r w:rsidR="00CF0CB0" w:rsidRPr="009960E1">
                <w:rPr>
                  <w:rStyle w:val="Hyperlink"/>
                  <w:lang w:val="es-ES_tradnl"/>
                </w:rPr>
                <w:t>A.18</w:t>
              </w:r>
              <w:r w:rsidR="00CF0CB0" w:rsidRPr="009960E1">
                <w:rPr>
                  <w:lang w:val="es-ES_tradnl"/>
                </w:rPr>
                <w:t xml:space="preserve"> (Nueva, anteriormente A.JCA)</w:t>
              </w:r>
            </w:hyperlink>
          </w:p>
        </w:tc>
        <w:tc>
          <w:tcPr>
            <w:tcW w:w="1560" w:type="dxa"/>
            <w:shd w:val="clear" w:color="auto" w:fill="auto"/>
          </w:tcPr>
          <w:p w14:paraId="342B06AE" w14:textId="07D1BDBA" w:rsidR="00CF0CB0" w:rsidRPr="009960E1" w:rsidRDefault="00CF0CB0" w:rsidP="00F27F0E">
            <w:pPr>
              <w:pStyle w:val="Tabletext"/>
              <w:jc w:val="center"/>
              <w:rPr>
                <w:lang w:val="es-ES_tradnl"/>
              </w:rPr>
            </w:pPr>
            <w:r w:rsidRPr="009960E1">
              <w:rPr>
                <w:lang w:val="es-ES_tradnl"/>
              </w:rPr>
              <w:t>29</w:t>
            </w:r>
            <w:r w:rsidR="00650DE1">
              <w:rPr>
                <w:lang w:val="es-ES_tradnl"/>
              </w:rPr>
              <w:t>/</w:t>
            </w:r>
            <w:r w:rsidR="005D1CF0" w:rsidRPr="009960E1">
              <w:rPr>
                <w:lang w:val="es-ES_tradnl"/>
              </w:rPr>
              <w:t>07</w:t>
            </w:r>
            <w:r w:rsidR="00650DE1">
              <w:rPr>
                <w:lang w:val="es-ES_tradnl"/>
              </w:rPr>
              <w:t>/</w:t>
            </w:r>
            <w:r w:rsidRPr="009960E1">
              <w:rPr>
                <w:lang w:val="es-ES_tradnl"/>
              </w:rPr>
              <w:t>2024</w:t>
            </w:r>
          </w:p>
        </w:tc>
        <w:tc>
          <w:tcPr>
            <w:tcW w:w="1134" w:type="dxa"/>
            <w:shd w:val="clear" w:color="auto" w:fill="auto"/>
          </w:tcPr>
          <w:p w14:paraId="71AC1341" w14:textId="77777777" w:rsidR="00CF0CB0" w:rsidRPr="009960E1" w:rsidRDefault="00CF0CB0" w:rsidP="00F27F0E">
            <w:pPr>
              <w:pStyle w:val="Tabletext"/>
              <w:jc w:val="center"/>
              <w:rPr>
                <w:lang w:val="es-ES_tradnl"/>
              </w:rPr>
            </w:pPr>
            <w:r w:rsidRPr="009960E1">
              <w:rPr>
                <w:lang w:val="es-ES_tradnl"/>
              </w:rPr>
              <w:t>En vigor</w:t>
            </w:r>
          </w:p>
        </w:tc>
        <w:tc>
          <w:tcPr>
            <w:tcW w:w="1275" w:type="dxa"/>
            <w:shd w:val="clear" w:color="auto" w:fill="auto"/>
          </w:tcPr>
          <w:p w14:paraId="716BA0D7" w14:textId="77777777" w:rsidR="00CF0CB0" w:rsidRPr="009960E1" w:rsidRDefault="00CF0CB0" w:rsidP="00F27F0E">
            <w:pPr>
              <w:pStyle w:val="Tabletext"/>
              <w:jc w:val="center"/>
              <w:rPr>
                <w:lang w:val="es-ES_tradnl"/>
              </w:rPr>
            </w:pPr>
            <w:r w:rsidRPr="009960E1">
              <w:rPr>
                <w:lang w:val="es-ES_tradnl"/>
              </w:rPr>
              <w:t>TAP</w:t>
            </w:r>
          </w:p>
        </w:tc>
        <w:tc>
          <w:tcPr>
            <w:tcW w:w="3525" w:type="dxa"/>
            <w:shd w:val="clear" w:color="auto" w:fill="auto"/>
          </w:tcPr>
          <w:p w14:paraId="49065E9A" w14:textId="77777777" w:rsidR="00CF0CB0" w:rsidRPr="009960E1" w:rsidRDefault="00CF0CB0" w:rsidP="00F27F0E">
            <w:pPr>
              <w:pStyle w:val="Tabletext"/>
              <w:rPr>
                <w:lang w:val="es-ES_tradnl"/>
              </w:rPr>
            </w:pPr>
            <w:r w:rsidRPr="009960E1">
              <w:rPr>
                <w:lang w:val="es-ES_tradnl"/>
              </w:rPr>
              <w:t>Actividades conjuntas de coordinación: creación y procedimientos de trabajo</w:t>
            </w:r>
          </w:p>
        </w:tc>
      </w:tr>
      <w:tr w:rsidR="005D1CF0" w:rsidRPr="00A7143D" w14:paraId="3ABB9ADC" w14:textId="77777777" w:rsidTr="005D1CF0">
        <w:trPr>
          <w:jc w:val="center"/>
        </w:trPr>
        <w:tc>
          <w:tcPr>
            <w:tcW w:w="2253" w:type="dxa"/>
            <w:shd w:val="clear" w:color="auto" w:fill="auto"/>
          </w:tcPr>
          <w:p w14:paraId="7810D496" w14:textId="77777777" w:rsidR="005D1CF0" w:rsidRPr="009960E1" w:rsidRDefault="00000000" w:rsidP="005D1CF0">
            <w:pPr>
              <w:pStyle w:val="Tabletext"/>
              <w:rPr>
                <w:lang w:val="es-ES_tradnl"/>
              </w:rPr>
            </w:pPr>
            <w:hyperlink r:id="rId105" w:tooltip="See more details" w:history="1">
              <w:r w:rsidR="005D1CF0" w:rsidRPr="009960E1">
                <w:rPr>
                  <w:rStyle w:val="Hyperlink"/>
                  <w:lang w:val="es-ES_tradnl"/>
                </w:rPr>
                <w:t>A.24</w:t>
              </w:r>
              <w:r w:rsidR="005D1CF0" w:rsidRPr="009960E1">
                <w:rPr>
                  <w:lang w:val="es-ES_tradnl"/>
                </w:rPr>
                <w:t xml:space="preserve"> (Nueva)</w:t>
              </w:r>
            </w:hyperlink>
          </w:p>
        </w:tc>
        <w:tc>
          <w:tcPr>
            <w:tcW w:w="1560" w:type="dxa"/>
            <w:shd w:val="clear" w:color="auto" w:fill="auto"/>
          </w:tcPr>
          <w:p w14:paraId="38B86811" w14:textId="10A494D5" w:rsidR="005D1CF0" w:rsidRPr="009960E1" w:rsidRDefault="005D1CF0" w:rsidP="005D1CF0">
            <w:pPr>
              <w:pStyle w:val="Tabletext"/>
              <w:jc w:val="center"/>
              <w:rPr>
                <w:lang w:val="es-ES_tradnl"/>
              </w:rPr>
            </w:pPr>
            <w:r w:rsidRPr="009960E1">
              <w:rPr>
                <w:lang w:val="es-ES_tradnl"/>
              </w:rPr>
              <w:t>2</w:t>
            </w:r>
            <w:r w:rsidR="00650DE1">
              <w:rPr>
                <w:lang w:val="es-ES_tradnl"/>
              </w:rPr>
              <w:t>/</w:t>
            </w:r>
            <w:r w:rsidRPr="009960E1">
              <w:rPr>
                <w:lang w:val="es-ES_tradnl"/>
              </w:rPr>
              <w:t>08</w:t>
            </w:r>
            <w:r w:rsidR="00650DE1">
              <w:rPr>
                <w:lang w:val="es-ES_tradnl"/>
              </w:rPr>
              <w:t>/</w:t>
            </w:r>
            <w:r w:rsidRPr="009960E1">
              <w:rPr>
                <w:lang w:val="es-ES_tradnl"/>
              </w:rPr>
              <w:t>2024</w:t>
            </w:r>
          </w:p>
        </w:tc>
        <w:tc>
          <w:tcPr>
            <w:tcW w:w="1134" w:type="dxa"/>
            <w:shd w:val="clear" w:color="auto" w:fill="auto"/>
          </w:tcPr>
          <w:p w14:paraId="157D2B78" w14:textId="77777777" w:rsidR="005D1CF0" w:rsidRPr="009960E1" w:rsidRDefault="005D1CF0" w:rsidP="005D1CF0">
            <w:pPr>
              <w:pStyle w:val="Tabletext"/>
              <w:jc w:val="center"/>
              <w:rPr>
                <w:lang w:val="es-ES_tradnl"/>
              </w:rPr>
            </w:pPr>
            <w:r w:rsidRPr="009960E1">
              <w:rPr>
                <w:lang w:val="es-ES_tradnl"/>
              </w:rPr>
              <w:t>En vigor</w:t>
            </w:r>
          </w:p>
        </w:tc>
        <w:tc>
          <w:tcPr>
            <w:tcW w:w="1275" w:type="dxa"/>
            <w:shd w:val="clear" w:color="auto" w:fill="auto"/>
          </w:tcPr>
          <w:p w14:paraId="7DF96585" w14:textId="77777777" w:rsidR="005D1CF0" w:rsidRPr="009960E1" w:rsidRDefault="005D1CF0" w:rsidP="005D1CF0">
            <w:pPr>
              <w:pStyle w:val="Tabletext"/>
              <w:jc w:val="center"/>
              <w:rPr>
                <w:lang w:val="es-ES_tradnl"/>
              </w:rPr>
            </w:pPr>
            <w:r w:rsidRPr="009960E1">
              <w:rPr>
                <w:lang w:val="es-ES_tradnl"/>
              </w:rPr>
              <w:t>TAP</w:t>
            </w:r>
          </w:p>
        </w:tc>
        <w:tc>
          <w:tcPr>
            <w:tcW w:w="3525" w:type="dxa"/>
            <w:shd w:val="clear" w:color="auto" w:fill="auto"/>
          </w:tcPr>
          <w:p w14:paraId="63B891BB" w14:textId="77777777" w:rsidR="005D1CF0" w:rsidRPr="009960E1" w:rsidRDefault="005D1CF0" w:rsidP="005D1CF0">
            <w:pPr>
              <w:pStyle w:val="Tabletext"/>
              <w:rPr>
                <w:lang w:val="es-ES_tradnl"/>
              </w:rPr>
            </w:pPr>
            <w:r w:rsidRPr="009960E1">
              <w:rPr>
                <w:lang w:val="es-ES_tradnl"/>
              </w:rPr>
              <w:t>Colaboración e intercambio de información con otras organizaciones</w:t>
            </w:r>
          </w:p>
        </w:tc>
      </w:tr>
    </w:tbl>
    <w:p w14:paraId="4A30C14A" w14:textId="4539A604" w:rsidR="00CF0CB0" w:rsidRPr="009960E1" w:rsidRDefault="00CF0CB0" w:rsidP="005D1CF0">
      <w:pPr>
        <w:pStyle w:val="TableNotitle"/>
        <w:rPr>
          <w:lang w:val="es-ES_tradnl"/>
        </w:rPr>
      </w:pPr>
      <w:r w:rsidRPr="009960E1">
        <w:rPr>
          <w:b w:val="0"/>
          <w:bCs/>
          <w:lang w:val="es-ES_tradnl"/>
        </w:rPr>
        <w:t>CUADRO 9</w:t>
      </w:r>
      <w:r w:rsidRPr="009960E1">
        <w:rPr>
          <w:b w:val="0"/>
          <w:bCs/>
          <w:lang w:val="es-ES_tradnl"/>
        </w:rPr>
        <w:br/>
      </w:r>
      <w:r w:rsidRPr="009960E1">
        <w:rPr>
          <w:lang w:val="es-ES_tradnl"/>
        </w:rPr>
        <w:t xml:space="preserve">GANT </w:t>
      </w:r>
      <w:r w:rsidR="005D1CF0" w:rsidRPr="009960E1">
        <w:rPr>
          <w:lang w:val="es-ES_tradnl"/>
        </w:rPr>
        <w:t xml:space="preserve">– </w:t>
      </w:r>
      <w:r w:rsidRPr="009960E1">
        <w:rPr>
          <w:lang w:val="es-ES_tradnl"/>
        </w:rPr>
        <w:t>Recomendaciones en proceso de aprobación en la fecha</w:t>
      </w:r>
      <w:r w:rsidR="005D1CF0" w:rsidRPr="009960E1">
        <w:rPr>
          <w:lang w:val="es-ES_tradnl"/>
        </w:rPr>
        <w:br/>
      </w:r>
      <w:r w:rsidRPr="009960E1">
        <w:rPr>
          <w:lang w:val="es-ES_tradnl"/>
        </w:rPr>
        <w:t>de publicación del presente informe</w:t>
      </w:r>
    </w:p>
    <w:tbl>
      <w:tblPr>
        <w:tblStyle w:val="TableGrid"/>
        <w:tblW w:w="9667"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774"/>
        <w:gridCol w:w="1276"/>
        <w:gridCol w:w="4720"/>
      </w:tblGrid>
      <w:tr w:rsidR="00CF0CB0" w:rsidRPr="009960E1" w14:paraId="189FC4C6" w14:textId="77777777" w:rsidTr="00650DE1">
        <w:trPr>
          <w:tblHeader/>
          <w:jc w:val="center"/>
        </w:trPr>
        <w:tc>
          <w:tcPr>
            <w:tcW w:w="1897" w:type="dxa"/>
            <w:tcBorders>
              <w:top w:val="single" w:sz="12" w:space="0" w:color="auto"/>
              <w:bottom w:val="single" w:sz="12" w:space="0" w:color="auto"/>
            </w:tcBorders>
            <w:shd w:val="clear" w:color="auto" w:fill="auto"/>
          </w:tcPr>
          <w:p w14:paraId="4B7405C7" w14:textId="77777777" w:rsidR="00CF0CB0" w:rsidRPr="009960E1" w:rsidRDefault="00CF0CB0" w:rsidP="00F27F0E">
            <w:pPr>
              <w:pStyle w:val="Tablehead"/>
              <w:rPr>
                <w:lang w:val="es-ES_tradnl"/>
              </w:rPr>
            </w:pPr>
            <w:r w:rsidRPr="009960E1">
              <w:rPr>
                <w:bCs/>
                <w:lang w:val="es-ES_tradnl"/>
              </w:rPr>
              <w:t>Recomendación</w:t>
            </w:r>
          </w:p>
        </w:tc>
        <w:tc>
          <w:tcPr>
            <w:tcW w:w="1774" w:type="dxa"/>
            <w:tcBorders>
              <w:top w:val="single" w:sz="12" w:space="0" w:color="auto"/>
              <w:bottom w:val="single" w:sz="12" w:space="0" w:color="auto"/>
            </w:tcBorders>
            <w:shd w:val="clear" w:color="auto" w:fill="auto"/>
          </w:tcPr>
          <w:p w14:paraId="3D0E9197" w14:textId="7BC77795" w:rsidR="00CF0CB0" w:rsidRPr="009960E1" w:rsidRDefault="00CF0CB0" w:rsidP="00F27F0E">
            <w:pPr>
              <w:pStyle w:val="Tablehead"/>
              <w:rPr>
                <w:lang w:val="es-ES_tradnl"/>
              </w:rPr>
            </w:pPr>
            <w:r w:rsidRPr="009960E1">
              <w:rPr>
                <w:bCs/>
                <w:lang w:val="es-ES_tradnl"/>
              </w:rPr>
              <w:t>Consentimiento/</w:t>
            </w:r>
            <w:r w:rsidR="00650DE1">
              <w:rPr>
                <w:bCs/>
                <w:lang w:val="es-ES_tradnl"/>
              </w:rPr>
              <w:t>D</w:t>
            </w:r>
            <w:r w:rsidRPr="009960E1">
              <w:rPr>
                <w:bCs/>
                <w:lang w:val="es-ES_tradnl"/>
              </w:rPr>
              <w:t>eterminación</w:t>
            </w:r>
          </w:p>
        </w:tc>
        <w:tc>
          <w:tcPr>
            <w:tcW w:w="1276" w:type="dxa"/>
            <w:tcBorders>
              <w:top w:val="single" w:sz="12" w:space="0" w:color="auto"/>
              <w:bottom w:val="single" w:sz="12" w:space="0" w:color="auto"/>
            </w:tcBorders>
            <w:shd w:val="clear" w:color="auto" w:fill="auto"/>
          </w:tcPr>
          <w:p w14:paraId="72F40FB7" w14:textId="77777777" w:rsidR="00CF0CB0" w:rsidRPr="009960E1" w:rsidRDefault="00CF0CB0" w:rsidP="00F27F0E">
            <w:pPr>
              <w:pStyle w:val="Tablehead"/>
              <w:rPr>
                <w:lang w:val="es-ES_tradnl"/>
              </w:rPr>
            </w:pPr>
            <w:r w:rsidRPr="009960E1">
              <w:rPr>
                <w:bCs/>
                <w:lang w:val="es-ES_tradnl"/>
              </w:rPr>
              <w:t>TAP/AAP</w:t>
            </w:r>
          </w:p>
        </w:tc>
        <w:tc>
          <w:tcPr>
            <w:tcW w:w="4720" w:type="dxa"/>
            <w:tcBorders>
              <w:top w:val="single" w:sz="12" w:space="0" w:color="auto"/>
              <w:bottom w:val="single" w:sz="12" w:space="0" w:color="auto"/>
            </w:tcBorders>
            <w:shd w:val="clear" w:color="auto" w:fill="auto"/>
          </w:tcPr>
          <w:p w14:paraId="180BD2B9" w14:textId="77777777" w:rsidR="00CF0CB0" w:rsidRPr="009960E1" w:rsidRDefault="00CF0CB0" w:rsidP="00F27F0E">
            <w:pPr>
              <w:pStyle w:val="Tablehead"/>
              <w:rPr>
                <w:lang w:val="es-ES_tradnl"/>
              </w:rPr>
            </w:pPr>
            <w:r w:rsidRPr="009960E1">
              <w:rPr>
                <w:bCs/>
                <w:lang w:val="es-ES_tradnl"/>
              </w:rPr>
              <w:t>Título</w:t>
            </w:r>
          </w:p>
        </w:tc>
      </w:tr>
      <w:tr w:rsidR="00CF0CB0" w:rsidRPr="009960E1" w14:paraId="386BBB6E" w14:textId="77777777" w:rsidTr="00650DE1">
        <w:trPr>
          <w:jc w:val="center"/>
        </w:trPr>
        <w:tc>
          <w:tcPr>
            <w:tcW w:w="1897" w:type="dxa"/>
            <w:tcBorders>
              <w:top w:val="single" w:sz="12" w:space="0" w:color="auto"/>
              <w:bottom w:val="single" w:sz="12" w:space="0" w:color="auto"/>
              <w:right w:val="nil"/>
            </w:tcBorders>
            <w:shd w:val="clear" w:color="auto" w:fill="auto"/>
          </w:tcPr>
          <w:p w14:paraId="444C90EF" w14:textId="77777777" w:rsidR="00CF0CB0" w:rsidRPr="009960E1" w:rsidRDefault="00CF0CB0" w:rsidP="00F27F0E">
            <w:pPr>
              <w:pStyle w:val="Tabletext"/>
              <w:rPr>
                <w:lang w:val="es-ES_tradnl"/>
              </w:rPr>
            </w:pPr>
            <w:r w:rsidRPr="009960E1">
              <w:rPr>
                <w:lang w:val="es-ES_tradnl"/>
              </w:rPr>
              <w:t>Ninguna.</w:t>
            </w:r>
          </w:p>
        </w:tc>
        <w:tc>
          <w:tcPr>
            <w:tcW w:w="1774" w:type="dxa"/>
            <w:tcBorders>
              <w:top w:val="single" w:sz="12" w:space="0" w:color="auto"/>
              <w:left w:val="nil"/>
              <w:bottom w:val="single" w:sz="12" w:space="0" w:color="auto"/>
              <w:right w:val="nil"/>
            </w:tcBorders>
            <w:shd w:val="clear" w:color="auto" w:fill="auto"/>
          </w:tcPr>
          <w:p w14:paraId="4860F2B8" w14:textId="77777777" w:rsidR="00CF0CB0" w:rsidRPr="009960E1" w:rsidRDefault="00CF0CB0" w:rsidP="00F27F0E">
            <w:pPr>
              <w:pStyle w:val="Tabletext"/>
              <w:rPr>
                <w:lang w:val="es-ES_tradnl"/>
              </w:rPr>
            </w:pPr>
          </w:p>
        </w:tc>
        <w:tc>
          <w:tcPr>
            <w:tcW w:w="1276" w:type="dxa"/>
            <w:tcBorders>
              <w:top w:val="single" w:sz="12" w:space="0" w:color="auto"/>
              <w:left w:val="nil"/>
              <w:bottom w:val="single" w:sz="12" w:space="0" w:color="auto"/>
              <w:right w:val="nil"/>
            </w:tcBorders>
            <w:shd w:val="clear" w:color="auto" w:fill="auto"/>
          </w:tcPr>
          <w:p w14:paraId="4A4C6B23" w14:textId="77777777" w:rsidR="00CF0CB0" w:rsidRPr="009960E1" w:rsidRDefault="00CF0CB0" w:rsidP="00F27F0E">
            <w:pPr>
              <w:pStyle w:val="Tabletext"/>
              <w:rPr>
                <w:lang w:val="es-ES_tradnl"/>
              </w:rPr>
            </w:pPr>
          </w:p>
        </w:tc>
        <w:tc>
          <w:tcPr>
            <w:tcW w:w="4720" w:type="dxa"/>
            <w:tcBorders>
              <w:top w:val="single" w:sz="12" w:space="0" w:color="auto"/>
              <w:left w:val="nil"/>
              <w:bottom w:val="single" w:sz="12" w:space="0" w:color="auto"/>
            </w:tcBorders>
            <w:shd w:val="clear" w:color="auto" w:fill="auto"/>
          </w:tcPr>
          <w:p w14:paraId="70B705F0" w14:textId="77777777" w:rsidR="00CF0CB0" w:rsidRPr="009960E1" w:rsidRDefault="00CF0CB0" w:rsidP="00F27F0E">
            <w:pPr>
              <w:pStyle w:val="Tabletext"/>
              <w:rPr>
                <w:lang w:val="es-ES_tradnl"/>
              </w:rPr>
            </w:pPr>
          </w:p>
        </w:tc>
      </w:tr>
    </w:tbl>
    <w:p w14:paraId="18022C87" w14:textId="77777777" w:rsidR="00CF0CB0" w:rsidRPr="009960E1" w:rsidRDefault="00CF0CB0" w:rsidP="00822410">
      <w:pPr>
        <w:pStyle w:val="TableNotitle"/>
        <w:rPr>
          <w:lang w:val="es-ES_tradnl"/>
        </w:rPr>
      </w:pPr>
      <w:r w:rsidRPr="009960E1">
        <w:rPr>
          <w:b w:val="0"/>
          <w:bCs/>
          <w:lang w:val="es-ES_tradnl"/>
        </w:rPr>
        <w:t>CUADRO 10</w:t>
      </w:r>
      <w:r w:rsidRPr="009960E1">
        <w:rPr>
          <w:lang w:val="es-ES_tradnl"/>
        </w:rPr>
        <w:br/>
        <w:t>GANT – Recomendaciones suprimidas durante el periodo de estudios</w:t>
      </w:r>
    </w:p>
    <w:tbl>
      <w:tblPr>
        <w:tblStyle w:val="TableGrid"/>
        <w:tblW w:w="9747"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1701"/>
        <w:gridCol w:w="2126"/>
        <w:gridCol w:w="4092"/>
      </w:tblGrid>
      <w:tr w:rsidR="00CF0CB0" w:rsidRPr="009960E1" w14:paraId="70E5851A" w14:textId="77777777" w:rsidTr="00822410">
        <w:trPr>
          <w:tblHeader/>
          <w:jc w:val="center"/>
        </w:trPr>
        <w:tc>
          <w:tcPr>
            <w:tcW w:w="1828" w:type="dxa"/>
            <w:tcBorders>
              <w:top w:val="single" w:sz="12" w:space="0" w:color="auto"/>
              <w:bottom w:val="single" w:sz="12" w:space="0" w:color="auto"/>
            </w:tcBorders>
            <w:shd w:val="clear" w:color="auto" w:fill="auto"/>
            <w:tcMar>
              <w:left w:w="85" w:type="dxa"/>
              <w:right w:w="85" w:type="dxa"/>
            </w:tcMar>
          </w:tcPr>
          <w:p w14:paraId="2672E80C" w14:textId="77777777" w:rsidR="00CF0CB0" w:rsidRPr="009960E1" w:rsidRDefault="00CF0CB0" w:rsidP="00F27F0E">
            <w:pPr>
              <w:pStyle w:val="Tablehead"/>
              <w:rPr>
                <w:lang w:val="es-ES_tradnl"/>
              </w:rPr>
            </w:pPr>
            <w:r w:rsidRPr="009960E1">
              <w:rPr>
                <w:bCs/>
                <w:lang w:val="es-ES_tradnl"/>
              </w:rPr>
              <w:t>Recomendación</w:t>
            </w:r>
          </w:p>
        </w:tc>
        <w:tc>
          <w:tcPr>
            <w:tcW w:w="1701" w:type="dxa"/>
            <w:tcBorders>
              <w:top w:val="single" w:sz="12" w:space="0" w:color="auto"/>
              <w:bottom w:val="single" w:sz="12" w:space="0" w:color="auto"/>
            </w:tcBorders>
            <w:shd w:val="clear" w:color="auto" w:fill="auto"/>
            <w:tcMar>
              <w:left w:w="85" w:type="dxa"/>
              <w:right w:w="85" w:type="dxa"/>
            </w:tcMar>
          </w:tcPr>
          <w:p w14:paraId="213CE642" w14:textId="77777777" w:rsidR="00CF0CB0" w:rsidRPr="009960E1" w:rsidRDefault="00CF0CB0" w:rsidP="00F27F0E">
            <w:pPr>
              <w:pStyle w:val="Tablehead"/>
              <w:rPr>
                <w:lang w:val="es-ES_tradnl"/>
              </w:rPr>
            </w:pPr>
            <w:r w:rsidRPr="009960E1">
              <w:rPr>
                <w:bCs/>
                <w:lang w:val="es-ES_tradnl"/>
              </w:rPr>
              <w:t>Última versión</w:t>
            </w:r>
          </w:p>
        </w:tc>
        <w:tc>
          <w:tcPr>
            <w:tcW w:w="2126" w:type="dxa"/>
            <w:tcBorders>
              <w:top w:val="single" w:sz="12" w:space="0" w:color="auto"/>
              <w:bottom w:val="single" w:sz="12" w:space="0" w:color="auto"/>
            </w:tcBorders>
            <w:shd w:val="clear" w:color="auto" w:fill="auto"/>
            <w:tcMar>
              <w:left w:w="85" w:type="dxa"/>
              <w:right w:w="85" w:type="dxa"/>
            </w:tcMar>
          </w:tcPr>
          <w:p w14:paraId="385A39E9" w14:textId="77777777" w:rsidR="00CF0CB0" w:rsidRPr="009960E1" w:rsidRDefault="00CF0CB0" w:rsidP="00F27F0E">
            <w:pPr>
              <w:pStyle w:val="Tablehead"/>
              <w:rPr>
                <w:lang w:val="es-ES_tradnl"/>
              </w:rPr>
            </w:pPr>
            <w:r w:rsidRPr="009960E1">
              <w:rPr>
                <w:bCs/>
                <w:lang w:val="es-ES_tradnl"/>
              </w:rPr>
              <w:t>Fecha de supresión</w:t>
            </w:r>
          </w:p>
        </w:tc>
        <w:tc>
          <w:tcPr>
            <w:tcW w:w="4092" w:type="dxa"/>
            <w:tcBorders>
              <w:top w:val="single" w:sz="12" w:space="0" w:color="auto"/>
              <w:bottom w:val="single" w:sz="12" w:space="0" w:color="auto"/>
            </w:tcBorders>
            <w:shd w:val="clear" w:color="auto" w:fill="auto"/>
            <w:tcMar>
              <w:left w:w="85" w:type="dxa"/>
              <w:right w:w="85" w:type="dxa"/>
            </w:tcMar>
          </w:tcPr>
          <w:p w14:paraId="786C6181" w14:textId="77777777" w:rsidR="00CF0CB0" w:rsidRPr="009960E1" w:rsidRDefault="00CF0CB0" w:rsidP="00F27F0E">
            <w:pPr>
              <w:pStyle w:val="Tablehead"/>
              <w:rPr>
                <w:lang w:val="es-ES_tradnl"/>
              </w:rPr>
            </w:pPr>
            <w:r w:rsidRPr="009960E1">
              <w:rPr>
                <w:bCs/>
                <w:lang w:val="es-ES_tradnl"/>
              </w:rPr>
              <w:t>Título</w:t>
            </w:r>
          </w:p>
        </w:tc>
      </w:tr>
      <w:tr w:rsidR="00CF0CB0" w:rsidRPr="00A7143D" w14:paraId="352972DF" w14:textId="77777777" w:rsidTr="00822410">
        <w:trPr>
          <w:jc w:val="center"/>
        </w:trPr>
        <w:tc>
          <w:tcPr>
            <w:tcW w:w="1828" w:type="dxa"/>
            <w:tcBorders>
              <w:top w:val="single" w:sz="12" w:space="0" w:color="auto"/>
            </w:tcBorders>
            <w:shd w:val="clear" w:color="auto" w:fill="auto"/>
            <w:tcMar>
              <w:left w:w="85" w:type="dxa"/>
              <w:right w:w="85" w:type="dxa"/>
            </w:tcMar>
          </w:tcPr>
          <w:p w14:paraId="30301E5F" w14:textId="77777777" w:rsidR="00CF0CB0" w:rsidRPr="009960E1" w:rsidRDefault="00CF0CB0" w:rsidP="00F27F0E">
            <w:pPr>
              <w:pStyle w:val="Tabletext"/>
              <w:rPr>
                <w:lang w:val="es-ES_tradnl"/>
              </w:rPr>
            </w:pPr>
            <w:r w:rsidRPr="009960E1">
              <w:rPr>
                <w:lang w:val="es-ES_tradnl"/>
              </w:rPr>
              <w:t>A.4</w:t>
            </w:r>
          </w:p>
        </w:tc>
        <w:tc>
          <w:tcPr>
            <w:tcW w:w="1701" w:type="dxa"/>
            <w:tcBorders>
              <w:top w:val="single" w:sz="12" w:space="0" w:color="auto"/>
            </w:tcBorders>
            <w:shd w:val="clear" w:color="auto" w:fill="auto"/>
            <w:tcMar>
              <w:left w:w="85" w:type="dxa"/>
              <w:right w:w="85" w:type="dxa"/>
            </w:tcMar>
          </w:tcPr>
          <w:p w14:paraId="4109F9F4" w14:textId="77777777" w:rsidR="00CF0CB0" w:rsidRPr="009960E1" w:rsidRDefault="00CF0CB0" w:rsidP="00F27F0E">
            <w:pPr>
              <w:pStyle w:val="Tabletext"/>
              <w:jc w:val="center"/>
              <w:rPr>
                <w:lang w:val="es-ES_tradnl"/>
              </w:rPr>
            </w:pPr>
            <w:r w:rsidRPr="009960E1">
              <w:rPr>
                <w:lang w:val="es-ES_tradnl"/>
              </w:rPr>
              <w:t>2012</w:t>
            </w:r>
          </w:p>
        </w:tc>
        <w:tc>
          <w:tcPr>
            <w:tcW w:w="2126" w:type="dxa"/>
            <w:tcBorders>
              <w:top w:val="single" w:sz="12" w:space="0" w:color="auto"/>
            </w:tcBorders>
            <w:shd w:val="clear" w:color="auto" w:fill="auto"/>
            <w:tcMar>
              <w:left w:w="85" w:type="dxa"/>
              <w:right w:w="85" w:type="dxa"/>
            </w:tcMar>
          </w:tcPr>
          <w:p w14:paraId="36C6DE82" w14:textId="27FF2C86" w:rsidR="00CF0CB0" w:rsidRPr="009960E1" w:rsidRDefault="00822410" w:rsidP="00F27F0E">
            <w:pPr>
              <w:pStyle w:val="Tabletext"/>
              <w:jc w:val="center"/>
              <w:rPr>
                <w:lang w:val="es-ES_tradnl"/>
              </w:rPr>
            </w:pPr>
            <w:r w:rsidRPr="009960E1">
              <w:rPr>
                <w:lang w:val="es-ES_tradnl"/>
              </w:rPr>
              <w:t>2</w:t>
            </w:r>
            <w:r w:rsidR="00650DE1">
              <w:rPr>
                <w:lang w:val="es-ES_tradnl"/>
              </w:rPr>
              <w:t>/</w:t>
            </w:r>
            <w:r w:rsidRPr="009960E1">
              <w:rPr>
                <w:lang w:val="es-ES_tradnl"/>
              </w:rPr>
              <w:t>08</w:t>
            </w:r>
            <w:r w:rsidR="00650DE1">
              <w:rPr>
                <w:lang w:val="es-ES_tradnl"/>
              </w:rPr>
              <w:t>/</w:t>
            </w:r>
            <w:r w:rsidR="00CF0CB0" w:rsidRPr="009960E1">
              <w:rPr>
                <w:lang w:val="es-ES_tradnl"/>
              </w:rPr>
              <w:t>2024</w:t>
            </w:r>
          </w:p>
        </w:tc>
        <w:tc>
          <w:tcPr>
            <w:tcW w:w="4092" w:type="dxa"/>
            <w:tcBorders>
              <w:top w:val="single" w:sz="12" w:space="0" w:color="auto"/>
            </w:tcBorders>
            <w:shd w:val="clear" w:color="auto" w:fill="auto"/>
            <w:tcMar>
              <w:left w:w="85" w:type="dxa"/>
              <w:right w:w="85" w:type="dxa"/>
            </w:tcMar>
          </w:tcPr>
          <w:p w14:paraId="0652E50A" w14:textId="77777777" w:rsidR="00CF0CB0" w:rsidRPr="009960E1" w:rsidRDefault="00CF0CB0" w:rsidP="00F27F0E">
            <w:pPr>
              <w:pStyle w:val="Tabletext"/>
              <w:rPr>
                <w:lang w:val="es-ES_tradnl"/>
              </w:rPr>
            </w:pPr>
            <w:r w:rsidRPr="009960E1">
              <w:rPr>
                <w:lang w:val="es-ES_tradnl"/>
              </w:rPr>
              <w:t>Proceso de comunicación entre el Sector de Normalización de las Telecomunicaciones de la UIT y foros y consorcios</w:t>
            </w:r>
          </w:p>
        </w:tc>
      </w:tr>
      <w:tr w:rsidR="00CF0CB0" w:rsidRPr="00A7143D" w14:paraId="57EBAF7F" w14:textId="77777777" w:rsidTr="00822410">
        <w:trPr>
          <w:jc w:val="center"/>
        </w:trPr>
        <w:tc>
          <w:tcPr>
            <w:tcW w:w="1828" w:type="dxa"/>
            <w:shd w:val="clear" w:color="auto" w:fill="auto"/>
            <w:tcMar>
              <w:left w:w="85" w:type="dxa"/>
              <w:right w:w="85" w:type="dxa"/>
            </w:tcMar>
          </w:tcPr>
          <w:p w14:paraId="12289E5F" w14:textId="77777777" w:rsidR="00CF0CB0" w:rsidRPr="009960E1" w:rsidRDefault="00CF0CB0" w:rsidP="00F27F0E">
            <w:pPr>
              <w:pStyle w:val="Tabletext"/>
              <w:rPr>
                <w:lang w:val="es-ES_tradnl"/>
              </w:rPr>
            </w:pPr>
            <w:r w:rsidRPr="009960E1">
              <w:rPr>
                <w:lang w:val="es-ES_tradnl"/>
              </w:rPr>
              <w:lastRenderedPageBreak/>
              <w:t>A.6</w:t>
            </w:r>
          </w:p>
        </w:tc>
        <w:tc>
          <w:tcPr>
            <w:tcW w:w="1701" w:type="dxa"/>
            <w:shd w:val="clear" w:color="auto" w:fill="auto"/>
            <w:tcMar>
              <w:left w:w="85" w:type="dxa"/>
              <w:right w:w="85" w:type="dxa"/>
            </w:tcMar>
          </w:tcPr>
          <w:p w14:paraId="3B504F52" w14:textId="77777777" w:rsidR="00CF0CB0" w:rsidRPr="009960E1" w:rsidRDefault="00CF0CB0" w:rsidP="00F27F0E">
            <w:pPr>
              <w:pStyle w:val="Tabletext"/>
              <w:jc w:val="center"/>
              <w:rPr>
                <w:lang w:val="es-ES_tradnl"/>
              </w:rPr>
            </w:pPr>
            <w:r w:rsidRPr="009960E1">
              <w:rPr>
                <w:lang w:val="es-ES_tradnl"/>
              </w:rPr>
              <w:t>2012</w:t>
            </w:r>
          </w:p>
        </w:tc>
        <w:tc>
          <w:tcPr>
            <w:tcW w:w="2126" w:type="dxa"/>
            <w:shd w:val="clear" w:color="auto" w:fill="auto"/>
            <w:tcMar>
              <w:left w:w="85" w:type="dxa"/>
              <w:right w:w="85" w:type="dxa"/>
            </w:tcMar>
          </w:tcPr>
          <w:p w14:paraId="12FFC818" w14:textId="7FF134FD" w:rsidR="00CF0CB0" w:rsidRPr="009960E1" w:rsidRDefault="00822410" w:rsidP="00F27F0E">
            <w:pPr>
              <w:pStyle w:val="Tabletext"/>
              <w:jc w:val="center"/>
              <w:rPr>
                <w:lang w:val="es-ES_tradnl"/>
              </w:rPr>
            </w:pPr>
            <w:r w:rsidRPr="009960E1">
              <w:rPr>
                <w:lang w:val="es-ES_tradnl"/>
              </w:rPr>
              <w:t>2</w:t>
            </w:r>
            <w:r w:rsidR="00650DE1">
              <w:rPr>
                <w:lang w:val="es-ES_tradnl"/>
              </w:rPr>
              <w:t>/</w:t>
            </w:r>
            <w:r w:rsidRPr="009960E1">
              <w:rPr>
                <w:lang w:val="es-ES_tradnl"/>
              </w:rPr>
              <w:t>08</w:t>
            </w:r>
            <w:r w:rsidR="00650DE1">
              <w:rPr>
                <w:lang w:val="es-ES_tradnl"/>
              </w:rPr>
              <w:t>/</w:t>
            </w:r>
            <w:r w:rsidRPr="009960E1">
              <w:rPr>
                <w:lang w:val="es-ES_tradnl"/>
              </w:rPr>
              <w:t>2024</w:t>
            </w:r>
          </w:p>
        </w:tc>
        <w:tc>
          <w:tcPr>
            <w:tcW w:w="4092" w:type="dxa"/>
            <w:shd w:val="clear" w:color="auto" w:fill="auto"/>
            <w:tcMar>
              <w:left w:w="85" w:type="dxa"/>
              <w:right w:w="85" w:type="dxa"/>
            </w:tcMar>
          </w:tcPr>
          <w:p w14:paraId="79AC093F" w14:textId="77777777" w:rsidR="00CF0CB0" w:rsidRPr="009960E1" w:rsidRDefault="00CF0CB0" w:rsidP="00F27F0E">
            <w:pPr>
              <w:pStyle w:val="Tabletext"/>
              <w:rPr>
                <w:lang w:val="es-ES_tradnl"/>
              </w:rPr>
            </w:pPr>
            <w:r w:rsidRPr="009960E1">
              <w:rPr>
                <w:lang w:val="es-ES_tradnl"/>
              </w:rPr>
              <w:t>Cooperación e intercambio de información entre el Sector de Normalización de las Telecomunicaciones de la UIT y las organizaciones de normalización nacionales y regionales</w:t>
            </w:r>
          </w:p>
        </w:tc>
      </w:tr>
    </w:tbl>
    <w:p w14:paraId="07B86D7D" w14:textId="6A3C3DEA" w:rsidR="00CF0CB0" w:rsidRPr="009960E1" w:rsidRDefault="00CF0CB0" w:rsidP="00822410">
      <w:pPr>
        <w:pStyle w:val="TableNotitle"/>
        <w:rPr>
          <w:lang w:val="es-ES_tradnl"/>
        </w:rPr>
      </w:pPr>
      <w:r w:rsidRPr="009960E1">
        <w:rPr>
          <w:b w:val="0"/>
          <w:bCs/>
          <w:lang w:val="es-ES_tradnl"/>
        </w:rPr>
        <w:t>CUADRO 11</w:t>
      </w:r>
      <w:r w:rsidRPr="009960E1">
        <w:rPr>
          <w:lang w:val="es-ES_tradnl"/>
        </w:rPr>
        <w:br/>
        <w:t>GANT</w:t>
      </w:r>
      <w:r w:rsidR="009948E5" w:rsidRPr="009960E1">
        <w:rPr>
          <w:lang w:val="es-ES_tradnl"/>
        </w:rPr>
        <w:t xml:space="preserve"> </w:t>
      </w:r>
      <w:r w:rsidRPr="009960E1">
        <w:rPr>
          <w:lang w:val="es-ES_tradnl"/>
        </w:rPr>
        <w:t>– Recomendaciones presentadas a la AMNT-24</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349"/>
        <w:gridCol w:w="4517"/>
        <w:gridCol w:w="1984"/>
      </w:tblGrid>
      <w:tr w:rsidR="00CF0CB0" w:rsidRPr="009960E1" w14:paraId="2D01B5E2" w14:textId="77777777" w:rsidTr="00822410">
        <w:trPr>
          <w:tblHeader/>
          <w:jc w:val="center"/>
        </w:trPr>
        <w:tc>
          <w:tcPr>
            <w:tcW w:w="1897" w:type="dxa"/>
            <w:tcBorders>
              <w:top w:val="single" w:sz="12" w:space="0" w:color="auto"/>
              <w:bottom w:val="single" w:sz="12" w:space="0" w:color="auto"/>
            </w:tcBorders>
            <w:shd w:val="clear" w:color="auto" w:fill="auto"/>
            <w:vAlign w:val="center"/>
          </w:tcPr>
          <w:p w14:paraId="494CF96D" w14:textId="77777777" w:rsidR="00CF0CB0" w:rsidRPr="009960E1" w:rsidRDefault="00CF0CB0" w:rsidP="00F27F0E">
            <w:pPr>
              <w:pStyle w:val="Tablehead"/>
              <w:rPr>
                <w:lang w:val="es-ES_tradnl"/>
              </w:rPr>
            </w:pPr>
            <w:r w:rsidRPr="009960E1">
              <w:rPr>
                <w:bCs/>
                <w:lang w:val="es-ES_tradnl"/>
              </w:rPr>
              <w:t>Recomendación</w:t>
            </w:r>
          </w:p>
        </w:tc>
        <w:tc>
          <w:tcPr>
            <w:tcW w:w="1349" w:type="dxa"/>
            <w:tcBorders>
              <w:top w:val="single" w:sz="12" w:space="0" w:color="auto"/>
              <w:bottom w:val="single" w:sz="12" w:space="0" w:color="auto"/>
            </w:tcBorders>
            <w:shd w:val="clear" w:color="auto" w:fill="auto"/>
            <w:vAlign w:val="center"/>
          </w:tcPr>
          <w:p w14:paraId="29099A19" w14:textId="77777777" w:rsidR="00CF0CB0" w:rsidRPr="009960E1" w:rsidRDefault="00CF0CB0" w:rsidP="00F27F0E">
            <w:pPr>
              <w:pStyle w:val="Tablehead"/>
              <w:rPr>
                <w:lang w:val="es-ES_tradnl"/>
              </w:rPr>
            </w:pPr>
            <w:r w:rsidRPr="009960E1">
              <w:rPr>
                <w:bCs/>
                <w:lang w:val="es-ES_tradnl"/>
              </w:rPr>
              <w:t>Propuesta</w:t>
            </w:r>
          </w:p>
        </w:tc>
        <w:tc>
          <w:tcPr>
            <w:tcW w:w="4517" w:type="dxa"/>
            <w:tcBorders>
              <w:top w:val="single" w:sz="12" w:space="0" w:color="auto"/>
              <w:bottom w:val="single" w:sz="12" w:space="0" w:color="auto"/>
            </w:tcBorders>
            <w:shd w:val="clear" w:color="auto" w:fill="auto"/>
            <w:vAlign w:val="center"/>
          </w:tcPr>
          <w:p w14:paraId="70698034" w14:textId="77777777" w:rsidR="00CF0CB0" w:rsidRPr="009960E1" w:rsidRDefault="00CF0CB0" w:rsidP="00F27F0E">
            <w:pPr>
              <w:pStyle w:val="Tablehead"/>
              <w:rPr>
                <w:lang w:val="es-ES_tradnl"/>
              </w:rPr>
            </w:pPr>
            <w:r w:rsidRPr="009960E1">
              <w:rPr>
                <w:bCs/>
                <w:lang w:val="es-ES_tradnl"/>
              </w:rPr>
              <w:t>Título</w:t>
            </w:r>
          </w:p>
        </w:tc>
        <w:tc>
          <w:tcPr>
            <w:tcW w:w="1984" w:type="dxa"/>
            <w:tcBorders>
              <w:top w:val="single" w:sz="12" w:space="0" w:color="auto"/>
              <w:bottom w:val="single" w:sz="12" w:space="0" w:color="auto"/>
            </w:tcBorders>
            <w:shd w:val="clear" w:color="auto" w:fill="auto"/>
            <w:vAlign w:val="center"/>
          </w:tcPr>
          <w:p w14:paraId="1A6843E7" w14:textId="77777777" w:rsidR="00CF0CB0" w:rsidRPr="009960E1" w:rsidRDefault="00CF0CB0" w:rsidP="00F27F0E">
            <w:pPr>
              <w:pStyle w:val="Tablehead"/>
              <w:rPr>
                <w:lang w:val="es-ES_tradnl"/>
              </w:rPr>
            </w:pPr>
            <w:r w:rsidRPr="009960E1">
              <w:rPr>
                <w:bCs/>
                <w:lang w:val="es-ES_tradnl"/>
              </w:rPr>
              <w:t>Referencia</w:t>
            </w:r>
          </w:p>
        </w:tc>
      </w:tr>
      <w:tr w:rsidR="00CF0CB0" w:rsidRPr="009960E1" w14:paraId="411C11AB" w14:textId="77777777" w:rsidTr="00822410">
        <w:trPr>
          <w:jc w:val="center"/>
        </w:trPr>
        <w:tc>
          <w:tcPr>
            <w:tcW w:w="1897" w:type="dxa"/>
            <w:tcBorders>
              <w:top w:val="single" w:sz="12" w:space="0" w:color="auto"/>
              <w:bottom w:val="single" w:sz="12" w:space="0" w:color="auto"/>
              <w:right w:val="nil"/>
            </w:tcBorders>
            <w:shd w:val="clear" w:color="auto" w:fill="auto"/>
          </w:tcPr>
          <w:p w14:paraId="35AB6516" w14:textId="77777777" w:rsidR="00CF0CB0" w:rsidRPr="009960E1" w:rsidRDefault="00CF0CB0" w:rsidP="00F27F0E">
            <w:pPr>
              <w:pStyle w:val="Tabletext"/>
              <w:rPr>
                <w:lang w:val="es-ES_tradnl"/>
              </w:rPr>
            </w:pPr>
            <w:r w:rsidRPr="009960E1">
              <w:rPr>
                <w:lang w:val="es-ES_tradnl"/>
              </w:rPr>
              <w:t>Ninguna.</w:t>
            </w:r>
          </w:p>
        </w:tc>
        <w:tc>
          <w:tcPr>
            <w:tcW w:w="1349" w:type="dxa"/>
            <w:tcBorders>
              <w:top w:val="single" w:sz="12" w:space="0" w:color="auto"/>
              <w:left w:val="nil"/>
              <w:bottom w:val="single" w:sz="12" w:space="0" w:color="auto"/>
              <w:right w:val="nil"/>
            </w:tcBorders>
            <w:shd w:val="clear" w:color="auto" w:fill="auto"/>
          </w:tcPr>
          <w:p w14:paraId="0B51C97F" w14:textId="77777777" w:rsidR="00CF0CB0" w:rsidRPr="009960E1" w:rsidRDefault="00CF0CB0" w:rsidP="00F27F0E">
            <w:pPr>
              <w:pStyle w:val="Tabletext"/>
              <w:rPr>
                <w:lang w:val="es-ES_tradnl"/>
              </w:rPr>
            </w:pPr>
          </w:p>
        </w:tc>
        <w:tc>
          <w:tcPr>
            <w:tcW w:w="4517" w:type="dxa"/>
            <w:tcBorders>
              <w:top w:val="single" w:sz="12" w:space="0" w:color="auto"/>
              <w:left w:val="nil"/>
              <w:bottom w:val="single" w:sz="12" w:space="0" w:color="auto"/>
              <w:right w:val="nil"/>
            </w:tcBorders>
            <w:shd w:val="clear" w:color="auto" w:fill="auto"/>
          </w:tcPr>
          <w:p w14:paraId="5BABD212" w14:textId="77777777" w:rsidR="00CF0CB0" w:rsidRPr="009960E1" w:rsidRDefault="00CF0CB0" w:rsidP="00F27F0E">
            <w:pPr>
              <w:pStyle w:val="Tabletext"/>
              <w:rPr>
                <w:lang w:val="es-ES_tradnl"/>
              </w:rPr>
            </w:pPr>
          </w:p>
        </w:tc>
        <w:tc>
          <w:tcPr>
            <w:tcW w:w="1984" w:type="dxa"/>
            <w:tcBorders>
              <w:top w:val="single" w:sz="12" w:space="0" w:color="auto"/>
              <w:left w:val="nil"/>
              <w:bottom w:val="single" w:sz="12" w:space="0" w:color="auto"/>
            </w:tcBorders>
            <w:shd w:val="clear" w:color="auto" w:fill="auto"/>
          </w:tcPr>
          <w:p w14:paraId="69A6DA92" w14:textId="77777777" w:rsidR="00CF0CB0" w:rsidRPr="009960E1" w:rsidRDefault="00CF0CB0" w:rsidP="00F27F0E">
            <w:pPr>
              <w:pStyle w:val="Tabletext"/>
              <w:rPr>
                <w:lang w:val="es-ES_tradnl"/>
              </w:rPr>
            </w:pPr>
          </w:p>
        </w:tc>
      </w:tr>
    </w:tbl>
    <w:p w14:paraId="6CDEA5E9" w14:textId="7F7AC86C" w:rsidR="00CF0CB0" w:rsidRPr="009960E1" w:rsidRDefault="00CF0CB0" w:rsidP="00822410">
      <w:pPr>
        <w:pStyle w:val="TableNotitle"/>
        <w:rPr>
          <w:lang w:val="es-ES_tradnl"/>
        </w:rPr>
      </w:pPr>
      <w:r w:rsidRPr="009960E1">
        <w:rPr>
          <w:b w:val="0"/>
          <w:bCs/>
          <w:lang w:val="es-ES_tradnl"/>
        </w:rPr>
        <w:t>CUADRO 12</w:t>
      </w:r>
      <w:r w:rsidRPr="009960E1">
        <w:rPr>
          <w:lang w:val="es-ES_tradnl"/>
        </w:rPr>
        <w:br/>
        <w:t xml:space="preserve">GANT </w:t>
      </w:r>
      <w:r w:rsidR="009948E5" w:rsidRPr="009960E1">
        <w:rPr>
          <w:lang w:val="es-ES_tradnl"/>
        </w:rPr>
        <w:t xml:space="preserve">– </w:t>
      </w:r>
      <w:r w:rsidRPr="009960E1">
        <w:rPr>
          <w:lang w:val="es-ES_tradnl"/>
        </w:rPr>
        <w:t>Suplementos</w:t>
      </w:r>
    </w:p>
    <w:tbl>
      <w:tblPr>
        <w:tblStyle w:val="TableGrid"/>
        <w:tblW w:w="9766"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1276"/>
        <w:gridCol w:w="1275"/>
        <w:gridCol w:w="5812"/>
      </w:tblGrid>
      <w:tr w:rsidR="00CF0CB0" w:rsidRPr="009960E1" w14:paraId="25B5860F" w14:textId="77777777" w:rsidTr="00822410">
        <w:trPr>
          <w:tblHeader/>
          <w:jc w:val="center"/>
        </w:trPr>
        <w:tc>
          <w:tcPr>
            <w:tcW w:w="1403" w:type="dxa"/>
            <w:tcBorders>
              <w:top w:val="single" w:sz="12" w:space="0" w:color="auto"/>
              <w:bottom w:val="single" w:sz="12" w:space="0" w:color="auto"/>
            </w:tcBorders>
            <w:shd w:val="clear" w:color="auto" w:fill="auto"/>
          </w:tcPr>
          <w:p w14:paraId="348FBEDA" w14:textId="77777777" w:rsidR="00CF0CB0" w:rsidRPr="009960E1" w:rsidRDefault="00CF0CB0" w:rsidP="00F27F0E">
            <w:pPr>
              <w:pStyle w:val="Tablehead"/>
              <w:rPr>
                <w:lang w:val="es-ES_tradnl"/>
              </w:rPr>
            </w:pPr>
            <w:r w:rsidRPr="009960E1">
              <w:rPr>
                <w:bCs/>
                <w:lang w:val="es-ES_tradnl"/>
              </w:rPr>
              <w:t>Suplemento</w:t>
            </w:r>
          </w:p>
        </w:tc>
        <w:tc>
          <w:tcPr>
            <w:tcW w:w="1276" w:type="dxa"/>
            <w:tcBorders>
              <w:top w:val="single" w:sz="12" w:space="0" w:color="auto"/>
              <w:bottom w:val="single" w:sz="12" w:space="0" w:color="auto"/>
            </w:tcBorders>
            <w:shd w:val="clear" w:color="auto" w:fill="auto"/>
          </w:tcPr>
          <w:p w14:paraId="0999778E" w14:textId="77777777" w:rsidR="00CF0CB0" w:rsidRPr="009960E1" w:rsidRDefault="00CF0CB0" w:rsidP="00F27F0E">
            <w:pPr>
              <w:pStyle w:val="Tablehead"/>
              <w:rPr>
                <w:lang w:val="es-ES_tradnl"/>
              </w:rPr>
            </w:pPr>
            <w:r w:rsidRPr="009960E1">
              <w:rPr>
                <w:bCs/>
                <w:lang w:val="es-ES_tradnl"/>
              </w:rPr>
              <w:t>Fecha</w:t>
            </w:r>
          </w:p>
        </w:tc>
        <w:tc>
          <w:tcPr>
            <w:tcW w:w="1275" w:type="dxa"/>
            <w:tcBorders>
              <w:top w:val="single" w:sz="12" w:space="0" w:color="auto"/>
              <w:bottom w:val="single" w:sz="12" w:space="0" w:color="auto"/>
            </w:tcBorders>
            <w:shd w:val="clear" w:color="auto" w:fill="auto"/>
          </w:tcPr>
          <w:p w14:paraId="5F8C4B91" w14:textId="77777777" w:rsidR="00CF0CB0" w:rsidRPr="009960E1" w:rsidRDefault="00CF0CB0" w:rsidP="00F27F0E">
            <w:pPr>
              <w:pStyle w:val="Tablehead"/>
              <w:rPr>
                <w:lang w:val="es-ES_tradnl"/>
              </w:rPr>
            </w:pPr>
            <w:r w:rsidRPr="009960E1">
              <w:rPr>
                <w:bCs/>
                <w:lang w:val="es-ES_tradnl"/>
              </w:rPr>
              <w:t>Situación</w:t>
            </w:r>
          </w:p>
        </w:tc>
        <w:tc>
          <w:tcPr>
            <w:tcW w:w="5812" w:type="dxa"/>
            <w:tcBorders>
              <w:top w:val="single" w:sz="12" w:space="0" w:color="auto"/>
              <w:bottom w:val="single" w:sz="12" w:space="0" w:color="auto"/>
            </w:tcBorders>
            <w:shd w:val="clear" w:color="auto" w:fill="auto"/>
          </w:tcPr>
          <w:p w14:paraId="243BD05F" w14:textId="77777777" w:rsidR="00CF0CB0" w:rsidRPr="009960E1" w:rsidRDefault="00CF0CB0" w:rsidP="00F27F0E">
            <w:pPr>
              <w:pStyle w:val="Tablehead"/>
              <w:rPr>
                <w:lang w:val="es-ES_tradnl"/>
              </w:rPr>
            </w:pPr>
            <w:r w:rsidRPr="009960E1">
              <w:rPr>
                <w:bCs/>
                <w:lang w:val="es-ES_tradnl"/>
              </w:rPr>
              <w:t>Título</w:t>
            </w:r>
          </w:p>
        </w:tc>
      </w:tr>
      <w:tr w:rsidR="00CF0CB0" w:rsidRPr="00A7143D" w14:paraId="33B269A6" w14:textId="77777777" w:rsidTr="00822410">
        <w:trPr>
          <w:jc w:val="center"/>
        </w:trPr>
        <w:tc>
          <w:tcPr>
            <w:tcW w:w="1403" w:type="dxa"/>
            <w:tcBorders>
              <w:top w:val="single" w:sz="12" w:space="0" w:color="auto"/>
            </w:tcBorders>
            <w:shd w:val="clear" w:color="auto" w:fill="auto"/>
          </w:tcPr>
          <w:p w14:paraId="3FE4B41B" w14:textId="77777777" w:rsidR="00CF0CB0" w:rsidRPr="009960E1" w:rsidRDefault="00000000" w:rsidP="00F27F0E">
            <w:pPr>
              <w:pStyle w:val="Tabletext"/>
              <w:rPr>
                <w:rStyle w:val="Hyperlink"/>
                <w:lang w:val="es-ES_tradnl"/>
              </w:rPr>
            </w:pPr>
            <w:hyperlink r:id="rId106" w:tooltip="See more details" w:history="1">
              <w:r w:rsidR="00CF0CB0" w:rsidRPr="009960E1">
                <w:rPr>
                  <w:rStyle w:val="Hyperlink"/>
                  <w:lang w:val="es-ES_tradnl"/>
                </w:rPr>
                <w:t>A-Suppl.2</w:t>
              </w:r>
            </w:hyperlink>
          </w:p>
        </w:tc>
        <w:tc>
          <w:tcPr>
            <w:tcW w:w="1276" w:type="dxa"/>
            <w:tcBorders>
              <w:top w:val="single" w:sz="12" w:space="0" w:color="auto"/>
            </w:tcBorders>
            <w:shd w:val="clear" w:color="auto" w:fill="auto"/>
          </w:tcPr>
          <w:p w14:paraId="43DE54AA" w14:textId="080E2926" w:rsidR="00CF0CB0" w:rsidRPr="009960E1" w:rsidRDefault="00822410" w:rsidP="00F27F0E">
            <w:pPr>
              <w:pStyle w:val="Tabletext"/>
              <w:jc w:val="center"/>
              <w:rPr>
                <w:lang w:val="es-ES_tradnl"/>
              </w:rPr>
            </w:pPr>
            <w:r w:rsidRPr="009960E1">
              <w:rPr>
                <w:lang w:val="es-ES_tradnl"/>
              </w:rPr>
              <w:t>16</w:t>
            </w:r>
            <w:r w:rsidR="00650DE1">
              <w:rPr>
                <w:lang w:val="es-ES_tradnl"/>
              </w:rPr>
              <w:t>/</w:t>
            </w:r>
            <w:r w:rsidRPr="009960E1">
              <w:rPr>
                <w:lang w:val="es-ES_tradnl"/>
              </w:rPr>
              <w:t>12</w:t>
            </w:r>
            <w:r w:rsidR="00650DE1">
              <w:rPr>
                <w:lang w:val="es-ES_tradnl"/>
              </w:rPr>
              <w:t>/</w:t>
            </w:r>
            <w:r w:rsidR="00CF0CB0" w:rsidRPr="009960E1">
              <w:rPr>
                <w:lang w:val="es-ES_tradnl"/>
              </w:rPr>
              <w:t>2022</w:t>
            </w:r>
          </w:p>
        </w:tc>
        <w:tc>
          <w:tcPr>
            <w:tcW w:w="1275" w:type="dxa"/>
            <w:tcBorders>
              <w:top w:val="single" w:sz="12" w:space="0" w:color="auto"/>
            </w:tcBorders>
            <w:shd w:val="clear" w:color="auto" w:fill="auto"/>
          </w:tcPr>
          <w:p w14:paraId="4362C3F7" w14:textId="77777777" w:rsidR="00CF0CB0" w:rsidRPr="009960E1" w:rsidRDefault="00CF0CB0" w:rsidP="00F27F0E">
            <w:pPr>
              <w:pStyle w:val="Tabletext"/>
              <w:jc w:val="center"/>
              <w:rPr>
                <w:lang w:val="es-ES_tradnl"/>
              </w:rPr>
            </w:pPr>
            <w:r w:rsidRPr="009960E1">
              <w:rPr>
                <w:lang w:val="es-ES_tradnl"/>
              </w:rPr>
              <w:t>En vigor</w:t>
            </w:r>
          </w:p>
        </w:tc>
        <w:tc>
          <w:tcPr>
            <w:tcW w:w="5812" w:type="dxa"/>
            <w:tcBorders>
              <w:top w:val="single" w:sz="12" w:space="0" w:color="auto"/>
            </w:tcBorders>
            <w:shd w:val="clear" w:color="auto" w:fill="auto"/>
          </w:tcPr>
          <w:p w14:paraId="3F04BC23" w14:textId="3DB0C054" w:rsidR="00CF0CB0" w:rsidRPr="009960E1" w:rsidRDefault="00CF0CB0" w:rsidP="00F27F0E">
            <w:pPr>
              <w:pStyle w:val="Tabletext"/>
              <w:rPr>
                <w:lang w:val="es-ES_tradnl"/>
              </w:rPr>
            </w:pPr>
            <w:r w:rsidRPr="009960E1">
              <w:rPr>
                <w:lang w:val="es-ES_tradnl"/>
              </w:rPr>
              <w:t>Directrices para experimentos de interfuncionamiento y</w:t>
            </w:r>
            <w:r w:rsidR="00822410" w:rsidRPr="009960E1">
              <w:rPr>
                <w:lang w:val="es-ES_tradnl"/>
              </w:rPr>
              <w:t> </w:t>
            </w:r>
            <w:r w:rsidRPr="009960E1">
              <w:rPr>
                <w:lang w:val="es-ES_tradnl"/>
              </w:rPr>
              <w:t>pruebas de concepto</w:t>
            </w:r>
          </w:p>
        </w:tc>
      </w:tr>
      <w:tr w:rsidR="00822410" w:rsidRPr="00A7143D" w14:paraId="5D091A1A" w14:textId="77777777" w:rsidTr="00822410">
        <w:trPr>
          <w:jc w:val="center"/>
        </w:trPr>
        <w:tc>
          <w:tcPr>
            <w:tcW w:w="1403" w:type="dxa"/>
            <w:shd w:val="clear" w:color="auto" w:fill="auto"/>
          </w:tcPr>
          <w:p w14:paraId="5E8BE476" w14:textId="77777777" w:rsidR="00822410" w:rsidRPr="009960E1" w:rsidRDefault="00000000" w:rsidP="00822410">
            <w:pPr>
              <w:pStyle w:val="Tabletext"/>
              <w:rPr>
                <w:rStyle w:val="Hyperlink"/>
                <w:lang w:val="es-ES_tradnl"/>
              </w:rPr>
            </w:pPr>
            <w:hyperlink r:id="rId107" w:tooltip="See more details" w:history="1">
              <w:r w:rsidR="00822410" w:rsidRPr="009960E1">
                <w:rPr>
                  <w:rStyle w:val="Hyperlink"/>
                  <w:lang w:val="es-ES_tradnl"/>
                </w:rPr>
                <w:t>A-Suppl.4</w:t>
              </w:r>
            </w:hyperlink>
          </w:p>
        </w:tc>
        <w:tc>
          <w:tcPr>
            <w:tcW w:w="1276" w:type="dxa"/>
            <w:shd w:val="clear" w:color="auto" w:fill="auto"/>
          </w:tcPr>
          <w:p w14:paraId="37C876EF" w14:textId="315FF302" w:rsidR="00822410" w:rsidRPr="009960E1" w:rsidRDefault="00822410" w:rsidP="00822410">
            <w:pPr>
              <w:pStyle w:val="Tabletext"/>
              <w:jc w:val="center"/>
              <w:rPr>
                <w:lang w:val="es-ES_tradnl"/>
              </w:rPr>
            </w:pPr>
            <w:r w:rsidRPr="009960E1">
              <w:rPr>
                <w:lang w:val="es-ES_tradnl"/>
              </w:rPr>
              <w:t>16</w:t>
            </w:r>
            <w:r w:rsidR="00650DE1">
              <w:rPr>
                <w:lang w:val="es-ES_tradnl"/>
              </w:rPr>
              <w:t>/</w:t>
            </w:r>
            <w:r w:rsidRPr="009960E1">
              <w:rPr>
                <w:lang w:val="es-ES_tradnl"/>
              </w:rPr>
              <w:t>12</w:t>
            </w:r>
            <w:r w:rsidR="00650DE1">
              <w:rPr>
                <w:lang w:val="es-ES_tradnl"/>
              </w:rPr>
              <w:t>/</w:t>
            </w:r>
            <w:r w:rsidRPr="009960E1">
              <w:rPr>
                <w:lang w:val="es-ES_tradnl"/>
              </w:rPr>
              <w:t>2022</w:t>
            </w:r>
          </w:p>
        </w:tc>
        <w:tc>
          <w:tcPr>
            <w:tcW w:w="1275" w:type="dxa"/>
            <w:shd w:val="clear" w:color="auto" w:fill="auto"/>
          </w:tcPr>
          <w:p w14:paraId="2087702A" w14:textId="77777777" w:rsidR="00822410" w:rsidRPr="009960E1" w:rsidRDefault="00822410" w:rsidP="00822410">
            <w:pPr>
              <w:pStyle w:val="Tabletext"/>
              <w:jc w:val="center"/>
              <w:rPr>
                <w:lang w:val="es-ES_tradnl"/>
              </w:rPr>
            </w:pPr>
            <w:r w:rsidRPr="009960E1">
              <w:rPr>
                <w:lang w:val="es-ES_tradnl"/>
              </w:rPr>
              <w:t>En vigor</w:t>
            </w:r>
          </w:p>
        </w:tc>
        <w:tc>
          <w:tcPr>
            <w:tcW w:w="5812" w:type="dxa"/>
            <w:shd w:val="clear" w:color="auto" w:fill="auto"/>
          </w:tcPr>
          <w:p w14:paraId="06E6BDB9" w14:textId="77777777" w:rsidR="00822410" w:rsidRPr="009960E1" w:rsidRDefault="00822410" w:rsidP="00822410">
            <w:pPr>
              <w:pStyle w:val="Tabletext"/>
              <w:rPr>
                <w:lang w:val="es-ES_tradnl"/>
              </w:rPr>
            </w:pPr>
            <w:r w:rsidRPr="009960E1">
              <w:rPr>
                <w:lang w:val="es-ES_tradnl"/>
              </w:rPr>
              <w:t>Directrices para la participación a distancia</w:t>
            </w:r>
          </w:p>
        </w:tc>
      </w:tr>
      <w:tr w:rsidR="00CF0CB0" w:rsidRPr="00A7143D" w14:paraId="0634F780" w14:textId="77777777" w:rsidTr="00822410">
        <w:trPr>
          <w:jc w:val="center"/>
        </w:trPr>
        <w:tc>
          <w:tcPr>
            <w:tcW w:w="1403" w:type="dxa"/>
            <w:shd w:val="clear" w:color="auto" w:fill="auto"/>
          </w:tcPr>
          <w:p w14:paraId="413B449E" w14:textId="43E35F54" w:rsidR="00CF0CB0" w:rsidRPr="009960E1" w:rsidRDefault="00000000" w:rsidP="00F27F0E">
            <w:pPr>
              <w:pStyle w:val="Tabletext"/>
              <w:rPr>
                <w:rStyle w:val="Hyperlink"/>
                <w:lang w:val="es-ES_tradnl"/>
              </w:rPr>
            </w:pPr>
            <w:hyperlink r:id="rId108" w:history="1">
              <w:r w:rsidR="00CF0CB0" w:rsidRPr="009960E1">
                <w:rPr>
                  <w:rStyle w:val="Hyperlink"/>
                  <w:lang w:val="es-ES_tradnl"/>
                </w:rPr>
                <w:t>A-Suppl.5</w:t>
              </w:r>
            </w:hyperlink>
          </w:p>
        </w:tc>
        <w:tc>
          <w:tcPr>
            <w:tcW w:w="1276" w:type="dxa"/>
            <w:shd w:val="clear" w:color="auto" w:fill="auto"/>
          </w:tcPr>
          <w:p w14:paraId="19C42DD4" w14:textId="0FE9E900" w:rsidR="00CF0CB0" w:rsidRPr="009960E1" w:rsidRDefault="00822410" w:rsidP="00F27F0E">
            <w:pPr>
              <w:pStyle w:val="Tabletext"/>
              <w:jc w:val="center"/>
              <w:rPr>
                <w:lang w:val="es-ES_tradnl"/>
              </w:rPr>
            </w:pPr>
            <w:r w:rsidRPr="009960E1">
              <w:rPr>
                <w:lang w:val="es-ES_tradnl"/>
              </w:rPr>
              <w:t>2</w:t>
            </w:r>
            <w:r w:rsidR="00650DE1">
              <w:rPr>
                <w:lang w:val="es-ES_tradnl"/>
              </w:rPr>
              <w:t>/</w:t>
            </w:r>
            <w:r w:rsidRPr="009960E1">
              <w:rPr>
                <w:lang w:val="es-ES_tradnl"/>
              </w:rPr>
              <w:t>08</w:t>
            </w:r>
            <w:r w:rsidR="00650DE1">
              <w:rPr>
                <w:lang w:val="es-ES_tradnl"/>
              </w:rPr>
              <w:t>/</w:t>
            </w:r>
            <w:r w:rsidR="00CF0CB0" w:rsidRPr="009960E1">
              <w:rPr>
                <w:lang w:val="es-ES_tradnl"/>
              </w:rPr>
              <w:t>2024</w:t>
            </w:r>
          </w:p>
        </w:tc>
        <w:tc>
          <w:tcPr>
            <w:tcW w:w="1275" w:type="dxa"/>
            <w:shd w:val="clear" w:color="auto" w:fill="auto"/>
          </w:tcPr>
          <w:p w14:paraId="161EDBFC" w14:textId="77777777" w:rsidR="00CF0CB0" w:rsidRPr="009960E1" w:rsidRDefault="00CF0CB0" w:rsidP="00F27F0E">
            <w:pPr>
              <w:pStyle w:val="Tabletext"/>
              <w:jc w:val="center"/>
              <w:rPr>
                <w:lang w:val="es-ES_tradnl"/>
              </w:rPr>
            </w:pPr>
            <w:r w:rsidRPr="009960E1">
              <w:rPr>
                <w:lang w:val="es-ES_tradnl"/>
              </w:rPr>
              <w:t>Suprimido</w:t>
            </w:r>
          </w:p>
        </w:tc>
        <w:tc>
          <w:tcPr>
            <w:tcW w:w="5812" w:type="dxa"/>
            <w:shd w:val="clear" w:color="auto" w:fill="auto"/>
          </w:tcPr>
          <w:p w14:paraId="38EA0E57" w14:textId="77777777" w:rsidR="00CF0CB0" w:rsidRPr="009960E1" w:rsidRDefault="00CF0CB0" w:rsidP="00F27F0E">
            <w:pPr>
              <w:pStyle w:val="Tabletext"/>
              <w:rPr>
                <w:lang w:val="es-ES_tradnl"/>
              </w:rPr>
            </w:pPr>
            <w:r w:rsidRPr="009960E1">
              <w:rPr>
                <w:lang w:val="es-ES_tradnl"/>
              </w:rPr>
              <w:t>Directrices para la colaboración e intercambio de información con otras organizaciones</w:t>
            </w:r>
          </w:p>
        </w:tc>
      </w:tr>
      <w:tr w:rsidR="00822410" w:rsidRPr="00A7143D" w14:paraId="26B58FCB" w14:textId="77777777" w:rsidTr="00822410">
        <w:trPr>
          <w:jc w:val="center"/>
        </w:trPr>
        <w:tc>
          <w:tcPr>
            <w:tcW w:w="1403" w:type="dxa"/>
            <w:shd w:val="clear" w:color="auto" w:fill="auto"/>
          </w:tcPr>
          <w:p w14:paraId="39079F73" w14:textId="77777777" w:rsidR="00822410" w:rsidRPr="009960E1" w:rsidRDefault="00000000" w:rsidP="00822410">
            <w:pPr>
              <w:pStyle w:val="Tabletext"/>
              <w:rPr>
                <w:rStyle w:val="Hyperlink"/>
                <w:lang w:val="es-ES_tradnl"/>
              </w:rPr>
            </w:pPr>
            <w:hyperlink r:id="rId109" w:tooltip="See more details" w:history="1">
              <w:r w:rsidR="00822410" w:rsidRPr="009960E1">
                <w:rPr>
                  <w:rStyle w:val="Hyperlink"/>
                  <w:lang w:val="es-ES_tradnl"/>
                </w:rPr>
                <w:t>A-Suppl.6</w:t>
              </w:r>
            </w:hyperlink>
          </w:p>
        </w:tc>
        <w:tc>
          <w:tcPr>
            <w:tcW w:w="1276" w:type="dxa"/>
            <w:shd w:val="clear" w:color="auto" w:fill="auto"/>
          </w:tcPr>
          <w:p w14:paraId="747CD039" w14:textId="7E118A1C" w:rsidR="00822410" w:rsidRPr="009960E1" w:rsidRDefault="00822410" w:rsidP="00822410">
            <w:pPr>
              <w:pStyle w:val="Tabletext"/>
              <w:jc w:val="center"/>
              <w:rPr>
                <w:lang w:val="es-ES_tradnl"/>
              </w:rPr>
            </w:pPr>
            <w:r w:rsidRPr="009960E1">
              <w:rPr>
                <w:lang w:val="es-ES_tradnl"/>
              </w:rPr>
              <w:t>2</w:t>
            </w:r>
            <w:r w:rsidR="00650DE1">
              <w:rPr>
                <w:lang w:val="es-ES_tradnl"/>
              </w:rPr>
              <w:t>/</w:t>
            </w:r>
            <w:r w:rsidRPr="009960E1">
              <w:rPr>
                <w:lang w:val="es-ES_tradnl"/>
              </w:rPr>
              <w:t>08</w:t>
            </w:r>
            <w:r w:rsidR="00650DE1">
              <w:rPr>
                <w:lang w:val="es-ES_tradnl"/>
              </w:rPr>
              <w:t>/</w:t>
            </w:r>
            <w:r w:rsidRPr="009960E1">
              <w:rPr>
                <w:lang w:val="es-ES_tradnl"/>
              </w:rPr>
              <w:t>2024</w:t>
            </w:r>
          </w:p>
        </w:tc>
        <w:tc>
          <w:tcPr>
            <w:tcW w:w="1275" w:type="dxa"/>
            <w:shd w:val="clear" w:color="auto" w:fill="auto"/>
          </w:tcPr>
          <w:p w14:paraId="734D058D" w14:textId="77777777" w:rsidR="00822410" w:rsidRPr="009960E1" w:rsidRDefault="00822410" w:rsidP="00822410">
            <w:pPr>
              <w:pStyle w:val="Tabletext"/>
              <w:jc w:val="center"/>
              <w:rPr>
                <w:lang w:val="es-ES_tradnl"/>
              </w:rPr>
            </w:pPr>
            <w:r w:rsidRPr="009960E1">
              <w:rPr>
                <w:lang w:val="es-ES_tradnl"/>
              </w:rPr>
              <w:t>En vigor</w:t>
            </w:r>
          </w:p>
        </w:tc>
        <w:tc>
          <w:tcPr>
            <w:tcW w:w="5812" w:type="dxa"/>
            <w:shd w:val="clear" w:color="auto" w:fill="auto"/>
          </w:tcPr>
          <w:p w14:paraId="6CDAF352" w14:textId="77777777" w:rsidR="00822410" w:rsidRPr="009960E1" w:rsidRDefault="00822410" w:rsidP="00822410">
            <w:pPr>
              <w:pStyle w:val="Tabletext"/>
              <w:rPr>
                <w:lang w:val="es-ES_tradnl"/>
              </w:rPr>
            </w:pPr>
            <w:r w:rsidRPr="009960E1">
              <w:rPr>
                <w:lang w:val="es-ES_tradnl"/>
              </w:rPr>
              <w:t>Directrices para la preparación de un análisis de carencias en materia de normalización</w:t>
            </w:r>
          </w:p>
        </w:tc>
      </w:tr>
      <w:tr w:rsidR="00822410" w:rsidRPr="00A7143D" w14:paraId="14CE6106" w14:textId="77777777" w:rsidTr="00822410">
        <w:trPr>
          <w:jc w:val="center"/>
        </w:trPr>
        <w:tc>
          <w:tcPr>
            <w:tcW w:w="1403" w:type="dxa"/>
            <w:shd w:val="clear" w:color="auto" w:fill="auto"/>
          </w:tcPr>
          <w:p w14:paraId="1E5A3418" w14:textId="77777777" w:rsidR="00822410" w:rsidRPr="009960E1" w:rsidRDefault="00000000" w:rsidP="00822410">
            <w:pPr>
              <w:pStyle w:val="Tabletext"/>
              <w:rPr>
                <w:rStyle w:val="Hyperlink"/>
                <w:lang w:val="es-ES_tradnl"/>
              </w:rPr>
            </w:pPr>
            <w:hyperlink r:id="rId110" w:tooltip="See more details" w:history="1">
              <w:r w:rsidR="00822410" w:rsidRPr="009960E1">
                <w:rPr>
                  <w:rStyle w:val="Hyperlink"/>
                  <w:lang w:val="es-ES_tradnl"/>
                </w:rPr>
                <w:t>A-Suppl.7</w:t>
              </w:r>
            </w:hyperlink>
          </w:p>
        </w:tc>
        <w:tc>
          <w:tcPr>
            <w:tcW w:w="1276" w:type="dxa"/>
            <w:shd w:val="clear" w:color="auto" w:fill="auto"/>
          </w:tcPr>
          <w:p w14:paraId="058D2BED" w14:textId="16EA8C79" w:rsidR="00822410" w:rsidRPr="009960E1" w:rsidRDefault="00822410" w:rsidP="00822410">
            <w:pPr>
              <w:pStyle w:val="Tabletext"/>
              <w:jc w:val="center"/>
              <w:rPr>
                <w:lang w:val="es-ES_tradnl"/>
              </w:rPr>
            </w:pPr>
            <w:r w:rsidRPr="009960E1">
              <w:rPr>
                <w:lang w:val="es-ES_tradnl"/>
              </w:rPr>
              <w:t>2</w:t>
            </w:r>
            <w:r w:rsidR="00650DE1">
              <w:rPr>
                <w:lang w:val="es-ES_tradnl"/>
              </w:rPr>
              <w:t>/</w:t>
            </w:r>
            <w:r w:rsidRPr="009960E1">
              <w:rPr>
                <w:lang w:val="es-ES_tradnl"/>
              </w:rPr>
              <w:t>08</w:t>
            </w:r>
            <w:r w:rsidR="00650DE1">
              <w:rPr>
                <w:lang w:val="es-ES_tradnl"/>
              </w:rPr>
              <w:t>/</w:t>
            </w:r>
            <w:r w:rsidRPr="009960E1">
              <w:rPr>
                <w:lang w:val="es-ES_tradnl"/>
              </w:rPr>
              <w:t>2024</w:t>
            </w:r>
          </w:p>
        </w:tc>
        <w:tc>
          <w:tcPr>
            <w:tcW w:w="1275" w:type="dxa"/>
            <w:shd w:val="clear" w:color="auto" w:fill="auto"/>
          </w:tcPr>
          <w:p w14:paraId="13DAE736" w14:textId="77777777" w:rsidR="00822410" w:rsidRPr="009960E1" w:rsidRDefault="00822410" w:rsidP="00822410">
            <w:pPr>
              <w:pStyle w:val="Tabletext"/>
              <w:jc w:val="center"/>
              <w:rPr>
                <w:lang w:val="es-ES_tradnl"/>
              </w:rPr>
            </w:pPr>
            <w:r w:rsidRPr="009960E1">
              <w:rPr>
                <w:lang w:val="es-ES_tradnl"/>
              </w:rPr>
              <w:t>En vigor</w:t>
            </w:r>
          </w:p>
        </w:tc>
        <w:tc>
          <w:tcPr>
            <w:tcW w:w="5812" w:type="dxa"/>
            <w:shd w:val="clear" w:color="auto" w:fill="auto"/>
          </w:tcPr>
          <w:p w14:paraId="4FE4BA5D" w14:textId="77777777" w:rsidR="00822410" w:rsidRPr="009960E1" w:rsidRDefault="00822410" w:rsidP="00822410">
            <w:pPr>
              <w:pStyle w:val="Tabletext"/>
              <w:rPr>
                <w:lang w:val="es-ES_tradnl"/>
              </w:rPr>
            </w:pPr>
            <w:r w:rsidRPr="009960E1">
              <w:rPr>
                <w:lang w:val="es-ES_tradnl"/>
              </w:rPr>
              <w:t>Directrices para la preparación de Resoluciones de la AMNT</w:t>
            </w:r>
          </w:p>
        </w:tc>
      </w:tr>
    </w:tbl>
    <w:p w14:paraId="4C6CD17C" w14:textId="77777777" w:rsidR="00CF0CB0" w:rsidRPr="009960E1" w:rsidRDefault="00CF0CB0" w:rsidP="009948E5">
      <w:pPr>
        <w:pStyle w:val="TableNotitle"/>
        <w:rPr>
          <w:lang w:val="es-ES_tradnl"/>
        </w:rPr>
      </w:pPr>
      <w:r w:rsidRPr="009960E1">
        <w:rPr>
          <w:b w:val="0"/>
          <w:bCs/>
          <w:lang w:val="es-ES_tradnl"/>
        </w:rPr>
        <w:t>CUADRO 13</w:t>
      </w:r>
      <w:r w:rsidRPr="009960E1">
        <w:rPr>
          <w:lang w:val="es-ES_tradnl"/>
        </w:rPr>
        <w:br/>
        <w:t>GANT – Documentos técnicos</w:t>
      </w:r>
    </w:p>
    <w:tbl>
      <w:tblPr>
        <w:tblStyle w:val="TableGrid"/>
        <w:tblW w:w="9766"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418"/>
        <w:gridCol w:w="1276"/>
        <w:gridCol w:w="5386"/>
      </w:tblGrid>
      <w:tr w:rsidR="00CF0CB0" w:rsidRPr="009960E1" w14:paraId="166205FF" w14:textId="77777777" w:rsidTr="00650DE1">
        <w:trPr>
          <w:tblHeader/>
          <w:jc w:val="center"/>
        </w:trPr>
        <w:tc>
          <w:tcPr>
            <w:tcW w:w="1686" w:type="dxa"/>
            <w:tcBorders>
              <w:top w:val="single" w:sz="12" w:space="0" w:color="auto"/>
              <w:bottom w:val="single" w:sz="12" w:space="0" w:color="auto"/>
            </w:tcBorders>
            <w:shd w:val="clear" w:color="auto" w:fill="auto"/>
          </w:tcPr>
          <w:p w14:paraId="05AD65A1" w14:textId="77777777" w:rsidR="00CF0CB0" w:rsidRPr="009960E1" w:rsidRDefault="00CF0CB0" w:rsidP="00F27F0E">
            <w:pPr>
              <w:pStyle w:val="Tablehead"/>
              <w:rPr>
                <w:lang w:val="es-ES_tradnl"/>
              </w:rPr>
            </w:pPr>
            <w:r w:rsidRPr="009960E1">
              <w:rPr>
                <w:bCs/>
                <w:lang w:val="es-ES_tradnl"/>
              </w:rPr>
              <w:t>Documento</w:t>
            </w:r>
          </w:p>
        </w:tc>
        <w:tc>
          <w:tcPr>
            <w:tcW w:w="1418" w:type="dxa"/>
            <w:tcBorders>
              <w:top w:val="single" w:sz="12" w:space="0" w:color="auto"/>
              <w:bottom w:val="single" w:sz="12" w:space="0" w:color="auto"/>
            </w:tcBorders>
            <w:shd w:val="clear" w:color="auto" w:fill="auto"/>
          </w:tcPr>
          <w:p w14:paraId="68209452" w14:textId="77777777" w:rsidR="00CF0CB0" w:rsidRPr="009960E1" w:rsidRDefault="00CF0CB0" w:rsidP="00F27F0E">
            <w:pPr>
              <w:pStyle w:val="Tablehead"/>
              <w:rPr>
                <w:lang w:val="es-ES_tradnl"/>
              </w:rPr>
            </w:pPr>
            <w:r w:rsidRPr="009960E1">
              <w:rPr>
                <w:bCs/>
                <w:lang w:val="es-ES_tradnl"/>
              </w:rPr>
              <w:t>Fecha</w:t>
            </w:r>
          </w:p>
        </w:tc>
        <w:tc>
          <w:tcPr>
            <w:tcW w:w="1276" w:type="dxa"/>
            <w:tcBorders>
              <w:top w:val="single" w:sz="12" w:space="0" w:color="auto"/>
              <w:bottom w:val="single" w:sz="12" w:space="0" w:color="auto"/>
            </w:tcBorders>
            <w:shd w:val="clear" w:color="auto" w:fill="auto"/>
          </w:tcPr>
          <w:p w14:paraId="44E70EE4" w14:textId="77777777" w:rsidR="00CF0CB0" w:rsidRPr="009960E1" w:rsidRDefault="00CF0CB0" w:rsidP="00F27F0E">
            <w:pPr>
              <w:pStyle w:val="Tablehead"/>
              <w:rPr>
                <w:lang w:val="es-ES_tradnl"/>
              </w:rPr>
            </w:pPr>
            <w:r w:rsidRPr="009960E1">
              <w:rPr>
                <w:bCs/>
                <w:lang w:val="es-ES_tradnl"/>
              </w:rPr>
              <w:t>Situación</w:t>
            </w:r>
          </w:p>
        </w:tc>
        <w:tc>
          <w:tcPr>
            <w:tcW w:w="5386" w:type="dxa"/>
            <w:tcBorders>
              <w:top w:val="single" w:sz="12" w:space="0" w:color="auto"/>
              <w:bottom w:val="single" w:sz="12" w:space="0" w:color="auto"/>
            </w:tcBorders>
            <w:shd w:val="clear" w:color="auto" w:fill="auto"/>
          </w:tcPr>
          <w:p w14:paraId="6F331964" w14:textId="77777777" w:rsidR="00CF0CB0" w:rsidRPr="009960E1" w:rsidRDefault="00CF0CB0" w:rsidP="00F27F0E">
            <w:pPr>
              <w:pStyle w:val="Tablehead"/>
              <w:rPr>
                <w:lang w:val="es-ES_tradnl"/>
              </w:rPr>
            </w:pPr>
            <w:r w:rsidRPr="009960E1">
              <w:rPr>
                <w:bCs/>
                <w:lang w:val="es-ES_tradnl"/>
              </w:rPr>
              <w:t>Título</w:t>
            </w:r>
          </w:p>
        </w:tc>
      </w:tr>
      <w:tr w:rsidR="00CF0CB0" w:rsidRPr="009960E1" w14:paraId="0692A7B1" w14:textId="77777777" w:rsidTr="00650DE1">
        <w:trPr>
          <w:jc w:val="center"/>
        </w:trPr>
        <w:tc>
          <w:tcPr>
            <w:tcW w:w="1686" w:type="dxa"/>
            <w:tcBorders>
              <w:top w:val="single" w:sz="12" w:space="0" w:color="auto"/>
              <w:bottom w:val="single" w:sz="12" w:space="0" w:color="auto"/>
              <w:right w:val="nil"/>
            </w:tcBorders>
            <w:shd w:val="clear" w:color="auto" w:fill="auto"/>
          </w:tcPr>
          <w:p w14:paraId="498CB412" w14:textId="77777777" w:rsidR="00CF0CB0" w:rsidRPr="009960E1" w:rsidRDefault="00CF0CB0" w:rsidP="00F27F0E">
            <w:pPr>
              <w:pStyle w:val="Tabletext"/>
              <w:rPr>
                <w:lang w:val="es-ES_tradnl"/>
              </w:rPr>
            </w:pPr>
            <w:r w:rsidRPr="009960E1">
              <w:rPr>
                <w:lang w:val="es-ES_tradnl"/>
              </w:rPr>
              <w:t>Ninguno.</w:t>
            </w:r>
          </w:p>
        </w:tc>
        <w:tc>
          <w:tcPr>
            <w:tcW w:w="1418" w:type="dxa"/>
            <w:tcBorders>
              <w:top w:val="single" w:sz="12" w:space="0" w:color="auto"/>
              <w:left w:val="nil"/>
              <w:bottom w:val="single" w:sz="12" w:space="0" w:color="auto"/>
              <w:right w:val="nil"/>
            </w:tcBorders>
            <w:shd w:val="clear" w:color="auto" w:fill="auto"/>
          </w:tcPr>
          <w:p w14:paraId="35E4E55D" w14:textId="77777777" w:rsidR="00CF0CB0" w:rsidRPr="009960E1" w:rsidRDefault="00CF0CB0" w:rsidP="00F27F0E">
            <w:pPr>
              <w:pStyle w:val="Tabletext"/>
              <w:rPr>
                <w:lang w:val="es-ES_tradnl"/>
              </w:rPr>
            </w:pPr>
          </w:p>
        </w:tc>
        <w:tc>
          <w:tcPr>
            <w:tcW w:w="1276" w:type="dxa"/>
            <w:tcBorders>
              <w:top w:val="single" w:sz="12" w:space="0" w:color="auto"/>
              <w:left w:val="nil"/>
              <w:bottom w:val="single" w:sz="12" w:space="0" w:color="auto"/>
              <w:right w:val="nil"/>
            </w:tcBorders>
            <w:shd w:val="clear" w:color="auto" w:fill="auto"/>
          </w:tcPr>
          <w:p w14:paraId="293FFDEC" w14:textId="77777777" w:rsidR="00CF0CB0" w:rsidRPr="009960E1" w:rsidRDefault="00CF0CB0" w:rsidP="00F27F0E">
            <w:pPr>
              <w:pStyle w:val="Tabletext"/>
              <w:rPr>
                <w:lang w:val="es-ES_tradnl"/>
              </w:rPr>
            </w:pPr>
          </w:p>
        </w:tc>
        <w:tc>
          <w:tcPr>
            <w:tcW w:w="5386" w:type="dxa"/>
            <w:tcBorders>
              <w:top w:val="single" w:sz="12" w:space="0" w:color="auto"/>
              <w:left w:val="nil"/>
              <w:bottom w:val="single" w:sz="12" w:space="0" w:color="auto"/>
            </w:tcBorders>
            <w:shd w:val="clear" w:color="auto" w:fill="auto"/>
          </w:tcPr>
          <w:p w14:paraId="16FD181C" w14:textId="77777777" w:rsidR="00CF0CB0" w:rsidRPr="009960E1" w:rsidRDefault="00CF0CB0" w:rsidP="00F27F0E">
            <w:pPr>
              <w:pStyle w:val="Tabletext"/>
              <w:rPr>
                <w:lang w:val="es-ES_tradnl"/>
              </w:rPr>
            </w:pPr>
          </w:p>
        </w:tc>
      </w:tr>
    </w:tbl>
    <w:p w14:paraId="4337E9A6" w14:textId="77777777" w:rsidR="00CF0CB0" w:rsidRPr="009960E1" w:rsidRDefault="00CF0CB0" w:rsidP="009948E5">
      <w:pPr>
        <w:pStyle w:val="TableNotitle"/>
        <w:rPr>
          <w:lang w:val="es-ES_tradnl"/>
        </w:rPr>
      </w:pPr>
      <w:r w:rsidRPr="009960E1">
        <w:rPr>
          <w:b w:val="0"/>
          <w:bCs/>
          <w:lang w:val="es-ES_tradnl"/>
        </w:rPr>
        <w:t>CUADRO 14</w:t>
      </w:r>
      <w:r w:rsidRPr="009960E1">
        <w:rPr>
          <w:lang w:val="es-ES_tradnl"/>
        </w:rPr>
        <w:br/>
        <w:t>GANT – Informes técnicos</w:t>
      </w:r>
    </w:p>
    <w:tbl>
      <w:tblPr>
        <w:tblStyle w:val="TableGrid"/>
        <w:tblW w:w="9766"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418"/>
        <w:gridCol w:w="1276"/>
        <w:gridCol w:w="5386"/>
      </w:tblGrid>
      <w:tr w:rsidR="00CF0CB0" w:rsidRPr="009960E1" w14:paraId="0C58C207" w14:textId="77777777" w:rsidTr="00650DE1">
        <w:trPr>
          <w:tblHeader/>
          <w:jc w:val="center"/>
        </w:trPr>
        <w:tc>
          <w:tcPr>
            <w:tcW w:w="1686" w:type="dxa"/>
            <w:tcBorders>
              <w:top w:val="single" w:sz="12" w:space="0" w:color="auto"/>
              <w:bottom w:val="single" w:sz="12" w:space="0" w:color="auto"/>
            </w:tcBorders>
            <w:shd w:val="clear" w:color="auto" w:fill="auto"/>
          </w:tcPr>
          <w:p w14:paraId="530B4F8F" w14:textId="77777777" w:rsidR="00CF0CB0" w:rsidRPr="009960E1" w:rsidRDefault="00CF0CB0" w:rsidP="00F27F0E">
            <w:pPr>
              <w:pStyle w:val="Tablehead"/>
              <w:rPr>
                <w:lang w:val="es-ES_tradnl"/>
              </w:rPr>
            </w:pPr>
            <w:r w:rsidRPr="009960E1">
              <w:rPr>
                <w:bCs/>
                <w:lang w:val="es-ES_tradnl"/>
              </w:rPr>
              <w:t>Documento</w:t>
            </w:r>
          </w:p>
        </w:tc>
        <w:tc>
          <w:tcPr>
            <w:tcW w:w="1418" w:type="dxa"/>
            <w:tcBorders>
              <w:top w:val="single" w:sz="12" w:space="0" w:color="auto"/>
              <w:bottom w:val="single" w:sz="12" w:space="0" w:color="auto"/>
            </w:tcBorders>
            <w:shd w:val="clear" w:color="auto" w:fill="auto"/>
          </w:tcPr>
          <w:p w14:paraId="73F7FB03" w14:textId="77777777" w:rsidR="00CF0CB0" w:rsidRPr="009960E1" w:rsidRDefault="00CF0CB0" w:rsidP="00F27F0E">
            <w:pPr>
              <w:pStyle w:val="Tablehead"/>
              <w:rPr>
                <w:lang w:val="es-ES_tradnl"/>
              </w:rPr>
            </w:pPr>
            <w:r w:rsidRPr="009960E1">
              <w:rPr>
                <w:bCs/>
                <w:lang w:val="es-ES_tradnl"/>
              </w:rPr>
              <w:t>Fecha</w:t>
            </w:r>
          </w:p>
        </w:tc>
        <w:tc>
          <w:tcPr>
            <w:tcW w:w="1276" w:type="dxa"/>
            <w:tcBorders>
              <w:top w:val="single" w:sz="12" w:space="0" w:color="auto"/>
              <w:bottom w:val="single" w:sz="12" w:space="0" w:color="auto"/>
            </w:tcBorders>
            <w:shd w:val="clear" w:color="auto" w:fill="auto"/>
          </w:tcPr>
          <w:p w14:paraId="0B6588AC" w14:textId="77777777" w:rsidR="00CF0CB0" w:rsidRPr="009960E1" w:rsidRDefault="00CF0CB0" w:rsidP="00F27F0E">
            <w:pPr>
              <w:pStyle w:val="Tablehead"/>
              <w:rPr>
                <w:lang w:val="es-ES_tradnl"/>
              </w:rPr>
            </w:pPr>
            <w:r w:rsidRPr="009960E1">
              <w:rPr>
                <w:bCs/>
                <w:lang w:val="es-ES_tradnl"/>
              </w:rPr>
              <w:t>Situación</w:t>
            </w:r>
          </w:p>
        </w:tc>
        <w:tc>
          <w:tcPr>
            <w:tcW w:w="5386" w:type="dxa"/>
            <w:tcBorders>
              <w:top w:val="single" w:sz="12" w:space="0" w:color="auto"/>
              <w:bottom w:val="single" w:sz="12" w:space="0" w:color="auto"/>
            </w:tcBorders>
            <w:shd w:val="clear" w:color="auto" w:fill="auto"/>
          </w:tcPr>
          <w:p w14:paraId="5138D539" w14:textId="77777777" w:rsidR="00CF0CB0" w:rsidRPr="009960E1" w:rsidRDefault="00CF0CB0" w:rsidP="00F27F0E">
            <w:pPr>
              <w:pStyle w:val="Tablehead"/>
              <w:rPr>
                <w:lang w:val="es-ES_tradnl"/>
              </w:rPr>
            </w:pPr>
            <w:r w:rsidRPr="009960E1">
              <w:rPr>
                <w:bCs/>
                <w:lang w:val="es-ES_tradnl"/>
              </w:rPr>
              <w:t>Título</w:t>
            </w:r>
          </w:p>
        </w:tc>
      </w:tr>
      <w:tr w:rsidR="00CF0CB0" w:rsidRPr="009960E1" w14:paraId="03023EE3" w14:textId="77777777" w:rsidTr="00650DE1">
        <w:trPr>
          <w:jc w:val="center"/>
        </w:trPr>
        <w:tc>
          <w:tcPr>
            <w:tcW w:w="1686" w:type="dxa"/>
            <w:tcBorders>
              <w:top w:val="single" w:sz="12" w:space="0" w:color="auto"/>
              <w:bottom w:val="single" w:sz="12" w:space="0" w:color="auto"/>
              <w:right w:val="nil"/>
            </w:tcBorders>
            <w:shd w:val="clear" w:color="auto" w:fill="auto"/>
          </w:tcPr>
          <w:p w14:paraId="4418439C" w14:textId="77777777" w:rsidR="00CF0CB0" w:rsidRPr="009960E1" w:rsidRDefault="00CF0CB0" w:rsidP="00F27F0E">
            <w:pPr>
              <w:pStyle w:val="Tabletext"/>
              <w:rPr>
                <w:lang w:val="es-ES_tradnl"/>
              </w:rPr>
            </w:pPr>
            <w:r w:rsidRPr="009960E1">
              <w:rPr>
                <w:lang w:val="es-ES_tradnl"/>
              </w:rPr>
              <w:t>Ninguno.</w:t>
            </w:r>
          </w:p>
        </w:tc>
        <w:tc>
          <w:tcPr>
            <w:tcW w:w="1418" w:type="dxa"/>
            <w:tcBorders>
              <w:top w:val="single" w:sz="12" w:space="0" w:color="auto"/>
              <w:left w:val="nil"/>
              <w:bottom w:val="single" w:sz="12" w:space="0" w:color="auto"/>
              <w:right w:val="nil"/>
            </w:tcBorders>
            <w:shd w:val="clear" w:color="auto" w:fill="auto"/>
          </w:tcPr>
          <w:p w14:paraId="71E692EF" w14:textId="77777777" w:rsidR="00CF0CB0" w:rsidRPr="009960E1" w:rsidRDefault="00CF0CB0" w:rsidP="00F27F0E">
            <w:pPr>
              <w:pStyle w:val="Tabletext"/>
              <w:rPr>
                <w:lang w:val="es-ES_tradnl"/>
              </w:rPr>
            </w:pPr>
          </w:p>
        </w:tc>
        <w:tc>
          <w:tcPr>
            <w:tcW w:w="1276" w:type="dxa"/>
            <w:tcBorders>
              <w:top w:val="single" w:sz="12" w:space="0" w:color="auto"/>
              <w:left w:val="nil"/>
              <w:bottom w:val="single" w:sz="12" w:space="0" w:color="auto"/>
              <w:right w:val="nil"/>
            </w:tcBorders>
            <w:shd w:val="clear" w:color="auto" w:fill="auto"/>
          </w:tcPr>
          <w:p w14:paraId="359FBDCE" w14:textId="77777777" w:rsidR="00CF0CB0" w:rsidRPr="009960E1" w:rsidRDefault="00CF0CB0" w:rsidP="00F27F0E">
            <w:pPr>
              <w:pStyle w:val="Tabletext"/>
              <w:rPr>
                <w:lang w:val="es-ES_tradnl"/>
              </w:rPr>
            </w:pPr>
          </w:p>
        </w:tc>
        <w:tc>
          <w:tcPr>
            <w:tcW w:w="5386" w:type="dxa"/>
            <w:tcBorders>
              <w:top w:val="single" w:sz="12" w:space="0" w:color="auto"/>
              <w:left w:val="nil"/>
              <w:bottom w:val="single" w:sz="12" w:space="0" w:color="auto"/>
            </w:tcBorders>
            <w:shd w:val="clear" w:color="auto" w:fill="auto"/>
          </w:tcPr>
          <w:p w14:paraId="4C415FBA" w14:textId="77777777" w:rsidR="00CF0CB0" w:rsidRPr="009960E1" w:rsidRDefault="00CF0CB0" w:rsidP="00F27F0E">
            <w:pPr>
              <w:pStyle w:val="Tabletext"/>
              <w:rPr>
                <w:lang w:val="es-ES_tradnl"/>
              </w:rPr>
            </w:pPr>
          </w:p>
        </w:tc>
      </w:tr>
    </w:tbl>
    <w:p w14:paraId="0833358D" w14:textId="77777777" w:rsidR="00CF0CB0" w:rsidRPr="009960E1" w:rsidRDefault="00CF0CB0" w:rsidP="009948E5">
      <w:pPr>
        <w:pStyle w:val="TableNoTitle0"/>
        <w:rPr>
          <w:lang w:val="es-ES_tradnl"/>
        </w:rPr>
      </w:pPr>
      <w:r w:rsidRPr="009960E1">
        <w:rPr>
          <w:b w:val="0"/>
          <w:bCs/>
          <w:lang w:val="es-ES_tradnl"/>
        </w:rPr>
        <w:t>CUADRO 15</w:t>
      </w:r>
      <w:r w:rsidRPr="009960E1">
        <w:rPr>
          <w:lang w:val="es-ES_tradnl"/>
        </w:rPr>
        <w:br/>
        <w:t>GANT – Otras publicaciones</w:t>
      </w:r>
    </w:p>
    <w:tbl>
      <w:tblPr>
        <w:tblStyle w:val="TableGrid"/>
        <w:tblW w:w="9766"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418"/>
        <w:gridCol w:w="1276"/>
        <w:gridCol w:w="5386"/>
      </w:tblGrid>
      <w:tr w:rsidR="00CF0CB0" w:rsidRPr="009960E1" w14:paraId="663C051F" w14:textId="77777777" w:rsidTr="00650DE1">
        <w:trPr>
          <w:tblHeader/>
          <w:jc w:val="center"/>
        </w:trPr>
        <w:tc>
          <w:tcPr>
            <w:tcW w:w="1686" w:type="dxa"/>
            <w:tcBorders>
              <w:top w:val="single" w:sz="12" w:space="0" w:color="auto"/>
              <w:bottom w:val="single" w:sz="12" w:space="0" w:color="auto"/>
            </w:tcBorders>
            <w:shd w:val="clear" w:color="auto" w:fill="auto"/>
          </w:tcPr>
          <w:p w14:paraId="2F9A26B6" w14:textId="77777777" w:rsidR="00CF0CB0" w:rsidRPr="009960E1" w:rsidRDefault="00CF0CB0" w:rsidP="00F27F0E">
            <w:pPr>
              <w:pStyle w:val="Tablehead"/>
              <w:rPr>
                <w:lang w:val="es-ES_tradnl"/>
              </w:rPr>
            </w:pPr>
            <w:r w:rsidRPr="009960E1">
              <w:rPr>
                <w:bCs/>
                <w:lang w:val="es-ES_tradnl"/>
              </w:rPr>
              <w:t>Documento</w:t>
            </w:r>
          </w:p>
        </w:tc>
        <w:tc>
          <w:tcPr>
            <w:tcW w:w="1418" w:type="dxa"/>
            <w:tcBorders>
              <w:top w:val="single" w:sz="12" w:space="0" w:color="auto"/>
              <w:bottom w:val="single" w:sz="12" w:space="0" w:color="auto"/>
            </w:tcBorders>
            <w:shd w:val="clear" w:color="auto" w:fill="auto"/>
          </w:tcPr>
          <w:p w14:paraId="47CBDF56" w14:textId="77777777" w:rsidR="00CF0CB0" w:rsidRPr="009960E1" w:rsidRDefault="00CF0CB0" w:rsidP="00F27F0E">
            <w:pPr>
              <w:pStyle w:val="Tablehead"/>
              <w:rPr>
                <w:lang w:val="es-ES_tradnl"/>
              </w:rPr>
            </w:pPr>
            <w:r w:rsidRPr="009960E1">
              <w:rPr>
                <w:bCs/>
                <w:lang w:val="es-ES_tradnl"/>
              </w:rPr>
              <w:t>Fecha</w:t>
            </w:r>
          </w:p>
        </w:tc>
        <w:tc>
          <w:tcPr>
            <w:tcW w:w="1276" w:type="dxa"/>
            <w:tcBorders>
              <w:top w:val="single" w:sz="12" w:space="0" w:color="auto"/>
              <w:bottom w:val="single" w:sz="12" w:space="0" w:color="auto"/>
            </w:tcBorders>
            <w:shd w:val="clear" w:color="auto" w:fill="auto"/>
          </w:tcPr>
          <w:p w14:paraId="7343BEEB" w14:textId="77777777" w:rsidR="00CF0CB0" w:rsidRPr="009960E1" w:rsidRDefault="00CF0CB0" w:rsidP="00F27F0E">
            <w:pPr>
              <w:pStyle w:val="Tablehead"/>
              <w:rPr>
                <w:lang w:val="es-ES_tradnl"/>
              </w:rPr>
            </w:pPr>
            <w:r w:rsidRPr="009960E1">
              <w:rPr>
                <w:bCs/>
                <w:lang w:val="es-ES_tradnl"/>
              </w:rPr>
              <w:t>Situación</w:t>
            </w:r>
          </w:p>
        </w:tc>
        <w:tc>
          <w:tcPr>
            <w:tcW w:w="5386" w:type="dxa"/>
            <w:tcBorders>
              <w:top w:val="single" w:sz="12" w:space="0" w:color="auto"/>
              <w:bottom w:val="single" w:sz="12" w:space="0" w:color="auto"/>
            </w:tcBorders>
            <w:shd w:val="clear" w:color="auto" w:fill="auto"/>
          </w:tcPr>
          <w:p w14:paraId="09002946" w14:textId="77777777" w:rsidR="00CF0CB0" w:rsidRPr="009960E1" w:rsidRDefault="00CF0CB0" w:rsidP="00F27F0E">
            <w:pPr>
              <w:pStyle w:val="Tablehead"/>
              <w:rPr>
                <w:lang w:val="es-ES_tradnl"/>
              </w:rPr>
            </w:pPr>
            <w:r w:rsidRPr="009960E1">
              <w:rPr>
                <w:bCs/>
                <w:lang w:val="es-ES_tradnl"/>
              </w:rPr>
              <w:t>Título</w:t>
            </w:r>
          </w:p>
        </w:tc>
      </w:tr>
      <w:tr w:rsidR="00CF0CB0" w:rsidRPr="00A7143D" w14:paraId="154811BF" w14:textId="77777777" w:rsidTr="00650DE1">
        <w:trPr>
          <w:jc w:val="center"/>
        </w:trPr>
        <w:tc>
          <w:tcPr>
            <w:tcW w:w="1686" w:type="dxa"/>
            <w:tcBorders>
              <w:top w:val="single" w:sz="12" w:space="0" w:color="auto"/>
            </w:tcBorders>
            <w:shd w:val="clear" w:color="auto" w:fill="auto"/>
          </w:tcPr>
          <w:p w14:paraId="279D53ED" w14:textId="359807E7" w:rsidR="00CF0CB0" w:rsidRPr="009960E1" w:rsidRDefault="00000000" w:rsidP="00F27F0E">
            <w:pPr>
              <w:pStyle w:val="Tabletext"/>
              <w:rPr>
                <w:rStyle w:val="Hyperlink"/>
                <w:lang w:val="es-ES_tradnl"/>
              </w:rPr>
            </w:pPr>
            <w:hyperlink r:id="rId111" w:history="1">
              <w:r w:rsidR="00CF0CB0" w:rsidRPr="009960E1">
                <w:rPr>
                  <w:rStyle w:val="Hyperlink"/>
                  <w:lang w:val="es-ES_tradnl"/>
                </w:rPr>
                <w:t>ASBN-AHDGC</w:t>
              </w:r>
            </w:hyperlink>
          </w:p>
        </w:tc>
        <w:tc>
          <w:tcPr>
            <w:tcW w:w="1418" w:type="dxa"/>
            <w:tcBorders>
              <w:top w:val="single" w:sz="12" w:space="0" w:color="auto"/>
            </w:tcBorders>
            <w:shd w:val="clear" w:color="auto" w:fill="auto"/>
          </w:tcPr>
          <w:p w14:paraId="59A96085" w14:textId="74D5744E" w:rsidR="00CF0CB0" w:rsidRPr="009960E1" w:rsidRDefault="00CF0CB0" w:rsidP="00F27F0E">
            <w:pPr>
              <w:pStyle w:val="Tabletext"/>
              <w:jc w:val="center"/>
              <w:rPr>
                <w:lang w:val="es-ES_tradnl"/>
              </w:rPr>
            </w:pPr>
            <w:r w:rsidRPr="009960E1">
              <w:rPr>
                <w:lang w:val="es-ES_tradnl"/>
              </w:rPr>
              <w:t>2</w:t>
            </w:r>
            <w:r w:rsidR="00650DE1">
              <w:rPr>
                <w:lang w:val="es-ES_tradnl"/>
              </w:rPr>
              <w:t>/</w:t>
            </w:r>
            <w:r w:rsidR="0048238B" w:rsidRPr="009960E1">
              <w:rPr>
                <w:lang w:val="es-ES_tradnl"/>
              </w:rPr>
              <w:t>08</w:t>
            </w:r>
            <w:r w:rsidR="00650DE1">
              <w:rPr>
                <w:lang w:val="es-ES_tradnl"/>
              </w:rPr>
              <w:t>/</w:t>
            </w:r>
            <w:r w:rsidR="0048238B" w:rsidRPr="009960E1">
              <w:rPr>
                <w:lang w:val="es-ES_tradnl"/>
              </w:rPr>
              <w:t>2024</w:t>
            </w:r>
          </w:p>
        </w:tc>
        <w:tc>
          <w:tcPr>
            <w:tcW w:w="1276" w:type="dxa"/>
            <w:tcBorders>
              <w:top w:val="single" w:sz="12" w:space="0" w:color="auto"/>
            </w:tcBorders>
            <w:shd w:val="clear" w:color="auto" w:fill="auto"/>
          </w:tcPr>
          <w:p w14:paraId="51E8BBB6" w14:textId="77777777" w:rsidR="00CF0CB0" w:rsidRPr="009960E1" w:rsidRDefault="00CF0CB0" w:rsidP="00F27F0E">
            <w:pPr>
              <w:pStyle w:val="Tabletext"/>
              <w:jc w:val="center"/>
              <w:rPr>
                <w:lang w:val="es-ES_tradnl"/>
              </w:rPr>
            </w:pPr>
            <w:r w:rsidRPr="009960E1">
              <w:rPr>
                <w:lang w:val="es-ES_tradnl"/>
              </w:rPr>
              <w:t>Nueva</w:t>
            </w:r>
          </w:p>
        </w:tc>
        <w:tc>
          <w:tcPr>
            <w:tcW w:w="5386" w:type="dxa"/>
            <w:tcBorders>
              <w:top w:val="single" w:sz="12" w:space="0" w:color="auto"/>
            </w:tcBorders>
            <w:shd w:val="clear" w:color="auto" w:fill="auto"/>
          </w:tcPr>
          <w:p w14:paraId="68761672" w14:textId="77777777" w:rsidR="00CF0CB0" w:rsidRPr="009960E1" w:rsidRDefault="00CF0CB0" w:rsidP="00F27F0E">
            <w:pPr>
              <w:pStyle w:val="Tabletext"/>
              <w:rPr>
                <w:lang w:val="es-ES_tradnl"/>
              </w:rPr>
            </w:pPr>
            <w:r w:rsidRPr="009960E1">
              <w:rPr>
                <w:lang w:val="es-ES_tradnl"/>
              </w:rPr>
              <w:t xml:space="preserve">Nota informativa a los presidentes de los grupos </w:t>
            </w:r>
            <w:r w:rsidRPr="009960E1">
              <w:rPr>
                <w:i/>
                <w:iCs/>
                <w:lang w:val="es-ES_tradnl"/>
              </w:rPr>
              <w:t>ad hoc</w:t>
            </w:r>
            <w:r w:rsidRPr="009960E1">
              <w:rPr>
                <w:lang w:val="es-ES_tradnl"/>
              </w:rPr>
              <w:t xml:space="preserve"> y el grupo de redacción de la AMNT</w:t>
            </w:r>
          </w:p>
        </w:tc>
      </w:tr>
    </w:tbl>
    <w:p w14:paraId="08DD894F" w14:textId="5F47C46E" w:rsidR="0087183D" w:rsidRPr="009960E1" w:rsidRDefault="0087183D" w:rsidP="00CF0CB0">
      <w:pPr>
        <w:rPr>
          <w:lang w:val="es-ES_tradnl"/>
        </w:rPr>
      </w:pPr>
      <w:r w:rsidRPr="009960E1">
        <w:rPr>
          <w:lang w:val="es-ES_tradnl"/>
        </w:rPr>
        <w:br w:type="page"/>
      </w:r>
    </w:p>
    <w:p w14:paraId="35E942AA" w14:textId="7635C56E" w:rsidR="00CF0CB0" w:rsidRPr="009960E1" w:rsidRDefault="00CF0CB0" w:rsidP="0048238B">
      <w:pPr>
        <w:pStyle w:val="AnnexNotitle"/>
        <w:rPr>
          <w:szCs w:val="28"/>
          <w:lang w:val="es-ES_tradnl"/>
        </w:rPr>
      </w:pPr>
      <w:bookmarkStart w:id="34" w:name="Annex_A"/>
      <w:bookmarkStart w:id="35" w:name="Annex2"/>
      <w:bookmarkStart w:id="36" w:name="_Toc328400213"/>
      <w:bookmarkStart w:id="37" w:name="_Toc178345864"/>
      <w:bookmarkStart w:id="38" w:name="_Toc179189958"/>
      <w:r w:rsidRPr="009960E1">
        <w:rPr>
          <w:b w:val="0"/>
          <w:bCs/>
          <w:lang w:val="es-ES_tradnl"/>
        </w:rPr>
        <w:lastRenderedPageBreak/>
        <w:t>ANEXO 2</w:t>
      </w:r>
      <w:r w:rsidR="0048238B" w:rsidRPr="009960E1">
        <w:rPr>
          <w:lang w:val="es-ES_tradnl"/>
        </w:rPr>
        <w:br/>
      </w:r>
      <w:r w:rsidRPr="009960E1">
        <w:rPr>
          <w:lang w:val="es-ES_tradnl"/>
        </w:rPr>
        <w:br/>
        <w:t>Nueva Comisión de Estudio C propuesta a la AMNT-24</w:t>
      </w:r>
      <w:bookmarkEnd w:id="34"/>
      <w:bookmarkEnd w:id="35"/>
      <w:bookmarkEnd w:id="36"/>
      <w:bookmarkEnd w:id="37"/>
      <w:bookmarkEnd w:id="38"/>
    </w:p>
    <w:p w14:paraId="6D1BDC76" w14:textId="77777777" w:rsidR="00CF0CB0" w:rsidRPr="009960E1" w:rsidRDefault="00CF0CB0" w:rsidP="005974F8">
      <w:pPr>
        <w:pStyle w:val="Normalaftertitle"/>
        <w:rPr>
          <w:lang w:val="es-ES_tradnl"/>
        </w:rPr>
      </w:pPr>
      <w:r w:rsidRPr="009960E1">
        <w:rPr>
          <w:lang w:val="es-ES_tradnl"/>
        </w:rPr>
        <w:t>El GANT convino en presentar a la AMNT-24 lo siguiente como nueva Comisión de Estudio C (formada a partir de la consolidación de las Comisiones de Estudio 9 y 16 del UIT-T):</w:t>
      </w:r>
    </w:p>
    <w:p w14:paraId="60E59D9E" w14:textId="2409F48F" w:rsidR="00CF0CB0" w:rsidRPr="009960E1" w:rsidRDefault="00CF0CB0" w:rsidP="004E18F0">
      <w:pPr>
        <w:pStyle w:val="enumlev1"/>
        <w:rPr>
          <w:lang w:val="es-ES_tradnl"/>
        </w:rPr>
      </w:pPr>
      <w:r w:rsidRPr="009960E1">
        <w:rPr>
          <w:lang w:val="es-ES_tradnl"/>
        </w:rPr>
        <w:t>–</w:t>
      </w:r>
      <w:r w:rsidRPr="009960E1">
        <w:rPr>
          <w:lang w:val="es-ES_tradnl"/>
        </w:rPr>
        <w:tab/>
        <w:t xml:space="preserve">En el </w:t>
      </w:r>
      <w:hyperlink w:anchor="Annex2_1" w:history="1">
        <w:r w:rsidRPr="009960E1">
          <w:rPr>
            <w:rStyle w:val="Hyperlink"/>
            <w:lang w:val="es-ES_tradnl"/>
          </w:rPr>
          <w:t>Anexo 2.1</w:t>
        </w:r>
      </w:hyperlink>
      <w:r w:rsidRPr="009960E1">
        <w:rPr>
          <w:u w:val="single"/>
          <w:lang w:val="es-ES_tradnl"/>
        </w:rPr>
        <w:t xml:space="preserve"> </w:t>
      </w:r>
      <w:r w:rsidRPr="009960E1">
        <w:rPr>
          <w:lang w:val="es-ES_tradnl"/>
        </w:rPr>
        <w:t>señalado más abajo figuran los elementos de la Resolución 2 de la AMNT (título, áreas de estudio generales, funciones rectoras, puntos de orientación y</w:t>
      </w:r>
      <w:r w:rsidR="004E18F0" w:rsidRPr="009960E1">
        <w:rPr>
          <w:lang w:val="es-ES_tradnl"/>
        </w:rPr>
        <w:t> </w:t>
      </w:r>
      <w:r w:rsidRPr="009960E1">
        <w:rPr>
          <w:lang w:val="es-ES_tradnl"/>
        </w:rPr>
        <w:t>lista de Recomendaciones bajo su responsabilidad);</w:t>
      </w:r>
    </w:p>
    <w:p w14:paraId="63DC8EE3" w14:textId="194B67BC" w:rsidR="00CF0CB0" w:rsidRPr="009960E1" w:rsidRDefault="00CF0CB0" w:rsidP="004E18F0">
      <w:pPr>
        <w:pStyle w:val="enumlev1"/>
        <w:rPr>
          <w:lang w:val="es-ES_tradnl"/>
        </w:rPr>
      </w:pPr>
      <w:r w:rsidRPr="009960E1">
        <w:rPr>
          <w:lang w:val="es-ES_tradnl"/>
        </w:rPr>
        <w:t>–</w:t>
      </w:r>
      <w:r w:rsidRPr="009960E1">
        <w:rPr>
          <w:lang w:val="es-ES_tradnl"/>
        </w:rPr>
        <w:tab/>
        <w:t>El conjunto de Cuestiones enumeradas en el Cuadro 2.1, que indica el número provisional de la Cuestión, el título, el historial (situación) y el documento donde puede consultarse el texto. El conjunto incluye las Cuestiones propuestas por las CE</w:t>
      </w:r>
      <w:r w:rsidR="004E18F0" w:rsidRPr="009960E1">
        <w:rPr>
          <w:lang w:val="es-ES_tradnl"/>
        </w:rPr>
        <w:t> </w:t>
      </w:r>
      <w:r w:rsidRPr="009960E1">
        <w:rPr>
          <w:lang w:val="es-ES_tradnl"/>
        </w:rPr>
        <w:t xml:space="preserve">9 y 16 respectivamente en AMNT-24 </w:t>
      </w:r>
      <w:hyperlink r:id="rId112" w:history="1">
        <w:r w:rsidRPr="009960E1">
          <w:rPr>
            <w:rStyle w:val="Hyperlink"/>
            <w:lang w:val="es-ES_tradnl"/>
          </w:rPr>
          <w:t>C8</w:t>
        </w:r>
      </w:hyperlink>
      <w:r w:rsidRPr="009960E1">
        <w:rPr>
          <w:lang w:val="es-ES_tradnl"/>
        </w:rPr>
        <w:t xml:space="preserve"> y </w:t>
      </w:r>
      <w:hyperlink r:id="rId113" w:history="1">
        <w:r w:rsidRPr="009960E1">
          <w:rPr>
            <w:rStyle w:val="Hyperlink"/>
            <w:lang w:val="es-ES_tradnl"/>
          </w:rPr>
          <w:t>C18</w:t>
        </w:r>
      </w:hyperlink>
      <w:r w:rsidRPr="009960E1">
        <w:rPr>
          <w:lang w:val="es-ES_tradnl"/>
        </w:rPr>
        <w:t xml:space="preserve">, con la </w:t>
      </w:r>
      <w:r w:rsidRPr="009960E1">
        <w:rPr>
          <w:i/>
          <w:iCs/>
          <w:lang w:val="es-ES_tradnl"/>
        </w:rPr>
        <w:t xml:space="preserve">excepción </w:t>
      </w:r>
      <w:r w:rsidRPr="009960E1">
        <w:rPr>
          <w:lang w:val="es-ES_tradnl"/>
        </w:rPr>
        <w:t xml:space="preserve">de las Cuestiones J/9 (antes 10/9) y A/16 (antes 1/16) que se </w:t>
      </w:r>
      <w:r w:rsidRPr="009960E1">
        <w:rPr>
          <w:i/>
          <w:iCs/>
          <w:lang w:val="es-ES_tradnl"/>
        </w:rPr>
        <w:t xml:space="preserve">sustituyen </w:t>
      </w:r>
      <w:r w:rsidRPr="009960E1">
        <w:rPr>
          <w:lang w:val="es-ES_tradnl"/>
        </w:rPr>
        <w:t xml:space="preserve">por Q.Coord/C incluido en el </w:t>
      </w:r>
      <w:hyperlink w:anchor="Annex2_2" w:history="1">
        <w:r w:rsidRPr="009960E1">
          <w:rPr>
            <w:rStyle w:val="Hyperlink"/>
            <w:lang w:val="es-ES_tradnl"/>
          </w:rPr>
          <w:t>Anexo 2.2</w:t>
        </w:r>
      </w:hyperlink>
      <w:r w:rsidRPr="009960E1">
        <w:rPr>
          <w:lang w:val="es-ES_tradnl"/>
        </w:rPr>
        <w:t xml:space="preserve"> de este informe </w:t>
      </w:r>
      <w:r w:rsidRPr="009960E1">
        <w:rPr>
          <w:i/>
          <w:iCs/>
          <w:lang w:val="es-ES_tradnl"/>
        </w:rPr>
        <w:t xml:space="preserve">y </w:t>
      </w:r>
      <w:r w:rsidRPr="009960E1">
        <w:rPr>
          <w:lang w:val="es-ES_tradnl"/>
        </w:rPr>
        <w:t xml:space="preserve">las Cuestiones K/9 (antes 11/9) y L/16 (antes 26/16) que se </w:t>
      </w:r>
      <w:r w:rsidRPr="009960E1">
        <w:rPr>
          <w:i/>
          <w:iCs/>
          <w:lang w:val="es-ES_tradnl"/>
        </w:rPr>
        <w:t xml:space="preserve">sustituyen </w:t>
      </w:r>
      <w:r w:rsidRPr="009960E1">
        <w:rPr>
          <w:lang w:val="es-ES_tradnl"/>
        </w:rPr>
        <w:t xml:space="preserve">por Q.Acc/C incluido en el </w:t>
      </w:r>
      <w:hyperlink w:anchor="Annex2_3" w:history="1">
        <w:r w:rsidRPr="009960E1">
          <w:rPr>
            <w:rStyle w:val="Hyperlink"/>
            <w:lang w:val="es-ES_tradnl"/>
          </w:rPr>
          <w:t>Anexo 2.3</w:t>
        </w:r>
      </w:hyperlink>
      <w:r w:rsidRPr="009960E1">
        <w:rPr>
          <w:lang w:val="es-ES_tradnl"/>
        </w:rPr>
        <w:t xml:space="preserve"> de este informe.</w:t>
      </w:r>
    </w:p>
    <w:p w14:paraId="1F62882A" w14:textId="15E03C08" w:rsidR="00CF0CB0" w:rsidRPr="009960E1" w:rsidRDefault="004E18F0" w:rsidP="00CF0CB0">
      <w:pPr>
        <w:pStyle w:val="TableNotitle"/>
        <w:rPr>
          <w:lang w:val="es-ES_tradnl"/>
        </w:rPr>
      </w:pPr>
      <w:r w:rsidRPr="009960E1">
        <w:rPr>
          <w:b w:val="0"/>
          <w:lang w:val="es-ES_tradnl"/>
        </w:rPr>
        <w:t xml:space="preserve">CUADRO </w:t>
      </w:r>
      <w:r w:rsidR="00CF0CB0" w:rsidRPr="009960E1">
        <w:rPr>
          <w:b w:val="0"/>
          <w:lang w:val="es-ES_tradnl"/>
        </w:rPr>
        <w:t>2.1</w:t>
      </w:r>
      <w:r w:rsidRPr="009960E1">
        <w:rPr>
          <w:bCs/>
          <w:lang w:val="es-ES_tradnl"/>
        </w:rPr>
        <w:br/>
      </w:r>
      <w:r w:rsidR="00CF0CB0" w:rsidRPr="009960E1">
        <w:rPr>
          <w:bCs/>
          <w:lang w:val="es-ES_tradnl"/>
        </w:rPr>
        <w:t>Lista de las 23 Cuestiones iniciales propuestas para la CE</w:t>
      </w:r>
      <w:r w:rsidR="00A01B74">
        <w:rPr>
          <w:bCs/>
          <w:lang w:val="es-ES_tradnl"/>
        </w:rPr>
        <w:t> </w:t>
      </w:r>
      <w:r w:rsidR="00CF0CB0" w:rsidRPr="009960E1">
        <w:rPr>
          <w:bCs/>
          <w:lang w:val="es-ES_tradnl"/>
        </w:rPr>
        <w:t>C</w:t>
      </w:r>
    </w:p>
    <w:tbl>
      <w:tblPr>
        <w:tblStyle w:val="TableGrid"/>
        <w:tblW w:w="5000" w:type="pct"/>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2"/>
        <w:gridCol w:w="3821"/>
        <w:gridCol w:w="2550"/>
        <w:gridCol w:w="1826"/>
      </w:tblGrid>
      <w:tr w:rsidR="004E18F0" w:rsidRPr="009960E1" w14:paraId="05CA2B6D" w14:textId="77777777" w:rsidTr="004E18F0">
        <w:trPr>
          <w:tblHeader/>
          <w:jc w:val="center"/>
        </w:trPr>
        <w:tc>
          <w:tcPr>
            <w:tcW w:w="735" w:type="pct"/>
            <w:tcBorders>
              <w:top w:val="single" w:sz="12" w:space="0" w:color="auto"/>
              <w:bottom w:val="single" w:sz="12" w:space="0" w:color="auto"/>
            </w:tcBorders>
            <w:shd w:val="clear" w:color="auto" w:fill="auto"/>
            <w:tcMar>
              <w:left w:w="85" w:type="dxa"/>
              <w:right w:w="85" w:type="dxa"/>
            </w:tcMar>
            <w:hideMark/>
          </w:tcPr>
          <w:p w14:paraId="220E63BD" w14:textId="77777777" w:rsidR="00CF0CB0" w:rsidRPr="009960E1" w:rsidRDefault="00CF0CB0" w:rsidP="00F27F0E">
            <w:pPr>
              <w:pStyle w:val="Tablehead"/>
              <w:rPr>
                <w:lang w:val="es-ES_tradnl"/>
              </w:rPr>
            </w:pPr>
            <w:r w:rsidRPr="009960E1">
              <w:rPr>
                <w:bCs/>
                <w:lang w:val="es-ES_tradnl"/>
              </w:rPr>
              <w:t>Número de la Cuestión</w:t>
            </w:r>
          </w:p>
        </w:tc>
        <w:tc>
          <w:tcPr>
            <w:tcW w:w="1988" w:type="pct"/>
            <w:tcBorders>
              <w:top w:val="single" w:sz="12" w:space="0" w:color="auto"/>
              <w:bottom w:val="single" w:sz="12" w:space="0" w:color="auto"/>
            </w:tcBorders>
            <w:shd w:val="clear" w:color="auto" w:fill="auto"/>
            <w:tcMar>
              <w:left w:w="85" w:type="dxa"/>
              <w:right w:w="85" w:type="dxa"/>
            </w:tcMar>
            <w:hideMark/>
          </w:tcPr>
          <w:p w14:paraId="1D151125" w14:textId="77777777" w:rsidR="00CF0CB0" w:rsidRPr="009960E1" w:rsidRDefault="00CF0CB0" w:rsidP="00F27F0E">
            <w:pPr>
              <w:pStyle w:val="Tablehead"/>
              <w:rPr>
                <w:lang w:val="es-ES_tradnl"/>
              </w:rPr>
            </w:pPr>
            <w:r w:rsidRPr="009960E1">
              <w:rPr>
                <w:bCs/>
                <w:lang w:val="es-ES_tradnl"/>
              </w:rPr>
              <w:t>Título de la Cuestión</w:t>
            </w:r>
          </w:p>
        </w:tc>
        <w:tc>
          <w:tcPr>
            <w:tcW w:w="1327" w:type="pct"/>
            <w:tcBorders>
              <w:top w:val="single" w:sz="12" w:space="0" w:color="auto"/>
              <w:bottom w:val="single" w:sz="12" w:space="0" w:color="auto"/>
            </w:tcBorders>
            <w:shd w:val="clear" w:color="auto" w:fill="auto"/>
            <w:tcMar>
              <w:left w:w="85" w:type="dxa"/>
              <w:right w:w="85" w:type="dxa"/>
            </w:tcMar>
            <w:hideMark/>
          </w:tcPr>
          <w:p w14:paraId="4C3F76DB" w14:textId="77777777" w:rsidR="00CF0CB0" w:rsidRPr="009960E1" w:rsidRDefault="00CF0CB0" w:rsidP="00F27F0E">
            <w:pPr>
              <w:pStyle w:val="Tablehead"/>
              <w:rPr>
                <w:lang w:val="es-ES_tradnl"/>
              </w:rPr>
            </w:pPr>
            <w:r w:rsidRPr="009960E1">
              <w:rPr>
                <w:bCs/>
                <w:lang w:val="es-ES_tradnl"/>
              </w:rPr>
              <w:t>Situación</w:t>
            </w:r>
          </w:p>
        </w:tc>
        <w:tc>
          <w:tcPr>
            <w:tcW w:w="951" w:type="pct"/>
            <w:tcBorders>
              <w:top w:val="single" w:sz="12" w:space="0" w:color="auto"/>
              <w:bottom w:val="single" w:sz="12" w:space="0" w:color="auto"/>
            </w:tcBorders>
            <w:shd w:val="clear" w:color="auto" w:fill="auto"/>
            <w:tcMar>
              <w:left w:w="85" w:type="dxa"/>
              <w:right w:w="85" w:type="dxa"/>
            </w:tcMar>
          </w:tcPr>
          <w:p w14:paraId="39BF9529" w14:textId="77777777" w:rsidR="00CF0CB0" w:rsidRPr="009960E1" w:rsidRDefault="00CF0CB0" w:rsidP="00F27F0E">
            <w:pPr>
              <w:pStyle w:val="Tablehead"/>
              <w:rPr>
                <w:lang w:val="es-ES_tradnl"/>
              </w:rPr>
            </w:pPr>
            <w:r w:rsidRPr="009960E1">
              <w:rPr>
                <w:bCs/>
                <w:lang w:val="es-ES_tradnl"/>
              </w:rPr>
              <w:t>Se encuentra en</w:t>
            </w:r>
          </w:p>
        </w:tc>
      </w:tr>
      <w:tr w:rsidR="004E18F0" w:rsidRPr="009960E1" w14:paraId="14E22B76" w14:textId="77777777" w:rsidTr="004E18F0">
        <w:trPr>
          <w:jc w:val="center"/>
        </w:trPr>
        <w:tc>
          <w:tcPr>
            <w:tcW w:w="735" w:type="pct"/>
            <w:tcBorders>
              <w:top w:val="single" w:sz="12" w:space="0" w:color="auto"/>
            </w:tcBorders>
            <w:shd w:val="clear" w:color="auto" w:fill="auto"/>
            <w:tcMar>
              <w:left w:w="85" w:type="dxa"/>
              <w:right w:w="85" w:type="dxa"/>
            </w:tcMar>
            <w:hideMark/>
          </w:tcPr>
          <w:p w14:paraId="37F0ACCB" w14:textId="77777777" w:rsidR="00CF0CB0" w:rsidRPr="009960E1" w:rsidRDefault="00CF0CB0" w:rsidP="00F27F0E">
            <w:pPr>
              <w:pStyle w:val="Tabletext"/>
              <w:rPr>
                <w:lang w:val="es-ES_tradnl"/>
              </w:rPr>
            </w:pPr>
            <w:r w:rsidRPr="009960E1">
              <w:rPr>
                <w:lang w:val="es-ES_tradnl"/>
              </w:rPr>
              <w:t>A/9</w:t>
            </w:r>
          </w:p>
        </w:tc>
        <w:tc>
          <w:tcPr>
            <w:tcW w:w="1988" w:type="pct"/>
            <w:tcBorders>
              <w:top w:val="single" w:sz="12" w:space="0" w:color="auto"/>
            </w:tcBorders>
            <w:shd w:val="clear" w:color="auto" w:fill="auto"/>
            <w:tcMar>
              <w:left w:w="85" w:type="dxa"/>
              <w:right w:w="85" w:type="dxa"/>
            </w:tcMar>
          </w:tcPr>
          <w:p w14:paraId="2721CA6E" w14:textId="77777777" w:rsidR="00CF0CB0" w:rsidRPr="009960E1" w:rsidRDefault="00CF0CB0" w:rsidP="00F27F0E">
            <w:pPr>
              <w:pStyle w:val="Tabletext"/>
              <w:rPr>
                <w:lang w:val="es-ES_tradnl"/>
              </w:rPr>
            </w:pPr>
            <w:r w:rsidRPr="009960E1">
              <w:rPr>
                <w:lang w:val="es-ES_tradnl"/>
              </w:rPr>
              <w:t>Transmisión y control de la transferencia de señales de programas radiofónicos y de televisión destinadas a la contribución, la distribución primaria y la distribución secundaria</w:t>
            </w:r>
          </w:p>
        </w:tc>
        <w:tc>
          <w:tcPr>
            <w:tcW w:w="1327" w:type="pct"/>
            <w:tcBorders>
              <w:top w:val="single" w:sz="12" w:space="0" w:color="auto"/>
            </w:tcBorders>
            <w:shd w:val="clear" w:color="auto" w:fill="auto"/>
            <w:tcMar>
              <w:left w:w="85" w:type="dxa"/>
              <w:right w:w="85" w:type="dxa"/>
            </w:tcMar>
            <w:hideMark/>
          </w:tcPr>
          <w:p w14:paraId="565F99E7" w14:textId="77777777" w:rsidR="00CF0CB0" w:rsidRPr="009960E1" w:rsidRDefault="00CF0CB0" w:rsidP="00F27F0E">
            <w:pPr>
              <w:pStyle w:val="Tabletext"/>
              <w:rPr>
                <w:lang w:val="es-ES_tradnl"/>
              </w:rPr>
            </w:pPr>
            <w:r w:rsidRPr="009960E1">
              <w:rPr>
                <w:lang w:val="es-ES_tradnl"/>
              </w:rPr>
              <w:t>Continuación de la C1/9</w:t>
            </w:r>
          </w:p>
        </w:tc>
        <w:tc>
          <w:tcPr>
            <w:tcW w:w="951" w:type="pct"/>
            <w:tcBorders>
              <w:top w:val="single" w:sz="12" w:space="0" w:color="auto"/>
            </w:tcBorders>
            <w:shd w:val="clear" w:color="auto" w:fill="auto"/>
            <w:tcMar>
              <w:left w:w="85" w:type="dxa"/>
              <w:right w:w="85" w:type="dxa"/>
            </w:tcMar>
          </w:tcPr>
          <w:p w14:paraId="2CA018BF" w14:textId="17B9F9CB" w:rsidR="00CF0CB0" w:rsidRPr="00650DE1" w:rsidRDefault="00000000" w:rsidP="00650DE1">
            <w:pPr>
              <w:pStyle w:val="Tabletext"/>
              <w:jc w:val="center"/>
              <w:rPr>
                <w:lang w:val="es-ES_tradnl"/>
              </w:rPr>
            </w:pPr>
            <w:hyperlink r:id="rId114" w:history="1">
              <w:r w:rsidR="00CF0CB0" w:rsidRPr="00650DE1">
                <w:rPr>
                  <w:rStyle w:val="Hyperlink"/>
                  <w:lang w:val="es-ES_tradnl"/>
                </w:rPr>
                <w:t>WTSA-24 C8</w:t>
              </w:r>
            </w:hyperlink>
            <w:r w:rsidR="00CF0CB0" w:rsidRPr="00650DE1">
              <w:rPr>
                <w:rStyle w:val="Hyperlink"/>
                <w:lang w:val="es-ES_tradnl"/>
              </w:rPr>
              <w:t xml:space="preserve"> </w:t>
            </w:r>
            <w:r w:rsidR="00CF0CB0" w:rsidRPr="009960E1">
              <w:rPr>
                <w:lang w:val="es-ES_tradnl"/>
              </w:rPr>
              <w:t>(Rev.1)</w:t>
            </w:r>
          </w:p>
        </w:tc>
      </w:tr>
      <w:tr w:rsidR="004E18F0" w:rsidRPr="009960E1" w14:paraId="3796DFC7" w14:textId="77777777" w:rsidTr="004E18F0">
        <w:trPr>
          <w:jc w:val="center"/>
        </w:trPr>
        <w:tc>
          <w:tcPr>
            <w:tcW w:w="735" w:type="pct"/>
            <w:shd w:val="clear" w:color="auto" w:fill="auto"/>
            <w:tcMar>
              <w:left w:w="85" w:type="dxa"/>
              <w:right w:w="85" w:type="dxa"/>
            </w:tcMar>
            <w:hideMark/>
          </w:tcPr>
          <w:p w14:paraId="43A9F9B3" w14:textId="77777777" w:rsidR="00CF0CB0" w:rsidRPr="009960E1" w:rsidRDefault="00CF0CB0" w:rsidP="00F27F0E">
            <w:pPr>
              <w:pStyle w:val="Tabletext"/>
              <w:rPr>
                <w:lang w:val="es-ES_tradnl"/>
              </w:rPr>
            </w:pPr>
            <w:r w:rsidRPr="009960E1">
              <w:rPr>
                <w:lang w:val="es-ES_tradnl"/>
              </w:rPr>
              <w:t>B/9</w:t>
            </w:r>
          </w:p>
        </w:tc>
        <w:tc>
          <w:tcPr>
            <w:tcW w:w="1988" w:type="pct"/>
            <w:shd w:val="clear" w:color="auto" w:fill="auto"/>
            <w:tcMar>
              <w:left w:w="85" w:type="dxa"/>
              <w:right w:w="85" w:type="dxa"/>
            </w:tcMar>
          </w:tcPr>
          <w:p w14:paraId="6ADD2BD4" w14:textId="77777777" w:rsidR="00CF0CB0" w:rsidRPr="009960E1" w:rsidRDefault="00CF0CB0" w:rsidP="00F27F0E">
            <w:pPr>
              <w:pStyle w:val="Tabletext"/>
              <w:rPr>
                <w:lang w:val="es-ES_tradnl"/>
              </w:rPr>
            </w:pPr>
            <w:r w:rsidRPr="009960E1">
              <w:rPr>
                <w:lang w:val="es-ES_tradnl"/>
              </w:rPr>
              <w:t>Métodos y prácticas para el acceso condicional y la protección del contenido</w:t>
            </w:r>
          </w:p>
        </w:tc>
        <w:tc>
          <w:tcPr>
            <w:tcW w:w="1327" w:type="pct"/>
            <w:shd w:val="clear" w:color="auto" w:fill="auto"/>
            <w:tcMar>
              <w:left w:w="85" w:type="dxa"/>
              <w:right w:w="85" w:type="dxa"/>
            </w:tcMar>
            <w:hideMark/>
          </w:tcPr>
          <w:p w14:paraId="41E7621F" w14:textId="77777777" w:rsidR="00CF0CB0" w:rsidRPr="009960E1" w:rsidRDefault="00CF0CB0" w:rsidP="00F27F0E">
            <w:pPr>
              <w:pStyle w:val="Tabletext"/>
              <w:rPr>
                <w:lang w:val="es-ES_tradnl"/>
              </w:rPr>
            </w:pPr>
            <w:r w:rsidRPr="009960E1">
              <w:rPr>
                <w:lang w:val="es-ES_tradnl"/>
              </w:rPr>
              <w:t>Continuación de la C2/9</w:t>
            </w:r>
          </w:p>
        </w:tc>
        <w:tc>
          <w:tcPr>
            <w:tcW w:w="951" w:type="pct"/>
            <w:shd w:val="clear" w:color="auto" w:fill="auto"/>
            <w:tcMar>
              <w:left w:w="85" w:type="dxa"/>
              <w:right w:w="85" w:type="dxa"/>
            </w:tcMar>
          </w:tcPr>
          <w:p w14:paraId="64AC0DB6" w14:textId="0091B076" w:rsidR="00CF0CB0" w:rsidRPr="009960E1" w:rsidRDefault="00000000" w:rsidP="00F27F0E">
            <w:pPr>
              <w:pStyle w:val="Tabletext"/>
              <w:jc w:val="center"/>
              <w:rPr>
                <w:rStyle w:val="Hyperlink"/>
                <w:lang w:val="es-ES_tradnl"/>
              </w:rPr>
            </w:pPr>
            <w:hyperlink r:id="rId115" w:history="1">
              <w:r w:rsidR="00CF0CB0" w:rsidRPr="009960E1">
                <w:rPr>
                  <w:rStyle w:val="Hyperlink"/>
                  <w:lang w:val="es-ES_tradnl"/>
                </w:rPr>
                <w:t>WTSA-24 C8</w:t>
              </w:r>
            </w:hyperlink>
            <w:r w:rsidR="00CF0CB0" w:rsidRPr="009960E1">
              <w:rPr>
                <w:rStyle w:val="Hyperlink"/>
                <w:lang w:val="es-ES_tradnl"/>
              </w:rPr>
              <w:t xml:space="preserve"> </w:t>
            </w:r>
            <w:r w:rsidR="00CF0CB0" w:rsidRPr="009960E1">
              <w:rPr>
                <w:lang w:val="es-ES_tradnl"/>
              </w:rPr>
              <w:t>(Rev.1)</w:t>
            </w:r>
          </w:p>
        </w:tc>
      </w:tr>
      <w:tr w:rsidR="004E18F0" w:rsidRPr="009960E1" w14:paraId="03368450" w14:textId="77777777" w:rsidTr="004E18F0">
        <w:trPr>
          <w:jc w:val="center"/>
        </w:trPr>
        <w:tc>
          <w:tcPr>
            <w:tcW w:w="735" w:type="pct"/>
            <w:shd w:val="clear" w:color="auto" w:fill="auto"/>
            <w:tcMar>
              <w:left w:w="85" w:type="dxa"/>
              <w:right w:w="85" w:type="dxa"/>
            </w:tcMar>
            <w:hideMark/>
          </w:tcPr>
          <w:p w14:paraId="321394E9" w14:textId="77777777" w:rsidR="00CF0CB0" w:rsidRPr="009960E1" w:rsidRDefault="00CF0CB0" w:rsidP="00F27F0E">
            <w:pPr>
              <w:pStyle w:val="Tabletext"/>
              <w:rPr>
                <w:lang w:val="es-ES_tradnl"/>
              </w:rPr>
            </w:pPr>
            <w:r w:rsidRPr="009960E1">
              <w:rPr>
                <w:lang w:val="es-ES_tradnl"/>
              </w:rPr>
              <w:t>C/9</w:t>
            </w:r>
          </w:p>
        </w:tc>
        <w:tc>
          <w:tcPr>
            <w:tcW w:w="1988" w:type="pct"/>
            <w:shd w:val="clear" w:color="auto" w:fill="auto"/>
            <w:tcMar>
              <w:left w:w="85" w:type="dxa"/>
              <w:right w:w="85" w:type="dxa"/>
            </w:tcMar>
          </w:tcPr>
          <w:p w14:paraId="34446A4A" w14:textId="77777777" w:rsidR="00CF0CB0" w:rsidRPr="009960E1" w:rsidRDefault="00CF0CB0" w:rsidP="00F27F0E">
            <w:pPr>
              <w:pStyle w:val="Tabletext"/>
              <w:rPr>
                <w:lang w:val="es-ES_tradnl"/>
              </w:rPr>
            </w:pPr>
            <w:r w:rsidRPr="009960E1">
              <w:rPr>
                <w:lang w:val="es-ES_tradnl"/>
              </w:rPr>
              <w:t>Funciones mejoradas por inteligencia artificial en las redes de cable de banda ancha integradas</w:t>
            </w:r>
          </w:p>
        </w:tc>
        <w:tc>
          <w:tcPr>
            <w:tcW w:w="1327" w:type="pct"/>
            <w:shd w:val="clear" w:color="auto" w:fill="auto"/>
            <w:tcMar>
              <w:left w:w="85" w:type="dxa"/>
              <w:right w:w="85" w:type="dxa"/>
            </w:tcMar>
            <w:hideMark/>
          </w:tcPr>
          <w:p w14:paraId="3FAE62D6" w14:textId="77777777" w:rsidR="00CF0CB0" w:rsidRPr="009960E1" w:rsidRDefault="00CF0CB0" w:rsidP="00F27F0E">
            <w:pPr>
              <w:pStyle w:val="Tabletext"/>
              <w:rPr>
                <w:lang w:val="es-ES_tradnl"/>
              </w:rPr>
            </w:pPr>
            <w:r w:rsidRPr="009960E1">
              <w:rPr>
                <w:lang w:val="es-ES_tradnl"/>
              </w:rPr>
              <w:t>Continuación de la C3/9</w:t>
            </w:r>
          </w:p>
        </w:tc>
        <w:tc>
          <w:tcPr>
            <w:tcW w:w="951" w:type="pct"/>
            <w:shd w:val="clear" w:color="auto" w:fill="auto"/>
            <w:tcMar>
              <w:left w:w="85" w:type="dxa"/>
              <w:right w:w="85" w:type="dxa"/>
            </w:tcMar>
          </w:tcPr>
          <w:p w14:paraId="2012904C" w14:textId="1CE96F80" w:rsidR="00CF0CB0" w:rsidRPr="009960E1" w:rsidRDefault="00000000" w:rsidP="00F27F0E">
            <w:pPr>
              <w:pStyle w:val="Tabletext"/>
              <w:jc w:val="center"/>
              <w:rPr>
                <w:rStyle w:val="Hyperlink"/>
                <w:lang w:val="es-ES_tradnl"/>
              </w:rPr>
            </w:pPr>
            <w:hyperlink r:id="rId116" w:history="1">
              <w:r w:rsidR="00CF0CB0" w:rsidRPr="009960E1">
                <w:rPr>
                  <w:rStyle w:val="Hyperlink"/>
                  <w:lang w:val="es-ES_tradnl"/>
                </w:rPr>
                <w:t>WTSA-24 C8</w:t>
              </w:r>
            </w:hyperlink>
            <w:r w:rsidR="00CF0CB0" w:rsidRPr="009960E1">
              <w:rPr>
                <w:rStyle w:val="Hyperlink"/>
                <w:lang w:val="es-ES_tradnl"/>
              </w:rPr>
              <w:t xml:space="preserve"> </w:t>
            </w:r>
            <w:r w:rsidR="00CF0CB0" w:rsidRPr="009960E1">
              <w:rPr>
                <w:lang w:val="es-ES_tradnl"/>
              </w:rPr>
              <w:t>(Rev.1)</w:t>
            </w:r>
          </w:p>
        </w:tc>
      </w:tr>
      <w:tr w:rsidR="004E18F0" w:rsidRPr="009960E1" w14:paraId="7B9C7650" w14:textId="77777777" w:rsidTr="004E18F0">
        <w:trPr>
          <w:jc w:val="center"/>
        </w:trPr>
        <w:tc>
          <w:tcPr>
            <w:tcW w:w="735" w:type="pct"/>
            <w:shd w:val="clear" w:color="auto" w:fill="auto"/>
            <w:tcMar>
              <w:left w:w="85" w:type="dxa"/>
              <w:right w:w="85" w:type="dxa"/>
            </w:tcMar>
            <w:hideMark/>
          </w:tcPr>
          <w:p w14:paraId="5D7E963A" w14:textId="77777777" w:rsidR="00CF0CB0" w:rsidRPr="009960E1" w:rsidRDefault="00CF0CB0" w:rsidP="00F27F0E">
            <w:pPr>
              <w:pStyle w:val="Tabletext"/>
              <w:rPr>
                <w:lang w:val="es-ES_tradnl"/>
              </w:rPr>
            </w:pPr>
            <w:r w:rsidRPr="009960E1">
              <w:rPr>
                <w:lang w:val="es-ES_tradnl"/>
              </w:rPr>
              <w:t>D/9</w:t>
            </w:r>
          </w:p>
        </w:tc>
        <w:tc>
          <w:tcPr>
            <w:tcW w:w="1988" w:type="pct"/>
            <w:shd w:val="clear" w:color="auto" w:fill="auto"/>
            <w:tcMar>
              <w:left w:w="85" w:type="dxa"/>
              <w:right w:w="85" w:type="dxa"/>
            </w:tcMar>
          </w:tcPr>
          <w:p w14:paraId="5C560C82" w14:textId="77777777" w:rsidR="00CF0CB0" w:rsidRPr="009960E1" w:rsidRDefault="00CF0CB0" w:rsidP="00F27F0E">
            <w:pPr>
              <w:pStyle w:val="Tabletext"/>
              <w:rPr>
                <w:lang w:val="es-ES_tradnl"/>
              </w:rPr>
            </w:pPr>
            <w:r w:rsidRPr="009960E1">
              <w:rPr>
                <w:lang w:val="es-ES_tradnl"/>
              </w:rPr>
              <w:t>Directrices para la implementación y despliegue de redes de televisión digital por cable en países en desarrollo</w:t>
            </w:r>
          </w:p>
        </w:tc>
        <w:tc>
          <w:tcPr>
            <w:tcW w:w="1327" w:type="pct"/>
            <w:shd w:val="clear" w:color="auto" w:fill="auto"/>
            <w:tcMar>
              <w:left w:w="85" w:type="dxa"/>
              <w:right w:w="85" w:type="dxa"/>
            </w:tcMar>
            <w:hideMark/>
          </w:tcPr>
          <w:p w14:paraId="6C2AB51C" w14:textId="77777777" w:rsidR="00CF0CB0" w:rsidRPr="009960E1" w:rsidRDefault="00CF0CB0" w:rsidP="00F27F0E">
            <w:pPr>
              <w:pStyle w:val="Tabletext"/>
              <w:rPr>
                <w:lang w:val="es-ES_tradnl"/>
              </w:rPr>
            </w:pPr>
            <w:r w:rsidRPr="009960E1">
              <w:rPr>
                <w:lang w:val="es-ES_tradnl"/>
              </w:rPr>
              <w:t>Continuación de la C4/9</w:t>
            </w:r>
          </w:p>
        </w:tc>
        <w:tc>
          <w:tcPr>
            <w:tcW w:w="951" w:type="pct"/>
            <w:shd w:val="clear" w:color="auto" w:fill="auto"/>
            <w:tcMar>
              <w:left w:w="85" w:type="dxa"/>
              <w:right w:w="85" w:type="dxa"/>
            </w:tcMar>
          </w:tcPr>
          <w:p w14:paraId="3D72E3DD" w14:textId="1AA0F5FC" w:rsidR="00CF0CB0" w:rsidRPr="009960E1" w:rsidRDefault="00000000" w:rsidP="00F27F0E">
            <w:pPr>
              <w:pStyle w:val="Tabletext"/>
              <w:jc w:val="center"/>
              <w:rPr>
                <w:rStyle w:val="Hyperlink"/>
                <w:lang w:val="es-ES_tradnl"/>
              </w:rPr>
            </w:pPr>
            <w:hyperlink r:id="rId117" w:history="1">
              <w:r w:rsidR="00CF0CB0" w:rsidRPr="009960E1">
                <w:rPr>
                  <w:rStyle w:val="Hyperlink"/>
                  <w:lang w:val="es-ES_tradnl"/>
                </w:rPr>
                <w:t>WTSA-24 C8</w:t>
              </w:r>
            </w:hyperlink>
            <w:r w:rsidR="00CF0CB0" w:rsidRPr="009960E1">
              <w:rPr>
                <w:rStyle w:val="Hyperlink"/>
                <w:lang w:val="es-ES_tradnl"/>
              </w:rPr>
              <w:t xml:space="preserve"> </w:t>
            </w:r>
            <w:r w:rsidR="00CF0CB0" w:rsidRPr="009960E1">
              <w:rPr>
                <w:lang w:val="es-ES_tradnl"/>
              </w:rPr>
              <w:t>(Rev.1)</w:t>
            </w:r>
          </w:p>
        </w:tc>
      </w:tr>
      <w:tr w:rsidR="004E18F0" w:rsidRPr="009960E1" w14:paraId="037C0D0F" w14:textId="77777777" w:rsidTr="004E18F0">
        <w:trPr>
          <w:jc w:val="center"/>
        </w:trPr>
        <w:tc>
          <w:tcPr>
            <w:tcW w:w="735" w:type="pct"/>
            <w:shd w:val="clear" w:color="auto" w:fill="auto"/>
            <w:tcMar>
              <w:left w:w="85" w:type="dxa"/>
              <w:right w:w="85" w:type="dxa"/>
            </w:tcMar>
            <w:hideMark/>
          </w:tcPr>
          <w:p w14:paraId="3C73E3E2" w14:textId="77777777" w:rsidR="00CF0CB0" w:rsidRPr="009960E1" w:rsidRDefault="00CF0CB0" w:rsidP="00F27F0E">
            <w:pPr>
              <w:pStyle w:val="Tabletext"/>
              <w:rPr>
                <w:lang w:val="es-ES_tradnl"/>
              </w:rPr>
            </w:pPr>
            <w:r w:rsidRPr="009960E1">
              <w:rPr>
                <w:lang w:val="es-ES_tradnl"/>
              </w:rPr>
              <w:t>E/9</w:t>
            </w:r>
          </w:p>
        </w:tc>
        <w:tc>
          <w:tcPr>
            <w:tcW w:w="1988" w:type="pct"/>
            <w:shd w:val="clear" w:color="auto" w:fill="auto"/>
            <w:tcMar>
              <w:left w:w="85" w:type="dxa"/>
              <w:right w:w="85" w:type="dxa"/>
            </w:tcMar>
          </w:tcPr>
          <w:p w14:paraId="44FA22A7" w14:textId="77777777" w:rsidR="00CF0CB0" w:rsidRPr="009960E1" w:rsidRDefault="00CF0CB0" w:rsidP="00F27F0E">
            <w:pPr>
              <w:pStyle w:val="Tabletext"/>
              <w:rPr>
                <w:lang w:val="es-ES_tradnl"/>
              </w:rPr>
            </w:pPr>
            <w:r w:rsidRPr="009960E1">
              <w:rPr>
                <w:lang w:val="es-ES_tradnl"/>
              </w:rPr>
              <w:t>Marcos y arquitecturas de s</w:t>
            </w:r>
            <w:r w:rsidRPr="00D15FEC">
              <w:rPr>
                <w:i/>
                <w:iCs/>
                <w:lang w:val="es-ES_tradnl"/>
              </w:rPr>
              <w:t>oftware</w:t>
            </w:r>
            <w:r w:rsidRPr="009960E1">
              <w:rPr>
                <w:lang w:val="es-ES_tradnl"/>
              </w:rPr>
              <w:t xml:space="preserve"> para servicios de distribución de contenido avanzados por redes de cable de banda ancha integradas</w:t>
            </w:r>
          </w:p>
        </w:tc>
        <w:tc>
          <w:tcPr>
            <w:tcW w:w="1327" w:type="pct"/>
            <w:shd w:val="clear" w:color="auto" w:fill="auto"/>
            <w:tcMar>
              <w:left w:w="85" w:type="dxa"/>
              <w:right w:w="85" w:type="dxa"/>
            </w:tcMar>
            <w:hideMark/>
          </w:tcPr>
          <w:p w14:paraId="4B103A6F" w14:textId="77777777" w:rsidR="00CF0CB0" w:rsidRPr="009960E1" w:rsidRDefault="00CF0CB0" w:rsidP="00F27F0E">
            <w:pPr>
              <w:pStyle w:val="Tabletext"/>
              <w:rPr>
                <w:lang w:val="es-ES_tradnl"/>
              </w:rPr>
            </w:pPr>
            <w:r w:rsidRPr="009960E1">
              <w:rPr>
                <w:lang w:val="es-ES_tradnl"/>
              </w:rPr>
              <w:t>Continuación de la C5/9</w:t>
            </w:r>
          </w:p>
        </w:tc>
        <w:tc>
          <w:tcPr>
            <w:tcW w:w="951" w:type="pct"/>
            <w:shd w:val="clear" w:color="auto" w:fill="auto"/>
            <w:tcMar>
              <w:left w:w="85" w:type="dxa"/>
              <w:right w:w="85" w:type="dxa"/>
            </w:tcMar>
          </w:tcPr>
          <w:p w14:paraId="489E7F07" w14:textId="629AD39C" w:rsidR="00CF0CB0" w:rsidRPr="009960E1" w:rsidRDefault="00000000" w:rsidP="00F27F0E">
            <w:pPr>
              <w:pStyle w:val="Tabletext"/>
              <w:jc w:val="center"/>
              <w:rPr>
                <w:rStyle w:val="Hyperlink"/>
                <w:lang w:val="es-ES_tradnl"/>
              </w:rPr>
            </w:pPr>
            <w:hyperlink r:id="rId118" w:history="1">
              <w:r w:rsidR="00CF0CB0" w:rsidRPr="009960E1">
                <w:rPr>
                  <w:rStyle w:val="Hyperlink"/>
                  <w:lang w:val="es-ES_tradnl"/>
                </w:rPr>
                <w:t>WTSA-24 C8</w:t>
              </w:r>
            </w:hyperlink>
            <w:r w:rsidR="00CF0CB0" w:rsidRPr="009960E1">
              <w:rPr>
                <w:rStyle w:val="Hyperlink"/>
                <w:lang w:val="es-ES_tradnl"/>
              </w:rPr>
              <w:t xml:space="preserve"> </w:t>
            </w:r>
            <w:r w:rsidR="00CF0CB0" w:rsidRPr="009960E1">
              <w:rPr>
                <w:lang w:val="es-ES_tradnl"/>
              </w:rPr>
              <w:t>(Rev.1)</w:t>
            </w:r>
          </w:p>
        </w:tc>
      </w:tr>
      <w:tr w:rsidR="004E18F0" w:rsidRPr="009960E1" w14:paraId="4C436B25" w14:textId="77777777" w:rsidTr="004E18F0">
        <w:trPr>
          <w:jc w:val="center"/>
        </w:trPr>
        <w:tc>
          <w:tcPr>
            <w:tcW w:w="735" w:type="pct"/>
            <w:shd w:val="clear" w:color="auto" w:fill="auto"/>
            <w:tcMar>
              <w:left w:w="85" w:type="dxa"/>
              <w:right w:w="85" w:type="dxa"/>
            </w:tcMar>
            <w:hideMark/>
          </w:tcPr>
          <w:p w14:paraId="490D9FF0" w14:textId="77777777" w:rsidR="00CF0CB0" w:rsidRPr="009960E1" w:rsidRDefault="00CF0CB0" w:rsidP="00F27F0E">
            <w:pPr>
              <w:pStyle w:val="Tabletext"/>
              <w:rPr>
                <w:lang w:val="es-ES_tradnl"/>
              </w:rPr>
            </w:pPr>
            <w:r w:rsidRPr="009960E1">
              <w:rPr>
                <w:lang w:val="es-ES_tradnl"/>
              </w:rPr>
              <w:t>F/9</w:t>
            </w:r>
          </w:p>
        </w:tc>
        <w:tc>
          <w:tcPr>
            <w:tcW w:w="1988" w:type="pct"/>
            <w:shd w:val="clear" w:color="auto" w:fill="auto"/>
            <w:tcMar>
              <w:left w:w="85" w:type="dxa"/>
              <w:right w:w="85" w:type="dxa"/>
            </w:tcMar>
          </w:tcPr>
          <w:p w14:paraId="2ABD8977" w14:textId="77777777" w:rsidR="00CF0CB0" w:rsidRPr="009960E1" w:rsidRDefault="00CF0CB0" w:rsidP="00F27F0E">
            <w:pPr>
              <w:pStyle w:val="Tabletext"/>
              <w:rPr>
                <w:lang w:val="es-ES_tradnl"/>
              </w:rPr>
            </w:pPr>
            <w:r w:rsidRPr="009960E1">
              <w:rPr>
                <w:lang w:val="es-ES_tradnl"/>
              </w:rPr>
              <w:t>Requisitos funcionales de los dispositivos terminales en redes de cable de banda ancha integradas</w:t>
            </w:r>
          </w:p>
        </w:tc>
        <w:tc>
          <w:tcPr>
            <w:tcW w:w="1327" w:type="pct"/>
            <w:shd w:val="clear" w:color="auto" w:fill="auto"/>
            <w:tcMar>
              <w:left w:w="85" w:type="dxa"/>
              <w:right w:w="85" w:type="dxa"/>
            </w:tcMar>
            <w:hideMark/>
          </w:tcPr>
          <w:p w14:paraId="444F5473" w14:textId="77777777" w:rsidR="00CF0CB0" w:rsidRPr="009960E1" w:rsidRDefault="00CF0CB0" w:rsidP="00F27F0E">
            <w:pPr>
              <w:pStyle w:val="Tabletext"/>
              <w:rPr>
                <w:lang w:val="es-ES_tradnl"/>
              </w:rPr>
            </w:pPr>
            <w:r w:rsidRPr="009960E1">
              <w:rPr>
                <w:lang w:val="es-ES_tradnl"/>
              </w:rPr>
              <w:t>Continuación de la C6/9</w:t>
            </w:r>
          </w:p>
        </w:tc>
        <w:tc>
          <w:tcPr>
            <w:tcW w:w="951" w:type="pct"/>
            <w:shd w:val="clear" w:color="auto" w:fill="auto"/>
            <w:tcMar>
              <w:left w:w="85" w:type="dxa"/>
              <w:right w:w="85" w:type="dxa"/>
            </w:tcMar>
          </w:tcPr>
          <w:p w14:paraId="32679ECA" w14:textId="28DFC01E" w:rsidR="00CF0CB0" w:rsidRPr="009960E1" w:rsidRDefault="00000000" w:rsidP="00F27F0E">
            <w:pPr>
              <w:pStyle w:val="Tabletext"/>
              <w:jc w:val="center"/>
              <w:rPr>
                <w:rStyle w:val="Hyperlink"/>
                <w:lang w:val="es-ES_tradnl"/>
              </w:rPr>
            </w:pPr>
            <w:hyperlink r:id="rId119" w:history="1">
              <w:r w:rsidR="00CF0CB0" w:rsidRPr="009960E1">
                <w:rPr>
                  <w:rStyle w:val="Hyperlink"/>
                  <w:lang w:val="es-ES_tradnl"/>
                </w:rPr>
                <w:t>WTSA-24 C8</w:t>
              </w:r>
            </w:hyperlink>
            <w:r w:rsidR="00CF0CB0" w:rsidRPr="009960E1">
              <w:rPr>
                <w:rStyle w:val="Hyperlink"/>
                <w:lang w:val="es-ES_tradnl"/>
              </w:rPr>
              <w:t xml:space="preserve"> </w:t>
            </w:r>
            <w:r w:rsidR="00CF0CB0" w:rsidRPr="009960E1">
              <w:rPr>
                <w:lang w:val="es-ES_tradnl"/>
              </w:rPr>
              <w:t>(Rev.1)</w:t>
            </w:r>
          </w:p>
        </w:tc>
      </w:tr>
      <w:tr w:rsidR="004E18F0" w:rsidRPr="009960E1" w14:paraId="286F3356" w14:textId="77777777" w:rsidTr="004E18F0">
        <w:trPr>
          <w:jc w:val="center"/>
        </w:trPr>
        <w:tc>
          <w:tcPr>
            <w:tcW w:w="735" w:type="pct"/>
            <w:shd w:val="clear" w:color="auto" w:fill="auto"/>
            <w:tcMar>
              <w:left w:w="85" w:type="dxa"/>
              <w:right w:w="85" w:type="dxa"/>
            </w:tcMar>
            <w:hideMark/>
          </w:tcPr>
          <w:p w14:paraId="51725A62" w14:textId="77777777" w:rsidR="00CF0CB0" w:rsidRPr="009960E1" w:rsidRDefault="00CF0CB0" w:rsidP="00F27F0E">
            <w:pPr>
              <w:pStyle w:val="Tabletext"/>
              <w:rPr>
                <w:lang w:val="es-ES_tradnl"/>
              </w:rPr>
            </w:pPr>
            <w:r w:rsidRPr="009960E1">
              <w:rPr>
                <w:lang w:val="es-ES_tradnl"/>
              </w:rPr>
              <w:t>G/9</w:t>
            </w:r>
          </w:p>
        </w:tc>
        <w:tc>
          <w:tcPr>
            <w:tcW w:w="1988" w:type="pct"/>
            <w:shd w:val="clear" w:color="auto" w:fill="auto"/>
            <w:tcMar>
              <w:left w:w="85" w:type="dxa"/>
              <w:right w:w="85" w:type="dxa"/>
            </w:tcMar>
          </w:tcPr>
          <w:p w14:paraId="2B0249AE" w14:textId="77777777" w:rsidR="00CF0CB0" w:rsidRPr="009960E1" w:rsidRDefault="00CF0CB0" w:rsidP="00F27F0E">
            <w:pPr>
              <w:pStyle w:val="Tabletext"/>
              <w:rPr>
                <w:lang w:val="es-ES_tradnl"/>
              </w:rPr>
            </w:pPr>
            <w:r w:rsidRPr="009960E1">
              <w:rPr>
                <w:lang w:val="es-ES_tradnl"/>
              </w:rPr>
              <w:t>Control de transmisión e interfaces (capa MAC) para datos basados en IP y/o paquetes a través de redes de cable de banda ancha integradas</w:t>
            </w:r>
          </w:p>
        </w:tc>
        <w:tc>
          <w:tcPr>
            <w:tcW w:w="1327" w:type="pct"/>
            <w:shd w:val="clear" w:color="auto" w:fill="auto"/>
            <w:tcMar>
              <w:left w:w="85" w:type="dxa"/>
              <w:right w:w="85" w:type="dxa"/>
            </w:tcMar>
            <w:hideMark/>
          </w:tcPr>
          <w:p w14:paraId="11D15727" w14:textId="77777777" w:rsidR="00CF0CB0" w:rsidRPr="009960E1" w:rsidRDefault="00CF0CB0" w:rsidP="00F27F0E">
            <w:pPr>
              <w:pStyle w:val="Tabletext"/>
              <w:rPr>
                <w:lang w:val="es-ES_tradnl"/>
              </w:rPr>
            </w:pPr>
            <w:r w:rsidRPr="009960E1">
              <w:rPr>
                <w:lang w:val="es-ES_tradnl"/>
              </w:rPr>
              <w:t>Continuación de la C7/9</w:t>
            </w:r>
          </w:p>
        </w:tc>
        <w:tc>
          <w:tcPr>
            <w:tcW w:w="951" w:type="pct"/>
            <w:shd w:val="clear" w:color="auto" w:fill="auto"/>
            <w:tcMar>
              <w:left w:w="85" w:type="dxa"/>
              <w:right w:w="85" w:type="dxa"/>
            </w:tcMar>
          </w:tcPr>
          <w:p w14:paraId="27093CD3" w14:textId="465C8A36" w:rsidR="00CF0CB0" w:rsidRPr="009960E1" w:rsidRDefault="00000000" w:rsidP="00F27F0E">
            <w:pPr>
              <w:pStyle w:val="Tabletext"/>
              <w:jc w:val="center"/>
              <w:rPr>
                <w:rStyle w:val="Hyperlink"/>
                <w:lang w:val="es-ES_tradnl"/>
              </w:rPr>
            </w:pPr>
            <w:hyperlink r:id="rId120" w:history="1">
              <w:r w:rsidR="00CF0CB0" w:rsidRPr="009960E1">
                <w:rPr>
                  <w:rStyle w:val="Hyperlink"/>
                  <w:lang w:val="es-ES_tradnl"/>
                </w:rPr>
                <w:t>WTSA-24 C8</w:t>
              </w:r>
            </w:hyperlink>
            <w:r w:rsidR="00CF0CB0" w:rsidRPr="009960E1">
              <w:rPr>
                <w:rStyle w:val="Hyperlink"/>
                <w:lang w:val="es-ES_tradnl"/>
              </w:rPr>
              <w:t xml:space="preserve"> </w:t>
            </w:r>
            <w:r w:rsidR="00CF0CB0" w:rsidRPr="009960E1">
              <w:rPr>
                <w:lang w:val="es-ES_tradnl"/>
              </w:rPr>
              <w:t>(Rev.1)</w:t>
            </w:r>
          </w:p>
        </w:tc>
      </w:tr>
      <w:tr w:rsidR="004E18F0" w:rsidRPr="009960E1" w14:paraId="4AD50C3A" w14:textId="77777777" w:rsidTr="004E18F0">
        <w:trPr>
          <w:jc w:val="center"/>
        </w:trPr>
        <w:tc>
          <w:tcPr>
            <w:tcW w:w="735" w:type="pct"/>
            <w:shd w:val="clear" w:color="auto" w:fill="auto"/>
            <w:tcMar>
              <w:left w:w="85" w:type="dxa"/>
              <w:right w:w="85" w:type="dxa"/>
            </w:tcMar>
            <w:hideMark/>
          </w:tcPr>
          <w:p w14:paraId="4D11250F" w14:textId="77777777" w:rsidR="00CF0CB0" w:rsidRPr="009960E1" w:rsidRDefault="00CF0CB0" w:rsidP="00F27F0E">
            <w:pPr>
              <w:pStyle w:val="Tabletext"/>
              <w:rPr>
                <w:lang w:val="es-ES_tradnl"/>
              </w:rPr>
            </w:pPr>
            <w:r w:rsidRPr="009960E1">
              <w:rPr>
                <w:lang w:val="es-ES_tradnl"/>
              </w:rPr>
              <w:t>H/9</w:t>
            </w:r>
          </w:p>
        </w:tc>
        <w:tc>
          <w:tcPr>
            <w:tcW w:w="1988" w:type="pct"/>
            <w:shd w:val="clear" w:color="auto" w:fill="auto"/>
            <w:tcMar>
              <w:left w:w="85" w:type="dxa"/>
              <w:right w:w="85" w:type="dxa"/>
            </w:tcMar>
          </w:tcPr>
          <w:p w14:paraId="25C7A0D8" w14:textId="77777777" w:rsidR="00CF0CB0" w:rsidRPr="009960E1" w:rsidRDefault="00CF0CB0" w:rsidP="00F27F0E">
            <w:pPr>
              <w:pStyle w:val="Tabletext"/>
              <w:rPr>
                <w:lang w:val="es-ES_tradnl"/>
              </w:rPr>
            </w:pPr>
            <w:r w:rsidRPr="009960E1">
              <w:rPr>
                <w:lang w:val="es-ES_tradnl"/>
              </w:rPr>
              <w:t>Aplicaciones y servicios multimedios basados en el protocolo Internet (IP) a través de redes de televisión por cable en plataformas convergentes</w:t>
            </w:r>
          </w:p>
        </w:tc>
        <w:tc>
          <w:tcPr>
            <w:tcW w:w="1327" w:type="pct"/>
            <w:shd w:val="clear" w:color="auto" w:fill="auto"/>
            <w:tcMar>
              <w:left w:w="85" w:type="dxa"/>
              <w:right w:w="85" w:type="dxa"/>
            </w:tcMar>
            <w:hideMark/>
          </w:tcPr>
          <w:p w14:paraId="767243A0" w14:textId="77777777" w:rsidR="00CF0CB0" w:rsidRPr="009960E1" w:rsidRDefault="00CF0CB0" w:rsidP="00F27F0E">
            <w:pPr>
              <w:pStyle w:val="Tabletext"/>
              <w:rPr>
                <w:lang w:val="es-ES_tradnl"/>
              </w:rPr>
            </w:pPr>
            <w:r w:rsidRPr="009960E1">
              <w:rPr>
                <w:lang w:val="es-ES_tradnl"/>
              </w:rPr>
              <w:t>Continuación de la C8/9</w:t>
            </w:r>
          </w:p>
        </w:tc>
        <w:tc>
          <w:tcPr>
            <w:tcW w:w="951" w:type="pct"/>
            <w:shd w:val="clear" w:color="auto" w:fill="auto"/>
            <w:tcMar>
              <w:left w:w="85" w:type="dxa"/>
              <w:right w:w="85" w:type="dxa"/>
            </w:tcMar>
          </w:tcPr>
          <w:p w14:paraId="18994411" w14:textId="7077F42D" w:rsidR="00CF0CB0" w:rsidRPr="009960E1" w:rsidRDefault="00000000" w:rsidP="00F27F0E">
            <w:pPr>
              <w:pStyle w:val="Tabletext"/>
              <w:jc w:val="center"/>
              <w:rPr>
                <w:rStyle w:val="Hyperlink"/>
                <w:lang w:val="es-ES_tradnl"/>
              </w:rPr>
            </w:pPr>
            <w:hyperlink r:id="rId121" w:history="1">
              <w:r w:rsidR="00CF0CB0" w:rsidRPr="009960E1">
                <w:rPr>
                  <w:rStyle w:val="Hyperlink"/>
                  <w:lang w:val="es-ES_tradnl"/>
                </w:rPr>
                <w:t>WTSA-24 C8</w:t>
              </w:r>
            </w:hyperlink>
            <w:r w:rsidR="00CF0CB0" w:rsidRPr="009960E1">
              <w:rPr>
                <w:rStyle w:val="Hyperlink"/>
                <w:lang w:val="es-ES_tradnl"/>
              </w:rPr>
              <w:t xml:space="preserve"> </w:t>
            </w:r>
            <w:r w:rsidR="00CF0CB0" w:rsidRPr="009960E1">
              <w:rPr>
                <w:lang w:val="es-ES_tradnl"/>
              </w:rPr>
              <w:t>(Rev.1)</w:t>
            </w:r>
          </w:p>
        </w:tc>
      </w:tr>
      <w:tr w:rsidR="004E18F0" w:rsidRPr="009960E1" w14:paraId="4CF7E3EC" w14:textId="77777777" w:rsidTr="004E18F0">
        <w:trPr>
          <w:jc w:val="center"/>
        </w:trPr>
        <w:tc>
          <w:tcPr>
            <w:tcW w:w="735" w:type="pct"/>
            <w:shd w:val="clear" w:color="auto" w:fill="auto"/>
            <w:tcMar>
              <w:left w:w="85" w:type="dxa"/>
              <w:right w:w="85" w:type="dxa"/>
            </w:tcMar>
            <w:hideMark/>
          </w:tcPr>
          <w:p w14:paraId="6A42F4EB" w14:textId="77777777" w:rsidR="00CF0CB0" w:rsidRPr="009960E1" w:rsidRDefault="00CF0CB0" w:rsidP="00F27F0E">
            <w:pPr>
              <w:pStyle w:val="Tabletext"/>
              <w:rPr>
                <w:lang w:val="es-ES_tradnl"/>
              </w:rPr>
            </w:pPr>
            <w:r w:rsidRPr="009960E1">
              <w:rPr>
                <w:lang w:val="es-ES_tradnl"/>
              </w:rPr>
              <w:lastRenderedPageBreak/>
              <w:t>I/9</w:t>
            </w:r>
          </w:p>
        </w:tc>
        <w:tc>
          <w:tcPr>
            <w:tcW w:w="1988" w:type="pct"/>
            <w:shd w:val="clear" w:color="auto" w:fill="auto"/>
            <w:tcMar>
              <w:left w:w="85" w:type="dxa"/>
              <w:right w:w="85" w:type="dxa"/>
            </w:tcMar>
          </w:tcPr>
          <w:p w14:paraId="25BAD222" w14:textId="77777777" w:rsidR="00CF0CB0" w:rsidRPr="009960E1" w:rsidRDefault="00CF0CB0" w:rsidP="00F27F0E">
            <w:pPr>
              <w:pStyle w:val="Tabletext"/>
              <w:rPr>
                <w:lang w:val="es-ES_tradnl"/>
              </w:rPr>
            </w:pPr>
            <w:r w:rsidRPr="009960E1">
              <w:rPr>
                <w:lang w:val="es-ES_tradnl"/>
              </w:rPr>
              <w:t>Requisitos, métodos e interfaces de las plataformas avanzadas de servicios para mejorar la transferencia de contenido audiovisual y de otros servicios multimedios interactivos a través de redes de cable de banda ancha integradas</w:t>
            </w:r>
          </w:p>
        </w:tc>
        <w:tc>
          <w:tcPr>
            <w:tcW w:w="1327" w:type="pct"/>
            <w:shd w:val="clear" w:color="auto" w:fill="auto"/>
            <w:tcMar>
              <w:left w:w="85" w:type="dxa"/>
              <w:right w:w="85" w:type="dxa"/>
            </w:tcMar>
            <w:hideMark/>
          </w:tcPr>
          <w:p w14:paraId="0B1C385F" w14:textId="77777777" w:rsidR="00CF0CB0" w:rsidRPr="009960E1" w:rsidRDefault="00CF0CB0" w:rsidP="00F27F0E">
            <w:pPr>
              <w:pStyle w:val="Tabletext"/>
              <w:rPr>
                <w:lang w:val="es-ES_tradnl"/>
              </w:rPr>
            </w:pPr>
            <w:r w:rsidRPr="009960E1">
              <w:rPr>
                <w:lang w:val="es-ES_tradnl"/>
              </w:rPr>
              <w:t>Continuación de la C9/9</w:t>
            </w:r>
          </w:p>
        </w:tc>
        <w:tc>
          <w:tcPr>
            <w:tcW w:w="951" w:type="pct"/>
            <w:shd w:val="clear" w:color="auto" w:fill="auto"/>
            <w:tcMar>
              <w:left w:w="85" w:type="dxa"/>
              <w:right w:w="85" w:type="dxa"/>
            </w:tcMar>
          </w:tcPr>
          <w:p w14:paraId="54AB5C11" w14:textId="08B42620" w:rsidR="00CF0CB0" w:rsidRPr="009960E1" w:rsidRDefault="00000000" w:rsidP="00F27F0E">
            <w:pPr>
              <w:pStyle w:val="Tabletext"/>
              <w:jc w:val="center"/>
              <w:rPr>
                <w:rStyle w:val="Hyperlink"/>
                <w:lang w:val="es-ES_tradnl"/>
              </w:rPr>
            </w:pPr>
            <w:hyperlink r:id="rId122" w:history="1">
              <w:r w:rsidR="00CF0CB0" w:rsidRPr="009960E1">
                <w:rPr>
                  <w:rStyle w:val="Hyperlink"/>
                  <w:lang w:val="es-ES_tradnl"/>
                </w:rPr>
                <w:t>WTSA-24 C8</w:t>
              </w:r>
            </w:hyperlink>
            <w:r w:rsidR="00CF0CB0" w:rsidRPr="009960E1">
              <w:rPr>
                <w:rStyle w:val="Hyperlink"/>
                <w:lang w:val="es-ES_tradnl"/>
              </w:rPr>
              <w:t xml:space="preserve"> </w:t>
            </w:r>
            <w:r w:rsidR="00CF0CB0" w:rsidRPr="009960E1">
              <w:rPr>
                <w:lang w:val="es-ES_tradnl"/>
              </w:rPr>
              <w:t>(Rev.1)</w:t>
            </w:r>
          </w:p>
        </w:tc>
      </w:tr>
      <w:tr w:rsidR="004E18F0" w:rsidRPr="009960E1" w14:paraId="7737A937" w14:textId="77777777" w:rsidTr="004E18F0">
        <w:trPr>
          <w:jc w:val="center"/>
        </w:trPr>
        <w:tc>
          <w:tcPr>
            <w:tcW w:w="735" w:type="pct"/>
            <w:shd w:val="clear" w:color="auto" w:fill="auto"/>
            <w:tcMar>
              <w:left w:w="85" w:type="dxa"/>
              <w:right w:w="85" w:type="dxa"/>
            </w:tcMar>
            <w:hideMark/>
          </w:tcPr>
          <w:p w14:paraId="5CEFB637" w14:textId="77777777" w:rsidR="00CF0CB0" w:rsidRPr="009960E1" w:rsidRDefault="00CF0CB0" w:rsidP="00F27F0E">
            <w:pPr>
              <w:pStyle w:val="Tabletext"/>
              <w:rPr>
                <w:lang w:val="es-ES_tradnl"/>
              </w:rPr>
            </w:pPr>
            <w:r w:rsidRPr="009960E1">
              <w:rPr>
                <w:lang w:val="es-ES_tradnl"/>
              </w:rPr>
              <w:t>B/16</w:t>
            </w:r>
          </w:p>
        </w:tc>
        <w:tc>
          <w:tcPr>
            <w:tcW w:w="1988" w:type="pct"/>
            <w:shd w:val="clear" w:color="auto" w:fill="auto"/>
            <w:tcMar>
              <w:left w:w="85" w:type="dxa"/>
              <w:right w:w="85" w:type="dxa"/>
            </w:tcMar>
          </w:tcPr>
          <w:p w14:paraId="732E41E1" w14:textId="77777777" w:rsidR="00CF0CB0" w:rsidRPr="009960E1" w:rsidRDefault="00CF0CB0" w:rsidP="00F27F0E">
            <w:pPr>
              <w:pStyle w:val="Tabletext"/>
              <w:rPr>
                <w:lang w:val="es-ES_tradnl"/>
              </w:rPr>
            </w:pPr>
            <w:r w:rsidRPr="009960E1">
              <w:rPr>
                <w:lang w:val="es-ES_tradnl"/>
              </w:rPr>
              <w:t>Aplicaciones multimedios basadas en inteligencia artificial</w:t>
            </w:r>
          </w:p>
        </w:tc>
        <w:tc>
          <w:tcPr>
            <w:tcW w:w="1327" w:type="pct"/>
            <w:shd w:val="clear" w:color="auto" w:fill="auto"/>
            <w:tcMar>
              <w:left w:w="85" w:type="dxa"/>
              <w:right w:w="85" w:type="dxa"/>
            </w:tcMar>
            <w:hideMark/>
          </w:tcPr>
          <w:p w14:paraId="50A25624" w14:textId="77777777" w:rsidR="00CF0CB0" w:rsidRPr="009960E1" w:rsidRDefault="00CF0CB0" w:rsidP="00F27F0E">
            <w:pPr>
              <w:pStyle w:val="Tabletext"/>
              <w:rPr>
                <w:lang w:val="es-ES_tradnl"/>
              </w:rPr>
            </w:pPr>
            <w:r w:rsidRPr="009960E1">
              <w:rPr>
                <w:lang w:val="es-ES_tradnl"/>
              </w:rPr>
              <w:t>Continuación de la C5/16</w:t>
            </w:r>
          </w:p>
        </w:tc>
        <w:tc>
          <w:tcPr>
            <w:tcW w:w="951" w:type="pct"/>
            <w:shd w:val="clear" w:color="auto" w:fill="auto"/>
            <w:tcMar>
              <w:left w:w="85" w:type="dxa"/>
              <w:right w:w="85" w:type="dxa"/>
            </w:tcMar>
          </w:tcPr>
          <w:p w14:paraId="7ECF713A" w14:textId="55F9BBD8" w:rsidR="00CF0CB0" w:rsidRPr="009960E1" w:rsidRDefault="00000000" w:rsidP="00F27F0E">
            <w:pPr>
              <w:pStyle w:val="Tabletext"/>
              <w:jc w:val="center"/>
              <w:rPr>
                <w:rStyle w:val="Hyperlink"/>
                <w:lang w:val="es-ES_tradnl"/>
              </w:rPr>
            </w:pPr>
            <w:hyperlink r:id="rId123" w:history="1">
              <w:r w:rsidR="00CF0CB0" w:rsidRPr="009960E1">
                <w:rPr>
                  <w:rStyle w:val="Hyperlink"/>
                  <w:lang w:val="es-ES_tradnl"/>
                </w:rPr>
                <w:t>WTSA-24 C18</w:t>
              </w:r>
            </w:hyperlink>
          </w:p>
        </w:tc>
      </w:tr>
      <w:tr w:rsidR="004E18F0" w:rsidRPr="009960E1" w14:paraId="5D95120A" w14:textId="77777777" w:rsidTr="004E18F0">
        <w:trPr>
          <w:jc w:val="center"/>
        </w:trPr>
        <w:tc>
          <w:tcPr>
            <w:tcW w:w="735" w:type="pct"/>
            <w:shd w:val="clear" w:color="auto" w:fill="auto"/>
            <w:tcMar>
              <w:left w:w="85" w:type="dxa"/>
              <w:right w:w="85" w:type="dxa"/>
            </w:tcMar>
            <w:hideMark/>
          </w:tcPr>
          <w:p w14:paraId="2D639998" w14:textId="77777777" w:rsidR="00CF0CB0" w:rsidRPr="009960E1" w:rsidRDefault="00CF0CB0" w:rsidP="00F27F0E">
            <w:pPr>
              <w:pStyle w:val="Tabletext"/>
              <w:rPr>
                <w:lang w:val="es-ES_tradnl"/>
              </w:rPr>
            </w:pPr>
            <w:r w:rsidRPr="009960E1">
              <w:rPr>
                <w:lang w:val="es-ES_tradnl"/>
              </w:rPr>
              <w:t>C/16</w:t>
            </w:r>
          </w:p>
        </w:tc>
        <w:tc>
          <w:tcPr>
            <w:tcW w:w="1988" w:type="pct"/>
            <w:shd w:val="clear" w:color="auto" w:fill="auto"/>
            <w:tcMar>
              <w:left w:w="85" w:type="dxa"/>
              <w:right w:w="85" w:type="dxa"/>
            </w:tcMar>
          </w:tcPr>
          <w:p w14:paraId="6108245F" w14:textId="77777777" w:rsidR="00CF0CB0" w:rsidRPr="009960E1" w:rsidRDefault="00CF0CB0" w:rsidP="00F27F0E">
            <w:pPr>
              <w:pStyle w:val="Tabletext"/>
              <w:rPr>
                <w:lang w:val="es-ES_tradnl"/>
              </w:rPr>
            </w:pPr>
            <w:r w:rsidRPr="009960E1">
              <w:rPr>
                <w:lang w:val="es-ES_tradnl"/>
              </w:rPr>
              <w:t>Codificación de señales, en particular de imagen y audio</w:t>
            </w:r>
          </w:p>
        </w:tc>
        <w:tc>
          <w:tcPr>
            <w:tcW w:w="1327" w:type="pct"/>
            <w:shd w:val="clear" w:color="auto" w:fill="auto"/>
            <w:tcMar>
              <w:left w:w="85" w:type="dxa"/>
              <w:right w:w="85" w:type="dxa"/>
            </w:tcMar>
            <w:hideMark/>
          </w:tcPr>
          <w:p w14:paraId="10684DA5" w14:textId="77777777" w:rsidR="00CF0CB0" w:rsidRPr="009960E1" w:rsidRDefault="00CF0CB0" w:rsidP="00F27F0E">
            <w:pPr>
              <w:pStyle w:val="Tabletext"/>
              <w:rPr>
                <w:lang w:val="es-ES_tradnl"/>
              </w:rPr>
            </w:pPr>
            <w:r w:rsidRPr="009960E1">
              <w:rPr>
                <w:lang w:val="es-ES_tradnl"/>
              </w:rPr>
              <w:t>Continuación de la C6/16</w:t>
            </w:r>
          </w:p>
        </w:tc>
        <w:tc>
          <w:tcPr>
            <w:tcW w:w="951" w:type="pct"/>
            <w:shd w:val="clear" w:color="auto" w:fill="auto"/>
            <w:tcMar>
              <w:left w:w="85" w:type="dxa"/>
              <w:right w:w="85" w:type="dxa"/>
            </w:tcMar>
          </w:tcPr>
          <w:p w14:paraId="0C777375" w14:textId="7332D69A" w:rsidR="00CF0CB0" w:rsidRPr="009960E1" w:rsidRDefault="00000000" w:rsidP="00F27F0E">
            <w:pPr>
              <w:pStyle w:val="Tabletext"/>
              <w:jc w:val="center"/>
              <w:rPr>
                <w:rStyle w:val="Hyperlink"/>
                <w:lang w:val="es-ES_tradnl"/>
              </w:rPr>
            </w:pPr>
            <w:hyperlink r:id="rId124" w:history="1">
              <w:r w:rsidR="00CF0CB0" w:rsidRPr="009960E1">
                <w:rPr>
                  <w:rStyle w:val="Hyperlink"/>
                  <w:lang w:val="es-ES_tradnl"/>
                </w:rPr>
                <w:t>WTSA-24 C18</w:t>
              </w:r>
            </w:hyperlink>
          </w:p>
        </w:tc>
      </w:tr>
      <w:tr w:rsidR="004E18F0" w:rsidRPr="009960E1" w14:paraId="08649393" w14:textId="77777777" w:rsidTr="004E18F0">
        <w:trPr>
          <w:jc w:val="center"/>
        </w:trPr>
        <w:tc>
          <w:tcPr>
            <w:tcW w:w="735" w:type="pct"/>
            <w:shd w:val="clear" w:color="auto" w:fill="auto"/>
            <w:tcMar>
              <w:left w:w="85" w:type="dxa"/>
              <w:right w:w="85" w:type="dxa"/>
            </w:tcMar>
            <w:hideMark/>
          </w:tcPr>
          <w:p w14:paraId="3AE1EEDD" w14:textId="77777777" w:rsidR="00CF0CB0" w:rsidRPr="009960E1" w:rsidRDefault="00CF0CB0" w:rsidP="00F27F0E">
            <w:pPr>
              <w:pStyle w:val="Tabletext"/>
              <w:rPr>
                <w:lang w:val="es-ES_tradnl"/>
              </w:rPr>
            </w:pPr>
            <w:r w:rsidRPr="009960E1">
              <w:rPr>
                <w:lang w:val="es-ES_tradnl"/>
              </w:rPr>
              <w:t>D/16</w:t>
            </w:r>
          </w:p>
        </w:tc>
        <w:tc>
          <w:tcPr>
            <w:tcW w:w="1988" w:type="pct"/>
            <w:shd w:val="clear" w:color="auto" w:fill="auto"/>
            <w:tcMar>
              <w:left w:w="85" w:type="dxa"/>
              <w:right w:w="85" w:type="dxa"/>
            </w:tcMar>
          </w:tcPr>
          <w:p w14:paraId="089556FA" w14:textId="77777777" w:rsidR="00CF0CB0" w:rsidRPr="009960E1" w:rsidRDefault="00CF0CB0" w:rsidP="00F27F0E">
            <w:pPr>
              <w:pStyle w:val="Tabletext"/>
              <w:rPr>
                <w:lang w:val="es-ES_tradnl"/>
              </w:rPr>
            </w:pPr>
            <w:r w:rsidRPr="009960E1">
              <w:rPr>
                <w:lang w:val="es-ES_tradnl"/>
              </w:rPr>
              <w:t>Sistemas y servicios de inmersión en directo</w:t>
            </w:r>
          </w:p>
        </w:tc>
        <w:tc>
          <w:tcPr>
            <w:tcW w:w="1327" w:type="pct"/>
            <w:shd w:val="clear" w:color="auto" w:fill="auto"/>
            <w:tcMar>
              <w:left w:w="85" w:type="dxa"/>
              <w:right w:w="85" w:type="dxa"/>
            </w:tcMar>
            <w:hideMark/>
          </w:tcPr>
          <w:p w14:paraId="64365B42" w14:textId="77777777" w:rsidR="00CF0CB0" w:rsidRPr="009960E1" w:rsidRDefault="00CF0CB0" w:rsidP="00F27F0E">
            <w:pPr>
              <w:pStyle w:val="Tabletext"/>
              <w:rPr>
                <w:lang w:val="es-ES_tradnl"/>
              </w:rPr>
            </w:pPr>
            <w:r w:rsidRPr="009960E1">
              <w:rPr>
                <w:lang w:val="es-ES_tradnl"/>
              </w:rPr>
              <w:t>Continuación de la C8/16</w:t>
            </w:r>
          </w:p>
        </w:tc>
        <w:tc>
          <w:tcPr>
            <w:tcW w:w="951" w:type="pct"/>
            <w:shd w:val="clear" w:color="auto" w:fill="auto"/>
            <w:tcMar>
              <w:left w:w="85" w:type="dxa"/>
              <w:right w:w="85" w:type="dxa"/>
            </w:tcMar>
          </w:tcPr>
          <w:p w14:paraId="1457D3C9" w14:textId="76243767" w:rsidR="00CF0CB0" w:rsidRPr="009960E1" w:rsidRDefault="00000000" w:rsidP="00F27F0E">
            <w:pPr>
              <w:pStyle w:val="Tabletext"/>
              <w:jc w:val="center"/>
              <w:rPr>
                <w:rStyle w:val="Hyperlink"/>
                <w:lang w:val="es-ES_tradnl"/>
              </w:rPr>
            </w:pPr>
            <w:hyperlink r:id="rId125" w:history="1">
              <w:r w:rsidR="00CF0CB0" w:rsidRPr="009960E1">
                <w:rPr>
                  <w:rStyle w:val="Hyperlink"/>
                  <w:lang w:val="es-ES_tradnl"/>
                </w:rPr>
                <w:t>WTSA-24 C18</w:t>
              </w:r>
            </w:hyperlink>
          </w:p>
        </w:tc>
      </w:tr>
      <w:tr w:rsidR="004E18F0" w:rsidRPr="009960E1" w14:paraId="29EEA706" w14:textId="77777777" w:rsidTr="004E18F0">
        <w:trPr>
          <w:jc w:val="center"/>
        </w:trPr>
        <w:tc>
          <w:tcPr>
            <w:tcW w:w="735" w:type="pct"/>
            <w:shd w:val="clear" w:color="auto" w:fill="auto"/>
            <w:tcMar>
              <w:left w:w="85" w:type="dxa"/>
              <w:right w:w="85" w:type="dxa"/>
            </w:tcMar>
            <w:hideMark/>
          </w:tcPr>
          <w:p w14:paraId="157E21CE" w14:textId="77777777" w:rsidR="00CF0CB0" w:rsidRPr="009960E1" w:rsidRDefault="00CF0CB0" w:rsidP="00F27F0E">
            <w:pPr>
              <w:pStyle w:val="Tabletext"/>
              <w:rPr>
                <w:lang w:val="es-ES_tradnl"/>
              </w:rPr>
            </w:pPr>
            <w:r w:rsidRPr="009960E1">
              <w:rPr>
                <w:lang w:val="es-ES_tradnl"/>
              </w:rPr>
              <w:t>E/16</w:t>
            </w:r>
          </w:p>
        </w:tc>
        <w:tc>
          <w:tcPr>
            <w:tcW w:w="1988" w:type="pct"/>
            <w:shd w:val="clear" w:color="auto" w:fill="auto"/>
            <w:tcMar>
              <w:left w:w="85" w:type="dxa"/>
              <w:right w:w="85" w:type="dxa"/>
            </w:tcMar>
          </w:tcPr>
          <w:p w14:paraId="22E3A68B" w14:textId="77777777" w:rsidR="00CF0CB0" w:rsidRPr="009960E1" w:rsidRDefault="00CF0CB0" w:rsidP="00F27F0E">
            <w:pPr>
              <w:pStyle w:val="Tabletext"/>
              <w:rPr>
                <w:lang w:val="es-ES_tradnl"/>
              </w:rPr>
            </w:pPr>
            <w:r w:rsidRPr="009960E1">
              <w:rPr>
                <w:lang w:val="es-ES_tradnl"/>
              </w:rPr>
              <w:t>Sistemas, terminales, pasarelas y conferencias de datos multimedios</w:t>
            </w:r>
          </w:p>
        </w:tc>
        <w:tc>
          <w:tcPr>
            <w:tcW w:w="1327" w:type="pct"/>
            <w:shd w:val="clear" w:color="auto" w:fill="auto"/>
            <w:tcMar>
              <w:left w:w="85" w:type="dxa"/>
              <w:right w:w="85" w:type="dxa"/>
            </w:tcMar>
            <w:hideMark/>
          </w:tcPr>
          <w:p w14:paraId="1278D9A5" w14:textId="77777777" w:rsidR="00CF0CB0" w:rsidRPr="009960E1" w:rsidRDefault="00CF0CB0" w:rsidP="00F27F0E">
            <w:pPr>
              <w:pStyle w:val="Tabletext"/>
              <w:rPr>
                <w:lang w:val="es-ES_tradnl"/>
              </w:rPr>
            </w:pPr>
            <w:r w:rsidRPr="009960E1">
              <w:rPr>
                <w:lang w:val="es-ES_tradnl"/>
              </w:rPr>
              <w:t>Continuación de la C11/16</w:t>
            </w:r>
          </w:p>
        </w:tc>
        <w:tc>
          <w:tcPr>
            <w:tcW w:w="951" w:type="pct"/>
            <w:shd w:val="clear" w:color="auto" w:fill="auto"/>
            <w:tcMar>
              <w:left w:w="85" w:type="dxa"/>
              <w:right w:w="85" w:type="dxa"/>
            </w:tcMar>
          </w:tcPr>
          <w:p w14:paraId="41425CCB" w14:textId="41FF49C7" w:rsidR="00CF0CB0" w:rsidRPr="009960E1" w:rsidRDefault="00000000" w:rsidP="00F27F0E">
            <w:pPr>
              <w:pStyle w:val="Tabletext"/>
              <w:jc w:val="center"/>
              <w:rPr>
                <w:rStyle w:val="Hyperlink"/>
                <w:lang w:val="es-ES_tradnl"/>
              </w:rPr>
            </w:pPr>
            <w:hyperlink r:id="rId126" w:history="1">
              <w:r w:rsidR="00CF0CB0" w:rsidRPr="009960E1">
                <w:rPr>
                  <w:rStyle w:val="Hyperlink"/>
                  <w:lang w:val="es-ES_tradnl"/>
                </w:rPr>
                <w:t>WTSA-24 C18</w:t>
              </w:r>
            </w:hyperlink>
          </w:p>
        </w:tc>
      </w:tr>
      <w:tr w:rsidR="004E18F0" w:rsidRPr="009960E1" w14:paraId="6361AB10" w14:textId="77777777" w:rsidTr="004E18F0">
        <w:trPr>
          <w:jc w:val="center"/>
        </w:trPr>
        <w:tc>
          <w:tcPr>
            <w:tcW w:w="735" w:type="pct"/>
            <w:shd w:val="clear" w:color="auto" w:fill="auto"/>
            <w:tcMar>
              <w:left w:w="85" w:type="dxa"/>
              <w:right w:w="85" w:type="dxa"/>
            </w:tcMar>
            <w:hideMark/>
          </w:tcPr>
          <w:p w14:paraId="438A4B66" w14:textId="77777777" w:rsidR="00CF0CB0" w:rsidRPr="009960E1" w:rsidRDefault="00CF0CB0" w:rsidP="00F27F0E">
            <w:pPr>
              <w:pStyle w:val="Tabletext"/>
              <w:rPr>
                <w:lang w:val="es-ES_tradnl"/>
              </w:rPr>
            </w:pPr>
            <w:r w:rsidRPr="009960E1">
              <w:rPr>
                <w:lang w:val="es-ES_tradnl"/>
              </w:rPr>
              <w:t>F/16</w:t>
            </w:r>
          </w:p>
        </w:tc>
        <w:tc>
          <w:tcPr>
            <w:tcW w:w="1988" w:type="pct"/>
            <w:shd w:val="clear" w:color="auto" w:fill="auto"/>
            <w:tcMar>
              <w:left w:w="85" w:type="dxa"/>
              <w:right w:w="85" w:type="dxa"/>
            </w:tcMar>
          </w:tcPr>
          <w:p w14:paraId="2B7B6711" w14:textId="77777777" w:rsidR="00CF0CB0" w:rsidRPr="009960E1" w:rsidRDefault="00CF0CB0" w:rsidP="00F27F0E">
            <w:pPr>
              <w:pStyle w:val="Tabletext"/>
              <w:rPr>
                <w:lang w:val="es-ES_tradnl"/>
              </w:rPr>
            </w:pPr>
            <w:r w:rsidRPr="009960E1">
              <w:rPr>
                <w:lang w:val="es-ES_tradnl"/>
              </w:rPr>
              <w:t>Sistemas y servicios de imagen inteligentes</w:t>
            </w:r>
          </w:p>
        </w:tc>
        <w:tc>
          <w:tcPr>
            <w:tcW w:w="1327" w:type="pct"/>
            <w:shd w:val="clear" w:color="auto" w:fill="auto"/>
            <w:tcMar>
              <w:left w:w="85" w:type="dxa"/>
              <w:right w:w="85" w:type="dxa"/>
            </w:tcMar>
            <w:hideMark/>
          </w:tcPr>
          <w:p w14:paraId="382DB6F1" w14:textId="77777777" w:rsidR="00CF0CB0" w:rsidRPr="009960E1" w:rsidRDefault="00CF0CB0" w:rsidP="00F27F0E">
            <w:pPr>
              <w:pStyle w:val="Tabletext"/>
              <w:rPr>
                <w:lang w:val="es-ES_tradnl"/>
              </w:rPr>
            </w:pPr>
            <w:r w:rsidRPr="009960E1">
              <w:rPr>
                <w:lang w:val="es-ES_tradnl"/>
              </w:rPr>
              <w:t>Continuación de la C12/16</w:t>
            </w:r>
          </w:p>
        </w:tc>
        <w:tc>
          <w:tcPr>
            <w:tcW w:w="951" w:type="pct"/>
            <w:shd w:val="clear" w:color="auto" w:fill="auto"/>
            <w:tcMar>
              <w:left w:w="85" w:type="dxa"/>
              <w:right w:w="85" w:type="dxa"/>
            </w:tcMar>
          </w:tcPr>
          <w:p w14:paraId="4CD00521" w14:textId="3503D06D" w:rsidR="00CF0CB0" w:rsidRPr="009960E1" w:rsidRDefault="00000000" w:rsidP="00F27F0E">
            <w:pPr>
              <w:pStyle w:val="Tabletext"/>
              <w:jc w:val="center"/>
              <w:rPr>
                <w:rStyle w:val="Hyperlink"/>
                <w:lang w:val="es-ES_tradnl"/>
              </w:rPr>
            </w:pPr>
            <w:hyperlink r:id="rId127" w:history="1">
              <w:r w:rsidR="00CF0CB0" w:rsidRPr="009960E1">
                <w:rPr>
                  <w:rStyle w:val="Hyperlink"/>
                  <w:lang w:val="es-ES_tradnl"/>
                </w:rPr>
                <w:t>WTSA-24 C18</w:t>
              </w:r>
            </w:hyperlink>
          </w:p>
        </w:tc>
      </w:tr>
      <w:tr w:rsidR="004E18F0" w:rsidRPr="009960E1" w14:paraId="35E93D3C" w14:textId="77777777" w:rsidTr="004E18F0">
        <w:trPr>
          <w:jc w:val="center"/>
        </w:trPr>
        <w:tc>
          <w:tcPr>
            <w:tcW w:w="735" w:type="pct"/>
            <w:shd w:val="clear" w:color="auto" w:fill="auto"/>
            <w:tcMar>
              <w:left w:w="85" w:type="dxa"/>
              <w:right w:w="85" w:type="dxa"/>
            </w:tcMar>
            <w:hideMark/>
          </w:tcPr>
          <w:p w14:paraId="34EC6A1E" w14:textId="77777777" w:rsidR="00CF0CB0" w:rsidRPr="009960E1" w:rsidRDefault="00CF0CB0" w:rsidP="00F27F0E">
            <w:pPr>
              <w:pStyle w:val="Tabletext"/>
              <w:rPr>
                <w:lang w:val="es-ES_tradnl"/>
              </w:rPr>
            </w:pPr>
            <w:r w:rsidRPr="009960E1">
              <w:rPr>
                <w:lang w:val="es-ES_tradnl"/>
              </w:rPr>
              <w:t>G/16</w:t>
            </w:r>
          </w:p>
        </w:tc>
        <w:tc>
          <w:tcPr>
            <w:tcW w:w="1988" w:type="pct"/>
            <w:shd w:val="clear" w:color="auto" w:fill="auto"/>
            <w:tcMar>
              <w:left w:w="85" w:type="dxa"/>
              <w:right w:w="85" w:type="dxa"/>
            </w:tcMar>
          </w:tcPr>
          <w:p w14:paraId="6CAFCA8D" w14:textId="77777777" w:rsidR="00CF0CB0" w:rsidRPr="009960E1" w:rsidRDefault="00CF0CB0" w:rsidP="00F27F0E">
            <w:pPr>
              <w:pStyle w:val="Tabletext"/>
              <w:rPr>
                <w:lang w:val="es-ES_tradnl"/>
              </w:rPr>
            </w:pPr>
            <w:r w:rsidRPr="009960E1">
              <w:rPr>
                <w:lang w:val="es-ES_tradnl"/>
              </w:rPr>
              <w:t>Sistemas y servicios relacionados con la transmisión ininterrumpida de flujos de multimedios, incluida la transmisión de contenido, las plataformas de aplicaciones y los sistemas de extremo</w:t>
            </w:r>
          </w:p>
        </w:tc>
        <w:tc>
          <w:tcPr>
            <w:tcW w:w="1327" w:type="pct"/>
            <w:shd w:val="clear" w:color="auto" w:fill="auto"/>
            <w:tcMar>
              <w:left w:w="85" w:type="dxa"/>
              <w:right w:w="85" w:type="dxa"/>
            </w:tcMar>
            <w:hideMark/>
          </w:tcPr>
          <w:p w14:paraId="2EFA7245" w14:textId="77777777" w:rsidR="00CF0CB0" w:rsidRPr="009960E1" w:rsidRDefault="00CF0CB0" w:rsidP="00F27F0E">
            <w:pPr>
              <w:pStyle w:val="Tabletext"/>
              <w:rPr>
                <w:lang w:val="es-ES_tradnl"/>
              </w:rPr>
            </w:pPr>
            <w:r w:rsidRPr="009960E1">
              <w:rPr>
                <w:lang w:val="es-ES_tradnl"/>
              </w:rPr>
              <w:t>Continuación de la C13/16</w:t>
            </w:r>
          </w:p>
        </w:tc>
        <w:tc>
          <w:tcPr>
            <w:tcW w:w="951" w:type="pct"/>
            <w:shd w:val="clear" w:color="auto" w:fill="auto"/>
            <w:tcMar>
              <w:left w:w="85" w:type="dxa"/>
              <w:right w:w="85" w:type="dxa"/>
            </w:tcMar>
          </w:tcPr>
          <w:p w14:paraId="58FE7C09" w14:textId="38FC7731" w:rsidR="00CF0CB0" w:rsidRPr="009960E1" w:rsidRDefault="00000000" w:rsidP="00F27F0E">
            <w:pPr>
              <w:pStyle w:val="Tabletext"/>
              <w:jc w:val="center"/>
              <w:rPr>
                <w:rStyle w:val="Hyperlink"/>
                <w:lang w:val="es-ES_tradnl"/>
              </w:rPr>
            </w:pPr>
            <w:hyperlink r:id="rId128" w:history="1">
              <w:r w:rsidR="00CF0CB0" w:rsidRPr="009960E1">
                <w:rPr>
                  <w:rStyle w:val="Hyperlink"/>
                  <w:lang w:val="es-ES_tradnl"/>
                </w:rPr>
                <w:t>WTSA-24 C18</w:t>
              </w:r>
            </w:hyperlink>
          </w:p>
        </w:tc>
      </w:tr>
      <w:tr w:rsidR="004E18F0" w:rsidRPr="009960E1" w14:paraId="7FAF6943" w14:textId="77777777" w:rsidTr="004E18F0">
        <w:trPr>
          <w:jc w:val="center"/>
        </w:trPr>
        <w:tc>
          <w:tcPr>
            <w:tcW w:w="735" w:type="pct"/>
            <w:shd w:val="clear" w:color="auto" w:fill="auto"/>
            <w:tcMar>
              <w:left w:w="85" w:type="dxa"/>
              <w:right w:w="85" w:type="dxa"/>
            </w:tcMar>
            <w:hideMark/>
          </w:tcPr>
          <w:p w14:paraId="4FDF0A14" w14:textId="77777777" w:rsidR="00CF0CB0" w:rsidRPr="009960E1" w:rsidRDefault="00CF0CB0" w:rsidP="00F27F0E">
            <w:pPr>
              <w:pStyle w:val="Tabletext"/>
              <w:rPr>
                <w:lang w:val="es-ES_tradnl"/>
              </w:rPr>
            </w:pPr>
            <w:r w:rsidRPr="009960E1">
              <w:rPr>
                <w:lang w:val="es-ES_tradnl"/>
              </w:rPr>
              <w:t>H/16</w:t>
            </w:r>
          </w:p>
        </w:tc>
        <w:tc>
          <w:tcPr>
            <w:tcW w:w="1988" w:type="pct"/>
            <w:shd w:val="clear" w:color="auto" w:fill="auto"/>
            <w:tcMar>
              <w:left w:w="85" w:type="dxa"/>
              <w:right w:w="85" w:type="dxa"/>
            </w:tcMar>
          </w:tcPr>
          <w:p w14:paraId="3A926E98" w14:textId="77777777" w:rsidR="00CF0CB0" w:rsidRPr="009960E1" w:rsidRDefault="00CF0CB0" w:rsidP="00F27F0E">
            <w:pPr>
              <w:pStyle w:val="Tabletext"/>
              <w:rPr>
                <w:lang w:val="es-ES_tradnl"/>
              </w:rPr>
            </w:pPr>
            <w:r w:rsidRPr="009960E1">
              <w:rPr>
                <w:lang w:val="es-ES_tradnl"/>
              </w:rPr>
              <w:t>Marco, aplicaciones y servicios multimedios</w:t>
            </w:r>
          </w:p>
        </w:tc>
        <w:tc>
          <w:tcPr>
            <w:tcW w:w="1327" w:type="pct"/>
            <w:shd w:val="clear" w:color="auto" w:fill="auto"/>
            <w:tcMar>
              <w:left w:w="85" w:type="dxa"/>
              <w:right w:w="85" w:type="dxa"/>
            </w:tcMar>
            <w:hideMark/>
          </w:tcPr>
          <w:p w14:paraId="1EA98215" w14:textId="77777777" w:rsidR="00CF0CB0" w:rsidRPr="009960E1" w:rsidRDefault="00CF0CB0" w:rsidP="00F27F0E">
            <w:pPr>
              <w:pStyle w:val="Tabletext"/>
              <w:rPr>
                <w:lang w:val="es-ES_tradnl"/>
              </w:rPr>
            </w:pPr>
            <w:r w:rsidRPr="009960E1">
              <w:rPr>
                <w:lang w:val="es-ES_tradnl"/>
              </w:rPr>
              <w:t>Continuación de la C21/16</w:t>
            </w:r>
          </w:p>
        </w:tc>
        <w:tc>
          <w:tcPr>
            <w:tcW w:w="951" w:type="pct"/>
            <w:shd w:val="clear" w:color="auto" w:fill="auto"/>
            <w:tcMar>
              <w:left w:w="85" w:type="dxa"/>
              <w:right w:w="85" w:type="dxa"/>
            </w:tcMar>
          </w:tcPr>
          <w:p w14:paraId="67F01055" w14:textId="494D7857" w:rsidR="00CF0CB0" w:rsidRPr="009960E1" w:rsidRDefault="00000000" w:rsidP="00F27F0E">
            <w:pPr>
              <w:pStyle w:val="Tabletext"/>
              <w:jc w:val="center"/>
              <w:rPr>
                <w:rStyle w:val="Hyperlink"/>
                <w:lang w:val="es-ES_tradnl"/>
              </w:rPr>
            </w:pPr>
            <w:hyperlink r:id="rId129" w:history="1">
              <w:r w:rsidR="00CF0CB0" w:rsidRPr="009960E1">
                <w:rPr>
                  <w:rStyle w:val="Hyperlink"/>
                  <w:lang w:val="es-ES_tradnl"/>
                </w:rPr>
                <w:t>WTSA-24 C18</w:t>
              </w:r>
            </w:hyperlink>
          </w:p>
        </w:tc>
      </w:tr>
      <w:tr w:rsidR="004E18F0" w:rsidRPr="009960E1" w14:paraId="08D7CFEA" w14:textId="77777777" w:rsidTr="004E18F0">
        <w:trPr>
          <w:jc w:val="center"/>
        </w:trPr>
        <w:tc>
          <w:tcPr>
            <w:tcW w:w="735" w:type="pct"/>
            <w:shd w:val="clear" w:color="auto" w:fill="auto"/>
            <w:tcMar>
              <w:left w:w="85" w:type="dxa"/>
              <w:right w:w="85" w:type="dxa"/>
            </w:tcMar>
            <w:hideMark/>
          </w:tcPr>
          <w:p w14:paraId="07662E1F" w14:textId="77777777" w:rsidR="00CF0CB0" w:rsidRPr="009960E1" w:rsidRDefault="00CF0CB0" w:rsidP="00F27F0E">
            <w:pPr>
              <w:pStyle w:val="Tabletext"/>
              <w:rPr>
                <w:lang w:val="es-ES_tradnl"/>
              </w:rPr>
            </w:pPr>
            <w:r w:rsidRPr="009960E1">
              <w:rPr>
                <w:lang w:val="es-ES_tradnl"/>
              </w:rPr>
              <w:t>I/16</w:t>
            </w:r>
          </w:p>
        </w:tc>
        <w:tc>
          <w:tcPr>
            <w:tcW w:w="1988" w:type="pct"/>
            <w:shd w:val="clear" w:color="auto" w:fill="auto"/>
            <w:tcMar>
              <w:left w:w="85" w:type="dxa"/>
              <w:right w:w="85" w:type="dxa"/>
            </w:tcMar>
          </w:tcPr>
          <w:p w14:paraId="76041B9F" w14:textId="77777777" w:rsidR="00CF0CB0" w:rsidRPr="009960E1" w:rsidRDefault="00CF0CB0" w:rsidP="00F27F0E">
            <w:pPr>
              <w:pStyle w:val="Tabletext"/>
              <w:rPr>
                <w:lang w:val="es-ES_tradnl"/>
              </w:rPr>
            </w:pPr>
            <w:r w:rsidRPr="009960E1">
              <w:rPr>
                <w:lang w:val="es-ES_tradnl"/>
              </w:rPr>
              <w:t>Aspectos multimedios de las tecnologías de libro mayor distribuido y servicios conexos</w:t>
            </w:r>
          </w:p>
        </w:tc>
        <w:tc>
          <w:tcPr>
            <w:tcW w:w="1327" w:type="pct"/>
            <w:shd w:val="clear" w:color="auto" w:fill="auto"/>
            <w:tcMar>
              <w:left w:w="85" w:type="dxa"/>
              <w:right w:w="85" w:type="dxa"/>
            </w:tcMar>
            <w:hideMark/>
          </w:tcPr>
          <w:p w14:paraId="16A4A417" w14:textId="77777777" w:rsidR="00CF0CB0" w:rsidRPr="009960E1" w:rsidRDefault="00CF0CB0" w:rsidP="00F27F0E">
            <w:pPr>
              <w:pStyle w:val="Tabletext"/>
              <w:rPr>
                <w:lang w:val="es-ES_tradnl"/>
              </w:rPr>
            </w:pPr>
            <w:r w:rsidRPr="009960E1">
              <w:rPr>
                <w:lang w:val="es-ES_tradnl"/>
              </w:rPr>
              <w:t>Continuación de la C22/16</w:t>
            </w:r>
          </w:p>
        </w:tc>
        <w:tc>
          <w:tcPr>
            <w:tcW w:w="951" w:type="pct"/>
            <w:shd w:val="clear" w:color="auto" w:fill="auto"/>
            <w:tcMar>
              <w:left w:w="85" w:type="dxa"/>
              <w:right w:w="85" w:type="dxa"/>
            </w:tcMar>
          </w:tcPr>
          <w:p w14:paraId="4537CD9D" w14:textId="5BDEC5D3" w:rsidR="00CF0CB0" w:rsidRPr="009960E1" w:rsidRDefault="00000000" w:rsidP="00F27F0E">
            <w:pPr>
              <w:pStyle w:val="Tabletext"/>
              <w:jc w:val="center"/>
              <w:rPr>
                <w:rStyle w:val="Hyperlink"/>
                <w:lang w:val="es-ES_tradnl"/>
              </w:rPr>
            </w:pPr>
            <w:hyperlink r:id="rId130" w:history="1">
              <w:r w:rsidR="00CF0CB0" w:rsidRPr="009960E1">
                <w:rPr>
                  <w:rStyle w:val="Hyperlink"/>
                  <w:lang w:val="es-ES_tradnl"/>
                </w:rPr>
                <w:t>WTSA-24 C18</w:t>
              </w:r>
            </w:hyperlink>
          </w:p>
        </w:tc>
      </w:tr>
      <w:tr w:rsidR="004E18F0" w:rsidRPr="009960E1" w14:paraId="6A5066D2" w14:textId="77777777" w:rsidTr="004E18F0">
        <w:trPr>
          <w:jc w:val="center"/>
        </w:trPr>
        <w:tc>
          <w:tcPr>
            <w:tcW w:w="735" w:type="pct"/>
            <w:shd w:val="clear" w:color="auto" w:fill="auto"/>
            <w:tcMar>
              <w:left w:w="85" w:type="dxa"/>
              <w:right w:w="85" w:type="dxa"/>
            </w:tcMar>
            <w:hideMark/>
          </w:tcPr>
          <w:p w14:paraId="5A4FE93F" w14:textId="77777777" w:rsidR="00CF0CB0" w:rsidRPr="009960E1" w:rsidRDefault="00CF0CB0" w:rsidP="00F27F0E">
            <w:pPr>
              <w:pStyle w:val="Tabletext"/>
              <w:rPr>
                <w:lang w:val="es-ES_tradnl"/>
              </w:rPr>
            </w:pPr>
            <w:r w:rsidRPr="009960E1">
              <w:rPr>
                <w:lang w:val="es-ES_tradnl"/>
              </w:rPr>
              <w:t>J/16</w:t>
            </w:r>
          </w:p>
        </w:tc>
        <w:tc>
          <w:tcPr>
            <w:tcW w:w="1988" w:type="pct"/>
            <w:shd w:val="clear" w:color="auto" w:fill="auto"/>
            <w:tcMar>
              <w:left w:w="85" w:type="dxa"/>
              <w:right w:w="85" w:type="dxa"/>
            </w:tcMar>
          </w:tcPr>
          <w:p w14:paraId="46B3FA4A" w14:textId="77777777" w:rsidR="00CF0CB0" w:rsidRPr="009960E1" w:rsidRDefault="00CF0CB0" w:rsidP="00F27F0E">
            <w:pPr>
              <w:pStyle w:val="Tabletext"/>
              <w:rPr>
                <w:lang w:val="es-ES_tradnl"/>
              </w:rPr>
            </w:pPr>
            <w:r w:rsidRPr="009960E1">
              <w:rPr>
                <w:lang w:val="es-ES_tradnl"/>
              </w:rPr>
              <w:t>Sistemas y servicios relativos a la cultura digital</w:t>
            </w:r>
          </w:p>
        </w:tc>
        <w:tc>
          <w:tcPr>
            <w:tcW w:w="1327" w:type="pct"/>
            <w:shd w:val="clear" w:color="auto" w:fill="auto"/>
            <w:tcMar>
              <w:left w:w="85" w:type="dxa"/>
              <w:right w:w="85" w:type="dxa"/>
            </w:tcMar>
            <w:hideMark/>
          </w:tcPr>
          <w:p w14:paraId="0195D203" w14:textId="77777777" w:rsidR="00CF0CB0" w:rsidRPr="009960E1" w:rsidRDefault="00CF0CB0" w:rsidP="00F27F0E">
            <w:pPr>
              <w:pStyle w:val="Tabletext"/>
              <w:rPr>
                <w:lang w:val="es-ES_tradnl"/>
              </w:rPr>
            </w:pPr>
            <w:r w:rsidRPr="009960E1">
              <w:rPr>
                <w:lang w:val="es-ES_tradnl"/>
              </w:rPr>
              <w:t>Continuación de la C23/16</w:t>
            </w:r>
          </w:p>
        </w:tc>
        <w:tc>
          <w:tcPr>
            <w:tcW w:w="951" w:type="pct"/>
            <w:shd w:val="clear" w:color="auto" w:fill="auto"/>
            <w:tcMar>
              <w:left w:w="85" w:type="dxa"/>
              <w:right w:w="85" w:type="dxa"/>
            </w:tcMar>
          </w:tcPr>
          <w:p w14:paraId="6BA66A7E" w14:textId="1C0E129E" w:rsidR="00CF0CB0" w:rsidRPr="009960E1" w:rsidRDefault="00000000" w:rsidP="00F27F0E">
            <w:pPr>
              <w:pStyle w:val="Tabletext"/>
              <w:jc w:val="center"/>
              <w:rPr>
                <w:rStyle w:val="Hyperlink"/>
                <w:lang w:val="es-ES_tradnl"/>
              </w:rPr>
            </w:pPr>
            <w:hyperlink r:id="rId131" w:history="1">
              <w:r w:rsidR="00CF0CB0" w:rsidRPr="009960E1">
                <w:rPr>
                  <w:rStyle w:val="Hyperlink"/>
                  <w:lang w:val="es-ES_tradnl"/>
                </w:rPr>
                <w:t>WTSA-24 C18</w:t>
              </w:r>
            </w:hyperlink>
          </w:p>
        </w:tc>
      </w:tr>
      <w:tr w:rsidR="004E18F0" w:rsidRPr="009960E1" w14:paraId="03B08719" w14:textId="77777777" w:rsidTr="004E18F0">
        <w:trPr>
          <w:jc w:val="center"/>
        </w:trPr>
        <w:tc>
          <w:tcPr>
            <w:tcW w:w="735" w:type="pct"/>
            <w:shd w:val="clear" w:color="auto" w:fill="auto"/>
            <w:tcMar>
              <w:left w:w="85" w:type="dxa"/>
              <w:right w:w="85" w:type="dxa"/>
            </w:tcMar>
            <w:hideMark/>
          </w:tcPr>
          <w:p w14:paraId="29858631" w14:textId="77777777" w:rsidR="00CF0CB0" w:rsidRPr="009960E1" w:rsidRDefault="00CF0CB0" w:rsidP="00F27F0E">
            <w:pPr>
              <w:pStyle w:val="Tabletext"/>
              <w:rPr>
                <w:lang w:val="es-ES_tradnl"/>
              </w:rPr>
            </w:pPr>
            <w:r w:rsidRPr="009960E1">
              <w:rPr>
                <w:lang w:val="es-ES_tradnl"/>
              </w:rPr>
              <w:t>K/16</w:t>
            </w:r>
          </w:p>
        </w:tc>
        <w:tc>
          <w:tcPr>
            <w:tcW w:w="1988" w:type="pct"/>
            <w:shd w:val="clear" w:color="auto" w:fill="auto"/>
            <w:tcMar>
              <w:left w:w="85" w:type="dxa"/>
              <w:right w:w="85" w:type="dxa"/>
            </w:tcMar>
          </w:tcPr>
          <w:p w14:paraId="0279E1F7" w14:textId="77777777" w:rsidR="00CF0CB0" w:rsidRPr="009960E1" w:rsidRDefault="00CF0CB0" w:rsidP="00F27F0E">
            <w:pPr>
              <w:pStyle w:val="Tabletext"/>
              <w:rPr>
                <w:lang w:val="es-ES_tradnl"/>
              </w:rPr>
            </w:pPr>
            <w:r w:rsidRPr="009960E1">
              <w:rPr>
                <w:lang w:val="es-ES_tradnl"/>
              </w:rPr>
              <w:t>Factores humanos sobre interfaces de usuario y servicios inteligentes</w:t>
            </w:r>
          </w:p>
        </w:tc>
        <w:tc>
          <w:tcPr>
            <w:tcW w:w="1327" w:type="pct"/>
            <w:shd w:val="clear" w:color="auto" w:fill="auto"/>
            <w:tcMar>
              <w:left w:w="85" w:type="dxa"/>
              <w:right w:w="85" w:type="dxa"/>
            </w:tcMar>
            <w:hideMark/>
          </w:tcPr>
          <w:p w14:paraId="18DE843E" w14:textId="77777777" w:rsidR="00CF0CB0" w:rsidRPr="009960E1" w:rsidRDefault="00CF0CB0" w:rsidP="00F27F0E">
            <w:pPr>
              <w:pStyle w:val="Tabletext"/>
              <w:rPr>
                <w:lang w:val="es-ES_tradnl"/>
              </w:rPr>
            </w:pPr>
            <w:r w:rsidRPr="009960E1">
              <w:rPr>
                <w:lang w:val="es-ES_tradnl"/>
              </w:rPr>
              <w:t>Continuación de la C24/16</w:t>
            </w:r>
          </w:p>
        </w:tc>
        <w:tc>
          <w:tcPr>
            <w:tcW w:w="951" w:type="pct"/>
            <w:shd w:val="clear" w:color="auto" w:fill="auto"/>
            <w:tcMar>
              <w:left w:w="85" w:type="dxa"/>
              <w:right w:w="85" w:type="dxa"/>
            </w:tcMar>
          </w:tcPr>
          <w:p w14:paraId="2B840B41" w14:textId="2053A627" w:rsidR="00CF0CB0" w:rsidRPr="009960E1" w:rsidRDefault="00000000" w:rsidP="00F27F0E">
            <w:pPr>
              <w:pStyle w:val="Tabletext"/>
              <w:jc w:val="center"/>
              <w:rPr>
                <w:rStyle w:val="Hyperlink"/>
                <w:lang w:val="es-ES_tradnl"/>
              </w:rPr>
            </w:pPr>
            <w:hyperlink r:id="rId132" w:history="1">
              <w:r w:rsidR="00CF0CB0" w:rsidRPr="009960E1">
                <w:rPr>
                  <w:rStyle w:val="Hyperlink"/>
                  <w:lang w:val="es-ES_tradnl"/>
                </w:rPr>
                <w:t>WTSA-24 C18</w:t>
              </w:r>
            </w:hyperlink>
          </w:p>
        </w:tc>
      </w:tr>
      <w:tr w:rsidR="004E18F0" w:rsidRPr="009960E1" w14:paraId="3348DA93" w14:textId="77777777" w:rsidTr="004E18F0">
        <w:trPr>
          <w:jc w:val="center"/>
        </w:trPr>
        <w:tc>
          <w:tcPr>
            <w:tcW w:w="735" w:type="pct"/>
            <w:shd w:val="clear" w:color="auto" w:fill="auto"/>
            <w:tcMar>
              <w:left w:w="85" w:type="dxa"/>
              <w:right w:w="85" w:type="dxa"/>
            </w:tcMar>
            <w:hideMark/>
          </w:tcPr>
          <w:p w14:paraId="263B6C53" w14:textId="77777777" w:rsidR="00CF0CB0" w:rsidRPr="009960E1" w:rsidRDefault="00CF0CB0" w:rsidP="00F27F0E">
            <w:pPr>
              <w:pStyle w:val="Tabletext"/>
              <w:rPr>
                <w:lang w:val="es-ES_tradnl"/>
              </w:rPr>
            </w:pPr>
            <w:r w:rsidRPr="009960E1">
              <w:rPr>
                <w:lang w:val="es-ES_tradnl"/>
              </w:rPr>
              <w:t>M/16</w:t>
            </w:r>
          </w:p>
        </w:tc>
        <w:tc>
          <w:tcPr>
            <w:tcW w:w="1988" w:type="pct"/>
            <w:shd w:val="clear" w:color="auto" w:fill="auto"/>
            <w:tcMar>
              <w:left w:w="85" w:type="dxa"/>
              <w:right w:w="85" w:type="dxa"/>
            </w:tcMar>
          </w:tcPr>
          <w:p w14:paraId="50B7865E" w14:textId="77777777" w:rsidR="00CF0CB0" w:rsidRPr="009960E1" w:rsidRDefault="00CF0CB0" w:rsidP="00F27F0E">
            <w:pPr>
              <w:pStyle w:val="Tabletext"/>
              <w:rPr>
                <w:lang w:val="es-ES_tradnl"/>
              </w:rPr>
            </w:pPr>
            <w:r w:rsidRPr="009960E1">
              <w:rPr>
                <w:lang w:val="es-ES_tradnl"/>
              </w:rPr>
              <w:t>Comunicaciones, sistemas, redes y aplicaciones para multimedios en vehículos</w:t>
            </w:r>
          </w:p>
        </w:tc>
        <w:tc>
          <w:tcPr>
            <w:tcW w:w="1327" w:type="pct"/>
            <w:shd w:val="clear" w:color="auto" w:fill="auto"/>
            <w:tcMar>
              <w:left w:w="85" w:type="dxa"/>
              <w:right w:w="85" w:type="dxa"/>
            </w:tcMar>
            <w:hideMark/>
          </w:tcPr>
          <w:p w14:paraId="2BAA924D" w14:textId="77777777" w:rsidR="00CF0CB0" w:rsidRPr="009960E1" w:rsidRDefault="00CF0CB0" w:rsidP="00F27F0E">
            <w:pPr>
              <w:pStyle w:val="Tabletext"/>
              <w:rPr>
                <w:lang w:val="es-ES_tradnl"/>
              </w:rPr>
            </w:pPr>
            <w:r w:rsidRPr="009960E1">
              <w:rPr>
                <w:lang w:val="es-ES_tradnl"/>
              </w:rPr>
              <w:t>Continuación de la C27/16</w:t>
            </w:r>
          </w:p>
        </w:tc>
        <w:tc>
          <w:tcPr>
            <w:tcW w:w="951" w:type="pct"/>
            <w:shd w:val="clear" w:color="auto" w:fill="auto"/>
            <w:tcMar>
              <w:left w:w="85" w:type="dxa"/>
              <w:right w:w="85" w:type="dxa"/>
            </w:tcMar>
          </w:tcPr>
          <w:p w14:paraId="49BB58C2" w14:textId="0E64A001" w:rsidR="00CF0CB0" w:rsidRPr="009960E1" w:rsidRDefault="00000000" w:rsidP="00F27F0E">
            <w:pPr>
              <w:pStyle w:val="Tabletext"/>
              <w:jc w:val="center"/>
              <w:rPr>
                <w:rStyle w:val="Hyperlink"/>
                <w:lang w:val="es-ES_tradnl"/>
              </w:rPr>
            </w:pPr>
            <w:hyperlink r:id="rId133" w:history="1">
              <w:r w:rsidR="00CF0CB0" w:rsidRPr="009960E1">
                <w:rPr>
                  <w:rStyle w:val="Hyperlink"/>
                  <w:lang w:val="es-ES_tradnl"/>
                </w:rPr>
                <w:t>WTSA-24 C18</w:t>
              </w:r>
            </w:hyperlink>
          </w:p>
        </w:tc>
      </w:tr>
      <w:tr w:rsidR="004E18F0" w:rsidRPr="009960E1" w14:paraId="5BA2D627" w14:textId="77777777" w:rsidTr="004E18F0">
        <w:trPr>
          <w:jc w:val="center"/>
        </w:trPr>
        <w:tc>
          <w:tcPr>
            <w:tcW w:w="735" w:type="pct"/>
            <w:shd w:val="clear" w:color="auto" w:fill="auto"/>
            <w:tcMar>
              <w:left w:w="85" w:type="dxa"/>
              <w:right w:w="85" w:type="dxa"/>
            </w:tcMar>
            <w:hideMark/>
          </w:tcPr>
          <w:p w14:paraId="0CF619EA" w14:textId="77777777" w:rsidR="00CF0CB0" w:rsidRPr="009960E1" w:rsidRDefault="00CF0CB0" w:rsidP="00F27F0E">
            <w:pPr>
              <w:pStyle w:val="Tabletext"/>
              <w:rPr>
                <w:lang w:val="es-ES_tradnl"/>
              </w:rPr>
            </w:pPr>
            <w:r w:rsidRPr="009960E1">
              <w:rPr>
                <w:lang w:val="es-ES_tradnl"/>
              </w:rPr>
              <w:t>N/16</w:t>
            </w:r>
          </w:p>
        </w:tc>
        <w:tc>
          <w:tcPr>
            <w:tcW w:w="1988" w:type="pct"/>
            <w:shd w:val="clear" w:color="auto" w:fill="auto"/>
            <w:tcMar>
              <w:left w:w="85" w:type="dxa"/>
              <w:right w:w="85" w:type="dxa"/>
            </w:tcMar>
          </w:tcPr>
          <w:p w14:paraId="584CD7AF" w14:textId="77777777" w:rsidR="00CF0CB0" w:rsidRPr="009960E1" w:rsidRDefault="00CF0CB0" w:rsidP="00F27F0E">
            <w:pPr>
              <w:pStyle w:val="Tabletext"/>
              <w:rPr>
                <w:lang w:val="es-ES_tradnl"/>
              </w:rPr>
            </w:pPr>
            <w:r w:rsidRPr="009960E1">
              <w:rPr>
                <w:lang w:val="es-ES_tradnl"/>
              </w:rPr>
              <w:t>Marco multimedios para aplicaciones de sanidad digital</w:t>
            </w:r>
          </w:p>
        </w:tc>
        <w:tc>
          <w:tcPr>
            <w:tcW w:w="1327" w:type="pct"/>
            <w:shd w:val="clear" w:color="auto" w:fill="auto"/>
            <w:tcMar>
              <w:left w:w="85" w:type="dxa"/>
              <w:right w:w="85" w:type="dxa"/>
            </w:tcMar>
            <w:hideMark/>
          </w:tcPr>
          <w:p w14:paraId="16FB3ED3" w14:textId="77777777" w:rsidR="00CF0CB0" w:rsidRPr="009960E1" w:rsidRDefault="00CF0CB0" w:rsidP="00F27F0E">
            <w:pPr>
              <w:pStyle w:val="Tabletext"/>
              <w:rPr>
                <w:lang w:val="es-ES_tradnl"/>
              </w:rPr>
            </w:pPr>
            <w:r w:rsidRPr="009960E1">
              <w:rPr>
                <w:lang w:val="es-ES_tradnl"/>
              </w:rPr>
              <w:t>Continuación de la C28/16</w:t>
            </w:r>
          </w:p>
        </w:tc>
        <w:tc>
          <w:tcPr>
            <w:tcW w:w="951" w:type="pct"/>
            <w:shd w:val="clear" w:color="auto" w:fill="auto"/>
            <w:tcMar>
              <w:left w:w="85" w:type="dxa"/>
              <w:right w:w="85" w:type="dxa"/>
            </w:tcMar>
          </w:tcPr>
          <w:p w14:paraId="3FA5EDDC" w14:textId="42972821" w:rsidR="00CF0CB0" w:rsidRPr="009960E1" w:rsidRDefault="00000000" w:rsidP="00F27F0E">
            <w:pPr>
              <w:pStyle w:val="Tabletext"/>
              <w:jc w:val="center"/>
              <w:rPr>
                <w:rStyle w:val="Hyperlink"/>
                <w:lang w:val="es-ES_tradnl"/>
              </w:rPr>
            </w:pPr>
            <w:hyperlink r:id="rId134" w:history="1">
              <w:r w:rsidR="00CF0CB0" w:rsidRPr="009960E1">
                <w:rPr>
                  <w:rStyle w:val="Hyperlink"/>
                  <w:lang w:val="es-ES_tradnl"/>
                </w:rPr>
                <w:t>WTSA-24 C18</w:t>
              </w:r>
            </w:hyperlink>
          </w:p>
        </w:tc>
      </w:tr>
      <w:tr w:rsidR="004E18F0" w:rsidRPr="009960E1" w14:paraId="2546A043" w14:textId="77777777" w:rsidTr="004E18F0">
        <w:trPr>
          <w:jc w:val="center"/>
        </w:trPr>
        <w:tc>
          <w:tcPr>
            <w:tcW w:w="735" w:type="pct"/>
            <w:shd w:val="clear" w:color="auto" w:fill="auto"/>
            <w:tcMar>
              <w:left w:w="85" w:type="dxa"/>
              <w:right w:w="85" w:type="dxa"/>
            </w:tcMar>
          </w:tcPr>
          <w:p w14:paraId="10FE9014" w14:textId="77777777" w:rsidR="00CF0CB0" w:rsidRPr="009960E1" w:rsidRDefault="00CF0CB0" w:rsidP="00F27F0E">
            <w:pPr>
              <w:pStyle w:val="Tabletext"/>
              <w:rPr>
                <w:lang w:val="es-ES_tradnl"/>
              </w:rPr>
            </w:pPr>
            <w:r w:rsidRPr="009960E1">
              <w:rPr>
                <w:lang w:val="es-ES_tradnl"/>
              </w:rPr>
              <w:t>Q.Coord/C</w:t>
            </w:r>
          </w:p>
        </w:tc>
        <w:tc>
          <w:tcPr>
            <w:tcW w:w="1988" w:type="pct"/>
            <w:shd w:val="clear" w:color="auto" w:fill="auto"/>
            <w:tcMar>
              <w:left w:w="85" w:type="dxa"/>
              <w:right w:w="85" w:type="dxa"/>
            </w:tcMar>
          </w:tcPr>
          <w:p w14:paraId="10EA170D" w14:textId="77777777" w:rsidR="00CF0CB0" w:rsidRPr="009960E1" w:rsidRDefault="00CF0CB0" w:rsidP="00F27F0E">
            <w:pPr>
              <w:pStyle w:val="Tabletext"/>
              <w:rPr>
                <w:lang w:val="es-ES_tradnl"/>
              </w:rPr>
            </w:pPr>
            <w:r w:rsidRPr="009960E1">
              <w:rPr>
                <w:lang w:val="es-ES_tradnl"/>
              </w:rPr>
              <w:t>Coordinación y planeación</w:t>
            </w:r>
          </w:p>
        </w:tc>
        <w:tc>
          <w:tcPr>
            <w:tcW w:w="1327" w:type="pct"/>
            <w:shd w:val="clear" w:color="auto" w:fill="auto"/>
            <w:tcMar>
              <w:left w:w="85" w:type="dxa"/>
              <w:right w:w="85" w:type="dxa"/>
            </w:tcMar>
          </w:tcPr>
          <w:p w14:paraId="7F8301A5" w14:textId="77777777" w:rsidR="00CF0CB0" w:rsidRPr="009960E1" w:rsidRDefault="00CF0CB0" w:rsidP="00F27F0E">
            <w:pPr>
              <w:pStyle w:val="Tabletext"/>
              <w:rPr>
                <w:lang w:val="es-ES_tradnl"/>
              </w:rPr>
            </w:pPr>
            <w:r w:rsidRPr="009960E1">
              <w:rPr>
                <w:lang w:val="es-ES_tradnl"/>
              </w:rPr>
              <w:t>Continuación de las Cuestiones 10/9 y 1/16</w:t>
            </w:r>
          </w:p>
        </w:tc>
        <w:tc>
          <w:tcPr>
            <w:tcW w:w="951" w:type="pct"/>
            <w:shd w:val="clear" w:color="auto" w:fill="auto"/>
            <w:tcMar>
              <w:left w:w="85" w:type="dxa"/>
              <w:right w:w="85" w:type="dxa"/>
            </w:tcMar>
          </w:tcPr>
          <w:p w14:paraId="5FE3126C" w14:textId="4CB19E28" w:rsidR="00CF0CB0" w:rsidRPr="009960E1" w:rsidRDefault="00000000" w:rsidP="00F27F0E">
            <w:pPr>
              <w:pStyle w:val="Tabletext"/>
              <w:jc w:val="center"/>
              <w:rPr>
                <w:rStyle w:val="Hyperlink"/>
                <w:lang w:val="es-ES_tradnl"/>
              </w:rPr>
            </w:pPr>
            <w:hyperlink r:id="rId135" w:history="1">
              <w:r w:rsidR="00CF0CB0" w:rsidRPr="009960E1">
                <w:rPr>
                  <w:rStyle w:val="Hyperlink"/>
                  <w:lang w:val="es-ES_tradnl"/>
                </w:rPr>
                <w:t xml:space="preserve">WTSA-24 C24 </w:t>
              </w:r>
              <w:r w:rsidR="00CF0CB0" w:rsidRPr="009960E1">
                <w:rPr>
                  <w:lang w:val="es-ES_tradnl"/>
                </w:rPr>
                <w:t>Anexo 2.2</w:t>
              </w:r>
            </w:hyperlink>
          </w:p>
        </w:tc>
      </w:tr>
      <w:tr w:rsidR="004E18F0" w:rsidRPr="009960E1" w14:paraId="43EC1121" w14:textId="77777777" w:rsidTr="004E18F0">
        <w:trPr>
          <w:jc w:val="center"/>
        </w:trPr>
        <w:tc>
          <w:tcPr>
            <w:tcW w:w="735" w:type="pct"/>
            <w:shd w:val="clear" w:color="auto" w:fill="auto"/>
            <w:tcMar>
              <w:left w:w="85" w:type="dxa"/>
              <w:right w:w="85" w:type="dxa"/>
            </w:tcMar>
          </w:tcPr>
          <w:p w14:paraId="217EFAD1" w14:textId="77777777" w:rsidR="00CF0CB0" w:rsidRPr="009960E1" w:rsidRDefault="00CF0CB0" w:rsidP="00F27F0E">
            <w:pPr>
              <w:pStyle w:val="Tabletext"/>
              <w:rPr>
                <w:lang w:val="es-ES_tradnl"/>
              </w:rPr>
            </w:pPr>
            <w:r w:rsidRPr="009960E1">
              <w:rPr>
                <w:lang w:val="es-ES_tradnl"/>
              </w:rPr>
              <w:t>Q.Acc/C</w:t>
            </w:r>
          </w:p>
        </w:tc>
        <w:tc>
          <w:tcPr>
            <w:tcW w:w="1988" w:type="pct"/>
            <w:shd w:val="clear" w:color="auto" w:fill="auto"/>
            <w:tcMar>
              <w:left w:w="85" w:type="dxa"/>
              <w:right w:w="85" w:type="dxa"/>
            </w:tcMar>
          </w:tcPr>
          <w:p w14:paraId="1F68DA8D" w14:textId="77777777" w:rsidR="00CF0CB0" w:rsidRPr="009960E1" w:rsidRDefault="00CF0CB0" w:rsidP="00F27F0E">
            <w:pPr>
              <w:pStyle w:val="Tabletext"/>
              <w:rPr>
                <w:lang w:val="es-ES_tradnl"/>
              </w:rPr>
            </w:pPr>
            <w:bookmarkStart w:id="39" w:name="_Toc167825811"/>
            <w:r w:rsidRPr="009960E1">
              <w:rPr>
                <w:lang w:val="es-ES_tradnl"/>
              </w:rPr>
              <w:t>Accesibilidad de los sistemas, servicios y aplicaciones multimedios para la inclusión digital</w:t>
            </w:r>
            <w:bookmarkEnd w:id="39"/>
          </w:p>
        </w:tc>
        <w:tc>
          <w:tcPr>
            <w:tcW w:w="1327" w:type="pct"/>
            <w:shd w:val="clear" w:color="auto" w:fill="auto"/>
            <w:tcMar>
              <w:left w:w="85" w:type="dxa"/>
              <w:right w:w="85" w:type="dxa"/>
            </w:tcMar>
          </w:tcPr>
          <w:p w14:paraId="149516A9" w14:textId="77777777" w:rsidR="00CF0CB0" w:rsidRPr="009960E1" w:rsidRDefault="00CF0CB0" w:rsidP="00F27F0E">
            <w:pPr>
              <w:pStyle w:val="Tabletext"/>
              <w:rPr>
                <w:lang w:val="es-ES_tradnl"/>
              </w:rPr>
            </w:pPr>
            <w:r w:rsidRPr="009960E1">
              <w:rPr>
                <w:lang w:val="es-ES_tradnl"/>
              </w:rPr>
              <w:t>Continuación de las Cuestiones 11/9 y 26/16</w:t>
            </w:r>
          </w:p>
        </w:tc>
        <w:tc>
          <w:tcPr>
            <w:tcW w:w="951" w:type="pct"/>
            <w:shd w:val="clear" w:color="auto" w:fill="auto"/>
            <w:tcMar>
              <w:left w:w="85" w:type="dxa"/>
              <w:right w:w="85" w:type="dxa"/>
            </w:tcMar>
          </w:tcPr>
          <w:p w14:paraId="36931727" w14:textId="4868E673" w:rsidR="00CF0CB0" w:rsidRPr="009960E1" w:rsidRDefault="00000000" w:rsidP="00F27F0E">
            <w:pPr>
              <w:pStyle w:val="Tabletext"/>
              <w:jc w:val="center"/>
              <w:rPr>
                <w:rStyle w:val="Hyperlink"/>
                <w:lang w:val="es-ES_tradnl"/>
              </w:rPr>
            </w:pPr>
            <w:hyperlink r:id="rId136" w:history="1">
              <w:r w:rsidR="00CF0CB0" w:rsidRPr="009960E1">
                <w:rPr>
                  <w:rStyle w:val="Hyperlink"/>
                  <w:lang w:val="es-ES_tradnl"/>
                </w:rPr>
                <w:t xml:space="preserve">WTSA-24 C24 </w:t>
              </w:r>
              <w:r w:rsidR="00CF0CB0" w:rsidRPr="009960E1">
                <w:rPr>
                  <w:lang w:val="es-ES_tradnl"/>
                </w:rPr>
                <w:t>Anexo 2.3</w:t>
              </w:r>
            </w:hyperlink>
          </w:p>
        </w:tc>
      </w:tr>
    </w:tbl>
    <w:p w14:paraId="5F63FD6E" w14:textId="77777777" w:rsidR="00CF0CB0" w:rsidRPr="009960E1" w:rsidRDefault="00CF0CB0" w:rsidP="00CF0CB0">
      <w:pPr>
        <w:rPr>
          <w:lang w:val="es-ES_tradnl"/>
        </w:rPr>
      </w:pPr>
      <w:r w:rsidRPr="009960E1">
        <w:rPr>
          <w:lang w:val="es-ES_tradnl"/>
        </w:rPr>
        <w:br w:type="page"/>
      </w:r>
    </w:p>
    <w:p w14:paraId="19FE47CB" w14:textId="69BA93EC" w:rsidR="00CF0CB0" w:rsidRPr="001B18E9" w:rsidRDefault="00CF0CB0" w:rsidP="001B18E9">
      <w:pPr>
        <w:pStyle w:val="AnnexTitle0"/>
        <w:jc w:val="left"/>
        <w:rPr>
          <w:bCs/>
          <w:sz w:val="24"/>
          <w:lang w:val="es-ES_tradnl"/>
        </w:rPr>
      </w:pPr>
      <w:bookmarkStart w:id="40" w:name="_Toc173836506"/>
      <w:bookmarkStart w:id="41" w:name="_Toc174109223"/>
      <w:bookmarkStart w:id="42" w:name="_Toc178345865"/>
      <w:bookmarkStart w:id="43" w:name="_Toc179189959"/>
      <w:r w:rsidRPr="001B18E9">
        <w:rPr>
          <w:bCs/>
          <w:sz w:val="24"/>
          <w:lang w:val="es-ES_tradnl"/>
        </w:rPr>
        <w:lastRenderedPageBreak/>
        <w:t>ANEXO 2.1</w:t>
      </w:r>
      <w:r w:rsidRPr="001B18E9">
        <w:rPr>
          <w:bCs/>
          <w:sz w:val="24"/>
          <w:lang w:val="es-ES_tradnl"/>
        </w:rPr>
        <w:tab/>
        <w:t>Elementos de la Resolución 2 de la AMNT para la CE</w:t>
      </w:r>
      <w:r w:rsidR="00A01B74" w:rsidRPr="001B18E9">
        <w:rPr>
          <w:bCs/>
          <w:sz w:val="24"/>
          <w:lang w:val="es-ES_tradnl"/>
        </w:rPr>
        <w:t> </w:t>
      </w:r>
      <w:r w:rsidRPr="001B18E9">
        <w:rPr>
          <w:bCs/>
          <w:sz w:val="24"/>
          <w:lang w:val="es-ES_tradnl"/>
        </w:rPr>
        <w:t>C</w:t>
      </w:r>
      <w:bookmarkStart w:id="44" w:name="Annex2_1"/>
      <w:bookmarkEnd w:id="40"/>
      <w:bookmarkEnd w:id="41"/>
      <w:bookmarkEnd w:id="42"/>
      <w:bookmarkEnd w:id="43"/>
      <w:bookmarkEnd w:id="44"/>
    </w:p>
    <w:p w14:paraId="4B1500A0" w14:textId="77777777" w:rsidR="00CF0CB0" w:rsidRPr="009960E1" w:rsidRDefault="00CF0CB0" w:rsidP="005C3A5A">
      <w:pPr>
        <w:pStyle w:val="AnnexNotitle"/>
        <w:rPr>
          <w:b w:val="0"/>
          <w:bCs/>
          <w:lang w:val="es-ES_tradnl"/>
        </w:rPr>
      </w:pPr>
      <w:bookmarkStart w:id="45" w:name="_Toc179189960"/>
      <w:r w:rsidRPr="009960E1">
        <w:rPr>
          <w:b w:val="0"/>
          <w:bCs/>
          <w:lang w:val="es-ES_tradnl"/>
        </w:rPr>
        <w:t>ANEXO A</w:t>
      </w:r>
      <w:r w:rsidRPr="009960E1">
        <w:rPr>
          <w:lang w:val="es-ES_tradnl"/>
        </w:rPr>
        <w:br/>
      </w:r>
      <w:r w:rsidRPr="009960E1">
        <w:rPr>
          <w:b w:val="0"/>
          <w:bCs/>
          <w:lang w:val="es-ES_tradnl"/>
        </w:rPr>
        <w:t>(a la Resolución 2 (Rev. Nueva Delhi, 2024))</w:t>
      </w:r>
      <w:bookmarkEnd w:id="45"/>
    </w:p>
    <w:p w14:paraId="7FC5D7B5" w14:textId="77777777" w:rsidR="00CF0CB0" w:rsidRPr="009960E1" w:rsidRDefault="00CF0CB0" w:rsidP="005C3A5A">
      <w:pPr>
        <w:pStyle w:val="PartNo"/>
        <w:rPr>
          <w:lang w:val="es-ES_tradnl"/>
        </w:rPr>
      </w:pPr>
      <w:r w:rsidRPr="009960E1">
        <w:rPr>
          <w:lang w:val="es-ES_tradnl"/>
        </w:rPr>
        <w:t>PARTE 1 – ÁREAS GENERALES DE ESTUDIO</w:t>
      </w:r>
    </w:p>
    <w:p w14:paraId="37AF0357" w14:textId="1719CB6D" w:rsidR="00CF0CB0" w:rsidRPr="009960E1" w:rsidRDefault="00A01B74" w:rsidP="005C3A5A">
      <w:pPr>
        <w:pStyle w:val="Headingb"/>
        <w:rPr>
          <w:lang w:val="es-ES_tradnl"/>
        </w:rPr>
      </w:pPr>
      <w:r>
        <w:rPr>
          <w:lang w:val="es-ES_tradnl"/>
        </w:rPr>
        <w:t>CE </w:t>
      </w:r>
      <w:r w:rsidR="00CF0CB0" w:rsidRPr="009960E1">
        <w:rPr>
          <w:lang w:val="es-ES_tradnl"/>
        </w:rPr>
        <w:t>C del UIT-T</w:t>
      </w:r>
    </w:p>
    <w:p w14:paraId="50200190" w14:textId="77777777" w:rsidR="00CF0CB0" w:rsidRPr="009960E1" w:rsidRDefault="00CF0CB0" w:rsidP="00CF0CB0">
      <w:pPr>
        <w:pStyle w:val="Headingb"/>
        <w:rPr>
          <w:lang w:val="es-ES_tradnl"/>
        </w:rPr>
      </w:pPr>
      <w:r w:rsidRPr="009960E1">
        <w:rPr>
          <w:bCs/>
          <w:lang w:val="es-ES_tradnl"/>
        </w:rPr>
        <w:t>Tecnologías para los multimedios, la entrega de contenidos y la televisión por cable</w:t>
      </w:r>
    </w:p>
    <w:p w14:paraId="76E8CCCC" w14:textId="77777777" w:rsidR="00CF0CB0" w:rsidRPr="009960E1" w:rsidRDefault="00CF0CB0" w:rsidP="00116DCC">
      <w:pPr>
        <w:pStyle w:val="Normalaftertitle"/>
        <w:spacing w:before="120"/>
        <w:rPr>
          <w:rFonts w:eastAsia="DengXian"/>
          <w:lang w:val="es-ES_tradnl"/>
        </w:rPr>
      </w:pPr>
      <w:r w:rsidRPr="009960E1">
        <w:rPr>
          <w:lang w:val="es-ES_tradnl"/>
        </w:rPr>
        <w:t>La Comisión de Estudio C del UIT-T se encarga de los estudios relativos a las tecnologías, capacidades, sistemas, aplicaciones y servicios multimedios para las redes actuales y futuras, incluidas las redes basadas en IP y en cable.</w:t>
      </w:r>
    </w:p>
    <w:p w14:paraId="5C05A5FE" w14:textId="77777777" w:rsidR="00CF0CB0" w:rsidRPr="009960E1" w:rsidRDefault="00CF0CB0" w:rsidP="00CF0CB0">
      <w:pPr>
        <w:rPr>
          <w:rFonts w:eastAsia="DengXian"/>
          <w:lang w:val="es-ES_tradnl"/>
        </w:rPr>
      </w:pPr>
      <w:r w:rsidRPr="009960E1">
        <w:rPr>
          <w:lang w:val="es-ES_tradnl"/>
        </w:rPr>
        <w:t>Esto abarca los estudios relativos a:</w:t>
      </w:r>
    </w:p>
    <w:p w14:paraId="5FBDF317"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Las tecnologías de la información y la comunicación (TIC) destinadas a los sistemas, aplicaciones, servicios, terminales y plataformas de distribución multimedios; la accesibilidad para la inclusión digital; las TIC para una vida asistida activa; las interfaces de usuario; los aspectos multimedios de las tecnologías de libro mayor distribuido; la codificación y los sistemas de medios y señales; los servicios multimedios digitales que se utilizan en diversos sectores verticales (salud, cultura, movilidad, etc.); y los aspectos multimedios de las cuestiones relacionadas con el metaverso.</w:t>
      </w:r>
    </w:p>
    <w:p w14:paraId="15238FD3" w14:textId="4937BF9E"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El uso de los sistemas de telecomunicaciones para a) la contribución, la distribución primaria y la distribución secundaria de contenidos audiovisuales (por ejemplo, programas de televisión y servicios de datos conexos, así como las capacidades avanzadas, entre ellas, la ultra alta definición y la alta gama dinámica) y b) las aplicaciones multimedios que ofrecen inmersividad, la realidad virtual, la realidad aumentada y la multivisión, incluida la proyección en tres dimensiones (3D) (estereoscópica y holográfica)</w:t>
      </w:r>
      <w:r w:rsidR="00C66B9B">
        <w:rPr>
          <w:lang w:val="es-ES_tradnl"/>
        </w:rPr>
        <w:t>.</w:t>
      </w:r>
    </w:p>
    <w:p w14:paraId="10515CA9" w14:textId="0A4C6AE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utilización de redes de telecomunicaciones, por ejemplo, por cable coaxial, fibra óptica, sistemas híbridos de fibra y cable coaxial (HFC), redes IP, etc., para ofrecer también servicios integrados de banda ancha, incluida la interconexión con otros tipos de redes, como la red de acceso fijo inalámbrico (por ejemplo, red de acceso local radioeléctrico, redes IMT-2020 y posteriores privadas, etc.)</w:t>
      </w:r>
      <w:r w:rsidR="00C66B9B">
        <w:rPr>
          <w:lang w:val="es-ES_tradnl"/>
        </w:rPr>
        <w:t>.</w:t>
      </w:r>
    </w:p>
    <w:p w14:paraId="1C5C6C0E" w14:textId="77777777" w:rsidR="00CF0CB0" w:rsidRPr="009960E1" w:rsidRDefault="00CF0CB0" w:rsidP="00CF0CB0">
      <w:pPr>
        <w:pStyle w:val="Note"/>
        <w:ind w:left="1134"/>
        <w:rPr>
          <w:lang w:val="es-ES_tradnl"/>
        </w:rPr>
      </w:pPr>
      <w:r w:rsidRPr="009960E1">
        <w:rPr>
          <w:lang w:val="es-ES_tradnl"/>
        </w:rPr>
        <w:t>NOTA 1 – Por red IMT-2020 privada se entienden las redes inalámbricas privadas, específicamente diseñadas para suplementar la red de acceso de televisión por cable.</w:t>
      </w:r>
    </w:p>
    <w:p w14:paraId="20AA1274" w14:textId="111F05BF" w:rsidR="00CF0CB0" w:rsidRPr="009960E1" w:rsidRDefault="00CF0CB0" w:rsidP="00CF0CB0">
      <w:pPr>
        <w:pStyle w:val="Note"/>
        <w:ind w:left="1134"/>
        <w:rPr>
          <w:lang w:val="es-ES_tradnl"/>
        </w:rPr>
      </w:pPr>
      <w:r w:rsidRPr="009960E1">
        <w:rPr>
          <w:lang w:val="es-ES_tradnl"/>
        </w:rPr>
        <w:t xml:space="preserve">NOTA 2 </w:t>
      </w:r>
      <w:r w:rsidR="00116DCC" w:rsidRPr="009960E1">
        <w:rPr>
          <w:lang w:val="es-ES_tradnl"/>
        </w:rPr>
        <w:t>–</w:t>
      </w:r>
      <w:r w:rsidRPr="009960E1">
        <w:rPr>
          <w:lang w:val="es-ES_tradnl"/>
        </w:rPr>
        <w:t xml:space="preserve"> Las redes de cable, principalmente diseñadas para la distribución de contenidos audiovisuales a los hogares, pueden transportar también otros servicios que dependen de la secuencia temporal, incluidos servicios de voz, juegos, vídeo a la carta, interacción y multipantalla, destinados a equipos situados en las instalaciones del cliente (CPE), ya sean hogares o empresas.</w:t>
      </w:r>
    </w:p>
    <w:p w14:paraId="3792BCEA"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utilización de la computación en la nube, la inteligencia artificial (IA) y otras tecnologías avanzadas para mejorar las aplicaciones y servicios multimedios así como los servicios de banda ancha integrados en las redes de telecomunicaciones;</w:t>
      </w:r>
    </w:p>
    <w:p w14:paraId="247897E4" w14:textId="77777777" w:rsidR="00116DCC" w:rsidRDefault="00CF0CB0" w:rsidP="00116DCC">
      <w:pPr>
        <w:pStyle w:val="Note"/>
        <w:spacing w:before="0"/>
        <w:ind w:left="1134"/>
        <w:rPr>
          <w:lang w:val="es-ES_tradnl"/>
        </w:rPr>
      </w:pPr>
      <w:r w:rsidRPr="009960E1">
        <w:rPr>
          <w:lang w:val="es-ES_tradnl"/>
        </w:rPr>
        <w:t>NOTA 3 – Cuando se creó la Comisión de Estudio 16 del UIT-T en 1996, uno de sus mandatos fue el de proseguir los estudios de la Comisión de Estudio 1 del UIT-T sobre servicios multimedios. Así pues, las referencias a los "servicios" en el contexto del mandato de la Comisión de Estudio C deben entenderse como "servicios multimedios".</w:t>
      </w:r>
    </w:p>
    <w:p w14:paraId="798648F7" w14:textId="41E90BDB" w:rsidR="00CF0CB0" w:rsidRPr="009960E1" w:rsidRDefault="00CF0CB0" w:rsidP="00116DCC">
      <w:pPr>
        <w:pStyle w:val="Note"/>
        <w:spacing w:before="0"/>
        <w:ind w:left="1134"/>
        <w:rPr>
          <w:lang w:val="es-ES_tradnl"/>
        </w:rPr>
      </w:pPr>
      <w:r w:rsidRPr="009960E1">
        <w:rPr>
          <w:lang w:val="es-ES_tradnl"/>
        </w:rPr>
        <w:br w:type="page"/>
      </w:r>
    </w:p>
    <w:p w14:paraId="2FAA21F8" w14:textId="759BB355" w:rsidR="00CF0CB0" w:rsidRPr="009960E1" w:rsidRDefault="00CF0CB0" w:rsidP="00924043">
      <w:pPr>
        <w:pStyle w:val="PartNo"/>
        <w:rPr>
          <w:rFonts w:eastAsia="DengXian"/>
          <w:lang w:val="es-ES_tradnl"/>
        </w:rPr>
      </w:pPr>
      <w:r w:rsidRPr="009960E1">
        <w:rPr>
          <w:lang w:val="es-ES_tradnl"/>
        </w:rPr>
        <w:lastRenderedPageBreak/>
        <w:t>PARTE 2 – COMISIONES DE ESTUDIO RECTORAS DEL UIT-T</w:t>
      </w:r>
      <w:r w:rsidR="00945887" w:rsidRPr="009960E1">
        <w:rPr>
          <w:lang w:val="es-ES_tradnl"/>
        </w:rPr>
        <w:br/>
      </w:r>
      <w:r w:rsidRPr="009960E1">
        <w:rPr>
          <w:lang w:val="es-ES_tradnl"/>
        </w:rPr>
        <w:t>EN TEMAS DE ESTUDIOS ESPECÍFICOS</w:t>
      </w:r>
    </w:p>
    <w:p w14:paraId="1E965AAC" w14:textId="77777777" w:rsidR="00924043" w:rsidRPr="009960E1" w:rsidRDefault="00CF0CB0" w:rsidP="00945887">
      <w:pPr>
        <w:pStyle w:val="Normalaftertitle"/>
        <w:ind w:left="1134" w:hanging="1134"/>
        <w:rPr>
          <w:lang w:val="es-ES_tradnl"/>
        </w:rPr>
      </w:pPr>
      <w:r w:rsidRPr="009960E1">
        <w:rPr>
          <w:b/>
          <w:bCs/>
          <w:lang w:val="es-ES_tradnl"/>
        </w:rPr>
        <w:t>CE</w:t>
      </w:r>
      <w:r w:rsidR="00924043" w:rsidRPr="009960E1">
        <w:rPr>
          <w:b/>
          <w:bCs/>
          <w:lang w:val="es-ES_tradnl"/>
        </w:rPr>
        <w:t> </w:t>
      </w:r>
      <w:r w:rsidRPr="009960E1">
        <w:rPr>
          <w:b/>
          <w:bCs/>
          <w:lang w:val="es-ES_tradnl"/>
        </w:rPr>
        <w:t>C</w:t>
      </w:r>
      <w:r w:rsidRPr="009960E1">
        <w:rPr>
          <w:lang w:val="es-ES_tradnl"/>
        </w:rPr>
        <w:tab/>
        <w:t>Comisión de Estudio Rectora sobre tecnologías, aplicaciones, sistemas y servicios multimedios</w:t>
      </w:r>
    </w:p>
    <w:p w14:paraId="11F695B0" w14:textId="77777777" w:rsidR="00945887" w:rsidRPr="009960E1" w:rsidRDefault="00CF0CB0" w:rsidP="00945887">
      <w:pPr>
        <w:pStyle w:val="NormalIndent"/>
        <w:rPr>
          <w:lang w:val="es-ES_tradnl"/>
        </w:rPr>
      </w:pPr>
      <w:r w:rsidRPr="009960E1">
        <w:rPr>
          <w:lang w:val="es-ES_tradnl"/>
        </w:rPr>
        <w:t>Comisión de Estudio Rectora sobre redes de cable de banda ancha integradas</w:t>
      </w:r>
    </w:p>
    <w:p w14:paraId="058D08BA" w14:textId="77777777" w:rsidR="00945887" w:rsidRPr="009960E1" w:rsidRDefault="00CF0CB0" w:rsidP="00945887">
      <w:pPr>
        <w:pStyle w:val="NormalIndent"/>
        <w:rPr>
          <w:lang w:val="es-ES_tradnl"/>
        </w:rPr>
      </w:pPr>
      <w:r w:rsidRPr="009960E1">
        <w:rPr>
          <w:lang w:val="es-ES_tradnl"/>
        </w:rPr>
        <w:t>Comisión de Estudio Rectora sobre el procesamiento y entrega de contenidos audiovisuales por sistemas de distribución multimedios, como las redes de cable, los servicios de televisión IP y la señalización digital</w:t>
      </w:r>
    </w:p>
    <w:p w14:paraId="08650D63" w14:textId="77777777" w:rsidR="00945887" w:rsidRPr="009960E1" w:rsidRDefault="00CF0CB0" w:rsidP="00945887">
      <w:pPr>
        <w:pStyle w:val="NormalIndent"/>
        <w:rPr>
          <w:lang w:val="es-ES_tradnl"/>
        </w:rPr>
      </w:pPr>
      <w:r w:rsidRPr="009960E1">
        <w:rPr>
          <w:lang w:val="es-ES_tradnl"/>
        </w:rPr>
        <w:t>Comisión de Estudio Rectora sobre factores humanos y accesibilidad de las TIC para la inclusión digital</w:t>
      </w:r>
    </w:p>
    <w:p w14:paraId="788F73B8" w14:textId="77777777" w:rsidR="00945887" w:rsidRPr="009960E1" w:rsidRDefault="00CF0CB0" w:rsidP="00945887">
      <w:pPr>
        <w:pStyle w:val="NormalIndent"/>
        <w:rPr>
          <w:lang w:val="es-ES_tradnl"/>
        </w:rPr>
      </w:pPr>
      <w:r w:rsidRPr="009960E1">
        <w:rPr>
          <w:lang w:val="es-ES_tradnl"/>
        </w:rPr>
        <w:t>Comisión de Estudio Rectora sobre aspectos multimedios de los servicios inteligentes relacionados con la automoción</w:t>
      </w:r>
    </w:p>
    <w:p w14:paraId="7ED1DDF0" w14:textId="77777777" w:rsidR="00945887" w:rsidRPr="009960E1" w:rsidRDefault="00CF0CB0" w:rsidP="00945887">
      <w:pPr>
        <w:pStyle w:val="NormalIndent"/>
        <w:rPr>
          <w:lang w:val="es-ES_tradnl"/>
        </w:rPr>
      </w:pPr>
      <w:r w:rsidRPr="009960E1">
        <w:rPr>
          <w:lang w:val="es-ES_tradnl"/>
        </w:rPr>
        <w:t>Comisión de Estudio Rectora sobre los aspectos multimedios de la salud digital</w:t>
      </w:r>
    </w:p>
    <w:p w14:paraId="2980D4A2" w14:textId="6FFE034F" w:rsidR="00945887" w:rsidRPr="009960E1" w:rsidRDefault="00CF0CB0" w:rsidP="00945887">
      <w:pPr>
        <w:pStyle w:val="NormalIndent"/>
        <w:rPr>
          <w:lang w:val="es-ES_tradnl"/>
        </w:rPr>
      </w:pPr>
      <w:r w:rsidRPr="009960E1">
        <w:rPr>
          <w:lang w:val="es-ES_tradnl"/>
        </w:rPr>
        <w:t>Comisión de Estudio Rectora sobre cultura digital</w:t>
      </w:r>
    </w:p>
    <w:p w14:paraId="279A2E27" w14:textId="77777777" w:rsidR="00945887" w:rsidRPr="009960E1" w:rsidRDefault="00CF0CB0" w:rsidP="00945887">
      <w:pPr>
        <w:pStyle w:val="NormalIndent"/>
        <w:rPr>
          <w:lang w:val="es-ES_tradnl"/>
        </w:rPr>
      </w:pPr>
      <w:r w:rsidRPr="009960E1">
        <w:rPr>
          <w:lang w:val="es-ES_tradnl"/>
        </w:rPr>
        <w:t>Comisión de Estudio Rectora sobre los aspectos multimedios de la tecnología de libro mayor distribuido (DLT) y sus aplicaciones</w:t>
      </w:r>
    </w:p>
    <w:p w14:paraId="0CA23AD0" w14:textId="560C0EA2" w:rsidR="00CF0CB0" w:rsidRPr="009960E1" w:rsidRDefault="00CF0CB0" w:rsidP="00945887">
      <w:pPr>
        <w:pStyle w:val="NormalIndent"/>
        <w:rPr>
          <w:lang w:val="es-ES_tradnl"/>
        </w:rPr>
      </w:pPr>
      <w:r w:rsidRPr="009960E1">
        <w:rPr>
          <w:lang w:val="es-ES_tradnl"/>
        </w:rPr>
        <w:t>Comisión de Estudio Rectora sobre tecnologías multimedios inmersivas, en particular el metaverso y otras tecnologías emergentes</w:t>
      </w:r>
      <w:bookmarkStart w:id="46" w:name="_Hlk167698364"/>
      <w:bookmarkStart w:id="47" w:name="_Hlk166705960"/>
      <w:bookmarkEnd w:id="46"/>
      <w:bookmarkEnd w:id="47"/>
    </w:p>
    <w:p w14:paraId="74581225" w14:textId="77777777" w:rsidR="00CF0CB0" w:rsidRPr="009960E1" w:rsidRDefault="00CF0CB0" w:rsidP="00945887">
      <w:pPr>
        <w:pStyle w:val="AnnexNotitle"/>
        <w:rPr>
          <w:b w:val="0"/>
          <w:bCs/>
          <w:lang w:val="es-ES_tradnl"/>
        </w:rPr>
      </w:pPr>
      <w:bookmarkStart w:id="48" w:name="_Toc179189961"/>
      <w:r w:rsidRPr="009960E1">
        <w:rPr>
          <w:b w:val="0"/>
          <w:bCs/>
          <w:lang w:val="es-ES_tradnl"/>
        </w:rPr>
        <w:t>ANEXO B</w:t>
      </w:r>
      <w:r w:rsidRPr="009960E1">
        <w:rPr>
          <w:b w:val="0"/>
          <w:bCs/>
          <w:lang w:val="es-ES_tradnl"/>
        </w:rPr>
        <w:br/>
        <w:t>(a la Resolución 2 (Rev. Nueva Delhi, 2024))</w:t>
      </w:r>
      <w:bookmarkEnd w:id="48"/>
    </w:p>
    <w:p w14:paraId="71BD1172" w14:textId="614DD5E6" w:rsidR="00CF0CB0" w:rsidRPr="009960E1" w:rsidRDefault="00CF0CB0" w:rsidP="00CF0CB0">
      <w:pPr>
        <w:pStyle w:val="Annextitle"/>
        <w:rPr>
          <w:rFonts w:eastAsia="DengXian"/>
          <w:lang w:val="es-ES_tradnl"/>
        </w:rPr>
      </w:pPr>
      <w:r w:rsidRPr="009960E1">
        <w:rPr>
          <w:bCs/>
          <w:lang w:val="es-ES_tradnl"/>
        </w:rPr>
        <w:t>Orientaciones a las Comisiones de Estudio del UIT-T para</w:t>
      </w:r>
      <w:r w:rsidR="00945887" w:rsidRPr="009960E1">
        <w:rPr>
          <w:bCs/>
          <w:lang w:val="es-ES_tradnl"/>
        </w:rPr>
        <w:br/>
      </w:r>
      <w:r w:rsidRPr="009960E1">
        <w:rPr>
          <w:bCs/>
          <w:lang w:val="es-ES_tradnl"/>
        </w:rPr>
        <w:t>la elaboración del programa de trabajo posterior a 2022</w:t>
      </w:r>
    </w:p>
    <w:p w14:paraId="7D5333ED" w14:textId="77777777" w:rsidR="00CF0CB0" w:rsidRPr="009960E1" w:rsidRDefault="00CF0CB0" w:rsidP="00945887">
      <w:pPr>
        <w:pStyle w:val="Normalaftertitle"/>
        <w:rPr>
          <w:rFonts w:eastAsia="DengXian"/>
          <w:lang w:val="es-ES_tradnl"/>
        </w:rPr>
      </w:pPr>
      <w:r w:rsidRPr="009960E1">
        <w:rPr>
          <w:b/>
          <w:bCs/>
          <w:lang w:val="es-ES_tradnl"/>
        </w:rPr>
        <w:t>B.1</w:t>
      </w:r>
      <w:r w:rsidRPr="009960E1">
        <w:rPr>
          <w:lang w:val="es-ES_tradnl"/>
        </w:rPr>
        <w:tab/>
        <w:t>En el presente Anexo se facilitan orientaciones a las Comisiones de Estudio para la elaboración de las Cuestiones de estudio posteriores a 2022 de acuerdo con la estructura y el área de responsabilidad general propuestas. El objetivo de estas orientaciones es aclarar, cuando proceda, las relaciones de interacción entre las Comisiones de Estudio en determinadas áreas de responsabilidad común, en lugar de enumerar exhaustivamente dichas responsabilidades.</w:t>
      </w:r>
    </w:p>
    <w:p w14:paraId="7BFC127D" w14:textId="77777777" w:rsidR="00CF0CB0" w:rsidRPr="009960E1" w:rsidRDefault="00CF0CB0" w:rsidP="00CF0CB0">
      <w:pPr>
        <w:rPr>
          <w:rFonts w:eastAsia="DengXian"/>
          <w:lang w:val="es-ES_tradnl"/>
        </w:rPr>
      </w:pPr>
      <w:r w:rsidRPr="009960E1">
        <w:rPr>
          <w:b/>
          <w:bCs/>
          <w:lang w:val="es-ES_tradnl"/>
        </w:rPr>
        <w:t>B.2</w:t>
      </w:r>
      <w:r w:rsidRPr="009960E1">
        <w:rPr>
          <w:lang w:val="es-ES_tradnl"/>
        </w:rPr>
        <w:tab/>
        <w:t>El Grupo Asesor de Normalización de las Telecomunicaciones (GANT) revisará este Anexo, según sea necesario, con miras a facilitar la interacción entre las Comisiones de Estudio, minimizar la duplicación de esfuerzos y armonizar el programa de trabajo general del UIT-T.</w:t>
      </w:r>
    </w:p>
    <w:p w14:paraId="105E4E4F" w14:textId="77777777" w:rsidR="00CF0CB0" w:rsidRPr="009960E1" w:rsidRDefault="00CF0CB0" w:rsidP="00CF0CB0">
      <w:pPr>
        <w:rPr>
          <w:rFonts w:eastAsia="DengXian"/>
          <w:b/>
          <w:bCs/>
          <w:lang w:val="es-ES_tradnl"/>
        </w:rPr>
      </w:pPr>
      <w:r w:rsidRPr="009960E1">
        <w:rPr>
          <w:b/>
          <w:bCs/>
          <w:lang w:val="es-ES_tradnl"/>
        </w:rPr>
        <w:t>...</w:t>
      </w:r>
    </w:p>
    <w:p w14:paraId="0CEEDAC9" w14:textId="77777777" w:rsidR="00CF0CB0" w:rsidRPr="009960E1" w:rsidRDefault="00CF0CB0" w:rsidP="00CF0CB0">
      <w:pPr>
        <w:pStyle w:val="Headingb"/>
        <w:rPr>
          <w:lang w:val="es-ES_tradnl"/>
        </w:rPr>
      </w:pPr>
      <w:r w:rsidRPr="009960E1">
        <w:rPr>
          <w:bCs/>
          <w:lang w:val="es-ES_tradnl"/>
        </w:rPr>
        <w:t>Comisión de Estudio C del UIT-T</w:t>
      </w:r>
    </w:p>
    <w:p w14:paraId="424BF955" w14:textId="77777777" w:rsidR="00CF0CB0" w:rsidRPr="009960E1" w:rsidRDefault="00CF0CB0" w:rsidP="00CF0CB0">
      <w:pPr>
        <w:rPr>
          <w:rFonts w:eastAsia="DengXian"/>
          <w:lang w:val="es-ES_tradnl"/>
        </w:rPr>
      </w:pPr>
      <w:r w:rsidRPr="009960E1">
        <w:rPr>
          <w:lang w:val="es-ES_tradnl"/>
        </w:rPr>
        <w:t>La Comisión de Estudio C del UIT-T trabajará sobre los temas siguientes:</w:t>
      </w:r>
    </w:p>
    <w:p w14:paraId="77A90113"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terminología de varios servicios multimedios;</w:t>
      </w:r>
    </w:p>
    <w:p w14:paraId="299B35E2"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explotación de sistemas y aplicaciones multimedios, incluyendo la interoperabilidad, la escalabilidad y el interfuncionamiento sobre redes diversas;</w:t>
      </w:r>
    </w:p>
    <w:p w14:paraId="426EDBDE"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servicios y aplicaciones multimedios ubicuos;</w:t>
      </w:r>
    </w:p>
    <w:p w14:paraId="31F5B967"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aspectos multimedios de los servicios digitales;</w:t>
      </w:r>
    </w:p>
    <w:p w14:paraId="3AD67185"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el desarrollo de arquitecturas multimedios de extremo a extremo, incluyendo las pasarelas en vehículos para sistemas de transporte inteligentes (STI);</w:t>
      </w:r>
    </w:p>
    <w:p w14:paraId="4FCDD1A2" w14:textId="77777777" w:rsidR="00CF0CB0" w:rsidRPr="009960E1" w:rsidRDefault="00CF0CB0" w:rsidP="00CF0CB0">
      <w:pPr>
        <w:pStyle w:val="enumlev1"/>
        <w:rPr>
          <w:rFonts w:eastAsia="DengXian"/>
          <w:lang w:val="es-ES_tradnl"/>
        </w:rPr>
      </w:pPr>
      <w:r w:rsidRPr="009960E1">
        <w:rPr>
          <w:rFonts w:eastAsia="DengXian"/>
          <w:lang w:val="es-ES_tradnl"/>
        </w:rPr>
        <w:lastRenderedPageBreak/>
        <w:t>•</w:t>
      </w:r>
      <w:r w:rsidRPr="009960E1">
        <w:rPr>
          <w:lang w:val="es-ES_tradnl"/>
        </w:rPr>
        <w:tab/>
        <w:t xml:space="preserve">los protocolos de capa alta y </w:t>
      </w:r>
      <w:r w:rsidRPr="00D15FEC">
        <w:rPr>
          <w:i/>
          <w:iCs/>
          <w:lang w:val="es-ES_tradnl"/>
        </w:rPr>
        <w:t>middleware</w:t>
      </w:r>
      <w:r w:rsidRPr="009960E1">
        <w:rPr>
          <w:lang w:val="es-ES_tradnl"/>
        </w:rPr>
        <w:t xml:space="preserve"> para sistemas y aplicaciones multimedios, incluidos los servicios de televisión basados en IP (redes gestionadas y no gestionadas), los servicios de emisión en continuo de medios basados en Internet y la señalética digital;</w:t>
      </w:r>
    </w:p>
    <w:p w14:paraId="25F01749"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codificación y los sistemas de medios y señales;</w:t>
      </w:r>
    </w:p>
    <w:p w14:paraId="06BA006C"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las terminales multimedios y multimodo;</w:t>
      </w:r>
    </w:p>
    <w:p w14:paraId="28AEEBDA"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interacción persona-máquina;</w:t>
      </w:r>
    </w:p>
    <w:p w14:paraId="599AE203"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equipos y terminales de procesamiento de la señal de red, las implementaciones de pasarelas y las características;</w:t>
      </w:r>
    </w:p>
    <w:p w14:paraId="25DD626F"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calidad de servicio (QoS), la calidad percibida (QoE) y la calidad de funcionamiento de extremo a extremo en los sistemas multimedios;</w:t>
      </w:r>
    </w:p>
    <w:p w14:paraId="391611E5"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seguridad y fiabilidad de los sistemas y servicios multimedios;</w:t>
      </w:r>
    </w:p>
    <w:p w14:paraId="1EB9424E"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contribución y distribución protegidas de contenidos audiovisuales como, por ejemplo, los sistemas de acceso condicional (CA) y de gestión de derechos digitales (DRM), por redes de cable;</w:t>
      </w:r>
    </w:p>
    <w:p w14:paraId="44316215"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aspectos multimedios de la tecnología de libro mayor distribuido (DLT) y sus aplicaciones;</w:t>
      </w:r>
    </w:p>
    <w:p w14:paraId="358C9EDD"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servicios y aplicaciones multimedios digitales en diversos sectores verticales;</w:t>
      </w:r>
    </w:p>
    <w:p w14:paraId="6EB758F4"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aspectos multimedios de tecnologías, aplicaciones, sistemas y servicios de metaverso, con inclusión de la arquitectura funcional y la interoperabilidad de las plataformas;</w:t>
      </w:r>
    </w:p>
    <w:p w14:paraId="0ADC6C39"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sistemas de contenidos audiovisuales para la contribución y la distribución, incluida la radiodifusión, por redes de telecomunicaciones, por ejemplo, por cable coaxial, fibra óptica, sistemas híbridos de fibra y cable coaxial (HFC), redes IP, etc., que también puede aplicarse a la distribución de contenido terrenal y/o por satélite;</w:t>
      </w:r>
    </w:p>
    <w:p w14:paraId="4530899E"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interconexión entre redes de cable y otros tipos de redes, como las redes de acceso fijo inalámbrico (por ejemplo, red de acceso local radioeléctrico, redes IMT-2020 y posteriores privadas, etc.);</w:t>
      </w:r>
    </w:p>
    <w:p w14:paraId="721C541A"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 utilización de IP u otros protocolos, programas intermedios y sistemas operativos apropiados para suministrar servicios que dependen de la secuencia temporal, servicios según demanda, servicios interactivos o migraciones de servicios de radiofrecuencia (RF) a IP por redes de distribución por cable;</w:t>
      </w:r>
    </w:p>
    <w:p w14:paraId="43D36441"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procedimientos para la explotación de la entrega de contenidos audiovisuales por redes de cable;</w:t>
      </w:r>
    </w:p>
    <w:p w14:paraId="1FB9E05D"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sistemas y aplicaciones multimedios con IA, en particular la entrega y transmisión de contenido audiovisual y otros servicios de datos con IA, teniendo en cuenta los principios de la IA responsable/fiable/explicable;</w:t>
      </w:r>
    </w:p>
    <w:p w14:paraId="38E125F4"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terminales de redes de cable e interfaces conexas (por ejemplo, interfaces con dispositivos de redes domésticas, como dispositivos IoT, o interfaces con la nube);</w:t>
      </w:r>
    </w:p>
    <w:p w14:paraId="3079D723"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las plataformas integradas de extremo a extremo para redes de cable;</w:t>
      </w:r>
    </w:p>
    <w:p w14:paraId="4D3F16DB"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las aplicaciones y servicios avanzados, interactivos y dependientes del tiempo, entre otros, en redes de cable;</w:t>
      </w:r>
    </w:p>
    <w:p w14:paraId="085CB1CB"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sistemas basados en la nube para servicios de contenidos audiovisuales y su control en redes de cable;</w:t>
      </w:r>
    </w:p>
    <w:p w14:paraId="671D713D" w14:textId="77777777" w:rsidR="00CF0CB0" w:rsidRPr="009960E1" w:rsidRDefault="00CF0CB0" w:rsidP="00CF0CB0">
      <w:pPr>
        <w:pStyle w:val="enumlev1"/>
        <w:rPr>
          <w:lang w:val="es-ES_tradnl"/>
        </w:rPr>
      </w:pPr>
      <w:r w:rsidRPr="009960E1">
        <w:rPr>
          <w:rFonts w:eastAsia="DengXian"/>
          <w:lang w:val="es-ES_tradnl"/>
        </w:rPr>
        <w:t>•</w:t>
      </w:r>
      <w:r w:rsidRPr="009960E1">
        <w:rPr>
          <w:lang w:val="es-ES_tradnl"/>
        </w:rPr>
        <w:tab/>
        <w:t>el procesamiento y entrega de contenidos multimedia con inclusión de la realidad ampliada (por ejemplo, la realidad aumentada, la realidad virtual y la realidad mixta), entornos inmersivos, mundos virtuales y metaverso;</w:t>
      </w:r>
    </w:p>
    <w:p w14:paraId="6F8E2FB6" w14:textId="77777777" w:rsidR="00CF0CB0" w:rsidRPr="009960E1" w:rsidRDefault="00CF0CB0" w:rsidP="00CF0CB0">
      <w:pPr>
        <w:pStyle w:val="enumlev1"/>
        <w:rPr>
          <w:rFonts w:eastAsia="DengXian"/>
          <w:lang w:val="es-ES_tradnl"/>
        </w:rPr>
      </w:pPr>
      <w:bookmarkStart w:id="49" w:name="_Hlk166704817"/>
      <w:r w:rsidRPr="009960E1">
        <w:rPr>
          <w:rFonts w:eastAsia="DengXian"/>
          <w:lang w:val="es-ES_tradnl"/>
        </w:rPr>
        <w:lastRenderedPageBreak/>
        <w:t>•</w:t>
      </w:r>
      <w:r w:rsidRPr="009960E1">
        <w:rPr>
          <w:lang w:val="es-ES_tradnl"/>
        </w:rPr>
        <w:tab/>
        <w:t>la accesibilidad de los sistemas, servicios y aplicaciones multimedios para la inclusión digital;</w:t>
      </w:r>
      <w:bookmarkEnd w:id="49"/>
    </w:p>
    <w:p w14:paraId="3CC9514D" w14:textId="77777777" w:rsidR="00CF0CB0" w:rsidRPr="009960E1" w:rsidRDefault="00CF0CB0" w:rsidP="00CF0CB0">
      <w:pPr>
        <w:pStyle w:val="enumlev1"/>
        <w:rPr>
          <w:rFonts w:eastAsia="DengXian"/>
          <w:lang w:val="es-ES_tradnl"/>
        </w:rPr>
      </w:pPr>
      <w:r w:rsidRPr="009960E1">
        <w:rPr>
          <w:rFonts w:eastAsia="DengXian"/>
          <w:lang w:val="es-ES_tradnl"/>
        </w:rPr>
        <w:t>•</w:t>
      </w:r>
      <w:r w:rsidRPr="009960E1">
        <w:rPr>
          <w:lang w:val="es-ES_tradnl"/>
        </w:rPr>
        <w:tab/>
        <w:t>los perfiles de usuario comunes y la taxonomía de participación para la accesibilidad de la televisión por cable de banda ancha.</w:t>
      </w:r>
    </w:p>
    <w:p w14:paraId="1240DE4D" w14:textId="77777777" w:rsidR="00CF0CB0" w:rsidRPr="009960E1" w:rsidRDefault="00CF0CB0" w:rsidP="00CF0CB0">
      <w:pPr>
        <w:rPr>
          <w:rFonts w:eastAsia="DengXian"/>
          <w:lang w:val="es-ES_tradnl"/>
        </w:rPr>
      </w:pPr>
      <w:r w:rsidRPr="009960E1">
        <w:rPr>
          <w:lang w:val="es-ES_tradnl"/>
        </w:rPr>
        <w:t>Para desarrollar sus estudios, la Comisión de Estudio C tendrá en cuenta los aspectos éticos y sociales de las aplicaciones inteligentes.</w:t>
      </w:r>
    </w:p>
    <w:p w14:paraId="5D9CF5F4" w14:textId="5513612F" w:rsidR="00CF0CB0" w:rsidRPr="009960E1" w:rsidRDefault="00CF0CB0" w:rsidP="00CF0CB0">
      <w:pPr>
        <w:rPr>
          <w:rFonts w:eastAsia="DengXian"/>
          <w:lang w:val="es-ES_tradnl"/>
        </w:rPr>
      </w:pPr>
      <w:r w:rsidRPr="009960E1">
        <w:rPr>
          <w:lang w:val="es-ES_tradnl"/>
        </w:rPr>
        <w:t>La Comisión de Estudio</w:t>
      </w:r>
      <w:r w:rsidR="00945887" w:rsidRPr="009960E1">
        <w:rPr>
          <w:lang w:val="es-ES_tradnl"/>
        </w:rPr>
        <w:t> </w:t>
      </w:r>
      <w:r w:rsidRPr="009960E1">
        <w:rPr>
          <w:lang w:val="es-ES_tradnl"/>
        </w:rPr>
        <w:t>C del UIT-T trabajará de manera colaborativa con todas las partes interesadas activas en los ámbitos de normalización de su competencia, en especial con otras Comisiones de Estudio de la UIT, otros organismos de las Naciones Unidas, organizaciones de normalización internacionales y regionales, foros y consorcios industriales.</w:t>
      </w:r>
    </w:p>
    <w:p w14:paraId="69948481" w14:textId="5E32C9E5" w:rsidR="00CF0CB0" w:rsidRPr="009960E1" w:rsidRDefault="00CF0CB0" w:rsidP="00CF0CB0">
      <w:pPr>
        <w:rPr>
          <w:rFonts w:eastAsia="DengXian"/>
          <w:lang w:val="es-ES_tradnl"/>
        </w:rPr>
      </w:pPr>
      <w:r w:rsidRPr="009960E1">
        <w:rPr>
          <w:lang w:val="es-ES_tradnl"/>
        </w:rPr>
        <w:t>La Comisión de Estudio</w:t>
      </w:r>
      <w:r w:rsidR="00945887" w:rsidRPr="009960E1">
        <w:rPr>
          <w:lang w:val="es-ES_tradnl"/>
        </w:rPr>
        <w:t> </w:t>
      </w:r>
      <w:r w:rsidRPr="009960E1">
        <w:rPr>
          <w:lang w:val="es-ES_tradnl"/>
        </w:rPr>
        <w:t>C elaborará y mantendrá directrices de aplicación para facilitar el cumplimiento de sus Recomendaciones en los países en desarrollo.</w:t>
      </w:r>
    </w:p>
    <w:p w14:paraId="01AC342A" w14:textId="6991F526" w:rsidR="00CF0CB0" w:rsidRPr="009960E1" w:rsidRDefault="00CF0CB0" w:rsidP="00CF0CB0">
      <w:pPr>
        <w:rPr>
          <w:rFonts w:eastAsia="DengXian"/>
          <w:lang w:val="es-ES_tradnl"/>
        </w:rPr>
      </w:pPr>
      <w:r w:rsidRPr="009960E1">
        <w:rPr>
          <w:lang w:val="es-ES_tradnl"/>
        </w:rPr>
        <w:t>La Comisión de Estudio</w:t>
      </w:r>
      <w:r w:rsidR="00945887" w:rsidRPr="009960E1">
        <w:rPr>
          <w:lang w:val="es-ES_tradnl"/>
        </w:rPr>
        <w:t> </w:t>
      </w:r>
      <w:r w:rsidRPr="009960E1">
        <w:rPr>
          <w:lang w:val="es-ES_tradnl"/>
        </w:rPr>
        <w:t>C se encarga de la coordinación de los asuntos de radiodifusión con el Sector de Radiocomunicaciones de la UIT (UIT-R).</w:t>
      </w:r>
    </w:p>
    <w:p w14:paraId="4659E6EE" w14:textId="77777777" w:rsidR="00CF0CB0" w:rsidRPr="009960E1" w:rsidRDefault="00CF0CB0" w:rsidP="00CF0CB0">
      <w:pPr>
        <w:rPr>
          <w:rFonts w:eastAsia="DengXian"/>
          <w:lang w:val="es-ES_tradnl"/>
        </w:rPr>
      </w:pPr>
      <w:r w:rsidRPr="009960E1">
        <w:rPr>
          <w:lang w:val="es-ES_tradnl"/>
        </w:rPr>
        <w:t>Se considerará que las actividades de los Grupos de Relator Intersectoriales de diferentes Sectores y/o las de los Grupos Mixtos de Relator de las distintas Comisiones de Estudio se atienen a las expectativas de la AMNT en materia de colaboración y coordinación.</w:t>
      </w:r>
    </w:p>
    <w:p w14:paraId="01FD10BC" w14:textId="77777777" w:rsidR="00CF0CB0" w:rsidRPr="009960E1" w:rsidRDefault="00CF0CB0" w:rsidP="00CF0CB0">
      <w:pPr>
        <w:rPr>
          <w:rFonts w:eastAsia="DengXian"/>
          <w:b/>
          <w:bCs/>
          <w:lang w:val="es-ES_tradnl"/>
        </w:rPr>
      </w:pPr>
      <w:r w:rsidRPr="009960E1">
        <w:rPr>
          <w:b/>
          <w:bCs/>
          <w:lang w:val="es-ES_tradnl"/>
        </w:rPr>
        <w:t>...</w:t>
      </w:r>
    </w:p>
    <w:p w14:paraId="64779F5D" w14:textId="77777777" w:rsidR="00CF0CB0" w:rsidRPr="009960E1" w:rsidRDefault="00CF0CB0" w:rsidP="00945887">
      <w:pPr>
        <w:pStyle w:val="AnnexNotitle"/>
        <w:rPr>
          <w:b w:val="0"/>
          <w:bCs/>
          <w:lang w:val="es-ES_tradnl"/>
        </w:rPr>
      </w:pPr>
      <w:bookmarkStart w:id="50" w:name="_Toc179189962"/>
      <w:r w:rsidRPr="009960E1">
        <w:rPr>
          <w:b w:val="0"/>
          <w:bCs/>
          <w:lang w:val="es-ES_tradnl"/>
        </w:rPr>
        <w:t>ANEXO C</w:t>
      </w:r>
      <w:r w:rsidRPr="009960E1">
        <w:rPr>
          <w:b w:val="0"/>
          <w:bCs/>
          <w:lang w:val="es-ES_tradnl"/>
        </w:rPr>
        <w:br/>
        <w:t>(a la Resolución 2 (Rev. Nueva Delhi, 2024))</w:t>
      </w:r>
      <w:bookmarkEnd w:id="50"/>
    </w:p>
    <w:p w14:paraId="5C298CED" w14:textId="15E836B9" w:rsidR="00CF0CB0" w:rsidRPr="009960E1" w:rsidRDefault="00CF0CB0" w:rsidP="00CF0CB0">
      <w:pPr>
        <w:pStyle w:val="Annextitle"/>
        <w:rPr>
          <w:rFonts w:eastAsia="DengXian"/>
          <w:lang w:val="es-ES_tradnl"/>
        </w:rPr>
      </w:pPr>
      <w:r w:rsidRPr="009960E1">
        <w:rPr>
          <w:bCs/>
          <w:lang w:val="es-ES_tradnl"/>
        </w:rPr>
        <w:t>Lista de Recomendaciones correspondientes a las respectivas Comisiones</w:t>
      </w:r>
      <w:r w:rsidR="00945887" w:rsidRPr="009960E1">
        <w:rPr>
          <w:bCs/>
          <w:lang w:val="es-ES_tradnl"/>
        </w:rPr>
        <w:br/>
      </w:r>
      <w:r w:rsidRPr="009960E1">
        <w:rPr>
          <w:bCs/>
          <w:lang w:val="es-ES_tradnl"/>
        </w:rPr>
        <w:t>de</w:t>
      </w:r>
      <w:r w:rsidR="00945887" w:rsidRPr="009960E1">
        <w:rPr>
          <w:bCs/>
          <w:lang w:val="es-ES_tradnl"/>
        </w:rPr>
        <w:t xml:space="preserve"> </w:t>
      </w:r>
      <w:r w:rsidRPr="009960E1">
        <w:rPr>
          <w:bCs/>
          <w:lang w:val="es-ES_tradnl"/>
        </w:rPr>
        <w:t>Estudio del UIT-T y al GANT en el periodo de estudios 2025-2028</w:t>
      </w:r>
    </w:p>
    <w:p w14:paraId="41103E48" w14:textId="77777777" w:rsidR="00CF0CB0" w:rsidRPr="009960E1" w:rsidRDefault="00CF0CB0" w:rsidP="00CF0CB0">
      <w:pPr>
        <w:rPr>
          <w:rFonts w:eastAsia="DengXian"/>
          <w:b/>
          <w:bCs/>
          <w:lang w:val="es-ES_tradnl"/>
        </w:rPr>
      </w:pPr>
      <w:r w:rsidRPr="009960E1">
        <w:rPr>
          <w:b/>
          <w:bCs/>
          <w:lang w:val="es-ES_tradnl"/>
        </w:rPr>
        <w:t>...</w:t>
      </w:r>
    </w:p>
    <w:p w14:paraId="2732365C" w14:textId="77777777" w:rsidR="00CF0CB0" w:rsidRPr="009960E1" w:rsidRDefault="00CF0CB0" w:rsidP="00CF0CB0">
      <w:pPr>
        <w:pStyle w:val="Headingb"/>
        <w:rPr>
          <w:lang w:val="es-ES_tradnl"/>
        </w:rPr>
      </w:pPr>
      <w:r w:rsidRPr="009960E1">
        <w:rPr>
          <w:bCs/>
          <w:lang w:val="es-ES_tradnl"/>
        </w:rPr>
        <w:t>Comisión de Estudio C del UIT-T</w:t>
      </w:r>
    </w:p>
    <w:p w14:paraId="4C5C37F8" w14:textId="5E8A8311" w:rsidR="00CF0CB0" w:rsidRPr="001D1703" w:rsidRDefault="00CF0CB0" w:rsidP="00CF0CB0">
      <w:pPr>
        <w:rPr>
          <w:rFonts w:eastAsia="DengXian"/>
          <w:lang w:val="fr-FR"/>
        </w:rPr>
      </w:pPr>
      <w:r w:rsidRPr="001D1703">
        <w:rPr>
          <w:lang w:val="fr-FR"/>
        </w:rPr>
        <w:t>UIT-T E.120 – UIT-T E.139 (salvo UIT-T E.129), UIT-T E.161, serie UIT-T E.180, seri</w:t>
      </w:r>
      <w:r w:rsidR="00945887" w:rsidRPr="001D1703">
        <w:rPr>
          <w:lang w:val="fr-FR"/>
        </w:rPr>
        <w:t>e </w:t>
      </w:r>
      <w:r w:rsidRPr="001D1703">
        <w:rPr>
          <w:lang w:val="fr-FR"/>
        </w:rPr>
        <w:t>UIT</w:t>
      </w:r>
      <w:r w:rsidR="00945887" w:rsidRPr="001D1703">
        <w:rPr>
          <w:lang w:val="fr-FR"/>
        </w:rPr>
        <w:noBreakHyphen/>
      </w:r>
      <w:r w:rsidRPr="001D1703">
        <w:rPr>
          <w:lang w:val="fr-FR"/>
        </w:rPr>
        <w:t>T</w:t>
      </w:r>
      <w:r w:rsidR="00945887" w:rsidRPr="001D1703">
        <w:rPr>
          <w:lang w:val="fr-FR"/>
        </w:rPr>
        <w:t> </w:t>
      </w:r>
      <w:r w:rsidRPr="001D1703">
        <w:rPr>
          <w:lang w:val="fr-FR"/>
        </w:rPr>
        <w:t>E.330, serie UIT-T E.340</w:t>
      </w:r>
    </w:p>
    <w:p w14:paraId="08DC090D" w14:textId="524FC619" w:rsidR="00CF0CB0" w:rsidRPr="009960E1" w:rsidRDefault="00CF0CB0" w:rsidP="00CF0CB0">
      <w:pPr>
        <w:rPr>
          <w:rFonts w:eastAsia="DengXian"/>
          <w:lang w:val="es-ES_tradnl"/>
        </w:rPr>
      </w:pPr>
      <w:r w:rsidRPr="009960E1">
        <w:rPr>
          <w:lang w:val="es-ES_tradnl"/>
        </w:rPr>
        <w:t>Serie UIT-T F.700, salvo las que son responsabilidad de la Comisión de Estudio 20 y</w:t>
      </w:r>
      <w:r w:rsidR="00945887" w:rsidRPr="009960E1">
        <w:rPr>
          <w:lang w:val="es-ES_tradnl"/>
        </w:rPr>
        <w:t> </w:t>
      </w:r>
      <w:r w:rsidRPr="009960E1">
        <w:rPr>
          <w:lang w:val="es-ES_tradnl"/>
        </w:rPr>
        <w:t>serie</w:t>
      </w:r>
      <w:r w:rsidR="00945887" w:rsidRPr="009960E1">
        <w:rPr>
          <w:lang w:val="es-ES_tradnl"/>
        </w:rPr>
        <w:t> </w:t>
      </w:r>
      <w:r w:rsidRPr="009960E1">
        <w:rPr>
          <w:lang w:val="es-ES_tradnl"/>
        </w:rPr>
        <w:t>UIT</w:t>
      </w:r>
      <w:r w:rsidR="00945887" w:rsidRPr="009960E1">
        <w:rPr>
          <w:lang w:val="es-ES_tradnl"/>
        </w:rPr>
        <w:noBreakHyphen/>
      </w:r>
      <w:r w:rsidRPr="009960E1">
        <w:rPr>
          <w:lang w:val="es-ES_tradnl"/>
        </w:rPr>
        <w:t>T</w:t>
      </w:r>
      <w:r w:rsidR="00945887" w:rsidRPr="009960E1">
        <w:rPr>
          <w:lang w:val="es-ES_tradnl"/>
        </w:rPr>
        <w:t> </w:t>
      </w:r>
      <w:r w:rsidRPr="009960E1">
        <w:rPr>
          <w:lang w:val="es-ES_tradnl"/>
        </w:rPr>
        <w:t>F.900</w:t>
      </w:r>
    </w:p>
    <w:p w14:paraId="7C53F709" w14:textId="7D59D9C3" w:rsidR="00CF0CB0" w:rsidRPr="001D1703" w:rsidRDefault="00CF0CB0" w:rsidP="00CF0CB0">
      <w:pPr>
        <w:rPr>
          <w:rFonts w:eastAsia="DengXian"/>
          <w:lang w:val="fr-FR"/>
        </w:rPr>
      </w:pPr>
      <w:r w:rsidRPr="001D1703">
        <w:rPr>
          <w:lang w:val="fr-FR"/>
        </w:rPr>
        <w:t>Series UIT-T G.160, UIT-T G.710-UIT-T G.729 (excluida la UIT-T G.712), UIT-T G.760 (incluida</w:t>
      </w:r>
      <w:r w:rsidR="00945887" w:rsidRPr="001D1703">
        <w:rPr>
          <w:lang w:val="fr-FR"/>
        </w:rPr>
        <w:t> </w:t>
      </w:r>
      <w:r w:rsidRPr="001D1703">
        <w:rPr>
          <w:lang w:val="fr-FR"/>
        </w:rPr>
        <w:t>la UIT-T G.769/Y.1242), UIT-T G.776.1 y UIT-T G.779.1/Y.1451.1, UIT</w:t>
      </w:r>
      <w:r w:rsidR="00945887" w:rsidRPr="001D1703">
        <w:rPr>
          <w:lang w:val="fr-FR"/>
        </w:rPr>
        <w:noBreakHyphen/>
      </w:r>
      <w:r w:rsidRPr="001D1703">
        <w:rPr>
          <w:lang w:val="fr-FR"/>
        </w:rPr>
        <w:t>T</w:t>
      </w:r>
      <w:r w:rsidR="00945887" w:rsidRPr="001D1703">
        <w:rPr>
          <w:lang w:val="fr-FR"/>
        </w:rPr>
        <w:t> </w:t>
      </w:r>
      <w:r w:rsidRPr="001D1703">
        <w:rPr>
          <w:lang w:val="fr-FR"/>
        </w:rPr>
        <w:t>G.799.2</w:t>
      </w:r>
      <w:r w:rsidR="00945887" w:rsidRPr="001D1703">
        <w:rPr>
          <w:lang w:val="fr-FR"/>
        </w:rPr>
        <w:t> </w:t>
      </w:r>
      <w:r w:rsidRPr="001D1703">
        <w:rPr>
          <w:lang w:val="fr-FR"/>
        </w:rPr>
        <w:t>y</w:t>
      </w:r>
      <w:r w:rsidR="00945887" w:rsidRPr="001D1703">
        <w:rPr>
          <w:lang w:val="fr-FR"/>
        </w:rPr>
        <w:t> </w:t>
      </w:r>
      <w:r w:rsidRPr="001D1703">
        <w:rPr>
          <w:lang w:val="fr-FR"/>
        </w:rPr>
        <w:t>UIT-T G.799.3</w:t>
      </w:r>
    </w:p>
    <w:p w14:paraId="3C3900C4" w14:textId="5FDB5A85" w:rsidR="00CF0CB0" w:rsidRPr="009960E1" w:rsidRDefault="00CF0CB0" w:rsidP="00CF0CB0">
      <w:pPr>
        <w:rPr>
          <w:rFonts w:eastAsia="DengXian"/>
          <w:lang w:val="es-ES_tradnl"/>
        </w:rPr>
      </w:pPr>
      <w:r w:rsidRPr="009960E1">
        <w:rPr>
          <w:lang w:val="es-ES_tradnl"/>
        </w:rPr>
        <w:t>Series H del UIT-T, salvo las que son responsabilidad de la Comisión de Estudio</w:t>
      </w:r>
      <w:r w:rsidR="00AF1763" w:rsidRPr="009960E1">
        <w:rPr>
          <w:lang w:val="es-ES_tradnl"/>
        </w:rPr>
        <w:t> </w:t>
      </w:r>
      <w:r w:rsidRPr="009960E1">
        <w:rPr>
          <w:lang w:val="es-ES_tradnl"/>
        </w:rPr>
        <w:t>20</w:t>
      </w:r>
    </w:p>
    <w:p w14:paraId="71DF39A4" w14:textId="2B10DBA9" w:rsidR="00CF0CB0" w:rsidRPr="009960E1" w:rsidRDefault="00CF0CB0" w:rsidP="00CF0CB0">
      <w:pPr>
        <w:rPr>
          <w:rFonts w:eastAsia="DengXian"/>
          <w:lang w:val="es-ES_tradnl"/>
        </w:rPr>
      </w:pPr>
      <w:r w:rsidRPr="009960E1">
        <w:rPr>
          <w:lang w:val="es-ES_tradnl"/>
        </w:rPr>
        <w:t>Series J del UIT-T, salvo las que son responsabilidad de las Comisiones de</w:t>
      </w:r>
      <w:r w:rsidR="00AF1763" w:rsidRPr="009960E1">
        <w:rPr>
          <w:lang w:val="es-ES_tradnl"/>
        </w:rPr>
        <w:t> </w:t>
      </w:r>
      <w:r w:rsidRPr="009960E1">
        <w:rPr>
          <w:lang w:val="es-ES_tradnl"/>
        </w:rPr>
        <w:t>12 y 15</w:t>
      </w:r>
    </w:p>
    <w:p w14:paraId="1BB32BA3" w14:textId="77777777" w:rsidR="00CF0CB0" w:rsidRPr="001D1703" w:rsidRDefault="00CF0CB0" w:rsidP="00CF0CB0">
      <w:pPr>
        <w:rPr>
          <w:rFonts w:eastAsia="DengXian"/>
          <w:lang w:val="fr-FR"/>
        </w:rPr>
      </w:pPr>
      <w:r w:rsidRPr="001D1703">
        <w:rPr>
          <w:lang w:val="fr-FR"/>
        </w:rPr>
        <w:t>Serie UIT-T N</w:t>
      </w:r>
    </w:p>
    <w:p w14:paraId="439DC4C9" w14:textId="77777777" w:rsidR="00CF0CB0" w:rsidRPr="001D1703" w:rsidRDefault="00CF0CB0" w:rsidP="00CF0CB0">
      <w:pPr>
        <w:rPr>
          <w:rFonts w:eastAsia="DengXian"/>
          <w:lang w:val="fr-FR"/>
        </w:rPr>
      </w:pPr>
      <w:r w:rsidRPr="001D1703">
        <w:rPr>
          <w:lang w:val="fr-FR"/>
        </w:rPr>
        <w:t>Serie UIT-T T</w:t>
      </w:r>
    </w:p>
    <w:p w14:paraId="1693322E" w14:textId="77777777" w:rsidR="00CF0CB0" w:rsidRPr="001D1703" w:rsidRDefault="00CF0CB0" w:rsidP="00CF0CB0">
      <w:pPr>
        <w:rPr>
          <w:rFonts w:eastAsia="DengXian"/>
          <w:lang w:val="fr-FR"/>
        </w:rPr>
      </w:pPr>
      <w:r w:rsidRPr="001D1703">
        <w:rPr>
          <w:lang w:val="fr-FR"/>
        </w:rPr>
        <w:t>Serie UIT-T Q.50 y serie UIT-T Q.115</w:t>
      </w:r>
    </w:p>
    <w:p w14:paraId="27F8DC6A" w14:textId="787C1D8E" w:rsidR="00CF0CB0" w:rsidRPr="009960E1" w:rsidRDefault="00CF0CB0" w:rsidP="00CF0CB0">
      <w:pPr>
        <w:rPr>
          <w:rFonts w:eastAsia="DengXian"/>
          <w:lang w:val="es-ES_tradnl"/>
        </w:rPr>
      </w:pPr>
      <w:r w:rsidRPr="009960E1">
        <w:rPr>
          <w:lang w:val="es-ES_tradnl"/>
        </w:rPr>
        <w:t>Series V del UIT-T, salvo las que son responsabilidad de las Comisiones de Estudio</w:t>
      </w:r>
      <w:r w:rsidR="00D310A1" w:rsidRPr="009960E1">
        <w:rPr>
          <w:lang w:val="es-ES_tradnl"/>
        </w:rPr>
        <w:t> </w:t>
      </w:r>
      <w:r w:rsidRPr="009960E1">
        <w:rPr>
          <w:lang w:val="es-ES_tradnl"/>
        </w:rPr>
        <w:t>2 y 15</w:t>
      </w:r>
    </w:p>
    <w:p w14:paraId="112C8FD9" w14:textId="77777777" w:rsidR="00CF0CB0" w:rsidRPr="001D1703" w:rsidRDefault="00CF0CB0" w:rsidP="00CF0CB0">
      <w:pPr>
        <w:rPr>
          <w:lang w:val="fr-FR"/>
        </w:rPr>
      </w:pPr>
      <w:r w:rsidRPr="001D1703">
        <w:rPr>
          <w:lang w:val="fr-FR"/>
        </w:rPr>
        <w:t>UIT-T X.26/V.10 y UIT-T X.27/V.11</w:t>
      </w:r>
    </w:p>
    <w:p w14:paraId="43D68B0C" w14:textId="77777777" w:rsidR="00D310A1" w:rsidRPr="009960E1" w:rsidRDefault="00CF0CB0" w:rsidP="00CF0CB0">
      <w:pPr>
        <w:rPr>
          <w:rFonts w:eastAsia="DengXian"/>
          <w:b/>
          <w:bCs/>
          <w:lang w:val="es-ES_tradnl"/>
        </w:rPr>
      </w:pPr>
      <w:r w:rsidRPr="009960E1">
        <w:rPr>
          <w:b/>
          <w:bCs/>
          <w:lang w:val="es-ES_tradnl"/>
        </w:rPr>
        <w:t>...</w:t>
      </w:r>
    </w:p>
    <w:p w14:paraId="45A42D82" w14:textId="12B1A368" w:rsidR="00CF0CB0" w:rsidRPr="009960E1" w:rsidRDefault="00CF0CB0" w:rsidP="00CF0CB0">
      <w:pPr>
        <w:rPr>
          <w:rFonts w:eastAsia="DengXian"/>
          <w:b/>
          <w:bCs/>
          <w:lang w:val="es-ES_tradnl"/>
        </w:rPr>
      </w:pPr>
      <w:r w:rsidRPr="009960E1">
        <w:rPr>
          <w:lang w:val="es-ES_tradnl"/>
        </w:rPr>
        <w:br w:type="page"/>
      </w:r>
    </w:p>
    <w:p w14:paraId="46729B2F" w14:textId="77777777" w:rsidR="00CF0CB0" w:rsidRPr="00116DCC" w:rsidRDefault="00CF0CB0" w:rsidP="00D310A1">
      <w:pPr>
        <w:pStyle w:val="AnnexTitle0"/>
        <w:jc w:val="left"/>
        <w:rPr>
          <w:sz w:val="24"/>
          <w:szCs w:val="28"/>
          <w:lang w:val="es-ES_tradnl"/>
        </w:rPr>
      </w:pPr>
      <w:bookmarkStart w:id="51" w:name="_Toc173836507"/>
      <w:bookmarkStart w:id="52" w:name="_Toc174109224"/>
      <w:bookmarkStart w:id="53" w:name="_Toc178345866"/>
      <w:bookmarkStart w:id="54" w:name="_Toc179189963"/>
      <w:r w:rsidRPr="00116DCC">
        <w:rPr>
          <w:sz w:val="24"/>
          <w:szCs w:val="28"/>
          <w:lang w:val="es-ES_tradnl"/>
        </w:rPr>
        <w:lastRenderedPageBreak/>
        <w:t>ANEXO 2.2</w:t>
      </w:r>
      <w:r w:rsidRPr="00116DCC">
        <w:rPr>
          <w:sz w:val="24"/>
          <w:szCs w:val="28"/>
          <w:lang w:val="es-ES_tradnl"/>
        </w:rPr>
        <w:tab/>
        <w:t>Texto para Q.Coord/C</w:t>
      </w:r>
      <w:bookmarkStart w:id="55" w:name="Annex2_2"/>
      <w:bookmarkEnd w:id="51"/>
      <w:bookmarkEnd w:id="52"/>
      <w:bookmarkEnd w:id="53"/>
      <w:bookmarkEnd w:id="54"/>
      <w:bookmarkEnd w:id="55"/>
    </w:p>
    <w:p w14:paraId="32325C82" w14:textId="4C4052E7" w:rsidR="00D310A1" w:rsidRPr="009960E1" w:rsidRDefault="00CF0CB0" w:rsidP="00D310A1">
      <w:pPr>
        <w:pStyle w:val="QuestionNo"/>
        <w:keepLines w:val="0"/>
        <w:pageBreakBefore w:val="0"/>
        <w:rPr>
          <w:b/>
          <w:lang w:val="es-ES_tradnl"/>
        </w:rPr>
      </w:pPr>
      <w:r w:rsidRPr="009960E1">
        <w:rPr>
          <w:lang w:val="es-ES_tradnl"/>
        </w:rPr>
        <w:t xml:space="preserve">PROYECTO DE CUESTIÓN </w:t>
      </w:r>
      <w:r w:rsidR="00D310A1" w:rsidRPr="009960E1">
        <w:rPr>
          <w:caps w:val="0"/>
          <w:lang w:val="es-ES_tradnl"/>
        </w:rPr>
        <w:t>Q</w:t>
      </w:r>
      <w:r w:rsidRPr="009960E1">
        <w:rPr>
          <w:lang w:val="es-ES_tradnl"/>
        </w:rPr>
        <w:t>.</w:t>
      </w:r>
      <w:r w:rsidR="00D310A1" w:rsidRPr="009960E1">
        <w:rPr>
          <w:caps w:val="0"/>
          <w:lang w:val="es-ES_tradnl"/>
        </w:rPr>
        <w:t>Coord</w:t>
      </w:r>
      <w:r w:rsidRPr="009960E1">
        <w:rPr>
          <w:lang w:val="es-ES_tradnl"/>
        </w:rPr>
        <w:t>/C</w:t>
      </w:r>
    </w:p>
    <w:p w14:paraId="35B83470" w14:textId="45527F57" w:rsidR="00CF0CB0" w:rsidRPr="009960E1" w:rsidRDefault="00CF0CB0" w:rsidP="00D310A1">
      <w:pPr>
        <w:pStyle w:val="Questiontitle"/>
        <w:keepLines w:val="0"/>
        <w:rPr>
          <w:szCs w:val="28"/>
          <w:lang w:val="es-ES_tradnl"/>
        </w:rPr>
      </w:pPr>
      <w:r w:rsidRPr="009960E1">
        <w:rPr>
          <w:lang w:val="es-ES_tradnl"/>
        </w:rPr>
        <w:t>Coordinación y planeación</w:t>
      </w:r>
    </w:p>
    <w:p w14:paraId="76C088C5" w14:textId="77777777" w:rsidR="00CF0CB0" w:rsidRPr="009960E1" w:rsidRDefault="00CF0CB0" w:rsidP="00CF0CB0">
      <w:pPr>
        <w:pStyle w:val="Questionhistory"/>
        <w:rPr>
          <w:lang w:val="es-ES_tradnl"/>
        </w:rPr>
      </w:pPr>
      <w:r w:rsidRPr="009960E1">
        <w:rPr>
          <w:lang w:val="es-ES_tradnl"/>
        </w:rPr>
        <w:t>(Continuación de las Cuestiones 10/9 y 1/16)</w:t>
      </w:r>
    </w:p>
    <w:p w14:paraId="534BF6D6" w14:textId="77777777" w:rsidR="00CF0CB0" w:rsidRPr="009960E1" w:rsidRDefault="00CF0CB0" w:rsidP="00D310A1">
      <w:pPr>
        <w:pStyle w:val="Heading1"/>
        <w:rPr>
          <w:lang w:val="es-ES_tradnl"/>
        </w:rPr>
      </w:pPr>
      <w:bookmarkStart w:id="56" w:name="_Toc179189964"/>
      <w:r w:rsidRPr="009960E1">
        <w:rPr>
          <w:lang w:val="es-ES_tradnl"/>
        </w:rPr>
        <w:t>1</w:t>
      </w:r>
      <w:r w:rsidRPr="009960E1">
        <w:rPr>
          <w:lang w:val="es-ES_tradnl"/>
        </w:rPr>
        <w:tab/>
        <w:t>Motivos</w:t>
      </w:r>
      <w:bookmarkEnd w:id="56"/>
    </w:p>
    <w:p w14:paraId="24494098" w14:textId="18661A1B" w:rsidR="00CF0CB0" w:rsidRPr="009960E1" w:rsidRDefault="00CF0CB0" w:rsidP="00CF0CB0">
      <w:pPr>
        <w:rPr>
          <w:shd w:val="clear" w:color="auto" w:fill="FFFFFF"/>
          <w:lang w:val="es-ES_tradnl"/>
        </w:rPr>
      </w:pPr>
      <w:r w:rsidRPr="009960E1">
        <w:rPr>
          <w:lang w:val="es-ES_tradnl"/>
        </w:rPr>
        <w:t>Se han asignado funciones de Comisión de Estudio rectora a la Comisión de Estudio</w:t>
      </w:r>
      <w:r w:rsidR="00D310A1" w:rsidRPr="009960E1">
        <w:rPr>
          <w:lang w:val="es-ES_tradnl"/>
        </w:rPr>
        <w:t> </w:t>
      </w:r>
      <w:r w:rsidRPr="009960E1">
        <w:rPr>
          <w:lang w:val="es-ES_tradnl"/>
        </w:rPr>
        <w:t>C del UIT-T, y la coordinación es una responsabilidad importante en esas funciones.</w:t>
      </w:r>
    </w:p>
    <w:p w14:paraId="293FBA52" w14:textId="5E8FB069" w:rsidR="00CF0CB0" w:rsidRPr="009960E1" w:rsidRDefault="00CF0CB0" w:rsidP="00CF0CB0">
      <w:pPr>
        <w:rPr>
          <w:shd w:val="clear" w:color="auto" w:fill="FFFFFF"/>
          <w:lang w:val="es-ES_tradnl"/>
        </w:rPr>
      </w:pPr>
      <w:r w:rsidRPr="009960E1">
        <w:rPr>
          <w:lang w:val="es-ES_tradnl"/>
        </w:rPr>
        <w:t>El objetivo de la presente Cuestión es coordinar y gestionar el desarrollo y la progresión de la normalización, en el marco de la Comisión de Estudio C y fuera de ella. Esta Cuestión facilita la coordinación de los múltiples aspectos que son de la incumbencia de la Comisión de Estudio</w:t>
      </w:r>
      <w:r w:rsidR="00D310A1" w:rsidRPr="009960E1">
        <w:rPr>
          <w:lang w:val="es-ES_tradnl"/>
        </w:rPr>
        <w:t> </w:t>
      </w:r>
      <w:r w:rsidRPr="009960E1">
        <w:rPr>
          <w:lang w:val="es-ES_tradnl"/>
        </w:rPr>
        <w:t>C entre las Comisiones de Estudio del UIT-T, del UIT-R y del UIT-D y otros órganos relacionados.</w:t>
      </w:r>
    </w:p>
    <w:p w14:paraId="0CDBB0FC" w14:textId="77777777" w:rsidR="00CF0CB0" w:rsidRPr="009960E1" w:rsidRDefault="00CF0CB0" w:rsidP="00CF0CB0">
      <w:pPr>
        <w:rPr>
          <w:shd w:val="clear" w:color="auto" w:fill="FFFFFF"/>
          <w:lang w:val="es-ES_tradnl"/>
        </w:rPr>
      </w:pPr>
      <w:r w:rsidRPr="009960E1">
        <w:rPr>
          <w:lang w:val="es-ES_tradnl"/>
        </w:rPr>
        <w:t>En el marco de dicha función, esta Cuestión puede actuar como centro para la gestión de los DT, las contribuciones y las declaraciones de coordinación cuando no están directamente relacionadas con las Cuestiones objeto de estudio. Los estudios técnicos propiamente dichos se llevarán a cabo en el marco de las Cuestiones pertinentes de la Comisión de Estudio C.</w:t>
      </w:r>
    </w:p>
    <w:p w14:paraId="63217B2D" w14:textId="77777777" w:rsidR="00CF0CB0" w:rsidRPr="009960E1" w:rsidRDefault="00CF0CB0" w:rsidP="00CF0CB0">
      <w:pPr>
        <w:rPr>
          <w:shd w:val="clear" w:color="auto" w:fill="FFFFFF"/>
          <w:lang w:val="es-ES_tradnl"/>
        </w:rPr>
      </w:pPr>
      <w:r w:rsidRPr="009960E1">
        <w:rPr>
          <w:lang w:val="es-ES_tradnl"/>
        </w:rPr>
        <w:t>Además, esta Cuestión actúa como centro de coordinación en la Comisión de Estudio C para cuestiones horizontales como la terminología, el cierre de la brecha de normalización, los métodos de trabajo electrónicos (EWM), las TIC, el medio ambiente, el cambio climático y la economía circular, los aspectos no radioeléctricos de las telecomunicaciones móviles internacionales, las pruebas de conformidad y compatibilidad y las hojas de ruta de la normalización.</w:t>
      </w:r>
    </w:p>
    <w:p w14:paraId="167F6011" w14:textId="77777777" w:rsidR="00CF0CB0" w:rsidRPr="009960E1" w:rsidRDefault="00CF0CB0" w:rsidP="001E687D">
      <w:pPr>
        <w:pStyle w:val="Heading1"/>
        <w:rPr>
          <w:lang w:val="es-ES_tradnl"/>
        </w:rPr>
      </w:pPr>
      <w:bookmarkStart w:id="57" w:name="_Toc179189965"/>
      <w:r w:rsidRPr="009960E1">
        <w:rPr>
          <w:lang w:val="es-ES_tradnl"/>
        </w:rPr>
        <w:t>2</w:t>
      </w:r>
      <w:r w:rsidRPr="009960E1">
        <w:rPr>
          <w:lang w:val="es-ES_tradnl"/>
        </w:rPr>
        <w:tab/>
        <w:t>Temas de estudio</w:t>
      </w:r>
      <w:bookmarkEnd w:id="57"/>
    </w:p>
    <w:p w14:paraId="2F95232D" w14:textId="77777777" w:rsidR="00CF0CB0" w:rsidRPr="009960E1" w:rsidRDefault="00CF0CB0" w:rsidP="00CF0CB0">
      <w:pPr>
        <w:rPr>
          <w:lang w:val="es-ES_tradnl"/>
        </w:rPr>
      </w:pPr>
      <w:r w:rsidRPr="009960E1">
        <w:rPr>
          <w:lang w:val="es-ES_tradnl"/>
        </w:rPr>
        <w:t>Los temas de estudio son, entre otros, los siguientes:</w:t>
      </w:r>
    </w:p>
    <w:p w14:paraId="07733544" w14:textId="77777777" w:rsidR="00CF0CB0" w:rsidRPr="009960E1" w:rsidRDefault="00CF0CB0" w:rsidP="00CF0CB0">
      <w:pPr>
        <w:pStyle w:val="enumlev1"/>
        <w:rPr>
          <w:lang w:val="es-ES_tradnl"/>
        </w:rPr>
      </w:pPr>
      <w:r w:rsidRPr="009960E1">
        <w:rPr>
          <w:lang w:val="es-ES_tradnl"/>
        </w:rPr>
        <w:t>–</w:t>
      </w:r>
      <w:r w:rsidRPr="009960E1">
        <w:rPr>
          <w:lang w:val="es-ES_tradnl"/>
        </w:rPr>
        <w:tab/>
        <w:t>la coordinación entre las Cuestiones de la Comisión de Estudio a los efectos de coherencia y para evitar la duplicación de esfuerzos;</w:t>
      </w:r>
    </w:p>
    <w:p w14:paraId="69CF22DB" w14:textId="5732A0A2" w:rsidR="00CF0CB0" w:rsidRPr="009960E1" w:rsidRDefault="00CF0CB0" w:rsidP="00CF0CB0">
      <w:pPr>
        <w:pStyle w:val="enumlev1"/>
        <w:rPr>
          <w:lang w:val="es-ES_tradnl"/>
        </w:rPr>
      </w:pPr>
      <w:r w:rsidRPr="009960E1">
        <w:rPr>
          <w:lang w:val="es-ES_tradnl"/>
        </w:rPr>
        <w:t>–</w:t>
      </w:r>
      <w:r w:rsidRPr="009960E1">
        <w:rPr>
          <w:lang w:val="es-ES_tradnl"/>
        </w:rPr>
        <w:tab/>
        <w:t>la coordinación con diversas actividades conjuntas de coordinación (JCA) y otros actores externos clave que trabajan en los temas de la CE</w:t>
      </w:r>
      <w:r w:rsidR="001E687D" w:rsidRPr="009960E1">
        <w:rPr>
          <w:lang w:val="es-ES_tradnl"/>
        </w:rPr>
        <w:t> </w:t>
      </w:r>
      <w:r w:rsidRPr="009960E1">
        <w:rPr>
          <w:lang w:val="es-ES_tradnl"/>
        </w:rPr>
        <w:t>C, cuando el tema abarca diversas Cuestiones de la CE</w:t>
      </w:r>
      <w:r w:rsidR="001E687D" w:rsidRPr="009960E1">
        <w:rPr>
          <w:lang w:val="es-ES_tradnl"/>
        </w:rPr>
        <w:t> </w:t>
      </w:r>
      <w:r w:rsidRPr="009960E1">
        <w:rPr>
          <w:lang w:val="es-ES_tradnl"/>
        </w:rPr>
        <w:t>C;</w:t>
      </w:r>
    </w:p>
    <w:p w14:paraId="4A790B64" w14:textId="4D03E916" w:rsidR="00CF0CB0" w:rsidRPr="009960E1" w:rsidRDefault="00CF0CB0" w:rsidP="00CF0CB0">
      <w:pPr>
        <w:pStyle w:val="enumlev1"/>
        <w:rPr>
          <w:lang w:val="es-ES_tradnl"/>
        </w:rPr>
      </w:pPr>
      <w:r w:rsidRPr="009960E1">
        <w:rPr>
          <w:lang w:val="es-ES_tradnl"/>
        </w:rPr>
        <w:t>–</w:t>
      </w:r>
      <w:r w:rsidRPr="009960E1">
        <w:rPr>
          <w:lang w:val="es-ES_tradnl"/>
        </w:rPr>
        <w:tab/>
        <w:t>al examinar nuevos temas para la Comisión de Estudio</w:t>
      </w:r>
      <w:r w:rsidR="001E687D" w:rsidRPr="009960E1">
        <w:rPr>
          <w:lang w:val="es-ES_tradnl"/>
        </w:rPr>
        <w:t> </w:t>
      </w:r>
      <w:r w:rsidRPr="009960E1">
        <w:rPr>
          <w:lang w:val="es-ES_tradnl"/>
        </w:rPr>
        <w:t>C, identificación de las medidas se requieren para tratar las contribuciones que no están relacionadas con las Cuestiones existentes de la Comisión de Estudio</w:t>
      </w:r>
      <w:r w:rsidR="001E687D" w:rsidRPr="009960E1">
        <w:rPr>
          <w:lang w:val="es-ES_tradnl"/>
        </w:rPr>
        <w:t> </w:t>
      </w:r>
      <w:r w:rsidRPr="009960E1">
        <w:rPr>
          <w:lang w:val="es-ES_tradnl"/>
        </w:rPr>
        <w:t>C;</w:t>
      </w:r>
    </w:p>
    <w:p w14:paraId="20B6E162" w14:textId="5705DC28" w:rsidR="00CF0CB0" w:rsidRPr="009960E1" w:rsidRDefault="00CF0CB0" w:rsidP="00CF0CB0">
      <w:pPr>
        <w:pStyle w:val="enumlev1"/>
        <w:rPr>
          <w:lang w:val="es-ES_tradnl"/>
        </w:rPr>
      </w:pPr>
      <w:r w:rsidRPr="009960E1">
        <w:rPr>
          <w:lang w:val="es-ES_tradnl"/>
        </w:rPr>
        <w:t>–</w:t>
      </w:r>
      <w:r w:rsidRPr="009960E1">
        <w:rPr>
          <w:lang w:val="es-ES_tradnl"/>
        </w:rPr>
        <w:tab/>
        <w:t>la identificación de los resultados de los talleres, las iniciativas de la TSB y las actividades de otras Comisiones de Estudio u organizaciones de normalización que es preciso examinar en el contexto del programa de trabajo de la Comisión de Estudio</w:t>
      </w:r>
      <w:r w:rsidR="001E687D" w:rsidRPr="009960E1">
        <w:rPr>
          <w:lang w:val="es-ES_tradnl"/>
        </w:rPr>
        <w:t> </w:t>
      </w:r>
      <w:r w:rsidRPr="009960E1">
        <w:rPr>
          <w:lang w:val="es-ES_tradnl"/>
        </w:rPr>
        <w:t>C;</w:t>
      </w:r>
    </w:p>
    <w:p w14:paraId="22F12F37" w14:textId="77777777" w:rsidR="00CF0CB0" w:rsidRPr="009960E1" w:rsidRDefault="00CF0CB0" w:rsidP="00CF0CB0">
      <w:pPr>
        <w:pStyle w:val="enumlev1"/>
        <w:rPr>
          <w:lang w:val="es-ES_tradnl"/>
        </w:rPr>
      </w:pPr>
      <w:r w:rsidRPr="009960E1">
        <w:rPr>
          <w:lang w:val="es-ES_tradnl"/>
        </w:rPr>
        <w:t>–</w:t>
      </w:r>
      <w:r w:rsidRPr="009960E1">
        <w:rPr>
          <w:lang w:val="es-ES_tradnl"/>
        </w:rPr>
        <w:tab/>
        <w:t>coordinar la promoción de la labor de la Comisión de Estudio mediante la organización de eventos (como los talleres y las series de webinarios) y el desarrollo de materiales promocionales y contenidos del sitio web (implementaciones de referencias, tutoriales, etc.);</w:t>
      </w:r>
    </w:p>
    <w:p w14:paraId="19AD16D1" w14:textId="05FB71F0" w:rsidR="00CF0CB0" w:rsidRPr="009960E1" w:rsidRDefault="00CF0CB0" w:rsidP="00CF0CB0">
      <w:pPr>
        <w:pStyle w:val="enumlev1"/>
        <w:rPr>
          <w:lang w:val="es-ES_tradnl"/>
        </w:rPr>
      </w:pPr>
      <w:r w:rsidRPr="009960E1">
        <w:rPr>
          <w:lang w:val="es-ES_tradnl"/>
        </w:rPr>
        <w:t>–</w:t>
      </w:r>
      <w:r w:rsidRPr="009960E1">
        <w:rPr>
          <w:lang w:val="es-ES_tradnl"/>
        </w:rPr>
        <w:tab/>
        <w:t>recopilación y compartición de los términos y definiciones de las Recomendaciones de la serie J en colaboración con los Relatores para el vocabulario de la Comisión de Estudio</w:t>
      </w:r>
      <w:r w:rsidR="001E687D" w:rsidRPr="009960E1">
        <w:rPr>
          <w:lang w:val="es-ES_tradnl"/>
        </w:rPr>
        <w:t> </w:t>
      </w:r>
      <w:r w:rsidRPr="009960E1">
        <w:rPr>
          <w:lang w:val="es-ES_tradnl"/>
        </w:rPr>
        <w:t>C;</w:t>
      </w:r>
    </w:p>
    <w:p w14:paraId="20510E7E" w14:textId="77777777" w:rsidR="00CF0CB0" w:rsidRPr="009960E1" w:rsidRDefault="00CF0CB0" w:rsidP="00CF0CB0">
      <w:pPr>
        <w:pStyle w:val="enumlev1"/>
        <w:rPr>
          <w:lang w:val="es-ES_tradnl"/>
        </w:rPr>
      </w:pPr>
      <w:r w:rsidRPr="009960E1">
        <w:rPr>
          <w:lang w:val="es-ES_tradnl"/>
        </w:rPr>
        <w:t>–</w:t>
      </w:r>
      <w:r w:rsidRPr="009960E1">
        <w:rPr>
          <w:lang w:val="es-ES_tradnl"/>
        </w:rPr>
        <w:tab/>
        <w:t>respuestas a las declaraciones de coordinación recibidas que son transversales para diversas Cuestiones.</w:t>
      </w:r>
    </w:p>
    <w:p w14:paraId="60A5C4F3" w14:textId="77777777" w:rsidR="00CF0CB0" w:rsidRPr="009960E1" w:rsidRDefault="00CF0CB0" w:rsidP="001E687D">
      <w:pPr>
        <w:pStyle w:val="Heading1"/>
        <w:rPr>
          <w:shd w:val="clear" w:color="auto" w:fill="FFFFFF"/>
          <w:lang w:val="es-ES_tradnl"/>
        </w:rPr>
      </w:pPr>
      <w:bookmarkStart w:id="58" w:name="_Toc179189966"/>
      <w:r w:rsidRPr="009960E1">
        <w:rPr>
          <w:lang w:val="es-ES_tradnl"/>
        </w:rPr>
        <w:lastRenderedPageBreak/>
        <w:t>3</w:t>
      </w:r>
      <w:r w:rsidRPr="009960E1">
        <w:rPr>
          <w:lang w:val="es-ES_tradnl"/>
        </w:rPr>
        <w:tab/>
        <w:t>Tareas</w:t>
      </w:r>
      <w:bookmarkEnd w:id="58"/>
    </w:p>
    <w:p w14:paraId="52817B90" w14:textId="77777777" w:rsidR="00CF0CB0" w:rsidRPr="009960E1" w:rsidRDefault="00CF0CB0" w:rsidP="00CF0CB0">
      <w:pPr>
        <w:pStyle w:val="enumlev1"/>
        <w:rPr>
          <w:lang w:val="es-ES_tradnl"/>
        </w:rPr>
      </w:pPr>
      <w:r w:rsidRPr="009960E1">
        <w:rPr>
          <w:lang w:val="es-ES_tradnl"/>
        </w:rPr>
        <w:t>Las tareas son, entre otras, las siguientes:</w:t>
      </w:r>
    </w:p>
    <w:p w14:paraId="4C6E229F" w14:textId="77777777" w:rsidR="00CF0CB0" w:rsidRPr="009960E1" w:rsidRDefault="00CF0CB0" w:rsidP="00CF0CB0">
      <w:pPr>
        <w:pStyle w:val="enumlev1"/>
        <w:rPr>
          <w:lang w:val="es-ES_tradnl"/>
        </w:rPr>
      </w:pPr>
      <w:r w:rsidRPr="009960E1">
        <w:rPr>
          <w:lang w:val="es-ES_tradnl"/>
        </w:rPr>
        <w:t>–</w:t>
      </w:r>
      <w:r w:rsidRPr="009960E1">
        <w:rPr>
          <w:lang w:val="es-ES_tradnl"/>
        </w:rPr>
        <w:tab/>
        <w:t>elaborar y actualizar una visión de normalización mediante un proceso de comunicación apropiado entre todas las partes interesadas, incluida la organización de talleres;</w:t>
      </w:r>
    </w:p>
    <w:p w14:paraId="38330966" w14:textId="77777777" w:rsidR="00CF0CB0" w:rsidRPr="009960E1" w:rsidRDefault="00CF0CB0" w:rsidP="00CF0CB0">
      <w:pPr>
        <w:pStyle w:val="enumlev1"/>
        <w:rPr>
          <w:lang w:val="es-ES_tradnl"/>
        </w:rPr>
      </w:pPr>
      <w:r w:rsidRPr="009960E1">
        <w:rPr>
          <w:lang w:val="es-ES_tradnl"/>
        </w:rPr>
        <w:t>–</w:t>
      </w:r>
      <w:r w:rsidRPr="009960E1">
        <w:rPr>
          <w:lang w:val="es-ES_tradnl"/>
        </w:rPr>
        <w:tab/>
        <w:t>documentar y aprobar los procesos de coordinación, utilizando mecanismos de coordinación apropiados, negociar con las entidades pertinentes a fin de evitar la duplicación de tareas, tratar todas las normas necesarias y minimizar la necesidad de dispositivos utilizados (por ejemplo, pasarelas) para garantizar la interoperabilidad de extremo a extremo;</w:t>
      </w:r>
    </w:p>
    <w:p w14:paraId="18FC6D84" w14:textId="77777777" w:rsidR="00CF0CB0" w:rsidRPr="009960E1" w:rsidRDefault="00CF0CB0" w:rsidP="00CF0CB0">
      <w:pPr>
        <w:pStyle w:val="enumlev1"/>
        <w:rPr>
          <w:lang w:val="es-ES_tradnl"/>
        </w:rPr>
      </w:pPr>
      <w:r w:rsidRPr="009960E1">
        <w:rPr>
          <w:lang w:val="es-ES_tradnl"/>
        </w:rPr>
        <w:t>–</w:t>
      </w:r>
      <w:r w:rsidRPr="009960E1">
        <w:rPr>
          <w:lang w:val="es-ES_tradnl"/>
        </w:rPr>
        <w:tab/>
        <w:t>cooperar con el UIT-D y actuar como centros de coordinación dentro de la Comisión de Estudio, en colaboración con las Cuestiones pertinentes si procede, para el cierre de la brecha de normalización entre países desarrollados y en desarrollo, de acuerdo con la Resolución 44 de la AMNT;</w:t>
      </w:r>
    </w:p>
    <w:p w14:paraId="2702242A" w14:textId="77777777" w:rsidR="00CF0CB0" w:rsidRPr="009960E1" w:rsidRDefault="00CF0CB0" w:rsidP="00CF0CB0">
      <w:pPr>
        <w:pStyle w:val="enumlev1"/>
        <w:rPr>
          <w:lang w:val="es-ES_tradnl"/>
        </w:rPr>
      </w:pPr>
      <w:r w:rsidRPr="009960E1">
        <w:rPr>
          <w:lang w:val="es-ES_tradnl"/>
        </w:rPr>
        <w:t>–</w:t>
      </w:r>
      <w:r w:rsidRPr="009960E1">
        <w:rPr>
          <w:lang w:val="es-ES_tradnl"/>
        </w:rPr>
        <w:tab/>
        <w:t>coordinar en materia de términos y definiciones y actuar como centro de coordinación (con arreglo a la Resolución 67 de la AMNT) y mantener términos y definiciones relacionados con el cable en la Recomendación UIT-T J.1;</w:t>
      </w:r>
    </w:p>
    <w:p w14:paraId="1832367A" w14:textId="732F7E4D" w:rsidR="00CF0CB0" w:rsidRPr="009960E1" w:rsidRDefault="00CF0CB0" w:rsidP="00CF0CB0">
      <w:pPr>
        <w:pStyle w:val="enumlev1"/>
        <w:rPr>
          <w:lang w:val="es-ES_tradnl"/>
        </w:rPr>
      </w:pPr>
      <w:r w:rsidRPr="009960E1">
        <w:rPr>
          <w:lang w:val="es-ES_tradnl"/>
        </w:rPr>
        <w:t>–</w:t>
      </w:r>
      <w:r w:rsidRPr="009960E1">
        <w:rPr>
          <w:lang w:val="es-ES_tradnl"/>
        </w:rPr>
        <w:tab/>
        <w:t>mantener las Recomendaciones de las series J y N que no son responsabilidad de otras Cuestiones actuales de la CE</w:t>
      </w:r>
      <w:r w:rsidR="001E687D" w:rsidRPr="009960E1">
        <w:rPr>
          <w:lang w:val="es-ES_tradnl"/>
        </w:rPr>
        <w:t> </w:t>
      </w:r>
      <w:r w:rsidRPr="009960E1">
        <w:rPr>
          <w:lang w:val="es-ES_tradnl"/>
        </w:rPr>
        <w:t>C.</w:t>
      </w:r>
    </w:p>
    <w:p w14:paraId="5960AA47" w14:textId="77777777" w:rsidR="00CF0CB0" w:rsidRPr="009960E1" w:rsidRDefault="00CF0CB0" w:rsidP="001E687D">
      <w:pPr>
        <w:pStyle w:val="Heading1"/>
        <w:rPr>
          <w:lang w:val="es-ES_tradnl"/>
        </w:rPr>
      </w:pPr>
      <w:bookmarkStart w:id="59" w:name="_Toc179189967"/>
      <w:r w:rsidRPr="009960E1">
        <w:rPr>
          <w:lang w:val="es-ES_tradnl"/>
        </w:rPr>
        <w:t>4</w:t>
      </w:r>
      <w:r w:rsidRPr="009960E1">
        <w:rPr>
          <w:lang w:val="es-ES_tradnl"/>
        </w:rPr>
        <w:tab/>
        <w:t>Relaciones</w:t>
      </w:r>
      <w:bookmarkEnd w:id="59"/>
    </w:p>
    <w:p w14:paraId="6C715C54" w14:textId="77777777" w:rsidR="00CF0CB0" w:rsidRPr="009960E1" w:rsidRDefault="00CF0CB0" w:rsidP="00CF0CB0">
      <w:pPr>
        <w:pStyle w:val="Headingb"/>
        <w:rPr>
          <w:lang w:val="es-ES_tradnl"/>
        </w:rPr>
      </w:pPr>
      <w:r w:rsidRPr="009960E1">
        <w:rPr>
          <w:bCs/>
          <w:lang w:val="es-ES_tradnl"/>
        </w:rPr>
        <w:t>Recomendaciones:</w:t>
      </w:r>
    </w:p>
    <w:p w14:paraId="53EFE9FE" w14:textId="47DC00C8" w:rsidR="00CF0CB0" w:rsidRPr="009960E1" w:rsidRDefault="00CF0CB0" w:rsidP="00CF0CB0">
      <w:pPr>
        <w:pStyle w:val="enumlev1"/>
        <w:rPr>
          <w:lang w:val="es-ES_tradnl"/>
        </w:rPr>
      </w:pPr>
      <w:r w:rsidRPr="009960E1">
        <w:rPr>
          <w:lang w:val="es-ES_tradnl"/>
        </w:rPr>
        <w:t>–</w:t>
      </w:r>
      <w:r w:rsidRPr="009960E1">
        <w:rPr>
          <w:lang w:val="es-ES_tradnl"/>
        </w:rPr>
        <w:tab/>
        <w:t>Recomendaciones de las series</w:t>
      </w:r>
      <w:r w:rsidR="001E687D" w:rsidRPr="009960E1">
        <w:rPr>
          <w:lang w:val="es-ES_tradnl"/>
        </w:rPr>
        <w:t> </w:t>
      </w:r>
      <w:r w:rsidRPr="009960E1">
        <w:rPr>
          <w:lang w:val="es-ES_tradnl"/>
        </w:rPr>
        <w:t>E, F, G, H, I, J, N, Q, T, V, X e Y</w:t>
      </w:r>
    </w:p>
    <w:p w14:paraId="35F08945" w14:textId="77777777" w:rsidR="00CF0CB0" w:rsidRPr="009960E1" w:rsidRDefault="00CF0CB0" w:rsidP="00CF0CB0">
      <w:pPr>
        <w:pStyle w:val="Headingb"/>
        <w:rPr>
          <w:lang w:val="es-ES_tradnl"/>
        </w:rPr>
      </w:pPr>
      <w:r w:rsidRPr="009960E1">
        <w:rPr>
          <w:bCs/>
          <w:lang w:val="es-ES_tradnl"/>
        </w:rPr>
        <w:t>Cuestiones:</w:t>
      </w:r>
    </w:p>
    <w:p w14:paraId="67CEE74B" w14:textId="2F0307E0" w:rsidR="00CF0CB0" w:rsidRPr="009960E1" w:rsidRDefault="00CF0CB0" w:rsidP="00CF0CB0">
      <w:pPr>
        <w:pStyle w:val="enumlev1"/>
        <w:rPr>
          <w:lang w:val="es-ES_tradnl"/>
        </w:rPr>
      </w:pPr>
      <w:r w:rsidRPr="009960E1">
        <w:rPr>
          <w:lang w:val="es-ES_tradnl"/>
        </w:rPr>
        <w:t>–</w:t>
      </w:r>
      <w:r w:rsidRPr="009960E1">
        <w:rPr>
          <w:lang w:val="es-ES_tradnl"/>
        </w:rPr>
        <w:tab/>
        <w:t>Todas las Cuestiones de la Comisión de Estudio</w:t>
      </w:r>
      <w:r w:rsidR="001E687D" w:rsidRPr="009960E1">
        <w:rPr>
          <w:lang w:val="es-ES_tradnl"/>
        </w:rPr>
        <w:t> </w:t>
      </w:r>
      <w:r w:rsidRPr="009960E1">
        <w:rPr>
          <w:lang w:val="es-ES_tradnl"/>
        </w:rPr>
        <w:t>C</w:t>
      </w:r>
    </w:p>
    <w:p w14:paraId="078C102D" w14:textId="77777777" w:rsidR="00CF0CB0" w:rsidRPr="009960E1" w:rsidRDefault="00CF0CB0" w:rsidP="00CF0CB0">
      <w:pPr>
        <w:pStyle w:val="Headingb"/>
        <w:rPr>
          <w:lang w:val="es-ES_tradnl"/>
        </w:rPr>
      </w:pPr>
      <w:r w:rsidRPr="009960E1">
        <w:rPr>
          <w:bCs/>
          <w:lang w:val="es-ES_tradnl"/>
        </w:rPr>
        <w:t>Comisiones de Estudio</w:t>
      </w:r>
    </w:p>
    <w:p w14:paraId="23553F5A" w14:textId="22AC8C5F" w:rsidR="00CF0CB0" w:rsidRPr="009960E1" w:rsidRDefault="00CF0CB0" w:rsidP="00CF0CB0">
      <w:pPr>
        <w:pStyle w:val="enumlev1"/>
        <w:rPr>
          <w:lang w:val="es-ES_tradnl"/>
        </w:rPr>
      </w:pPr>
      <w:r w:rsidRPr="009960E1">
        <w:rPr>
          <w:lang w:val="es-ES_tradnl"/>
        </w:rPr>
        <w:t>–</w:t>
      </w:r>
      <w:r w:rsidRPr="009960E1">
        <w:rPr>
          <w:lang w:val="es-ES_tradnl"/>
        </w:rPr>
        <w:tab/>
        <w:t>Todas las Comisiones de Estudio de la UIT, el CCT UIT, el GANT del UIT-T y</w:t>
      </w:r>
      <w:r w:rsidR="001E687D" w:rsidRPr="009960E1">
        <w:rPr>
          <w:lang w:val="es-ES_tradnl"/>
        </w:rPr>
        <w:t> </w:t>
      </w:r>
      <w:r w:rsidRPr="009960E1">
        <w:rPr>
          <w:lang w:val="es-ES_tradnl"/>
        </w:rPr>
        <w:t>otros</w:t>
      </w:r>
      <w:r w:rsidR="001E687D" w:rsidRPr="009960E1">
        <w:rPr>
          <w:lang w:val="es-ES_tradnl"/>
        </w:rPr>
        <w:t> </w:t>
      </w:r>
      <w:r w:rsidRPr="009960E1">
        <w:rPr>
          <w:lang w:val="es-ES_tradnl"/>
        </w:rPr>
        <w:t>grupos</w:t>
      </w:r>
    </w:p>
    <w:p w14:paraId="186C3198" w14:textId="77777777" w:rsidR="00CF0CB0" w:rsidRPr="009960E1" w:rsidRDefault="00CF0CB0" w:rsidP="00CF0CB0">
      <w:pPr>
        <w:pStyle w:val="Headingb"/>
        <w:rPr>
          <w:lang w:val="es-ES_tradnl"/>
        </w:rPr>
      </w:pPr>
      <w:r w:rsidRPr="009960E1">
        <w:rPr>
          <w:bCs/>
          <w:lang w:val="es-ES_tradnl"/>
        </w:rPr>
        <w:t>Otros órganos</w:t>
      </w:r>
    </w:p>
    <w:p w14:paraId="09B75C27" w14:textId="77777777" w:rsidR="00CF0CB0" w:rsidRPr="009960E1" w:rsidRDefault="00CF0CB0" w:rsidP="00CF0CB0">
      <w:pPr>
        <w:pStyle w:val="enumlev1"/>
        <w:rPr>
          <w:lang w:val="es-ES_tradnl"/>
        </w:rPr>
      </w:pPr>
      <w:r w:rsidRPr="009960E1">
        <w:rPr>
          <w:lang w:val="es-ES_tradnl"/>
        </w:rPr>
        <w:t>–</w:t>
      </w:r>
      <w:r w:rsidRPr="009960E1">
        <w:rPr>
          <w:lang w:val="es-ES_tradnl"/>
        </w:rPr>
        <w:tab/>
        <w:t>Foros y consorcios competentes</w:t>
      </w:r>
    </w:p>
    <w:p w14:paraId="5A570607" w14:textId="77777777" w:rsidR="00CF0CB0" w:rsidRPr="009960E1" w:rsidRDefault="00CF0CB0" w:rsidP="00CF0CB0">
      <w:pPr>
        <w:pStyle w:val="Headingb"/>
        <w:rPr>
          <w:lang w:val="es-ES_tradnl"/>
        </w:rPr>
      </w:pPr>
      <w:r w:rsidRPr="009960E1">
        <w:rPr>
          <w:bCs/>
          <w:lang w:val="es-ES_tradnl"/>
        </w:rPr>
        <w:t>Líneas de Acción de la CMSI:</w:t>
      </w:r>
    </w:p>
    <w:p w14:paraId="578F2DC8" w14:textId="77777777" w:rsidR="00CF0CB0" w:rsidRPr="009960E1" w:rsidRDefault="00CF0CB0" w:rsidP="00CF0CB0">
      <w:pPr>
        <w:pStyle w:val="enumlev1"/>
        <w:rPr>
          <w:lang w:val="es-ES_tradnl"/>
        </w:rPr>
      </w:pPr>
      <w:r w:rsidRPr="009960E1">
        <w:rPr>
          <w:lang w:val="es-ES_tradnl"/>
        </w:rPr>
        <w:t>–</w:t>
      </w:r>
      <w:r w:rsidRPr="009960E1">
        <w:rPr>
          <w:lang w:val="es-ES_tradnl"/>
        </w:rPr>
        <w:tab/>
        <w:t>C2, C3, C5, C6, C9, C11</w:t>
      </w:r>
    </w:p>
    <w:p w14:paraId="2ADC396F" w14:textId="77777777" w:rsidR="00CF0CB0" w:rsidRPr="009960E1" w:rsidRDefault="00CF0CB0" w:rsidP="00CF0CB0">
      <w:pPr>
        <w:pStyle w:val="Headingb"/>
        <w:rPr>
          <w:lang w:val="es-ES_tradnl"/>
        </w:rPr>
      </w:pPr>
      <w:r w:rsidRPr="009960E1">
        <w:rPr>
          <w:bCs/>
          <w:lang w:val="es-ES_tradnl"/>
        </w:rPr>
        <w:t>Objetivos de Desarrollo Sostenible:</w:t>
      </w:r>
    </w:p>
    <w:p w14:paraId="5D9420C1" w14:textId="77777777" w:rsidR="00CF0CB0" w:rsidRPr="009960E1" w:rsidRDefault="00CF0CB0" w:rsidP="00CF0CB0">
      <w:pPr>
        <w:pStyle w:val="enumlev1"/>
        <w:rPr>
          <w:lang w:val="es-ES_tradnl"/>
        </w:rPr>
      </w:pPr>
      <w:r w:rsidRPr="009960E1">
        <w:rPr>
          <w:lang w:val="es-ES_tradnl"/>
        </w:rPr>
        <w:t>–</w:t>
      </w:r>
      <w:r w:rsidRPr="009960E1">
        <w:rPr>
          <w:lang w:val="es-ES_tradnl"/>
        </w:rPr>
        <w:tab/>
        <w:t>9</w:t>
      </w:r>
    </w:p>
    <w:p w14:paraId="619492CB" w14:textId="77777777" w:rsidR="00CF0CB0" w:rsidRPr="009960E1" w:rsidRDefault="00CF0CB0" w:rsidP="00CF0CB0">
      <w:pPr>
        <w:rPr>
          <w:lang w:val="es-ES_tradnl"/>
        </w:rPr>
      </w:pPr>
      <w:r w:rsidRPr="009960E1">
        <w:rPr>
          <w:lang w:val="es-ES_tradnl"/>
        </w:rPr>
        <w:br w:type="page"/>
      </w:r>
    </w:p>
    <w:p w14:paraId="1BD06504" w14:textId="77777777" w:rsidR="00CF0CB0" w:rsidRPr="009960E1" w:rsidRDefault="00CF0CB0" w:rsidP="001E687D">
      <w:pPr>
        <w:pStyle w:val="AnnexTitle0"/>
        <w:jc w:val="left"/>
        <w:rPr>
          <w:lang w:val="es-ES_tradnl"/>
        </w:rPr>
      </w:pPr>
      <w:bookmarkStart w:id="60" w:name="_Toc173836508"/>
      <w:bookmarkStart w:id="61" w:name="_Toc174109225"/>
      <w:bookmarkStart w:id="62" w:name="_Toc178345867"/>
      <w:bookmarkStart w:id="63" w:name="_Toc179189968"/>
      <w:r w:rsidRPr="00E85743">
        <w:rPr>
          <w:sz w:val="24"/>
          <w:szCs w:val="28"/>
          <w:lang w:val="es-ES_tradnl"/>
        </w:rPr>
        <w:lastRenderedPageBreak/>
        <w:t>ANEXO 2.3</w:t>
      </w:r>
      <w:r w:rsidRPr="00E85743">
        <w:rPr>
          <w:sz w:val="24"/>
          <w:szCs w:val="28"/>
          <w:lang w:val="es-ES_tradnl"/>
        </w:rPr>
        <w:tab/>
        <w:t>Texto para Q.Acc/C</w:t>
      </w:r>
      <w:bookmarkStart w:id="64" w:name="Annex2_3"/>
      <w:bookmarkEnd w:id="60"/>
      <w:bookmarkEnd w:id="61"/>
      <w:bookmarkEnd w:id="62"/>
      <w:bookmarkEnd w:id="63"/>
      <w:bookmarkEnd w:id="64"/>
    </w:p>
    <w:p w14:paraId="4748D564" w14:textId="77777777" w:rsidR="001E687D" w:rsidRPr="009960E1" w:rsidRDefault="00CF0CB0" w:rsidP="001E687D">
      <w:pPr>
        <w:pStyle w:val="QuestionNo"/>
        <w:keepLines w:val="0"/>
        <w:pageBreakBefore w:val="0"/>
        <w:rPr>
          <w:b/>
          <w:lang w:val="es-ES_tradnl"/>
        </w:rPr>
      </w:pPr>
      <w:r w:rsidRPr="009960E1">
        <w:rPr>
          <w:lang w:val="es-ES_tradnl"/>
        </w:rPr>
        <w:t>PROYECTO DE CUESTIÓN Q.Acc/C</w:t>
      </w:r>
    </w:p>
    <w:p w14:paraId="24C01A2E" w14:textId="1969B598" w:rsidR="00CF0CB0" w:rsidRPr="009960E1" w:rsidRDefault="00CF0CB0" w:rsidP="001E687D">
      <w:pPr>
        <w:pStyle w:val="Questiontitle"/>
        <w:rPr>
          <w:szCs w:val="28"/>
          <w:lang w:val="es-ES_tradnl"/>
        </w:rPr>
      </w:pPr>
      <w:r w:rsidRPr="009960E1">
        <w:rPr>
          <w:lang w:val="es-ES_tradnl"/>
        </w:rPr>
        <w:t>Accesibilidad de los sistemas, servicios y aplicaciones</w:t>
      </w:r>
      <w:r w:rsidR="001E687D" w:rsidRPr="009960E1">
        <w:rPr>
          <w:lang w:val="es-ES_tradnl"/>
        </w:rPr>
        <w:br/>
      </w:r>
      <w:r w:rsidRPr="009960E1">
        <w:rPr>
          <w:lang w:val="es-ES_tradnl"/>
        </w:rPr>
        <w:t>multimedios para la inclusión digital</w:t>
      </w:r>
    </w:p>
    <w:p w14:paraId="78B91460" w14:textId="77777777" w:rsidR="00CF0CB0" w:rsidRPr="009960E1" w:rsidRDefault="00CF0CB0" w:rsidP="00CF0CB0">
      <w:pPr>
        <w:pStyle w:val="Questionhistory"/>
        <w:rPr>
          <w:lang w:val="es-ES_tradnl"/>
        </w:rPr>
      </w:pPr>
      <w:r w:rsidRPr="009960E1">
        <w:rPr>
          <w:lang w:val="es-ES_tradnl"/>
        </w:rPr>
        <w:t>(Continuación de las Cuestiones 11/9 y 26/16)</w:t>
      </w:r>
    </w:p>
    <w:p w14:paraId="6F4F9385" w14:textId="77777777" w:rsidR="00CF0CB0" w:rsidRPr="009960E1" w:rsidRDefault="00CF0CB0" w:rsidP="001E687D">
      <w:pPr>
        <w:pStyle w:val="Heading1"/>
        <w:rPr>
          <w:lang w:val="es-ES_tradnl"/>
        </w:rPr>
      </w:pPr>
      <w:bookmarkStart w:id="65" w:name="_Toc167825812"/>
      <w:bookmarkStart w:id="66" w:name="_Toc179189969"/>
      <w:r w:rsidRPr="009960E1">
        <w:rPr>
          <w:lang w:val="es-ES_tradnl"/>
        </w:rPr>
        <w:t>1</w:t>
      </w:r>
      <w:r w:rsidRPr="009960E1">
        <w:rPr>
          <w:lang w:val="es-ES_tradnl"/>
        </w:rPr>
        <w:tab/>
        <w:t>Motivos</w:t>
      </w:r>
      <w:bookmarkEnd w:id="65"/>
      <w:bookmarkEnd w:id="66"/>
    </w:p>
    <w:p w14:paraId="5ADB3DD7" w14:textId="77777777" w:rsidR="00CF0CB0" w:rsidRPr="009960E1" w:rsidRDefault="00CF0CB0" w:rsidP="00CF0CB0">
      <w:pPr>
        <w:rPr>
          <w:lang w:val="es-ES_tradnl"/>
        </w:rPr>
      </w:pPr>
      <w:r w:rsidRPr="009960E1">
        <w:rPr>
          <w:lang w:val="es-ES_tradnl"/>
        </w:rPr>
        <w:t>La capacidad para explotar los diferentes medios de información y controlar las acciones varía sobremanera entre los distintos usuarios de telecomunicaciones y servicios multimedios. La diferencia puede obedecer a limitaciones funcionales debidas a la edad, la discapacidad u otras causas naturales. Habida cuenta del envejecimiento de la población en muchas partes del mundo, la capacidad sensorial y motriz de muchos usuarios de telecomunicaciones se verá limitada. Importa que en el diseño original de los servicios de telecomunicaciones se tengan en cuenta tales diferencias, para garantizar que un número creciente de usuarios pueda utilizar los servicios de telecomunicaciones convencionales. Asimismo, la legislación de muchos países está comenzando a exigir que los servicios de comunicaciones y los dispositivos de comunicaciones se diseñen para ser utilizados por todos, conforme a la Convención de las Naciones Unidas sobre los derechos de las personas con discapacidad (UNCRPD), y los Objetivos de Desarrollo Sostenible (ODS).</w:t>
      </w:r>
    </w:p>
    <w:p w14:paraId="27E049EF" w14:textId="77777777" w:rsidR="00CF0CB0" w:rsidRPr="009960E1" w:rsidRDefault="00CF0CB0" w:rsidP="00CF0CB0">
      <w:pPr>
        <w:rPr>
          <w:lang w:val="es-ES_tradnl"/>
        </w:rPr>
      </w:pPr>
      <w:r w:rsidRPr="009960E1">
        <w:rPr>
          <w:lang w:val="es-ES_tradnl"/>
        </w:rPr>
        <w:t>Los sistemas y servicios multimedios tienen un gran potencial para ofrecer información valiosa y accesible, y de este modo permitir su control por cada usuario, si desde el principio se diseñan para que puedan utilizarlos el mayor número posible de usuarios.</w:t>
      </w:r>
    </w:p>
    <w:p w14:paraId="62810DB8" w14:textId="4B49296C" w:rsidR="00CF0CB0" w:rsidRPr="009960E1" w:rsidRDefault="00CF0CB0" w:rsidP="00CF0CB0">
      <w:pPr>
        <w:rPr>
          <w:lang w:val="es-ES_tradnl"/>
        </w:rPr>
      </w:pPr>
      <w:r w:rsidRPr="009960E1">
        <w:rPr>
          <w:lang w:val="es-ES_tradnl"/>
        </w:rPr>
        <w:t>Entre los diferentes medios audiovisuales, la televisión es el más antiguo y hasta ahora el más popular. Con el advenimiento de las tecnologías electrónicas, está pasando de ser un medio de radiodifusión entre muchos a un sistema interactivo. Utilizando sistemas como la WebTV o la televisión híbrida, los usuarios pueden interactuar tanto con los programas de radiodifusión como con las páginas web utilizando la televisión. Esta función interactiva también realza el papel de la televisión a la hora de ofrecer accesibilidad no s</w:t>
      </w:r>
      <w:r w:rsidR="00D15FEC">
        <w:rPr>
          <w:lang w:val="es-ES_tradnl"/>
        </w:rPr>
        <w:t>ó</w:t>
      </w:r>
      <w:r w:rsidRPr="009960E1">
        <w:rPr>
          <w:lang w:val="es-ES_tradnl"/>
        </w:rPr>
        <w:t>lo a las personas con diferentes capacidades sino también a los hablantes de idiomas extranjeros, a las personas de edad y a los usuarios en situaciones de difícil accesibilidad como cuando se encuentran en el interior de un vehículo en movimiento. Además, la realidad extendida (RX), que incluye la realidad aumentada (RA), la realidad virtual (RV) y la realidad mixta (RM), así como las tecnologías incipientes, como el metaverso, aumentará el papel que desempeñan los medios audiovisuales en nuestra vida cotidiana.</w:t>
      </w:r>
    </w:p>
    <w:p w14:paraId="0BF83905" w14:textId="77777777" w:rsidR="00CF0CB0" w:rsidRPr="009960E1" w:rsidRDefault="00CF0CB0" w:rsidP="00CF0CB0">
      <w:pPr>
        <w:rPr>
          <w:lang w:val="es-ES_tradnl"/>
        </w:rPr>
      </w:pPr>
      <w:r w:rsidRPr="009960E1">
        <w:rPr>
          <w:lang w:val="es-ES_tradnl"/>
        </w:rPr>
        <w:t>Las actividades de la Comisión de Estudio C y sus predecesoras en materia de accesibilidad han dado lugar a la creación de los siguientes documentos:</w:t>
      </w:r>
    </w:p>
    <w:p w14:paraId="4CB01AE1" w14:textId="77777777" w:rsidR="00CF0CB0" w:rsidRPr="009960E1" w:rsidRDefault="00CF0CB0" w:rsidP="00CF0CB0">
      <w:pPr>
        <w:pStyle w:val="enumlev1"/>
        <w:rPr>
          <w:lang w:val="es-ES_tradnl"/>
        </w:rPr>
      </w:pPr>
      <w:r w:rsidRPr="009960E1">
        <w:rPr>
          <w:lang w:val="es-ES_tradnl"/>
        </w:rPr>
        <w:t>–</w:t>
      </w:r>
      <w:r w:rsidRPr="009960E1">
        <w:rPr>
          <w:lang w:val="es-ES_tradnl"/>
        </w:rPr>
        <w:tab/>
        <w:t>UIT-T V.18 sobre telefonía con texto en tiempo real;</w:t>
      </w:r>
    </w:p>
    <w:p w14:paraId="1B040E12" w14:textId="77777777" w:rsidR="00CF0CB0" w:rsidRPr="009960E1" w:rsidRDefault="00CF0CB0" w:rsidP="00CF0CB0">
      <w:pPr>
        <w:pStyle w:val="enumlev1"/>
        <w:rPr>
          <w:lang w:val="es-ES_tradnl"/>
        </w:rPr>
      </w:pPr>
      <w:r w:rsidRPr="009960E1">
        <w:rPr>
          <w:lang w:val="es-ES_tradnl"/>
        </w:rPr>
        <w:t>–</w:t>
      </w:r>
      <w:r w:rsidRPr="009960E1">
        <w:rPr>
          <w:lang w:val="es-ES_tradnl"/>
        </w:rPr>
        <w:tab/>
        <w:t>UIT-T T.140 sobre el protocolo de presentación general para conversación en tiempo real mediante texto;</w:t>
      </w:r>
    </w:p>
    <w:p w14:paraId="059C8456" w14:textId="77777777" w:rsidR="00CF0CB0" w:rsidRPr="009960E1" w:rsidRDefault="00CF0CB0" w:rsidP="00CF0CB0">
      <w:pPr>
        <w:pStyle w:val="enumlev1"/>
        <w:rPr>
          <w:lang w:val="es-ES_tradnl"/>
        </w:rPr>
      </w:pPr>
      <w:r w:rsidRPr="009960E1">
        <w:rPr>
          <w:lang w:val="es-ES_tradnl"/>
        </w:rPr>
        <w:t>–</w:t>
      </w:r>
      <w:r w:rsidRPr="009960E1">
        <w:rPr>
          <w:lang w:val="es-ES_tradnl"/>
        </w:rPr>
        <w:tab/>
        <w:t>UIT-T T.134 para la conversación de texto en tiempo real en entornos de conferencias de datos de la T.120;</w:t>
      </w:r>
    </w:p>
    <w:p w14:paraId="608D88C5" w14:textId="77777777" w:rsidR="00CF0CB0" w:rsidRPr="009960E1" w:rsidRDefault="00CF0CB0" w:rsidP="00CF0CB0">
      <w:pPr>
        <w:pStyle w:val="enumlev1"/>
        <w:rPr>
          <w:lang w:val="es-ES_tradnl"/>
        </w:rPr>
      </w:pPr>
      <w:r w:rsidRPr="009960E1">
        <w:rPr>
          <w:lang w:val="es-ES_tradnl"/>
        </w:rPr>
        <w:t>–</w:t>
      </w:r>
      <w:r w:rsidRPr="009960E1">
        <w:rPr>
          <w:lang w:val="es-ES_tradnl"/>
        </w:rPr>
        <w:tab/>
        <w:t>Anexo G a la Recomendación UIT-T H.323 sobre conversación de texto en tiempo real en un entorno multimedios por paquetes descrito en la H.323;</w:t>
      </w:r>
    </w:p>
    <w:p w14:paraId="30C4C9E1" w14:textId="77777777" w:rsidR="00CF0CB0" w:rsidRPr="009960E1" w:rsidRDefault="00CF0CB0" w:rsidP="00CF0CB0">
      <w:pPr>
        <w:pStyle w:val="enumlev1"/>
        <w:rPr>
          <w:lang w:val="es-ES_tradnl"/>
        </w:rPr>
      </w:pPr>
      <w:r w:rsidRPr="009960E1">
        <w:rPr>
          <w:lang w:val="es-ES_tradnl"/>
        </w:rPr>
        <w:t>–</w:t>
      </w:r>
      <w:r w:rsidRPr="009960E1">
        <w:rPr>
          <w:lang w:val="es-ES_tradnl"/>
        </w:rPr>
        <w:tab/>
        <w:t>Anexo L a la Recomendación UIT-T H.324 para la conversación de texto en tiempo real en aplicaciones multimedios de baja velocidad binaria;</w:t>
      </w:r>
    </w:p>
    <w:p w14:paraId="08818E30" w14:textId="77777777" w:rsidR="00CF0CB0" w:rsidRPr="009960E1" w:rsidRDefault="00CF0CB0" w:rsidP="00CF0CB0">
      <w:pPr>
        <w:pStyle w:val="enumlev1"/>
        <w:rPr>
          <w:lang w:val="es-ES_tradnl"/>
        </w:rPr>
      </w:pPr>
      <w:r w:rsidRPr="009960E1">
        <w:rPr>
          <w:lang w:val="es-ES_tradnl"/>
        </w:rPr>
        <w:t>–</w:t>
      </w:r>
      <w:r w:rsidRPr="009960E1">
        <w:rPr>
          <w:lang w:val="es-ES_tradnl"/>
        </w:rPr>
        <w:tab/>
        <w:t>UIT-T F.703 – Descripción de los servicios multimedios conversacionales. Incluye definiciones de los servicios conversacionales accesibles, es decir, conversación total;</w:t>
      </w:r>
    </w:p>
    <w:p w14:paraId="6D388BEB" w14:textId="77777777" w:rsidR="00CF0CB0" w:rsidRPr="009960E1" w:rsidRDefault="00CF0CB0" w:rsidP="00CF0CB0">
      <w:pPr>
        <w:pStyle w:val="enumlev1"/>
        <w:rPr>
          <w:lang w:val="es-ES_tradnl"/>
        </w:rPr>
      </w:pPr>
      <w:r w:rsidRPr="009960E1">
        <w:rPr>
          <w:lang w:val="es-ES_tradnl"/>
        </w:rPr>
        <w:lastRenderedPageBreak/>
        <w:t>–</w:t>
      </w:r>
      <w:r w:rsidRPr="009960E1">
        <w:rPr>
          <w:lang w:val="es-ES_tradnl"/>
        </w:rPr>
        <w:tab/>
        <w:t>Suplemento 1 a la serie H – Perfil de aplicación – Utilización de la comunicación en vídeo a baja velocidad binaria para la conversación en tiempo real mediante el lenguaje de signos y la lectura de labios;</w:t>
      </w:r>
    </w:p>
    <w:p w14:paraId="2D5CB753" w14:textId="77777777" w:rsidR="00CF0CB0" w:rsidRPr="009960E1" w:rsidRDefault="00CF0CB0" w:rsidP="00CF0CB0">
      <w:pPr>
        <w:pStyle w:val="enumlev1"/>
        <w:rPr>
          <w:lang w:val="es-ES_tradnl"/>
        </w:rPr>
      </w:pPr>
      <w:r w:rsidRPr="009960E1">
        <w:rPr>
          <w:lang w:val="es-ES_tradnl"/>
        </w:rPr>
        <w:t>–</w:t>
      </w:r>
      <w:r w:rsidRPr="009960E1">
        <w:rPr>
          <w:lang w:val="es-ES_tradnl"/>
        </w:rPr>
        <w:tab/>
        <w:t>UIT-T F.790 – Directrices sobre la posibilidad de acceso a las telecomunicaciones en favor de las personas de edad y las personas con discapacidad;</w:t>
      </w:r>
    </w:p>
    <w:p w14:paraId="58F1B5DB" w14:textId="77777777" w:rsidR="00CF0CB0" w:rsidRPr="009960E1" w:rsidRDefault="00CF0CB0" w:rsidP="00CF0CB0">
      <w:pPr>
        <w:pStyle w:val="enumlev1"/>
        <w:rPr>
          <w:lang w:val="es-ES_tradnl"/>
        </w:rPr>
      </w:pPr>
      <w:r w:rsidRPr="009960E1">
        <w:rPr>
          <w:lang w:val="es-ES_tradnl"/>
        </w:rPr>
        <w:t>–</w:t>
      </w:r>
      <w:r w:rsidRPr="009960E1">
        <w:rPr>
          <w:lang w:val="es-ES_tradnl"/>
        </w:rPr>
        <w:tab/>
        <w:t>UIT-T F.791 – Términos y definiciones de accesibilidad;</w:t>
      </w:r>
    </w:p>
    <w:p w14:paraId="4BDA7012" w14:textId="77777777" w:rsidR="00CF0CB0" w:rsidRPr="009960E1" w:rsidRDefault="00CF0CB0" w:rsidP="00CF0CB0">
      <w:pPr>
        <w:pStyle w:val="enumlev1"/>
        <w:rPr>
          <w:lang w:val="es-ES_tradnl"/>
        </w:rPr>
      </w:pPr>
      <w:r w:rsidRPr="009960E1">
        <w:rPr>
          <w:lang w:val="es-ES_tradnl"/>
        </w:rPr>
        <w:t>–</w:t>
      </w:r>
      <w:r w:rsidRPr="009960E1">
        <w:rPr>
          <w:lang w:val="es-ES_tradnl"/>
        </w:rPr>
        <w:tab/>
        <w:t>UIT-T H.702 – Perfiles de accesibilidad para sistemas TVIP;</w:t>
      </w:r>
    </w:p>
    <w:p w14:paraId="160A3064" w14:textId="77777777" w:rsidR="00CF0CB0" w:rsidRPr="009960E1" w:rsidRDefault="00CF0CB0" w:rsidP="00CF0CB0">
      <w:pPr>
        <w:pStyle w:val="enumlev1"/>
        <w:rPr>
          <w:lang w:val="es-ES_tradnl"/>
        </w:rPr>
      </w:pPr>
      <w:r w:rsidRPr="009960E1">
        <w:rPr>
          <w:lang w:val="es-ES_tradnl"/>
        </w:rPr>
        <w:t>–</w:t>
      </w:r>
      <w:r w:rsidRPr="009960E1">
        <w:rPr>
          <w:lang w:val="es-ES_tradnl"/>
        </w:rPr>
        <w:tab/>
        <w:t>UIT-T F.930 – Servicios de retransmisión de multimedios;</w:t>
      </w:r>
    </w:p>
    <w:p w14:paraId="1FEF3B9B" w14:textId="77777777" w:rsidR="00CF0CB0" w:rsidRPr="009960E1" w:rsidRDefault="00CF0CB0" w:rsidP="00CF0CB0">
      <w:pPr>
        <w:pStyle w:val="enumlev1"/>
        <w:rPr>
          <w:lang w:val="es-ES_tradnl"/>
        </w:rPr>
      </w:pPr>
      <w:r w:rsidRPr="009960E1">
        <w:rPr>
          <w:lang w:val="es-ES_tradnl"/>
        </w:rPr>
        <w:t>–</w:t>
      </w:r>
      <w:r w:rsidRPr="009960E1">
        <w:rPr>
          <w:lang w:val="es-ES_tradnl"/>
        </w:rPr>
        <w:tab/>
        <w:t>UIT-T F.921 – Sistema de navegación para redes interiores y exteriores basado en audio para personas con discapacidad visual;</w:t>
      </w:r>
    </w:p>
    <w:p w14:paraId="37CE6387" w14:textId="77777777" w:rsidR="00CF0CB0" w:rsidRPr="009960E1" w:rsidRDefault="00CF0CB0" w:rsidP="00CF0CB0">
      <w:pPr>
        <w:pStyle w:val="enumlev1"/>
        <w:rPr>
          <w:lang w:val="es-ES_tradnl"/>
        </w:rPr>
      </w:pPr>
      <w:r w:rsidRPr="009960E1">
        <w:rPr>
          <w:lang w:val="es-ES_tradnl"/>
        </w:rPr>
        <w:t>–</w:t>
      </w:r>
      <w:r w:rsidRPr="009960E1">
        <w:rPr>
          <w:lang w:val="es-ES_tradnl"/>
        </w:rPr>
        <w:tab/>
        <w:t>UIT-T F.922 – Requisitos de los sistemas de servicio de información para personas con discapacidad visual;</w:t>
      </w:r>
    </w:p>
    <w:p w14:paraId="03CD110E" w14:textId="77777777" w:rsidR="00CF0CB0" w:rsidRPr="009960E1" w:rsidRDefault="00CF0CB0" w:rsidP="00CF0CB0">
      <w:pPr>
        <w:pStyle w:val="enumlev1"/>
        <w:rPr>
          <w:lang w:val="es-ES_tradnl"/>
        </w:rPr>
      </w:pPr>
      <w:r w:rsidRPr="009960E1">
        <w:rPr>
          <w:lang w:val="es-ES_tradnl"/>
        </w:rPr>
        <w:t>–</w:t>
      </w:r>
      <w:r w:rsidRPr="009960E1">
        <w:rPr>
          <w:lang w:val="es-ES_tradnl"/>
        </w:rPr>
        <w:tab/>
        <w:t>Documento técnico FSTP-AM del UIT-T – Directrices para reuniones accesibles;</w:t>
      </w:r>
    </w:p>
    <w:p w14:paraId="6D1405D9" w14:textId="77777777" w:rsidR="00CF0CB0" w:rsidRPr="009960E1" w:rsidRDefault="00CF0CB0" w:rsidP="00CF0CB0">
      <w:pPr>
        <w:pStyle w:val="enumlev1"/>
        <w:rPr>
          <w:lang w:val="es-ES_tradnl"/>
        </w:rPr>
      </w:pPr>
      <w:bookmarkStart w:id="67" w:name="OLE_LINK2"/>
      <w:r w:rsidRPr="009960E1">
        <w:rPr>
          <w:lang w:val="es-ES_tradnl"/>
        </w:rPr>
        <w:t>–</w:t>
      </w:r>
      <w:r w:rsidRPr="009960E1">
        <w:rPr>
          <w:lang w:val="es-ES_tradnl"/>
        </w:rPr>
        <w:tab/>
        <w:t>Documento técnico FSTP-ACC-RemPart del UIT-T – Directrices para soportar la participación en reuniones a distancia para todos;</w:t>
      </w:r>
      <w:bookmarkStart w:id="68" w:name="OLE_LINK4"/>
      <w:bookmarkEnd w:id="67"/>
      <w:bookmarkEnd w:id="68"/>
    </w:p>
    <w:p w14:paraId="343145C7" w14:textId="77777777" w:rsidR="00CF0CB0" w:rsidRPr="009960E1" w:rsidRDefault="00CF0CB0" w:rsidP="00CF0CB0">
      <w:pPr>
        <w:pStyle w:val="enumlev1"/>
        <w:rPr>
          <w:lang w:val="es-ES_tradnl"/>
        </w:rPr>
      </w:pPr>
      <w:r w:rsidRPr="009960E1">
        <w:rPr>
          <w:lang w:val="es-ES_tradnl"/>
        </w:rPr>
        <w:t>–</w:t>
      </w:r>
      <w:r w:rsidRPr="009960E1">
        <w:rPr>
          <w:lang w:val="es-ES_tradnl"/>
        </w:rPr>
        <w:tab/>
        <w:t>Documento técnico HSTP.ACC-UC del UIT-T – Casos de uso de servicios de acceso a medios inclusivos;</w:t>
      </w:r>
      <w:bookmarkStart w:id="69" w:name="OLE_LINK3"/>
      <w:bookmarkEnd w:id="69"/>
    </w:p>
    <w:p w14:paraId="614EA527" w14:textId="77777777" w:rsidR="00CF0CB0" w:rsidRPr="009960E1" w:rsidRDefault="00CF0CB0" w:rsidP="00CF0CB0">
      <w:pPr>
        <w:pStyle w:val="enumlev1"/>
        <w:rPr>
          <w:lang w:val="es-ES_tradnl"/>
        </w:rPr>
      </w:pPr>
      <w:r w:rsidRPr="009960E1">
        <w:rPr>
          <w:lang w:val="es-ES_tradnl"/>
        </w:rPr>
        <w:t>–</w:t>
      </w:r>
      <w:r w:rsidRPr="009960E1">
        <w:rPr>
          <w:lang w:val="es-ES_tradnl"/>
        </w:rPr>
        <w:tab/>
        <w:t>Documento técnico FSTP-TACL del UIT-T – Lista para verificar la accesibilidad a las telecomunicaciones;</w:t>
      </w:r>
    </w:p>
    <w:p w14:paraId="2122BC69" w14:textId="77777777" w:rsidR="00CF0CB0" w:rsidRPr="009960E1" w:rsidRDefault="00CF0CB0" w:rsidP="00CF0CB0">
      <w:pPr>
        <w:pStyle w:val="enumlev1"/>
        <w:rPr>
          <w:lang w:val="es-ES_tradnl"/>
        </w:rPr>
      </w:pPr>
      <w:r w:rsidRPr="009960E1">
        <w:rPr>
          <w:lang w:val="es-ES_tradnl"/>
        </w:rPr>
        <w:t>–</w:t>
      </w:r>
      <w:r w:rsidRPr="009960E1">
        <w:rPr>
          <w:lang w:val="es-ES_tradnl"/>
        </w:rPr>
        <w:tab/>
        <w:t>Documento técnico FSTP-WebVRI del UIT-T – Directrices sobre interpretación en lenguaje de signos a distancia basada en la web (VRI);</w:t>
      </w:r>
    </w:p>
    <w:p w14:paraId="4CA2C98E" w14:textId="77777777" w:rsidR="00CF0CB0" w:rsidRPr="009960E1" w:rsidRDefault="00CF0CB0" w:rsidP="00CF0CB0">
      <w:pPr>
        <w:pStyle w:val="enumlev1"/>
        <w:rPr>
          <w:lang w:val="es-ES_tradnl"/>
        </w:rPr>
      </w:pPr>
      <w:r w:rsidRPr="009960E1">
        <w:rPr>
          <w:lang w:val="es-ES_tradnl"/>
        </w:rPr>
        <w:t>–</w:t>
      </w:r>
      <w:r w:rsidRPr="009960E1">
        <w:rPr>
          <w:lang w:val="es-ES_tradnl"/>
        </w:rPr>
        <w:tab/>
        <w:t>Documento técnico TR.CUP del UIT-T – Concepto de un formato de perfil de usuario común utilizado para personalizar los medios audiovisuales.</w:t>
      </w:r>
    </w:p>
    <w:p w14:paraId="1C1B3C62" w14:textId="77777777" w:rsidR="00CF0CB0" w:rsidRPr="009960E1" w:rsidRDefault="00CF0CB0" w:rsidP="00CF0CB0">
      <w:pPr>
        <w:rPr>
          <w:lang w:val="es-ES_tradnl"/>
        </w:rPr>
      </w:pPr>
      <w:r w:rsidRPr="009960E1">
        <w:rPr>
          <w:lang w:val="es-ES_tradnl"/>
        </w:rPr>
        <w:t>Complementado por una serie de adiciones a otras Recomendaciones, el concepto de conversación total se ideó para la conversación en vídeo, texto y voz como un superconjunto accesible de telefonía de vídeo, telefonía con texto y telefonía de voz.</w:t>
      </w:r>
    </w:p>
    <w:p w14:paraId="5BE82F60" w14:textId="77777777" w:rsidR="00CF0CB0" w:rsidRPr="009960E1" w:rsidRDefault="00CF0CB0" w:rsidP="00CF0CB0">
      <w:pPr>
        <w:rPr>
          <w:lang w:val="es-ES_tradnl"/>
        </w:rPr>
      </w:pPr>
      <w:r w:rsidRPr="009960E1">
        <w:rPr>
          <w:lang w:val="es-ES_tradnl"/>
        </w:rPr>
        <w:t>En el marco de esta Cuestión se llevará a cabo la labor de normalización necesaria para concebir sistemas y aplicaciones de servicios que aplican el concepto de diseño universal, de conformidad con la Convención de las Naciones Unidas sobre los Derechos de las Personas con Discapacidad (CRPD), la Directiva de Accesibilidad de la Unión Europea y otras legislaciones nacionales de los Estados Miembros.</w:t>
      </w:r>
    </w:p>
    <w:p w14:paraId="756E636B" w14:textId="77777777" w:rsidR="00CF0CB0" w:rsidRPr="009960E1" w:rsidRDefault="00CF0CB0" w:rsidP="00CF0CB0">
      <w:pPr>
        <w:rPr>
          <w:rFonts w:eastAsia="DengXian"/>
          <w:lang w:val="es-ES_tradnl"/>
        </w:rPr>
      </w:pPr>
      <w:r w:rsidRPr="009960E1">
        <w:rPr>
          <w:lang w:val="es-ES_tradnl"/>
        </w:rPr>
        <w:t>Esta Cuestión tiene previsto investigar la accesibilidad del contenido audiovisual para las experiencias de visualización y escucha, con una amplia variedad de plataformas de entrega, como la realidad extendida (RX) (por ejemplo, la realidad aumentada (RA), la realidad virtual (RV) y la realidad mixta (RM)), los entornos inmersivos, los mundos virtuales y el metaverso.</w:t>
      </w:r>
    </w:p>
    <w:p w14:paraId="26E8EF24" w14:textId="77777777" w:rsidR="00CF0CB0" w:rsidRPr="009960E1" w:rsidRDefault="00CF0CB0" w:rsidP="00CF0CB0">
      <w:pPr>
        <w:rPr>
          <w:lang w:val="es-ES_tradnl"/>
        </w:rPr>
      </w:pPr>
      <w:r w:rsidRPr="009960E1">
        <w:rPr>
          <w:lang w:val="es-ES_tradnl"/>
        </w:rPr>
        <w:t>Habrá que tomar en consideración los servicios en redes de la próxima generación con características fijas y móviles.</w:t>
      </w:r>
    </w:p>
    <w:p w14:paraId="512B07E0" w14:textId="77777777" w:rsidR="00CF0CB0" w:rsidRPr="009960E1" w:rsidRDefault="00CF0CB0" w:rsidP="00CF0CB0">
      <w:pPr>
        <w:rPr>
          <w:lang w:val="es-ES_tradnl"/>
        </w:rPr>
      </w:pPr>
      <w:r w:rsidRPr="009960E1">
        <w:rPr>
          <w:lang w:val="es-ES_tradnl"/>
        </w:rPr>
        <w:t>La Comisión de Estudio también tiene el cometido de promover y mejorar la accesibilidad para que se tenga en cuenta este asunto en los trabajos habituales de la UIT.</w:t>
      </w:r>
    </w:p>
    <w:p w14:paraId="7ADA075F" w14:textId="77777777" w:rsidR="00CF0CB0" w:rsidRPr="009960E1" w:rsidRDefault="00CF0CB0" w:rsidP="00DB4C81">
      <w:pPr>
        <w:pStyle w:val="Heading1"/>
        <w:rPr>
          <w:lang w:val="es-ES_tradnl"/>
        </w:rPr>
      </w:pPr>
      <w:bookmarkStart w:id="70" w:name="_Toc167825813"/>
      <w:bookmarkStart w:id="71" w:name="_Toc179189970"/>
      <w:r w:rsidRPr="009960E1">
        <w:rPr>
          <w:lang w:val="es-ES_tradnl"/>
        </w:rPr>
        <w:t>2</w:t>
      </w:r>
      <w:r w:rsidRPr="009960E1">
        <w:rPr>
          <w:lang w:val="es-ES_tradnl"/>
        </w:rPr>
        <w:tab/>
        <w:t>Temas de estudio</w:t>
      </w:r>
      <w:bookmarkEnd w:id="70"/>
      <w:bookmarkEnd w:id="71"/>
    </w:p>
    <w:p w14:paraId="1959B00A" w14:textId="77777777" w:rsidR="00CF0CB0" w:rsidRPr="009960E1" w:rsidRDefault="00CF0CB0" w:rsidP="00CF0CB0">
      <w:pPr>
        <w:rPr>
          <w:lang w:val="es-ES_tradnl"/>
        </w:rPr>
      </w:pPr>
      <w:r w:rsidRPr="009960E1">
        <w:rPr>
          <w:lang w:val="es-ES_tradnl"/>
        </w:rPr>
        <w:t>Los temas de estudio son, entre otros, los siguientes:</w:t>
      </w:r>
    </w:p>
    <w:p w14:paraId="20C33219" w14:textId="7AEF8128" w:rsidR="00CF0CB0" w:rsidRPr="009960E1" w:rsidRDefault="00CF0CB0" w:rsidP="00CF0CB0">
      <w:pPr>
        <w:pStyle w:val="enumlev1"/>
        <w:rPr>
          <w:lang w:val="es-ES_tradnl"/>
        </w:rPr>
      </w:pPr>
      <w:r w:rsidRPr="009960E1">
        <w:rPr>
          <w:lang w:val="es-ES_tradnl"/>
        </w:rPr>
        <w:t>–</w:t>
      </w:r>
      <w:r w:rsidRPr="009960E1">
        <w:rPr>
          <w:lang w:val="es-ES_tradnl"/>
        </w:rPr>
        <w:tab/>
        <w:t>incorporación de cláusulas sobre accesibilidad en las Recomendaciones pertinentes, en las que se indique cómo lograr diseños aptos para todos, como se pide en la Resolución</w:t>
      </w:r>
      <w:r w:rsidR="00DB4C81" w:rsidRPr="009960E1">
        <w:rPr>
          <w:lang w:val="es-ES_tradnl"/>
        </w:rPr>
        <w:t> </w:t>
      </w:r>
      <w:r w:rsidRPr="009960E1">
        <w:rPr>
          <w:lang w:val="es-ES_tradnl"/>
        </w:rPr>
        <w:t>175 (Rev. Bucarest, 2022) de la Conferencia de Plenipotenciarios de la UIT y la UNCRPD y los ODS;</w:t>
      </w:r>
      <w:bookmarkStart w:id="72" w:name="_Hlk167824175"/>
      <w:bookmarkEnd w:id="72"/>
    </w:p>
    <w:p w14:paraId="7B65A0FA" w14:textId="77777777" w:rsidR="00CF0CB0" w:rsidRPr="009960E1" w:rsidRDefault="00CF0CB0" w:rsidP="00CF0CB0">
      <w:pPr>
        <w:pStyle w:val="enumlev1"/>
        <w:rPr>
          <w:lang w:val="es-ES_tradnl"/>
        </w:rPr>
      </w:pPr>
      <w:r w:rsidRPr="009960E1">
        <w:rPr>
          <w:lang w:val="es-ES_tradnl"/>
        </w:rPr>
        <w:lastRenderedPageBreak/>
        <w:t>–</w:t>
      </w:r>
      <w:r w:rsidRPr="009960E1">
        <w:rPr>
          <w:lang w:val="es-ES_tradnl"/>
        </w:rPr>
        <w:tab/>
        <w:t>contribución al establecimiento de límites de calidad de funcionamiento más amplios en la producción, la percepción y el control de cada medio en los servicios de comunicaciones a fin de aumentar al máximo las posibilidades de utilización de conformidad con los principios de diseño apto para todos. Concretamente, el estudio para la creación de perfiles de las normas de codificación de vídeo más recientes para atender las necesidades en materia de lenguaje de signos y lectura de labios a velocidades binarias muy bajas y en entornos propensos a errores;</w:t>
      </w:r>
    </w:p>
    <w:p w14:paraId="04DD83FF" w14:textId="77777777" w:rsidR="00CF0CB0" w:rsidRPr="009960E1" w:rsidRDefault="00CF0CB0" w:rsidP="00CF0CB0">
      <w:pPr>
        <w:pStyle w:val="enumlev1"/>
        <w:rPr>
          <w:lang w:val="es-ES_tradnl"/>
        </w:rPr>
      </w:pPr>
      <w:r w:rsidRPr="009960E1">
        <w:rPr>
          <w:lang w:val="es-ES_tradnl"/>
        </w:rPr>
        <w:t>–</w:t>
      </w:r>
      <w:r w:rsidRPr="009960E1">
        <w:rPr>
          <w:lang w:val="es-ES_tradnl"/>
        </w:rPr>
        <w:tab/>
        <w:t>estudio de beneficios de accesibilidad potenciales ofrecidos por tecnologías incipientes, tales como los entornos inmersivos, los mundos virtuales, el metaverso, la inteligencia artificial, la vida independiente, la automatización del hogar, la comunicación entre objetos inteligentes (IoT), los servicios en la nube y los hogares inteligentes;</w:t>
      </w:r>
    </w:p>
    <w:p w14:paraId="173C9A2A" w14:textId="2685F2AE" w:rsidR="00DB4C81" w:rsidRPr="009960E1" w:rsidRDefault="00CF0CB0" w:rsidP="00CF0CB0">
      <w:pPr>
        <w:pStyle w:val="enumlev1"/>
        <w:rPr>
          <w:lang w:val="es-ES_tradnl"/>
        </w:rPr>
      </w:pPr>
      <w:r w:rsidRPr="009960E1">
        <w:rPr>
          <w:lang w:val="es-ES_tradnl"/>
        </w:rPr>
        <w:t>–</w:t>
      </w:r>
      <w:r w:rsidRPr="009960E1">
        <w:rPr>
          <w:lang w:val="es-ES_tradnl"/>
        </w:rPr>
        <w:tab/>
        <w:t>definición de interfaces sobre equipos de comunicación que permitan la conexión de distintos equipos de interfaz de usuario para el control de sesión y del dispositivo, así como el control de los medios por personas de distintas capacidades y preferencias;</w:t>
      </w:r>
    </w:p>
    <w:p w14:paraId="411D73C7" w14:textId="581E2349" w:rsidR="00CF0CB0" w:rsidRPr="009960E1" w:rsidRDefault="00CF0CB0" w:rsidP="00DB4C81">
      <w:pPr>
        <w:pStyle w:val="Note"/>
        <w:ind w:left="1134"/>
        <w:jc w:val="both"/>
        <w:rPr>
          <w:lang w:val="es-ES_tradnl"/>
        </w:rPr>
      </w:pPr>
      <w:r w:rsidRPr="009960E1">
        <w:rPr>
          <w:lang w:val="es-ES_tradnl"/>
        </w:rPr>
        <w:t>NOTA – Como ejemplos de interfaces se pueden citar menús, teclados y dispositivos de señalamiento controlados por la voz, dispositivos de escucha y visualización, sistema braille y control de llamadas por la voz, escritura y lectura de conversación de textos, etc.</w:t>
      </w:r>
    </w:p>
    <w:p w14:paraId="21EF5E3B" w14:textId="77777777" w:rsidR="00CF0CB0" w:rsidRPr="009960E1" w:rsidRDefault="00CF0CB0" w:rsidP="00CF0CB0">
      <w:pPr>
        <w:pStyle w:val="enumlev1"/>
        <w:rPr>
          <w:lang w:val="es-ES_tradnl"/>
        </w:rPr>
      </w:pPr>
      <w:r w:rsidRPr="009960E1">
        <w:rPr>
          <w:lang w:val="es-ES_tradnl"/>
        </w:rPr>
        <w:t>–</w:t>
      </w:r>
      <w:r w:rsidRPr="009960E1">
        <w:rPr>
          <w:lang w:val="es-ES_tradnl"/>
        </w:rPr>
        <w:tab/>
        <w:t>servicios multimedios que incorporen mecanismos para la transformación del mismo contenido de un medio a otro con el fin de adaptarlos a las capacidades y preferencias de los usuarios finales. Esos mecanismos pueden ser automáticos, por ejemplo, conversión de texto a voz, o ejecutados por personas, como por ejemplo, interpretación del lenguaje de signos;</w:t>
      </w:r>
    </w:p>
    <w:p w14:paraId="76FEB51A" w14:textId="77777777" w:rsidR="00CF0CB0" w:rsidRPr="009960E1" w:rsidRDefault="00CF0CB0" w:rsidP="00CF0CB0">
      <w:pPr>
        <w:pStyle w:val="enumlev1"/>
        <w:rPr>
          <w:lang w:val="es-ES_tradnl"/>
        </w:rPr>
      </w:pPr>
      <w:r w:rsidRPr="009960E1">
        <w:rPr>
          <w:lang w:val="es-ES_tradnl"/>
        </w:rPr>
        <w:t xml:space="preserve"> –</w:t>
      </w:r>
      <w:r w:rsidRPr="009960E1">
        <w:rPr>
          <w:lang w:val="es-ES_tradnl"/>
        </w:rPr>
        <w:tab/>
        <w:t>y requisitos de autotraducción para facilitar la accesibilidad a lenguas comunes, si procede;</w:t>
      </w:r>
    </w:p>
    <w:p w14:paraId="2476A513" w14:textId="77777777" w:rsidR="00CF0CB0" w:rsidRPr="009960E1" w:rsidRDefault="00CF0CB0" w:rsidP="00CF0CB0">
      <w:pPr>
        <w:pStyle w:val="enumlev1"/>
        <w:rPr>
          <w:lang w:val="es-ES_tradnl"/>
        </w:rPr>
      </w:pPr>
      <w:r w:rsidRPr="009960E1">
        <w:rPr>
          <w:lang w:val="es-ES_tradnl"/>
        </w:rPr>
        <w:t>–</w:t>
      </w:r>
      <w:r w:rsidRPr="009960E1">
        <w:rPr>
          <w:lang w:val="es-ES_tradnl"/>
        </w:rPr>
        <w:tab/>
        <w:t>requisitos y mecanismos para los medios seleccionables por el usuario (como la subtitulación para personas sordas o para diversos casos de uso) y formatos de perfil de usuario común en múltiples plataformas a fin de facilitar la accesibilidad, incluidas su producción, almacenamiento, transporte, presentación y vínculos lógicos;</w:t>
      </w:r>
    </w:p>
    <w:p w14:paraId="76A7A2D7" w14:textId="77777777" w:rsidR="00CF0CB0" w:rsidRPr="009960E1" w:rsidRDefault="00CF0CB0" w:rsidP="00CF0CB0">
      <w:pPr>
        <w:pStyle w:val="enumlev1"/>
        <w:rPr>
          <w:lang w:val="es-ES_tradnl"/>
        </w:rPr>
      </w:pPr>
      <w:r w:rsidRPr="009960E1">
        <w:rPr>
          <w:lang w:val="es-ES_tradnl"/>
        </w:rPr>
        <w:t>–</w:t>
      </w:r>
      <w:r w:rsidRPr="009960E1">
        <w:rPr>
          <w:lang w:val="es-ES_tradnl"/>
        </w:rPr>
        <w:tab/>
        <w:t>investigar la accesibilidad de las nuevas tecnologías de entrada aplicables a la entrega de contenidos multimedia, como la segunda pantalla y el reconocimiento de gestos.</w:t>
      </w:r>
    </w:p>
    <w:p w14:paraId="181F0340" w14:textId="77777777" w:rsidR="00CF0CB0" w:rsidRPr="009960E1" w:rsidRDefault="00CF0CB0" w:rsidP="00CF0CB0">
      <w:pPr>
        <w:pStyle w:val="enumlev1"/>
        <w:rPr>
          <w:lang w:val="es-ES_tradnl"/>
        </w:rPr>
      </w:pPr>
      <w:r w:rsidRPr="009960E1">
        <w:rPr>
          <w:lang w:val="es-ES_tradnl"/>
        </w:rPr>
        <w:t>–</w:t>
      </w:r>
      <w:r w:rsidRPr="009960E1">
        <w:rPr>
          <w:lang w:val="es-ES_tradnl"/>
        </w:rPr>
        <w:tab/>
        <w:t>definición de servicios de accesibilidad que utilicen tecnologías de telecomunicaciones inalámbricas, y tecnologías inalámbricas de corto alcance para ofrecer funciones de accesibilidad adecuadas para los equipos de comunicaciones;</w:t>
      </w:r>
    </w:p>
    <w:p w14:paraId="78CC6C83" w14:textId="77777777" w:rsidR="00CF0CB0" w:rsidRPr="009960E1" w:rsidRDefault="00CF0CB0" w:rsidP="00CF0CB0">
      <w:pPr>
        <w:pStyle w:val="enumlev1"/>
        <w:rPr>
          <w:lang w:val="es-ES_tradnl"/>
        </w:rPr>
      </w:pPr>
      <w:r w:rsidRPr="009960E1">
        <w:rPr>
          <w:lang w:val="es-ES_tradnl"/>
        </w:rPr>
        <w:t>–</w:t>
      </w:r>
      <w:r w:rsidRPr="009960E1">
        <w:rPr>
          <w:lang w:val="es-ES_tradnl"/>
        </w:rPr>
        <w:tab/>
        <w:t>mecanismos para incorporar la accesibilidad en el interfuncionamiento de servicios de un mismo medio (por ejemplo, telefonía con texto y telefonía vocal);</w:t>
      </w:r>
    </w:p>
    <w:p w14:paraId="556BDB9E" w14:textId="77777777" w:rsidR="00CF0CB0" w:rsidRPr="009960E1" w:rsidRDefault="00CF0CB0" w:rsidP="00CF0CB0">
      <w:pPr>
        <w:pStyle w:val="enumlev1"/>
        <w:rPr>
          <w:lang w:val="es-ES_tradnl"/>
        </w:rPr>
      </w:pPr>
      <w:r w:rsidRPr="009960E1">
        <w:rPr>
          <w:lang w:val="es-ES_tradnl"/>
        </w:rPr>
        <w:t>–</w:t>
      </w:r>
      <w:r w:rsidRPr="009960E1">
        <w:rPr>
          <w:lang w:val="es-ES_tradnl"/>
        </w:rPr>
        <w:tab/>
        <w:t>mantenimiento del concepto de conversación total, y su incorporación a los nuevos protocolos de conversación multimedios que se vayan ideando;</w:t>
      </w:r>
    </w:p>
    <w:p w14:paraId="25D52A52" w14:textId="77777777" w:rsidR="00CF0CB0" w:rsidRPr="009960E1" w:rsidRDefault="00CF0CB0" w:rsidP="00CF0CB0">
      <w:pPr>
        <w:pStyle w:val="enumlev1"/>
        <w:rPr>
          <w:lang w:val="es-ES_tradnl"/>
        </w:rPr>
      </w:pPr>
      <w:r w:rsidRPr="009960E1">
        <w:rPr>
          <w:lang w:val="es-ES_tradnl"/>
        </w:rPr>
        <w:t>–</w:t>
      </w:r>
      <w:r w:rsidRPr="009960E1">
        <w:rPr>
          <w:lang w:val="es-ES_tradnl"/>
        </w:rPr>
        <w:tab/>
        <w:t>estudio de las características que han de tener los metadatos multimedios, desde el punto de vista de la accesibilidad, a fin de fomentar un diseño apto para todos en este ámbito;</w:t>
      </w:r>
    </w:p>
    <w:p w14:paraId="7DC5512B" w14:textId="77777777" w:rsidR="00CF0CB0" w:rsidRPr="009960E1" w:rsidRDefault="00CF0CB0" w:rsidP="00CF0CB0">
      <w:pPr>
        <w:pStyle w:val="enumlev1"/>
        <w:rPr>
          <w:lang w:val="es-ES_tradnl"/>
        </w:rPr>
      </w:pPr>
      <w:r w:rsidRPr="009960E1">
        <w:rPr>
          <w:lang w:val="es-ES_tradnl"/>
        </w:rPr>
        <w:t>–</w:t>
      </w:r>
      <w:r w:rsidRPr="009960E1">
        <w:rPr>
          <w:lang w:val="es-ES_tradnl"/>
        </w:rPr>
        <w:tab/>
        <w:t>estudio del acceso a servicios de emergencia y de alerta temprana por personas con discapacidad y necesidades específicas por numerosos conductos de comunicación tales como texto, lenguaje de signos y lectura de labios que soportan voz, descripción de audio y braille;</w:t>
      </w:r>
    </w:p>
    <w:p w14:paraId="15C7E678" w14:textId="77777777" w:rsidR="00CF0CB0" w:rsidRPr="009960E1" w:rsidRDefault="00CF0CB0" w:rsidP="00CF0CB0">
      <w:pPr>
        <w:pStyle w:val="enumlev1"/>
        <w:rPr>
          <w:lang w:val="es-ES_tradnl"/>
        </w:rPr>
      </w:pPr>
      <w:r w:rsidRPr="009960E1">
        <w:rPr>
          <w:lang w:val="es-ES_tradnl"/>
        </w:rPr>
        <w:t>–</w:t>
      </w:r>
      <w:r w:rsidRPr="009960E1">
        <w:rPr>
          <w:lang w:val="es-ES_tradnl"/>
        </w:rPr>
        <w:tab/>
        <w:t>estudio de mecanismos de reducción de riesgos de catástrofes que tengan en cuenta la discapacidad;</w:t>
      </w:r>
    </w:p>
    <w:p w14:paraId="30E14936" w14:textId="77777777" w:rsidR="00CF0CB0" w:rsidRPr="009960E1" w:rsidRDefault="00CF0CB0" w:rsidP="00CF0CB0">
      <w:pPr>
        <w:pStyle w:val="enumlev1"/>
        <w:rPr>
          <w:lang w:val="es-ES_tradnl"/>
        </w:rPr>
      </w:pPr>
      <w:r w:rsidRPr="009960E1">
        <w:rPr>
          <w:lang w:val="es-ES_tradnl"/>
        </w:rPr>
        <w:t>–</w:t>
      </w:r>
      <w:r w:rsidRPr="009960E1">
        <w:rPr>
          <w:lang w:val="es-ES_tradnl"/>
        </w:rPr>
        <w:tab/>
        <w:t>proponer una taxonomía común de casos de uso de medios audiovisuales accesibles en sistemas de entrega de contenido;</w:t>
      </w:r>
    </w:p>
    <w:p w14:paraId="4DC25842" w14:textId="77777777" w:rsidR="00CF0CB0" w:rsidRPr="009960E1" w:rsidRDefault="00CF0CB0" w:rsidP="00CF0CB0">
      <w:pPr>
        <w:pStyle w:val="enumlev1"/>
        <w:rPr>
          <w:lang w:val="es-ES_tradnl"/>
        </w:rPr>
      </w:pPr>
      <w:r w:rsidRPr="009960E1">
        <w:rPr>
          <w:lang w:val="es-ES_tradnl"/>
        </w:rPr>
        <w:lastRenderedPageBreak/>
        <w:t>–</w:t>
      </w:r>
      <w:r w:rsidRPr="009960E1">
        <w:rPr>
          <w:lang w:val="es-ES_tradnl"/>
        </w:rPr>
        <w:tab/>
        <w:t>en colaboración con el GRI-AVA, investigar un marco común para ofrecer accesibilidad a través de diversos medios y plataformas de entrega;</w:t>
      </w:r>
    </w:p>
    <w:p w14:paraId="33C0CC4C" w14:textId="77777777" w:rsidR="00CF0CB0" w:rsidRPr="009960E1" w:rsidRDefault="00CF0CB0" w:rsidP="00CF0CB0">
      <w:pPr>
        <w:pStyle w:val="enumlev1"/>
        <w:rPr>
          <w:lang w:val="es-ES_tradnl"/>
        </w:rPr>
      </w:pPr>
      <w:r w:rsidRPr="009960E1">
        <w:rPr>
          <w:lang w:val="es-ES_tradnl"/>
        </w:rPr>
        <w:t>–</w:t>
      </w:r>
      <w:r w:rsidRPr="009960E1">
        <w:rPr>
          <w:lang w:val="es-ES_tradnl"/>
        </w:rPr>
        <w:tab/>
        <w:t>investigar la accesibilidad de las redes de distribución de contenido audiovisual;</w:t>
      </w:r>
    </w:p>
    <w:p w14:paraId="066A3DCE" w14:textId="77777777" w:rsidR="00CF0CB0" w:rsidRPr="009960E1" w:rsidRDefault="00CF0CB0" w:rsidP="00CF0CB0">
      <w:pPr>
        <w:pStyle w:val="enumlev1"/>
        <w:rPr>
          <w:lang w:val="es-ES_tradnl"/>
        </w:rPr>
      </w:pPr>
      <w:r w:rsidRPr="009960E1">
        <w:rPr>
          <w:lang w:val="es-ES_tradnl"/>
        </w:rPr>
        <w:t>–</w:t>
      </w:r>
      <w:r w:rsidRPr="009960E1">
        <w:rPr>
          <w:lang w:val="es-ES_tradnl"/>
        </w:rPr>
        <w:tab/>
        <w:t>investigar los retos de la prestación de servicios de accesibilidad para el contenido audiovisual en los países en desarrollo utilizando diferentes plataformas de entrega.</w:t>
      </w:r>
    </w:p>
    <w:p w14:paraId="34D1B22C" w14:textId="77777777" w:rsidR="00CF0CB0" w:rsidRPr="009960E1" w:rsidRDefault="00CF0CB0" w:rsidP="00DB4C81">
      <w:pPr>
        <w:pStyle w:val="Heading1"/>
        <w:rPr>
          <w:lang w:val="es-ES_tradnl"/>
        </w:rPr>
      </w:pPr>
      <w:bookmarkStart w:id="73" w:name="_Toc167825814"/>
      <w:bookmarkStart w:id="74" w:name="_Toc179189971"/>
      <w:r w:rsidRPr="009960E1">
        <w:rPr>
          <w:lang w:val="es-ES_tradnl"/>
        </w:rPr>
        <w:t>3</w:t>
      </w:r>
      <w:r w:rsidRPr="009960E1">
        <w:rPr>
          <w:lang w:val="es-ES_tradnl"/>
        </w:rPr>
        <w:tab/>
        <w:t>Tareas</w:t>
      </w:r>
      <w:bookmarkEnd w:id="73"/>
      <w:bookmarkEnd w:id="74"/>
    </w:p>
    <w:p w14:paraId="6BAD0D82" w14:textId="77777777" w:rsidR="00CF0CB0" w:rsidRPr="009960E1" w:rsidRDefault="00CF0CB0" w:rsidP="00CF0CB0">
      <w:pPr>
        <w:keepNext/>
        <w:rPr>
          <w:lang w:val="es-ES_tradnl"/>
        </w:rPr>
      </w:pPr>
      <w:r w:rsidRPr="009960E1">
        <w:rPr>
          <w:lang w:val="es-ES_tradnl"/>
        </w:rPr>
        <w:t>Las tareas son, entre otras, las siguientes:</w:t>
      </w:r>
    </w:p>
    <w:p w14:paraId="68EC3806" w14:textId="77777777" w:rsidR="00CF0CB0" w:rsidRPr="009960E1" w:rsidRDefault="00CF0CB0" w:rsidP="00CF0CB0">
      <w:pPr>
        <w:pStyle w:val="enumlev1"/>
        <w:rPr>
          <w:lang w:val="es-ES_tradnl"/>
        </w:rPr>
      </w:pPr>
      <w:r w:rsidRPr="009960E1">
        <w:rPr>
          <w:lang w:val="es-ES_tradnl"/>
        </w:rPr>
        <w:t>–</w:t>
      </w:r>
      <w:r w:rsidRPr="009960E1">
        <w:rPr>
          <w:lang w:val="es-ES_tradnl"/>
        </w:rPr>
        <w:tab/>
        <w:t>desarrollar un formato común para el perfil de usuario, que responda a las necesidades de las personas con limitaciones de accesibilidad y que pueda ser utilizado por diferentes medios y plataformas;</w:t>
      </w:r>
    </w:p>
    <w:p w14:paraId="492E2B80" w14:textId="77777777" w:rsidR="00CF0CB0" w:rsidRPr="009960E1" w:rsidRDefault="00CF0CB0" w:rsidP="00CF0CB0">
      <w:pPr>
        <w:pStyle w:val="enumlev1"/>
        <w:rPr>
          <w:lang w:val="es-ES_tradnl"/>
        </w:rPr>
      </w:pPr>
      <w:r w:rsidRPr="009960E1">
        <w:rPr>
          <w:lang w:val="es-ES_tradnl"/>
        </w:rPr>
        <w:t>–</w:t>
      </w:r>
      <w:r w:rsidRPr="009960E1">
        <w:rPr>
          <w:lang w:val="es-ES_tradnl"/>
        </w:rPr>
        <w:tab/>
        <w:t>lograr el posicionamiento óptimo de las características de accesibilidad visual (como el lenguaje de signos, el subtitulado) en los sistemas de distribución de contenido y los servicios avanzados relacionados (por ejemplo, RX/RA/RV/RM o metaverso);</w:t>
      </w:r>
    </w:p>
    <w:p w14:paraId="0B47A7DE" w14:textId="77777777" w:rsidR="00CF0CB0" w:rsidRPr="009960E1" w:rsidRDefault="00CF0CB0" w:rsidP="00CF0CB0">
      <w:pPr>
        <w:pStyle w:val="enumlev1"/>
        <w:rPr>
          <w:lang w:val="es-ES_tradnl"/>
        </w:rPr>
      </w:pPr>
      <w:r w:rsidRPr="009960E1">
        <w:rPr>
          <w:lang w:val="es-ES_tradnl"/>
        </w:rPr>
        <w:t>–</w:t>
      </w:r>
      <w:r w:rsidRPr="009960E1">
        <w:rPr>
          <w:lang w:val="es-ES_tradnl"/>
        </w:rPr>
        <w:tab/>
        <w:t>asistir en la elaboración de directrices para mejorar la accesibilidad y la usabilidad de dispositivos incipientes como las pantallas con montura para la cabeza que soportan sistemas de RX (por ej., RA, RV y RM), los entornos inmersivos, los mundos virtuales y el metaverso;</w:t>
      </w:r>
    </w:p>
    <w:p w14:paraId="56FFA55F" w14:textId="04675105" w:rsidR="00CF0CB0" w:rsidRPr="009960E1" w:rsidRDefault="00CF0CB0" w:rsidP="00CF0CB0">
      <w:pPr>
        <w:pStyle w:val="enumlev1"/>
        <w:rPr>
          <w:lang w:val="es-ES_tradnl"/>
        </w:rPr>
      </w:pPr>
      <w:r w:rsidRPr="009960E1">
        <w:rPr>
          <w:lang w:val="es-ES_tradnl"/>
        </w:rPr>
        <w:t>–</w:t>
      </w:r>
      <w:r w:rsidRPr="009960E1">
        <w:rPr>
          <w:lang w:val="es-ES_tradnl"/>
        </w:rPr>
        <w:tab/>
        <w:t>elaborar los requisitos de autotraducción para el soporte multilingüe utilizando la inteligencia artificial, el procesamiento del lenguaje natural y otras tecnologías incipientes</w:t>
      </w:r>
      <w:r w:rsidR="00C66B9B">
        <w:rPr>
          <w:lang w:val="es-ES_tradnl"/>
        </w:rPr>
        <w:t>;</w:t>
      </w:r>
    </w:p>
    <w:p w14:paraId="2878106B" w14:textId="77777777" w:rsidR="00CF0CB0" w:rsidRPr="009960E1" w:rsidRDefault="00CF0CB0" w:rsidP="00CF0CB0">
      <w:pPr>
        <w:pStyle w:val="enumlev1"/>
        <w:rPr>
          <w:lang w:val="es-ES_tradnl"/>
        </w:rPr>
      </w:pPr>
      <w:r w:rsidRPr="009960E1">
        <w:rPr>
          <w:lang w:val="es-ES_tradnl"/>
        </w:rPr>
        <w:t>–</w:t>
      </w:r>
      <w:r w:rsidRPr="009960E1">
        <w:rPr>
          <w:lang w:val="es-ES_tradnl"/>
        </w:rPr>
        <w:tab/>
        <w:t>contribuir a la armonización y mantenimiento continuos del servicio de telefonía con texto en tiempo real, por ejemplo, cuando se especifiquen nuevas tecnologías de transmisión en la RTPC o IP;</w:t>
      </w:r>
    </w:p>
    <w:p w14:paraId="211AA9B9" w14:textId="77777777" w:rsidR="00CF0CB0" w:rsidRPr="009960E1" w:rsidRDefault="00CF0CB0" w:rsidP="00CF0CB0">
      <w:pPr>
        <w:pStyle w:val="enumlev1"/>
        <w:rPr>
          <w:lang w:val="es-ES_tradnl"/>
        </w:rPr>
      </w:pPr>
      <w:r w:rsidRPr="009960E1">
        <w:rPr>
          <w:lang w:val="es-ES_tradnl"/>
        </w:rPr>
        <w:t>–</w:t>
      </w:r>
      <w:r w:rsidRPr="009960E1">
        <w:rPr>
          <w:lang w:val="es-ES_tradnl"/>
        </w:rPr>
        <w:tab/>
        <w:t>elaborar directrices para implementadores de interfaces entre dispositivos de comunicación y dispositivos de interfaz de usuario;</w:t>
      </w:r>
    </w:p>
    <w:p w14:paraId="16EDD150" w14:textId="77777777" w:rsidR="00CF0CB0" w:rsidRPr="009960E1" w:rsidRDefault="00CF0CB0" w:rsidP="00CF0CB0">
      <w:pPr>
        <w:pStyle w:val="enumlev1"/>
        <w:rPr>
          <w:lang w:val="es-ES_tradnl"/>
        </w:rPr>
      </w:pPr>
      <w:r w:rsidRPr="009960E1">
        <w:rPr>
          <w:lang w:val="es-ES_tradnl"/>
        </w:rPr>
        <w:t>–</w:t>
      </w:r>
      <w:r w:rsidRPr="009960E1">
        <w:rPr>
          <w:lang w:val="es-ES_tradnl"/>
        </w:rPr>
        <w:tab/>
        <w:t>elaborar Recomendaciones y directrices para mejorar la accesibilidad a medios audiovisuales tales como sistemas TVIP y transmisión de flujos de contenido multimedios;</w:t>
      </w:r>
    </w:p>
    <w:p w14:paraId="3C8398E5" w14:textId="77777777" w:rsidR="00CF0CB0" w:rsidRPr="009960E1" w:rsidRDefault="00CF0CB0" w:rsidP="00CF0CB0">
      <w:pPr>
        <w:pStyle w:val="enumlev1"/>
        <w:rPr>
          <w:lang w:val="es-ES_tradnl"/>
        </w:rPr>
      </w:pPr>
      <w:r w:rsidRPr="009960E1">
        <w:rPr>
          <w:lang w:val="es-ES_tradnl"/>
        </w:rPr>
        <w:t>–</w:t>
      </w:r>
      <w:r w:rsidRPr="009960E1">
        <w:rPr>
          <w:lang w:val="es-ES_tradnl"/>
        </w:rPr>
        <w:tab/>
        <w:t>elaborar Recomendaciones y directrices para mejorar la accesibilidad de los servicios que utilizan las tecnologías incipientes, como la inteligencia artificial y el metaverso;</w:t>
      </w:r>
    </w:p>
    <w:p w14:paraId="1F8D50D3" w14:textId="77777777" w:rsidR="00CF0CB0" w:rsidRPr="009960E1" w:rsidRDefault="00CF0CB0" w:rsidP="00CF0CB0">
      <w:pPr>
        <w:pStyle w:val="enumlev1"/>
        <w:rPr>
          <w:lang w:val="es-ES_tradnl"/>
        </w:rPr>
      </w:pPr>
      <w:r w:rsidRPr="009960E1">
        <w:rPr>
          <w:lang w:val="es-ES_tradnl"/>
        </w:rPr>
        <w:t>–</w:t>
      </w:r>
      <w:r w:rsidRPr="009960E1">
        <w:rPr>
          <w:lang w:val="es-ES_tradnl"/>
        </w:rPr>
        <w:tab/>
        <w:t>asistir en la elaboración de directrices para la adquisición de sistemas, servicios y dispositivos accesibles;</w:t>
      </w:r>
    </w:p>
    <w:p w14:paraId="0B627B02" w14:textId="77777777" w:rsidR="00CF0CB0" w:rsidRPr="009960E1" w:rsidRDefault="00CF0CB0" w:rsidP="00CF0CB0">
      <w:pPr>
        <w:pStyle w:val="enumlev1"/>
        <w:rPr>
          <w:lang w:val="es-ES_tradnl"/>
        </w:rPr>
      </w:pPr>
      <w:r w:rsidRPr="009960E1">
        <w:rPr>
          <w:lang w:val="es-ES_tradnl"/>
        </w:rPr>
        <w:t>–</w:t>
      </w:r>
      <w:r w:rsidRPr="009960E1">
        <w:rPr>
          <w:lang w:val="es-ES_tradnl"/>
        </w:rPr>
        <w:tab/>
        <w:t>preparar una especificación en favor de la conversación total para otras discapacidades además de la sordera;</w:t>
      </w:r>
    </w:p>
    <w:p w14:paraId="5C15B2B9" w14:textId="77777777" w:rsidR="00CF0CB0" w:rsidRPr="009960E1" w:rsidRDefault="00CF0CB0" w:rsidP="00CF0CB0">
      <w:pPr>
        <w:pStyle w:val="enumlev1"/>
        <w:rPr>
          <w:lang w:val="es-ES_tradnl"/>
        </w:rPr>
      </w:pPr>
      <w:r w:rsidRPr="009960E1">
        <w:rPr>
          <w:lang w:val="es-ES_tradnl"/>
        </w:rPr>
        <w:t>–</w:t>
      </w:r>
      <w:r w:rsidRPr="009960E1">
        <w:rPr>
          <w:lang w:val="es-ES_tradnl"/>
        </w:rPr>
        <w:tab/>
        <w:t>elaborar directrices para implementadores de sistemas de retransmisión destinados a usuarios sordos, con dificultades auditivas y dificultades de elocución;</w:t>
      </w:r>
    </w:p>
    <w:p w14:paraId="4776497C" w14:textId="77777777" w:rsidR="00CF0CB0" w:rsidRPr="009960E1" w:rsidRDefault="00CF0CB0" w:rsidP="00CF0CB0">
      <w:pPr>
        <w:pStyle w:val="enumlev1"/>
        <w:rPr>
          <w:lang w:val="es-ES_tradnl"/>
        </w:rPr>
      </w:pPr>
      <w:r w:rsidRPr="009960E1">
        <w:rPr>
          <w:lang w:val="es-ES_tradnl"/>
        </w:rPr>
        <w:t>–</w:t>
      </w:r>
      <w:r w:rsidRPr="009960E1">
        <w:rPr>
          <w:lang w:val="es-ES_tradnl"/>
        </w:rPr>
        <w:tab/>
        <w:t>mantener la lista de términos y definiciones adecuados sobre accesibilidad;</w:t>
      </w:r>
    </w:p>
    <w:p w14:paraId="1FEDF191" w14:textId="77777777" w:rsidR="00CF0CB0" w:rsidRPr="009960E1" w:rsidRDefault="00CF0CB0" w:rsidP="00CF0CB0">
      <w:pPr>
        <w:pStyle w:val="enumlev1"/>
        <w:rPr>
          <w:lang w:val="es-ES_tradnl"/>
        </w:rPr>
      </w:pPr>
      <w:r w:rsidRPr="009960E1">
        <w:rPr>
          <w:lang w:val="es-ES_tradnl"/>
        </w:rPr>
        <w:t>–</w:t>
      </w:r>
      <w:r w:rsidRPr="009960E1">
        <w:rPr>
          <w:lang w:val="es-ES_tradnl"/>
        </w:rPr>
        <w:tab/>
        <w:t>elaborar una taxonomía de participación para los casos de uso de medios audiovisuales accesibles en sistemas de entrega de contenido;</w:t>
      </w:r>
    </w:p>
    <w:p w14:paraId="06590126" w14:textId="77777777" w:rsidR="00CF0CB0" w:rsidRPr="009960E1" w:rsidRDefault="00CF0CB0" w:rsidP="00CF0CB0">
      <w:pPr>
        <w:pStyle w:val="enumlev1"/>
        <w:rPr>
          <w:lang w:val="es-ES_tradnl"/>
        </w:rPr>
      </w:pPr>
      <w:r w:rsidRPr="009960E1">
        <w:rPr>
          <w:lang w:val="es-ES_tradnl"/>
        </w:rPr>
        <w:t>–</w:t>
      </w:r>
      <w:r w:rsidRPr="009960E1">
        <w:rPr>
          <w:lang w:val="es-ES_tradnl"/>
        </w:rPr>
        <w:tab/>
        <w:t>elaborar hojas de ruta de accesibilidad audiovisual para la entrega de contenido tanto en los países desarrollados como en los países en desarrollo;</w:t>
      </w:r>
    </w:p>
    <w:p w14:paraId="1F8DCE7F" w14:textId="77777777" w:rsidR="00CF0CB0" w:rsidRPr="009960E1" w:rsidRDefault="00CF0CB0" w:rsidP="00CF0CB0">
      <w:pPr>
        <w:pStyle w:val="enumlev1"/>
        <w:rPr>
          <w:lang w:val="es-ES_tradnl"/>
        </w:rPr>
      </w:pPr>
      <w:r w:rsidRPr="009960E1">
        <w:rPr>
          <w:lang w:val="es-ES_tradnl"/>
        </w:rPr>
        <w:t>–</w:t>
      </w:r>
      <w:r w:rsidRPr="009960E1">
        <w:rPr>
          <w:lang w:val="es-ES_tradnl"/>
        </w:rPr>
        <w:tab/>
        <w:t>elaborar directrices para el diseño de dispositivos terminales IP y sistemas de comunicaciones IP a fin de incluir características de accesibilidad, entre ellas, conversación de texto, vídeo y alerta, y mantenimiento del interfuncionamiento con teléfonos de texto tradicionales;</w:t>
      </w:r>
    </w:p>
    <w:p w14:paraId="1E37A0C0" w14:textId="77777777" w:rsidR="00CF0CB0" w:rsidRPr="009960E1" w:rsidRDefault="00CF0CB0" w:rsidP="00CF0CB0">
      <w:pPr>
        <w:pStyle w:val="enumlev1"/>
        <w:rPr>
          <w:lang w:val="es-ES_tradnl"/>
        </w:rPr>
      </w:pPr>
      <w:r w:rsidRPr="009960E1">
        <w:rPr>
          <w:lang w:val="es-ES_tradnl"/>
        </w:rPr>
        <w:lastRenderedPageBreak/>
        <w:t>–</w:t>
      </w:r>
      <w:r w:rsidRPr="009960E1">
        <w:rPr>
          <w:lang w:val="es-ES_tradnl"/>
        </w:rPr>
        <w:tab/>
        <w:t>establecer la coordinación con otras Comisiones de Estudio del UIT-T, el UIT-R y el UIT-D para que éstas incorporen requisitos de accesibilidad en sus Recomendaciones;</w:t>
      </w:r>
    </w:p>
    <w:p w14:paraId="571EAB95" w14:textId="77777777" w:rsidR="00CF0CB0" w:rsidRPr="009960E1" w:rsidRDefault="00CF0CB0" w:rsidP="00CF0CB0">
      <w:pPr>
        <w:pStyle w:val="enumlev1"/>
        <w:rPr>
          <w:lang w:val="es-ES_tradnl"/>
        </w:rPr>
      </w:pPr>
      <w:r w:rsidRPr="009960E1">
        <w:rPr>
          <w:lang w:val="es-ES_tradnl"/>
        </w:rPr>
        <w:t>–</w:t>
      </w:r>
      <w:r w:rsidRPr="009960E1">
        <w:rPr>
          <w:lang w:val="es-ES_tradnl"/>
        </w:rPr>
        <w:tab/>
        <w:t>establecer la coordinación con otras organizaciones de normalización para que incorporen requisitos de accesibilidad en sus especificaciones;</w:t>
      </w:r>
    </w:p>
    <w:p w14:paraId="4EA9580F" w14:textId="47F23B0A" w:rsidR="00CF0CB0" w:rsidRPr="009960E1" w:rsidRDefault="00CF0CB0" w:rsidP="00CF0CB0">
      <w:pPr>
        <w:pStyle w:val="enumlev1"/>
        <w:rPr>
          <w:lang w:val="es-ES_tradnl"/>
        </w:rPr>
      </w:pPr>
      <w:r w:rsidRPr="009960E1">
        <w:rPr>
          <w:lang w:val="es-ES_tradnl"/>
        </w:rPr>
        <w:t>–</w:t>
      </w:r>
      <w:r w:rsidRPr="009960E1">
        <w:rPr>
          <w:lang w:val="es-ES_tradnl"/>
        </w:rPr>
        <w:tab/>
        <w:t>establecer la coordinación con el GRI-AVA de la UIT y el ISO/CEI JTC1 SC35, teniendo en cuenta los resultados pertinentes del metaverso asignados a la CE</w:t>
      </w:r>
      <w:r w:rsidR="00DB4C81" w:rsidRPr="009960E1">
        <w:rPr>
          <w:lang w:val="es-ES_tradnl"/>
        </w:rPr>
        <w:t> </w:t>
      </w:r>
      <w:r w:rsidRPr="009960E1">
        <w:rPr>
          <w:lang w:val="es-ES_tradnl"/>
        </w:rPr>
        <w:t>C;</w:t>
      </w:r>
    </w:p>
    <w:p w14:paraId="51A404A0" w14:textId="77777777" w:rsidR="00CF0CB0" w:rsidRPr="009960E1" w:rsidRDefault="00CF0CB0" w:rsidP="00CF0CB0">
      <w:pPr>
        <w:pStyle w:val="enumlev1"/>
        <w:rPr>
          <w:lang w:val="es-ES_tradnl"/>
        </w:rPr>
      </w:pPr>
      <w:r w:rsidRPr="009960E1">
        <w:rPr>
          <w:lang w:val="es-ES_tradnl"/>
        </w:rPr>
        <w:t>–</w:t>
      </w:r>
      <w:r w:rsidRPr="009960E1">
        <w:rPr>
          <w:lang w:val="es-ES_tradnl"/>
        </w:rPr>
        <w:tab/>
        <w:t>seguir apoyando la colaboración con ISO/CEI JTC1/SC 35 en materia de normas para la accesibilidad de las TIC;</w:t>
      </w:r>
    </w:p>
    <w:p w14:paraId="1C524B6A" w14:textId="77777777" w:rsidR="00CF0CB0" w:rsidRPr="009960E1" w:rsidRDefault="00CF0CB0" w:rsidP="00CF0CB0">
      <w:pPr>
        <w:pStyle w:val="enumlev1"/>
        <w:rPr>
          <w:lang w:val="es-ES_tradnl"/>
        </w:rPr>
      </w:pPr>
      <w:r w:rsidRPr="009960E1">
        <w:rPr>
          <w:lang w:val="es-ES_tradnl"/>
        </w:rPr>
        <w:t>–</w:t>
      </w:r>
      <w:r w:rsidRPr="009960E1">
        <w:rPr>
          <w:lang w:val="es-ES_tradnl"/>
        </w:rPr>
        <w:tab/>
        <w:t>promover la conversación total definida en la Recomendación UIT-T F.703 como un servicio ordinario;</w:t>
      </w:r>
    </w:p>
    <w:p w14:paraId="1C23DA75" w14:textId="77777777" w:rsidR="00CF0CB0" w:rsidRPr="009960E1" w:rsidRDefault="00CF0CB0" w:rsidP="00CF0CB0">
      <w:pPr>
        <w:pStyle w:val="enumlev1"/>
        <w:rPr>
          <w:lang w:val="es-ES_tradnl"/>
        </w:rPr>
      </w:pPr>
      <w:r w:rsidRPr="009960E1">
        <w:rPr>
          <w:lang w:val="es-ES_tradnl"/>
        </w:rPr>
        <w:t>–</w:t>
      </w:r>
      <w:r w:rsidRPr="009960E1">
        <w:rPr>
          <w:lang w:val="es-ES_tradnl"/>
        </w:rPr>
        <w:tab/>
        <w:t>promover el concepto de diseño universal definido en la UNCRPD;</w:t>
      </w:r>
    </w:p>
    <w:p w14:paraId="26806FC8" w14:textId="77777777" w:rsidR="00CF0CB0" w:rsidRPr="009960E1" w:rsidRDefault="00CF0CB0" w:rsidP="00CF0CB0">
      <w:pPr>
        <w:pStyle w:val="enumlev1"/>
        <w:rPr>
          <w:lang w:val="es-ES_tradnl"/>
        </w:rPr>
      </w:pPr>
      <w:r w:rsidRPr="009960E1">
        <w:rPr>
          <w:lang w:val="es-ES_tradnl"/>
        </w:rPr>
        <w:t>–</w:t>
      </w:r>
      <w:r w:rsidRPr="009960E1">
        <w:rPr>
          <w:lang w:val="es-ES_tradnl"/>
        </w:rPr>
        <w:tab/>
        <w:t>promoción de los ODS;</w:t>
      </w:r>
    </w:p>
    <w:p w14:paraId="284D04C1" w14:textId="1DBF8DA6" w:rsidR="00CF0CB0" w:rsidRPr="009960E1" w:rsidRDefault="00CF0CB0" w:rsidP="00CF0CB0">
      <w:pPr>
        <w:pStyle w:val="enumlev1"/>
        <w:rPr>
          <w:lang w:val="es-ES_tradnl"/>
        </w:rPr>
      </w:pPr>
      <w:r w:rsidRPr="009960E1">
        <w:rPr>
          <w:lang w:val="es-ES_tradnl"/>
        </w:rPr>
        <w:t>–</w:t>
      </w:r>
      <w:r w:rsidRPr="009960E1">
        <w:rPr>
          <w:lang w:val="es-ES_tradnl"/>
        </w:rPr>
        <w:tab/>
        <w:t>mantener los documentos que están bajo la responsabilidad de la Cuestión (incluida la serie UIT-T F.790, V.18; FSTP-TACL, FSTP-AM, FSTP-ACC-</w:t>
      </w:r>
      <w:proofErr w:type="spellStart"/>
      <w:r w:rsidRPr="009960E1">
        <w:rPr>
          <w:lang w:val="es-ES_tradnl"/>
        </w:rPr>
        <w:t>RemPart</w:t>
      </w:r>
      <w:proofErr w:type="spellEnd"/>
      <w:r w:rsidRPr="009960E1">
        <w:rPr>
          <w:lang w:val="es-ES_tradnl"/>
        </w:rPr>
        <w:t>,</w:t>
      </w:r>
      <w:r w:rsidR="00C66B9B">
        <w:rPr>
          <w:lang w:val="es-ES_tradnl"/>
        </w:rPr>
        <w:br/>
      </w:r>
      <w:r w:rsidRPr="009960E1">
        <w:rPr>
          <w:lang w:val="es-ES_tradnl"/>
        </w:rPr>
        <w:t>FSTP-ACC-UC);</w:t>
      </w:r>
    </w:p>
    <w:p w14:paraId="2DBC2353" w14:textId="77777777" w:rsidR="00CF0CB0" w:rsidRPr="009960E1" w:rsidRDefault="00CF0CB0" w:rsidP="00CF0CB0">
      <w:pPr>
        <w:pStyle w:val="enumlev1"/>
        <w:rPr>
          <w:lang w:val="es-ES_tradnl"/>
        </w:rPr>
      </w:pPr>
      <w:r w:rsidRPr="009960E1">
        <w:rPr>
          <w:lang w:val="es-ES_tradnl"/>
        </w:rPr>
        <w:t>–</w:t>
      </w:r>
      <w:r w:rsidRPr="009960E1">
        <w:rPr>
          <w:lang w:val="es-ES_tradnl"/>
        </w:rPr>
        <w:tab/>
        <w:t>modificar y/o ampliar los productos finales que corresponden a la esfera de atribuciones de la Comisión de Estudio C del UIT-T para propiciar sistemas accesibles (incluidas las Recomendaciones UIT-T F.703 y H.702).</w:t>
      </w:r>
    </w:p>
    <w:p w14:paraId="25A3FE5F" w14:textId="5E9CC205" w:rsidR="00CF0CB0" w:rsidRPr="009960E1" w:rsidRDefault="00CF0CB0" w:rsidP="00CF0CB0">
      <w:pPr>
        <w:rPr>
          <w:lang w:val="es-ES_tradnl"/>
        </w:rPr>
      </w:pPr>
      <w:r w:rsidRPr="009960E1">
        <w:rPr>
          <w:lang w:val="es-ES_tradnl"/>
        </w:rPr>
        <w:t>En el programa de trabajo de la Comisión de Estudio C se indica el estado actual del estudio de esta Cuestión (</w:t>
      </w:r>
      <w:hyperlink r:id="rId137" w:history="1">
        <w:r w:rsidR="00DB4C81" w:rsidRPr="009960E1">
          <w:rPr>
            <w:rStyle w:val="Hyperlink"/>
            <w:lang w:val="es-ES_tradnl"/>
          </w:rPr>
          <w:t>https://www.itu.int/ITU-T/workprog/wp_search.aspx?sp=18&amp;q=%5bAcc/C%5d</w:t>
        </w:r>
      </w:hyperlink>
      <w:r w:rsidRPr="009960E1">
        <w:rPr>
          <w:lang w:val="es-ES_tradnl"/>
        </w:rPr>
        <w:t>]).</w:t>
      </w:r>
    </w:p>
    <w:p w14:paraId="1F624679" w14:textId="77777777" w:rsidR="00CF0CB0" w:rsidRPr="009960E1" w:rsidRDefault="00CF0CB0" w:rsidP="00DB4C81">
      <w:pPr>
        <w:pStyle w:val="Heading1"/>
        <w:rPr>
          <w:lang w:val="es-ES_tradnl"/>
        </w:rPr>
      </w:pPr>
      <w:bookmarkStart w:id="75" w:name="_Toc167825815"/>
      <w:bookmarkStart w:id="76" w:name="_Toc179189972"/>
      <w:r w:rsidRPr="009960E1">
        <w:rPr>
          <w:lang w:val="es-ES_tradnl"/>
        </w:rPr>
        <w:t>4</w:t>
      </w:r>
      <w:r w:rsidRPr="009960E1">
        <w:rPr>
          <w:lang w:val="es-ES_tradnl"/>
        </w:rPr>
        <w:tab/>
        <w:t>Relaciones</w:t>
      </w:r>
      <w:bookmarkEnd w:id="75"/>
      <w:bookmarkEnd w:id="76"/>
    </w:p>
    <w:p w14:paraId="18366022" w14:textId="77777777" w:rsidR="00CF0CB0" w:rsidRPr="009960E1" w:rsidRDefault="00CF0CB0" w:rsidP="00CF0CB0">
      <w:pPr>
        <w:pStyle w:val="Headingb"/>
        <w:rPr>
          <w:lang w:val="es-ES_tradnl"/>
        </w:rPr>
      </w:pPr>
      <w:r w:rsidRPr="009960E1">
        <w:rPr>
          <w:bCs/>
          <w:lang w:val="es-ES_tradnl"/>
        </w:rPr>
        <w:t>Recomendaciones:</w:t>
      </w:r>
    </w:p>
    <w:p w14:paraId="7912B976" w14:textId="77777777" w:rsidR="00CF0CB0" w:rsidRPr="009960E1" w:rsidRDefault="00CF0CB0" w:rsidP="00E85743">
      <w:pPr>
        <w:pStyle w:val="enumlev1"/>
        <w:rPr>
          <w:lang w:val="es-ES_tradnl"/>
        </w:rPr>
      </w:pPr>
      <w:r w:rsidRPr="009960E1">
        <w:rPr>
          <w:lang w:val="es-ES_tradnl"/>
        </w:rPr>
        <w:t>–</w:t>
      </w:r>
      <w:r w:rsidRPr="009960E1">
        <w:rPr>
          <w:lang w:val="es-ES_tradnl"/>
        </w:rPr>
        <w:tab/>
        <w:t>UIT-T F.700, G.722, G.722.2, G.729, G.769/Y.1242, G.799.1/Y.1451.1, serie H.300, H.248, H.264, H.265, H.17, serie H.700, serie V.150, T.140 e Y.1901</w:t>
      </w:r>
    </w:p>
    <w:p w14:paraId="5E61DE26" w14:textId="77777777" w:rsidR="00CF0CB0" w:rsidRPr="009960E1" w:rsidRDefault="00CF0CB0" w:rsidP="00CF0CB0">
      <w:pPr>
        <w:pStyle w:val="Headingb"/>
        <w:rPr>
          <w:lang w:val="es-ES_tradnl"/>
        </w:rPr>
      </w:pPr>
      <w:r w:rsidRPr="009960E1">
        <w:rPr>
          <w:bCs/>
          <w:lang w:val="es-ES_tradnl"/>
        </w:rPr>
        <w:t>Cuestiones</w:t>
      </w:r>
    </w:p>
    <w:p w14:paraId="6B94426D" w14:textId="45BD053F" w:rsidR="00CF0CB0" w:rsidRPr="009960E1" w:rsidRDefault="00CF0CB0" w:rsidP="008F5C41">
      <w:pPr>
        <w:pStyle w:val="enumlev1"/>
        <w:rPr>
          <w:lang w:val="es-ES_tradnl"/>
        </w:rPr>
      </w:pPr>
      <w:r w:rsidRPr="009960E1">
        <w:rPr>
          <w:lang w:val="es-ES_tradnl"/>
        </w:rPr>
        <w:t>–</w:t>
      </w:r>
      <w:r w:rsidRPr="009960E1">
        <w:rPr>
          <w:lang w:val="es-ES_tradnl"/>
        </w:rPr>
        <w:tab/>
        <w:t>Todas las Cuestiones de la Comisión de Estudio</w:t>
      </w:r>
      <w:r w:rsidR="00DB4C81" w:rsidRPr="009960E1">
        <w:rPr>
          <w:lang w:val="es-ES_tradnl"/>
        </w:rPr>
        <w:t> </w:t>
      </w:r>
      <w:r w:rsidRPr="009960E1">
        <w:rPr>
          <w:lang w:val="es-ES_tradnl"/>
        </w:rPr>
        <w:t>C</w:t>
      </w:r>
    </w:p>
    <w:p w14:paraId="31C53BA5" w14:textId="77777777" w:rsidR="00CF0CB0" w:rsidRPr="009960E1" w:rsidRDefault="00CF0CB0" w:rsidP="00CF0CB0">
      <w:pPr>
        <w:pStyle w:val="Headingb"/>
        <w:rPr>
          <w:lang w:val="es-ES_tradnl"/>
        </w:rPr>
      </w:pPr>
      <w:r w:rsidRPr="009960E1">
        <w:rPr>
          <w:bCs/>
          <w:lang w:val="es-ES_tradnl"/>
        </w:rPr>
        <w:t>Comisiones de Estudio</w:t>
      </w:r>
    </w:p>
    <w:p w14:paraId="768E0014" w14:textId="4C208BAE" w:rsidR="00CF0CB0" w:rsidRPr="009960E1" w:rsidRDefault="00CF0CB0" w:rsidP="008F5C41">
      <w:pPr>
        <w:pStyle w:val="enumlev1"/>
        <w:rPr>
          <w:lang w:val="es-ES_tradnl"/>
        </w:rPr>
      </w:pPr>
      <w:r w:rsidRPr="009960E1">
        <w:rPr>
          <w:lang w:val="es-ES_tradnl"/>
        </w:rPr>
        <w:t>–</w:t>
      </w:r>
      <w:r w:rsidRPr="009960E1">
        <w:rPr>
          <w:lang w:val="es-ES_tradnl"/>
        </w:rPr>
        <w:tab/>
        <w:t>CE</w:t>
      </w:r>
      <w:r w:rsidR="00DB4C81" w:rsidRPr="009960E1">
        <w:rPr>
          <w:lang w:val="es-ES_tradnl"/>
        </w:rPr>
        <w:t> </w:t>
      </w:r>
      <w:r w:rsidRPr="009960E1">
        <w:rPr>
          <w:lang w:val="es-ES_tradnl"/>
        </w:rPr>
        <w:t>12 del UIT-T sobre calidad de los medios</w:t>
      </w:r>
    </w:p>
    <w:p w14:paraId="40A608FC" w14:textId="4008C658" w:rsidR="00CF0CB0" w:rsidRPr="009960E1" w:rsidRDefault="00CF0CB0" w:rsidP="008F5C41">
      <w:pPr>
        <w:pStyle w:val="enumlev1"/>
        <w:rPr>
          <w:lang w:val="es-ES_tradnl"/>
        </w:rPr>
      </w:pPr>
      <w:r w:rsidRPr="009960E1">
        <w:rPr>
          <w:lang w:val="es-ES_tradnl"/>
        </w:rPr>
        <w:t>–</w:t>
      </w:r>
      <w:r w:rsidRPr="009960E1">
        <w:rPr>
          <w:lang w:val="es-ES_tradnl"/>
        </w:rPr>
        <w:tab/>
        <w:t>CE</w:t>
      </w:r>
      <w:r w:rsidR="00DB4C81" w:rsidRPr="009960E1">
        <w:rPr>
          <w:lang w:val="es-ES_tradnl"/>
        </w:rPr>
        <w:t> </w:t>
      </w:r>
      <w:r w:rsidRPr="009960E1">
        <w:rPr>
          <w:lang w:val="es-ES_tradnl"/>
        </w:rPr>
        <w:t>13 del UIT-T sobre futuras redes</w:t>
      </w:r>
    </w:p>
    <w:p w14:paraId="3CB37FFE" w14:textId="4BA11687" w:rsidR="00CF0CB0" w:rsidRPr="009960E1" w:rsidRDefault="00CF0CB0" w:rsidP="008F5C41">
      <w:pPr>
        <w:pStyle w:val="enumlev1"/>
        <w:rPr>
          <w:lang w:val="es-ES_tradnl"/>
        </w:rPr>
      </w:pPr>
      <w:r w:rsidRPr="009960E1">
        <w:rPr>
          <w:lang w:val="es-ES_tradnl"/>
        </w:rPr>
        <w:t>–</w:t>
      </w:r>
      <w:r w:rsidRPr="009960E1">
        <w:rPr>
          <w:lang w:val="es-ES_tradnl"/>
        </w:rPr>
        <w:tab/>
        <w:t>CE</w:t>
      </w:r>
      <w:r w:rsidR="00DB4C81" w:rsidRPr="009960E1">
        <w:rPr>
          <w:lang w:val="es-ES_tradnl"/>
        </w:rPr>
        <w:t> </w:t>
      </w:r>
      <w:r w:rsidRPr="009960E1">
        <w:rPr>
          <w:lang w:val="es-ES_tradnl"/>
        </w:rPr>
        <w:t>15 del UIT-T sobre redes de acceso para el diseño apto para todos en servicios de comunicaciones</w:t>
      </w:r>
    </w:p>
    <w:p w14:paraId="4D4201F3" w14:textId="170E8359" w:rsidR="00CF0CB0" w:rsidRPr="009960E1" w:rsidRDefault="00CF0CB0" w:rsidP="008F5C41">
      <w:pPr>
        <w:pStyle w:val="enumlev1"/>
        <w:rPr>
          <w:lang w:val="es-ES_tradnl"/>
        </w:rPr>
      </w:pPr>
      <w:r w:rsidRPr="009960E1">
        <w:rPr>
          <w:lang w:val="es-ES_tradnl"/>
        </w:rPr>
        <w:t>–</w:t>
      </w:r>
      <w:r w:rsidRPr="009960E1">
        <w:rPr>
          <w:lang w:val="es-ES_tradnl"/>
        </w:rPr>
        <w:tab/>
        <w:t>CE</w:t>
      </w:r>
      <w:r w:rsidR="00DB4C81" w:rsidRPr="009960E1">
        <w:rPr>
          <w:lang w:val="es-ES_tradnl"/>
        </w:rPr>
        <w:t> </w:t>
      </w:r>
      <w:r w:rsidRPr="009960E1">
        <w:rPr>
          <w:lang w:val="es-ES_tradnl"/>
        </w:rPr>
        <w:t>17 del UIT-T sobre privacidad, seguridad y protección de la infancia en línea</w:t>
      </w:r>
    </w:p>
    <w:p w14:paraId="78519679" w14:textId="5EB6FB02" w:rsidR="00CF0CB0" w:rsidRPr="009960E1" w:rsidRDefault="00CF0CB0" w:rsidP="008F5C41">
      <w:pPr>
        <w:pStyle w:val="enumlev1"/>
        <w:rPr>
          <w:lang w:val="es-ES_tradnl"/>
        </w:rPr>
      </w:pPr>
      <w:r w:rsidRPr="009960E1">
        <w:rPr>
          <w:lang w:val="es-ES_tradnl"/>
        </w:rPr>
        <w:t>–</w:t>
      </w:r>
      <w:r w:rsidRPr="009960E1">
        <w:rPr>
          <w:lang w:val="es-ES_tradnl"/>
        </w:rPr>
        <w:tab/>
        <w:t>CE</w:t>
      </w:r>
      <w:r w:rsidR="00DB4C81" w:rsidRPr="009960E1">
        <w:rPr>
          <w:lang w:val="es-ES_tradnl"/>
        </w:rPr>
        <w:t> </w:t>
      </w:r>
      <w:r w:rsidRPr="009960E1">
        <w:rPr>
          <w:lang w:val="es-ES_tradnl"/>
        </w:rPr>
        <w:t>20 del UIT-T sobre IoT y ciudades y comunidades inteligentes</w:t>
      </w:r>
    </w:p>
    <w:p w14:paraId="6D069FEF" w14:textId="4C38E9F2" w:rsidR="00CF0CB0" w:rsidRPr="001D1703" w:rsidRDefault="00CF0CB0" w:rsidP="008F5C41">
      <w:pPr>
        <w:pStyle w:val="enumlev1"/>
        <w:rPr>
          <w:lang w:val="fr-FR"/>
        </w:rPr>
      </w:pPr>
      <w:r w:rsidRPr="001D1703">
        <w:rPr>
          <w:lang w:val="fr-FR"/>
        </w:rPr>
        <w:t>–</w:t>
      </w:r>
      <w:r w:rsidRPr="001D1703">
        <w:rPr>
          <w:lang w:val="fr-FR"/>
        </w:rPr>
        <w:tab/>
        <w:t>GT</w:t>
      </w:r>
      <w:r w:rsidR="00DB4C81" w:rsidRPr="001D1703">
        <w:rPr>
          <w:lang w:val="fr-FR"/>
        </w:rPr>
        <w:t> </w:t>
      </w:r>
      <w:r w:rsidRPr="001D1703">
        <w:rPr>
          <w:lang w:val="fr-FR"/>
        </w:rPr>
        <w:t>5A del UIT-R, CE</w:t>
      </w:r>
      <w:r w:rsidR="00DB4C81" w:rsidRPr="001D1703">
        <w:rPr>
          <w:lang w:val="fr-FR"/>
        </w:rPr>
        <w:t> </w:t>
      </w:r>
      <w:r w:rsidRPr="001D1703">
        <w:rPr>
          <w:lang w:val="fr-FR"/>
        </w:rPr>
        <w:t>6</w:t>
      </w:r>
    </w:p>
    <w:p w14:paraId="323276F5" w14:textId="5A6F7BA2" w:rsidR="00CF0CB0" w:rsidRPr="009960E1" w:rsidRDefault="00CF0CB0" w:rsidP="008F5C41">
      <w:pPr>
        <w:pStyle w:val="enumlev1"/>
        <w:rPr>
          <w:lang w:val="es-ES_tradnl"/>
        </w:rPr>
      </w:pPr>
      <w:r w:rsidRPr="009960E1">
        <w:rPr>
          <w:lang w:val="es-ES_tradnl"/>
        </w:rPr>
        <w:t>–</w:t>
      </w:r>
      <w:r w:rsidRPr="009960E1">
        <w:rPr>
          <w:lang w:val="es-ES_tradnl"/>
        </w:rPr>
        <w:tab/>
        <w:t>CE</w:t>
      </w:r>
      <w:r w:rsidR="00DB4C81" w:rsidRPr="009960E1">
        <w:rPr>
          <w:lang w:val="es-ES_tradnl"/>
        </w:rPr>
        <w:t> </w:t>
      </w:r>
      <w:r w:rsidRPr="009960E1">
        <w:rPr>
          <w:lang w:val="es-ES_tradnl"/>
        </w:rPr>
        <w:t>1 del UIT-D para permitir la comunicación inclusiva, especialmente para personas con discapacidad</w:t>
      </w:r>
    </w:p>
    <w:p w14:paraId="550A5478" w14:textId="12526197" w:rsidR="00CF0CB0" w:rsidRPr="009960E1" w:rsidRDefault="00CF0CB0" w:rsidP="008F5C41">
      <w:pPr>
        <w:pStyle w:val="enumlev1"/>
        <w:rPr>
          <w:lang w:val="es-ES_tradnl"/>
        </w:rPr>
      </w:pPr>
      <w:r w:rsidRPr="009960E1">
        <w:rPr>
          <w:lang w:val="es-ES_tradnl"/>
        </w:rPr>
        <w:t>–</w:t>
      </w:r>
      <w:r w:rsidRPr="009960E1">
        <w:rPr>
          <w:lang w:val="es-ES_tradnl"/>
        </w:rPr>
        <w:tab/>
        <w:t>CE</w:t>
      </w:r>
      <w:r w:rsidR="00DB4C81" w:rsidRPr="009960E1">
        <w:rPr>
          <w:lang w:val="es-ES_tradnl"/>
        </w:rPr>
        <w:t> </w:t>
      </w:r>
      <w:r w:rsidRPr="009960E1">
        <w:rPr>
          <w:lang w:val="es-ES_tradnl"/>
        </w:rPr>
        <w:t>2 del UIT-D sobre transformación digital y tecnologías propicias para los servicios y las aplicaciones electrónicos, entre otros, la cibersalud y la ciberenseñanza</w:t>
      </w:r>
    </w:p>
    <w:p w14:paraId="085753AB" w14:textId="77777777" w:rsidR="00CF0CB0" w:rsidRPr="009960E1" w:rsidRDefault="00CF0CB0" w:rsidP="00CF0CB0">
      <w:pPr>
        <w:pStyle w:val="Headingb"/>
        <w:rPr>
          <w:lang w:val="es-ES_tradnl"/>
        </w:rPr>
      </w:pPr>
      <w:r w:rsidRPr="009960E1">
        <w:rPr>
          <w:bCs/>
          <w:lang w:val="es-ES_tradnl"/>
        </w:rPr>
        <w:t>Otros órganos de la UIT</w:t>
      </w:r>
    </w:p>
    <w:p w14:paraId="1635C75B" w14:textId="77777777" w:rsidR="00C66B9B" w:rsidRPr="009960E1" w:rsidRDefault="00C66B9B" w:rsidP="00CF0CB0">
      <w:pPr>
        <w:pStyle w:val="enumlev1"/>
        <w:spacing w:before="60"/>
        <w:rPr>
          <w:lang w:val="es-ES_tradnl"/>
        </w:rPr>
      </w:pPr>
      <w:r w:rsidRPr="009960E1">
        <w:rPr>
          <w:lang w:val="es-ES_tradnl"/>
        </w:rPr>
        <w:t>–</w:t>
      </w:r>
      <w:r w:rsidRPr="009960E1">
        <w:rPr>
          <w:lang w:val="es-ES_tradnl"/>
        </w:rPr>
        <w:tab/>
        <w:t>Iniciativas especiales del UIT-D</w:t>
      </w:r>
    </w:p>
    <w:p w14:paraId="282DAD73" w14:textId="77777777" w:rsidR="00C66B9B" w:rsidRPr="009960E1" w:rsidRDefault="00C66B9B" w:rsidP="008F5C41">
      <w:pPr>
        <w:pStyle w:val="enumlev1"/>
        <w:rPr>
          <w:lang w:val="es-ES_tradnl"/>
        </w:rPr>
      </w:pPr>
      <w:r w:rsidRPr="009960E1">
        <w:rPr>
          <w:lang w:val="es-ES_tradnl"/>
        </w:rPr>
        <w:t>–</w:t>
      </w:r>
      <w:r w:rsidRPr="009960E1">
        <w:rPr>
          <w:lang w:val="es-ES_tradnl"/>
        </w:rPr>
        <w:tab/>
        <w:t>JCA-AHF del UIT-T</w:t>
      </w:r>
    </w:p>
    <w:p w14:paraId="2A499328" w14:textId="77777777" w:rsidR="00CF0CB0" w:rsidRPr="009960E1" w:rsidRDefault="00CF0CB0" w:rsidP="00CF0CB0">
      <w:pPr>
        <w:pStyle w:val="Headingb"/>
        <w:rPr>
          <w:lang w:val="es-ES_tradnl"/>
        </w:rPr>
      </w:pPr>
      <w:r w:rsidRPr="009960E1">
        <w:rPr>
          <w:bCs/>
          <w:lang w:val="es-ES_tradnl"/>
        </w:rPr>
        <w:lastRenderedPageBreak/>
        <w:t>Otros órganos</w:t>
      </w:r>
    </w:p>
    <w:p w14:paraId="229B9D39" w14:textId="77777777" w:rsidR="00C66B9B" w:rsidRPr="009960E1" w:rsidRDefault="00C66B9B" w:rsidP="008F5C41">
      <w:pPr>
        <w:pStyle w:val="enumlev1"/>
        <w:rPr>
          <w:lang w:val="es-ES_tradnl"/>
        </w:rPr>
      </w:pPr>
      <w:r w:rsidRPr="009960E1">
        <w:rPr>
          <w:lang w:val="es-ES_tradnl"/>
        </w:rPr>
        <w:t>–</w:t>
      </w:r>
      <w:r w:rsidRPr="009960E1">
        <w:rPr>
          <w:lang w:val="es-ES_tradnl"/>
        </w:rPr>
        <w:tab/>
        <w:t>159/SC 4 de ISO/TC sobre accesibilidad (por confirmar)</w:t>
      </w:r>
    </w:p>
    <w:p w14:paraId="46EB5412" w14:textId="77777777" w:rsidR="00C66B9B" w:rsidRPr="009960E1" w:rsidRDefault="00C66B9B" w:rsidP="008F5C41">
      <w:pPr>
        <w:pStyle w:val="enumlev1"/>
        <w:rPr>
          <w:lang w:val="es-ES_tradnl"/>
        </w:rPr>
      </w:pPr>
      <w:r w:rsidRPr="009960E1">
        <w:rPr>
          <w:lang w:val="es-ES_tradnl"/>
        </w:rPr>
        <w:t>–</w:t>
      </w:r>
      <w:r w:rsidRPr="009960E1">
        <w:rPr>
          <w:lang w:val="es-ES_tradnl"/>
        </w:rPr>
        <w:tab/>
        <w:t>3GPP y 3GPP2 para la inclusión de la accesibilidad móvil y la coordinación de asuntos relacionados con la telefonía con texto y la conversación total</w:t>
      </w:r>
    </w:p>
    <w:p w14:paraId="4D051180" w14:textId="77777777" w:rsidR="00C66B9B" w:rsidRPr="009960E1" w:rsidRDefault="00C66B9B" w:rsidP="008F5C41">
      <w:pPr>
        <w:pStyle w:val="enumlev1"/>
        <w:rPr>
          <w:lang w:val="es-ES_tradnl"/>
        </w:rPr>
      </w:pPr>
      <w:r w:rsidRPr="009960E1">
        <w:rPr>
          <w:lang w:val="es-ES_tradnl"/>
        </w:rPr>
        <w:t>–</w:t>
      </w:r>
      <w:r w:rsidRPr="009960E1">
        <w:rPr>
          <w:lang w:val="es-ES_tradnl"/>
        </w:rPr>
        <w:tab/>
        <w:t>ETSI, en particular TC HF (Factores humanos)</w:t>
      </w:r>
    </w:p>
    <w:p w14:paraId="567D48F8" w14:textId="77777777" w:rsidR="00C66B9B" w:rsidRPr="009960E1" w:rsidRDefault="00C66B9B" w:rsidP="008F5C41">
      <w:pPr>
        <w:pStyle w:val="enumlev1"/>
        <w:rPr>
          <w:lang w:val="es-ES_tradnl"/>
        </w:rPr>
      </w:pPr>
      <w:r w:rsidRPr="009960E1">
        <w:rPr>
          <w:lang w:val="es-ES_tradnl"/>
        </w:rPr>
        <w:t>–</w:t>
      </w:r>
      <w:r w:rsidRPr="009960E1">
        <w:rPr>
          <w:lang w:val="es-ES_tradnl"/>
        </w:rPr>
        <w:tab/>
        <w:t>Foro para la Gobernanza de Internet</w:t>
      </w:r>
    </w:p>
    <w:p w14:paraId="1F653A65" w14:textId="77777777" w:rsidR="00C66B9B" w:rsidRPr="009960E1" w:rsidRDefault="00C66B9B" w:rsidP="008F5C41">
      <w:pPr>
        <w:pStyle w:val="enumlev1"/>
        <w:rPr>
          <w:lang w:val="es-ES_tradnl"/>
        </w:rPr>
      </w:pPr>
      <w:r w:rsidRPr="009960E1">
        <w:rPr>
          <w:lang w:val="es-ES_tradnl"/>
        </w:rPr>
        <w:t>–</w:t>
      </w:r>
      <w:r w:rsidRPr="009960E1">
        <w:rPr>
          <w:lang w:val="es-ES_tradnl"/>
        </w:rPr>
        <w:tab/>
        <w:t>G3ict (Iniciativa mundial para las TIC aptas para todos)</w:t>
      </w:r>
    </w:p>
    <w:p w14:paraId="097E088A" w14:textId="77777777" w:rsidR="00C66B9B" w:rsidRPr="009960E1" w:rsidRDefault="00C66B9B" w:rsidP="008F5C41">
      <w:pPr>
        <w:pStyle w:val="enumlev1"/>
        <w:rPr>
          <w:lang w:val="es-ES_tradnl"/>
        </w:rPr>
      </w:pPr>
      <w:r w:rsidRPr="009960E1">
        <w:rPr>
          <w:lang w:val="es-ES_tradnl"/>
        </w:rPr>
        <w:t>–</w:t>
      </w:r>
      <w:r w:rsidRPr="009960E1">
        <w:rPr>
          <w:lang w:val="es-ES_tradnl"/>
        </w:rPr>
        <w:tab/>
        <w:t>GRI-AVA de la UIT</w:t>
      </w:r>
    </w:p>
    <w:p w14:paraId="431A536D" w14:textId="77777777" w:rsidR="00C66B9B" w:rsidRPr="009960E1" w:rsidRDefault="00C66B9B" w:rsidP="008F5C41">
      <w:pPr>
        <w:pStyle w:val="enumlev1"/>
        <w:rPr>
          <w:lang w:val="es-ES_tradnl"/>
        </w:rPr>
      </w:pPr>
      <w:r w:rsidRPr="009960E1">
        <w:rPr>
          <w:lang w:val="es-ES_tradnl"/>
        </w:rPr>
        <w:t>–</w:t>
      </w:r>
      <w:r w:rsidRPr="009960E1">
        <w:rPr>
          <w:lang w:val="es-ES_tradnl"/>
        </w:rPr>
        <w:tab/>
        <w:t>IETF en general, y en particular los grupos MMUSIC, WebRTC y AVT</w:t>
      </w:r>
    </w:p>
    <w:p w14:paraId="63FF4666" w14:textId="77777777" w:rsidR="00C66B9B" w:rsidRPr="009960E1" w:rsidRDefault="00C66B9B" w:rsidP="008F5C41">
      <w:pPr>
        <w:pStyle w:val="enumlev1"/>
        <w:rPr>
          <w:lang w:val="es-ES_tradnl"/>
        </w:rPr>
      </w:pPr>
      <w:r w:rsidRPr="009960E1">
        <w:rPr>
          <w:lang w:val="es-ES_tradnl"/>
        </w:rPr>
        <w:t>–</w:t>
      </w:r>
      <w:r w:rsidRPr="009960E1">
        <w:rPr>
          <w:lang w:val="es-ES_tradnl"/>
        </w:rPr>
        <w:tab/>
        <w:t>JTC1/SC 35 de ISO/CEI sobre accesibilidad e interfaces de usuario</w:t>
      </w:r>
    </w:p>
    <w:p w14:paraId="533CB409" w14:textId="77777777" w:rsidR="00C66B9B" w:rsidRPr="009960E1" w:rsidRDefault="00C66B9B" w:rsidP="008F5C41">
      <w:pPr>
        <w:pStyle w:val="enumlev1"/>
        <w:rPr>
          <w:lang w:val="es-ES_tradnl"/>
        </w:rPr>
      </w:pPr>
      <w:bookmarkStart w:id="77" w:name="OLE_LINK1"/>
      <w:r w:rsidRPr="009960E1">
        <w:rPr>
          <w:lang w:val="es-ES_tradnl"/>
        </w:rPr>
        <w:t>–</w:t>
      </w:r>
      <w:r w:rsidRPr="009960E1">
        <w:rPr>
          <w:lang w:val="es-ES_tradnl"/>
        </w:rPr>
        <w:tab/>
        <w:t>OMS, OMPI y otros organismos especializados de las Naciones Unidas</w:t>
      </w:r>
      <w:bookmarkEnd w:id="77"/>
    </w:p>
    <w:p w14:paraId="5AD39635" w14:textId="77777777" w:rsidR="00C66B9B" w:rsidRPr="009960E1" w:rsidRDefault="00C66B9B" w:rsidP="008F5C41">
      <w:pPr>
        <w:pStyle w:val="enumlev1"/>
        <w:rPr>
          <w:lang w:val="es-ES_tradnl"/>
        </w:rPr>
      </w:pPr>
      <w:r w:rsidRPr="009960E1">
        <w:rPr>
          <w:lang w:val="es-ES_tradnl"/>
        </w:rPr>
        <w:t>–</w:t>
      </w:r>
      <w:r w:rsidRPr="009960E1">
        <w:rPr>
          <w:lang w:val="es-ES_tradnl"/>
        </w:rPr>
        <w:tab/>
        <w:t>Organizaciones de personas con discapacidad, como la Federación Mundial de Personas Sordas (WFD), la Unión Mundial de Invidentes (WBU), la Federación Internacional de Personas con Dificultades Auditivas (IFHOH) y la Organización Mundial de Personas con Discapacidad (OMPD)</w:t>
      </w:r>
    </w:p>
    <w:p w14:paraId="02366066" w14:textId="77777777" w:rsidR="00C66B9B" w:rsidRPr="009960E1" w:rsidRDefault="00C66B9B" w:rsidP="008F5C41">
      <w:pPr>
        <w:pStyle w:val="enumlev1"/>
        <w:rPr>
          <w:lang w:val="es-ES_tradnl"/>
        </w:rPr>
      </w:pPr>
      <w:r w:rsidRPr="009960E1">
        <w:rPr>
          <w:lang w:val="es-ES_tradnl"/>
        </w:rPr>
        <w:t>–</w:t>
      </w:r>
      <w:r w:rsidRPr="009960E1">
        <w:rPr>
          <w:lang w:val="es-ES_tradnl"/>
        </w:rPr>
        <w:tab/>
        <w:t>Organizaciones regionales como la Telecomunidad Asia-Pacífico, el Centro Europeo de Recursos de Accesibilidad, AccessibleEU y Zero Project</w:t>
      </w:r>
    </w:p>
    <w:p w14:paraId="7B1CE72B" w14:textId="77777777" w:rsidR="00C66B9B" w:rsidRPr="009960E1" w:rsidRDefault="00C66B9B" w:rsidP="008F5C41">
      <w:pPr>
        <w:pStyle w:val="enumlev1"/>
        <w:rPr>
          <w:lang w:val="es-ES_tradnl"/>
        </w:rPr>
      </w:pPr>
      <w:r w:rsidRPr="009960E1">
        <w:rPr>
          <w:lang w:val="es-ES_tradnl"/>
        </w:rPr>
        <w:t>–</w:t>
      </w:r>
      <w:r w:rsidRPr="009960E1">
        <w:rPr>
          <w:lang w:val="es-ES_tradnl"/>
        </w:rPr>
        <w:tab/>
        <w:t>TC100 de CEI sobre vida asistida</w:t>
      </w:r>
    </w:p>
    <w:p w14:paraId="1EDD4CB8" w14:textId="77777777" w:rsidR="00C66B9B" w:rsidRPr="009960E1" w:rsidRDefault="00C66B9B" w:rsidP="008F5C41">
      <w:pPr>
        <w:pStyle w:val="enumlev1"/>
        <w:rPr>
          <w:lang w:val="es-ES_tradnl"/>
        </w:rPr>
      </w:pPr>
      <w:r w:rsidRPr="009960E1">
        <w:rPr>
          <w:lang w:val="es-ES_tradnl"/>
        </w:rPr>
        <w:t>–</w:t>
      </w:r>
      <w:r w:rsidRPr="009960E1">
        <w:rPr>
          <w:lang w:val="es-ES_tradnl"/>
        </w:rPr>
        <w:tab/>
        <w:t>W3C sobre accesibilidad de la web</w:t>
      </w:r>
    </w:p>
    <w:p w14:paraId="018A93F3" w14:textId="77777777" w:rsidR="00CF0CB0" w:rsidRPr="009960E1" w:rsidRDefault="00CF0CB0" w:rsidP="00CF0CB0">
      <w:pPr>
        <w:pStyle w:val="Headingb"/>
        <w:rPr>
          <w:lang w:val="es-ES_tradnl"/>
        </w:rPr>
      </w:pPr>
      <w:r w:rsidRPr="009960E1">
        <w:rPr>
          <w:bCs/>
          <w:lang w:val="es-ES_tradnl"/>
        </w:rPr>
        <w:t>Líneas de Acción de la CMSI:</w:t>
      </w:r>
    </w:p>
    <w:p w14:paraId="3C5A7492" w14:textId="77777777" w:rsidR="00CF0CB0" w:rsidRPr="009960E1" w:rsidRDefault="00CF0CB0" w:rsidP="00CF0CB0">
      <w:pPr>
        <w:pStyle w:val="enumlev1"/>
        <w:rPr>
          <w:lang w:val="es-ES_tradnl"/>
        </w:rPr>
      </w:pPr>
      <w:r w:rsidRPr="009960E1">
        <w:rPr>
          <w:lang w:val="es-ES_tradnl"/>
        </w:rPr>
        <w:t>–</w:t>
      </w:r>
      <w:r w:rsidRPr="009960E1">
        <w:rPr>
          <w:lang w:val="es-ES_tradnl"/>
        </w:rPr>
        <w:tab/>
        <w:t>C2, C3, C5, C6, C9, C11</w:t>
      </w:r>
    </w:p>
    <w:p w14:paraId="7536CDB8" w14:textId="77777777" w:rsidR="00CF0CB0" w:rsidRPr="009960E1" w:rsidRDefault="00CF0CB0" w:rsidP="00CF0CB0">
      <w:pPr>
        <w:pStyle w:val="Headingb"/>
        <w:rPr>
          <w:lang w:val="es-ES_tradnl"/>
        </w:rPr>
      </w:pPr>
      <w:r w:rsidRPr="009960E1">
        <w:rPr>
          <w:bCs/>
          <w:lang w:val="es-ES_tradnl"/>
        </w:rPr>
        <w:t>Objetivos de Desarrollo Sostenible:</w:t>
      </w:r>
    </w:p>
    <w:p w14:paraId="527EF87D" w14:textId="77777777" w:rsidR="00CF0CB0" w:rsidRPr="009960E1" w:rsidRDefault="00CF0CB0" w:rsidP="00CF0CB0">
      <w:pPr>
        <w:pStyle w:val="enumlev1"/>
        <w:rPr>
          <w:lang w:val="es-ES_tradnl"/>
        </w:rPr>
      </w:pPr>
      <w:r w:rsidRPr="009960E1">
        <w:rPr>
          <w:lang w:val="es-ES_tradnl"/>
        </w:rPr>
        <w:t>–</w:t>
      </w:r>
      <w:r w:rsidRPr="009960E1">
        <w:rPr>
          <w:lang w:val="es-ES_tradnl"/>
        </w:rPr>
        <w:tab/>
        <w:t>9</w:t>
      </w:r>
    </w:p>
    <w:p w14:paraId="115924DF" w14:textId="1D44BE54" w:rsidR="00DB4C81" w:rsidRPr="009960E1" w:rsidRDefault="00DB4C81" w:rsidP="00CF0CB0">
      <w:pPr>
        <w:pStyle w:val="enumlev1"/>
        <w:rPr>
          <w:lang w:val="es-ES_tradnl"/>
        </w:rPr>
      </w:pPr>
      <w:r w:rsidRPr="009960E1">
        <w:rPr>
          <w:lang w:val="es-ES_tradnl"/>
        </w:rPr>
        <w:br w:type="page"/>
      </w:r>
    </w:p>
    <w:p w14:paraId="6C0FBBEF" w14:textId="49CEB85C" w:rsidR="00CF0CB0" w:rsidRPr="009960E1" w:rsidRDefault="00CF0CB0" w:rsidP="00DB4C81">
      <w:pPr>
        <w:pStyle w:val="AnnexNotitle"/>
        <w:rPr>
          <w:szCs w:val="28"/>
          <w:lang w:val="es-ES_tradnl"/>
        </w:rPr>
      </w:pPr>
      <w:bookmarkStart w:id="78" w:name="Annex3"/>
      <w:bookmarkStart w:id="79" w:name="_Toc178345868"/>
      <w:bookmarkStart w:id="80" w:name="_Toc179189973"/>
      <w:r w:rsidRPr="009960E1">
        <w:rPr>
          <w:b w:val="0"/>
          <w:bCs/>
          <w:lang w:val="es-ES_tradnl"/>
        </w:rPr>
        <w:lastRenderedPageBreak/>
        <w:t>ANEXO 3</w:t>
      </w:r>
      <w:r w:rsidRPr="009960E1">
        <w:rPr>
          <w:b w:val="0"/>
          <w:bCs/>
          <w:lang w:val="es-ES_tradnl"/>
        </w:rPr>
        <w:br/>
        <w:t>(Documento WTSA-24/24)</w:t>
      </w:r>
      <w:r w:rsidR="00DB4C81" w:rsidRPr="009960E1">
        <w:rPr>
          <w:b w:val="0"/>
          <w:bCs/>
          <w:lang w:val="es-ES_tradnl"/>
        </w:rPr>
        <w:br/>
      </w:r>
      <w:r w:rsidRPr="009960E1">
        <w:rPr>
          <w:lang w:val="es-ES_tradnl"/>
        </w:rPr>
        <w:br/>
        <w:t>Plan de acción del UIT-T para una participación eficaz del sector industrial</w:t>
      </w:r>
      <w:bookmarkEnd w:id="78"/>
      <w:bookmarkEnd w:id="79"/>
      <w:bookmarkEnd w:id="80"/>
    </w:p>
    <w:p w14:paraId="32A9A893" w14:textId="77777777" w:rsidR="00CF0CB0" w:rsidRPr="009960E1" w:rsidRDefault="00CF0CB0" w:rsidP="00DB4C81">
      <w:pPr>
        <w:pStyle w:val="Heading1"/>
        <w:rPr>
          <w:lang w:val="es-ES_tradnl"/>
        </w:rPr>
      </w:pPr>
      <w:bookmarkStart w:id="81" w:name="_Toc179189974"/>
      <w:r w:rsidRPr="009960E1">
        <w:rPr>
          <w:lang w:val="es-ES_tradnl"/>
        </w:rPr>
        <w:t>1</w:t>
      </w:r>
      <w:r w:rsidRPr="009960E1">
        <w:rPr>
          <w:lang w:val="es-ES_tradnl"/>
        </w:rPr>
        <w:tab/>
        <w:t>Introducción</w:t>
      </w:r>
      <w:bookmarkEnd w:id="81"/>
    </w:p>
    <w:p w14:paraId="31B4E6D8" w14:textId="70068DFA" w:rsidR="00CF0CB0" w:rsidRPr="009960E1" w:rsidRDefault="00CF0CB0" w:rsidP="00CF0CB0">
      <w:pPr>
        <w:rPr>
          <w:lang w:val="es-ES_tradnl"/>
        </w:rPr>
      </w:pPr>
      <w:r w:rsidRPr="009960E1">
        <w:rPr>
          <w:lang w:val="es-ES_tradnl"/>
        </w:rPr>
        <w:t>Como punto de partida, en el presente documento se examinan los siguientes puntos del mandato del RG-IEM con arreglo a la sección D.7 del Anexo D del (proyecto) de Informe de la primera reunión del GANT (Ginebra, 12-16 de diciembre de 2022) que figura en el Documento</w:t>
      </w:r>
      <w:r w:rsidR="005046EC" w:rsidRPr="009960E1">
        <w:rPr>
          <w:lang w:val="es-ES_tradnl"/>
        </w:rPr>
        <w:t> </w:t>
      </w:r>
      <w:hyperlink r:id="rId138" w:history="1">
        <w:r w:rsidRPr="009960E1">
          <w:rPr>
            <w:rStyle w:val="Hyperlink"/>
            <w:lang w:val="es-ES_tradnl"/>
          </w:rPr>
          <w:t>TSAG</w:t>
        </w:r>
        <w:r w:rsidR="005046EC" w:rsidRPr="009960E1">
          <w:rPr>
            <w:rStyle w:val="Hyperlink"/>
            <w:lang w:val="es-ES_tradnl"/>
          </w:rPr>
          <w:noBreakHyphen/>
        </w:r>
        <w:r w:rsidRPr="009960E1">
          <w:rPr>
            <w:rStyle w:val="Hyperlink"/>
            <w:lang w:val="es-ES_tradnl"/>
          </w:rPr>
          <w:t>TD004R1</w:t>
        </w:r>
      </w:hyperlink>
      <w:r w:rsidRPr="009960E1">
        <w:rPr>
          <w:u w:val="single"/>
          <w:lang w:val="es-ES_tradnl"/>
        </w:rPr>
        <w:t>:</w:t>
      </w:r>
    </w:p>
    <w:p w14:paraId="0408C556" w14:textId="77777777" w:rsidR="00CF0CB0" w:rsidRPr="009960E1" w:rsidRDefault="00CF0CB0" w:rsidP="003760DC">
      <w:pPr>
        <w:pStyle w:val="enumlev1"/>
        <w:rPr>
          <w:i/>
          <w:iCs/>
          <w:lang w:val="es-ES_tradnl"/>
        </w:rPr>
      </w:pPr>
      <w:r w:rsidRPr="009960E1">
        <w:rPr>
          <w:lang w:val="es-ES_tradnl"/>
        </w:rPr>
        <w:t>–</w:t>
      </w:r>
      <w:r w:rsidRPr="009960E1">
        <w:rPr>
          <w:lang w:val="es-ES_tradnl"/>
        </w:rPr>
        <w:tab/>
      </w:r>
      <w:r w:rsidRPr="009960E1">
        <w:rPr>
          <w:i/>
          <w:iCs/>
          <w:lang w:val="es-ES_tradnl"/>
        </w:rPr>
        <w:t>Abordar el tema de la participación de la industria, que se debatió en la AMNT-20, incluida la Resolución 68 (Rev. Hammamet, 2016) o el proyecto de Resolución 68 revisada.</w:t>
      </w:r>
      <w:r w:rsidRPr="009960E1">
        <w:rPr>
          <w:lang w:val="es-ES_tradnl"/>
        </w:rPr>
        <w:t xml:space="preserve"> </w:t>
      </w:r>
      <w:r w:rsidRPr="009960E1">
        <w:rPr>
          <w:i/>
          <w:iCs/>
          <w:lang w:val="es-ES_tradnl"/>
        </w:rPr>
        <w:t>(Acción 10 de la AMNT-20).</w:t>
      </w:r>
    </w:p>
    <w:p w14:paraId="5F87380D" w14:textId="77777777" w:rsidR="00CF0CB0" w:rsidRPr="009960E1" w:rsidRDefault="00CF0CB0" w:rsidP="003760DC">
      <w:pPr>
        <w:pStyle w:val="enumlev1"/>
        <w:rPr>
          <w:i/>
          <w:iCs/>
          <w:lang w:val="es-ES_tradnl"/>
        </w:rPr>
      </w:pPr>
      <w:r w:rsidRPr="009960E1">
        <w:rPr>
          <w:lang w:val="es-ES_tradnl"/>
        </w:rPr>
        <w:t>–</w:t>
      </w:r>
      <w:r w:rsidRPr="009960E1">
        <w:rPr>
          <w:lang w:val="es-ES_tradnl"/>
        </w:rPr>
        <w:tab/>
      </w:r>
      <w:r w:rsidRPr="009960E1">
        <w:rPr>
          <w:i/>
          <w:iCs/>
          <w:lang w:val="es-ES_tradnl"/>
        </w:rPr>
        <w:t>Realizar el examen del proceso de coordinación del CxO/CTO.</w:t>
      </w:r>
    </w:p>
    <w:p w14:paraId="617E3352" w14:textId="77777777" w:rsidR="00CF0CB0" w:rsidRPr="009960E1" w:rsidRDefault="00CF0CB0" w:rsidP="003760DC">
      <w:pPr>
        <w:pStyle w:val="enumlev1"/>
        <w:rPr>
          <w:i/>
          <w:iCs/>
          <w:lang w:val="es-ES_tradnl"/>
        </w:rPr>
      </w:pPr>
      <w:r w:rsidRPr="009960E1">
        <w:rPr>
          <w:lang w:val="es-ES_tradnl"/>
        </w:rPr>
        <w:t>–</w:t>
      </w:r>
      <w:r w:rsidRPr="009960E1">
        <w:rPr>
          <w:lang w:val="es-ES_tradnl"/>
        </w:rPr>
        <w:tab/>
      </w:r>
      <w:r w:rsidRPr="009960E1">
        <w:rPr>
          <w:i/>
          <w:iCs/>
          <w:lang w:val="es-ES_tradnl"/>
        </w:rPr>
        <w:t>Desarrollar un plan para fomentar una intensa participación de la industria, con miras a poder tener en cuenta las últimas tendencias técnicas y las necesidades del mercado.</w:t>
      </w:r>
    </w:p>
    <w:p w14:paraId="4183C082" w14:textId="070A5097" w:rsidR="00CF0CB0" w:rsidRPr="009960E1" w:rsidRDefault="00CF0CB0" w:rsidP="00CF0CB0">
      <w:pPr>
        <w:rPr>
          <w:lang w:val="es-ES_tradnl"/>
        </w:rPr>
      </w:pPr>
      <w:r w:rsidRPr="009960E1">
        <w:rPr>
          <w:lang w:val="es-ES_tradnl"/>
        </w:rPr>
        <w:t xml:space="preserve">Este plan de acción se elaboró en el marco del mandato anterior y es el resultado de un trabajo colaborativo y basado en contribuciones durante las reuniones del GANT, el WP-IEM, el RG-IEM y los Grupos de Redacción </w:t>
      </w:r>
      <w:r w:rsidRPr="009960E1">
        <w:rPr>
          <w:i/>
          <w:iCs/>
          <w:lang w:val="es-ES_tradnl"/>
        </w:rPr>
        <w:t>ad hoc</w:t>
      </w:r>
      <w:r w:rsidRPr="009960E1">
        <w:rPr>
          <w:lang w:val="es-ES_tradnl"/>
        </w:rPr>
        <w:t xml:space="preserve">. El presente plan de acción incluye los resultados del informe </w:t>
      </w:r>
      <w:hyperlink r:id="rId139" w:history="1">
        <w:r w:rsidRPr="009960E1">
          <w:rPr>
            <w:rStyle w:val="Hyperlink"/>
            <w:lang w:val="es-ES_tradnl" w:eastAsia="zh-CN"/>
          </w:rPr>
          <w:t>TSAG TD599</w:t>
        </w:r>
      </w:hyperlink>
      <w:r w:rsidRPr="009960E1">
        <w:rPr>
          <w:rStyle w:val="Hyperlink"/>
          <w:lang w:val="es-ES_tradnl" w:eastAsia="zh-CN"/>
        </w:rPr>
        <w:t xml:space="preserve"> </w:t>
      </w:r>
      <w:r w:rsidRPr="009960E1">
        <w:rPr>
          <w:lang w:val="es-ES_tradnl"/>
        </w:rPr>
        <w:t>del taller sobre la participación de la industria, tal y como se examinó en las siguientes reuniones del RG-IEM.</w:t>
      </w:r>
    </w:p>
    <w:p w14:paraId="767D0E65" w14:textId="77777777" w:rsidR="00CF0CB0" w:rsidRPr="009960E1" w:rsidRDefault="00CF0CB0" w:rsidP="00CF0CB0">
      <w:pPr>
        <w:rPr>
          <w:lang w:val="es-ES_tradnl"/>
        </w:rPr>
      </w:pPr>
      <w:r w:rsidRPr="009960E1">
        <w:rPr>
          <w:lang w:val="es-ES_tradnl"/>
        </w:rPr>
        <w:t>Véase en el Anexo A de este plan de acción una lista detallada de las contribuciones y documentos que sustentaron este esfuerzo.</w:t>
      </w:r>
    </w:p>
    <w:p w14:paraId="369E2A5C" w14:textId="77777777" w:rsidR="00CF0CB0" w:rsidRPr="009960E1" w:rsidRDefault="00CF0CB0" w:rsidP="005046EC">
      <w:pPr>
        <w:pStyle w:val="Heading1"/>
        <w:rPr>
          <w:lang w:val="es-ES_tradnl"/>
        </w:rPr>
      </w:pPr>
      <w:bookmarkStart w:id="82" w:name="_Toc179189975"/>
      <w:r w:rsidRPr="009960E1">
        <w:rPr>
          <w:lang w:val="es-ES_tradnl"/>
        </w:rPr>
        <w:t>2</w:t>
      </w:r>
      <w:r w:rsidRPr="009960E1">
        <w:rPr>
          <w:lang w:val="es-ES_tradnl"/>
        </w:rPr>
        <w:tab/>
        <w:t>Fundamentos</w:t>
      </w:r>
      <w:bookmarkEnd w:id="82"/>
    </w:p>
    <w:p w14:paraId="6CCBD406" w14:textId="77777777" w:rsidR="00CF0CB0" w:rsidRPr="009960E1" w:rsidRDefault="00CF0CB0" w:rsidP="005046EC">
      <w:pPr>
        <w:pStyle w:val="Heading2"/>
        <w:rPr>
          <w:lang w:val="es-ES_tradnl"/>
        </w:rPr>
      </w:pPr>
      <w:bookmarkStart w:id="83" w:name="_Toc179189976"/>
      <w:r w:rsidRPr="009960E1">
        <w:rPr>
          <w:lang w:val="es-ES_tradnl"/>
        </w:rPr>
        <w:t>2.1</w:t>
      </w:r>
      <w:r w:rsidRPr="009960E1">
        <w:rPr>
          <w:lang w:val="es-ES_tradnl"/>
        </w:rPr>
        <w:tab/>
        <w:t>Plan Estratégico de la UIT para 2024-2027</w:t>
      </w:r>
      <w:bookmarkEnd w:id="83"/>
    </w:p>
    <w:p w14:paraId="6291EAC1" w14:textId="67CF8AEB" w:rsidR="00CF0CB0" w:rsidRPr="009960E1" w:rsidRDefault="00CF0CB0" w:rsidP="00CF0CB0">
      <w:pPr>
        <w:rPr>
          <w:lang w:val="es-ES_tradnl"/>
        </w:rPr>
      </w:pPr>
      <w:r w:rsidRPr="009960E1">
        <w:rPr>
          <w:lang w:val="es-ES_tradnl"/>
        </w:rPr>
        <w:t>El Plan Estratégico de la UIT [b-Plan Estratégico de la UIT] se basa en una metodología basada en los resultados que incluye varios componentes clave, uno de los cuales se titula "factores habilitadores", que permiten a la Unión cumplir sus metas y prioridades de manera más eficaz y eficiente. Uno de esos "factores habilitadores" destaca la necesidad de que la UIT actúe como una organización impulsada por los miembros, que incluya no sólo a los Estados Miembros, sino que también "se esfuerce por afianzar su compromiso con los representantes del sector de las telecomunicaciones/TIC, así como de otros sectores industriales, para demostrar su propuesta de valor en el contexto de las metas estratégicas". (Anexo 1 a la Resolución</w:t>
      </w:r>
      <w:r w:rsidR="00114A0D" w:rsidRPr="009960E1">
        <w:rPr>
          <w:lang w:val="es-ES_tradnl"/>
        </w:rPr>
        <w:t> </w:t>
      </w:r>
      <w:r w:rsidRPr="009960E1">
        <w:rPr>
          <w:lang w:val="es-ES_tradnl"/>
        </w:rPr>
        <w:t>71 (Rev. Bucarest, 2022), Plan Estratégico de la UIT para 2024-2027).</w:t>
      </w:r>
    </w:p>
    <w:p w14:paraId="12E7E2A1" w14:textId="77777777" w:rsidR="00CF0CB0" w:rsidRPr="009960E1" w:rsidRDefault="00CF0CB0" w:rsidP="00114A0D">
      <w:pPr>
        <w:pStyle w:val="Heading2"/>
        <w:rPr>
          <w:lang w:val="es-ES_tradnl"/>
        </w:rPr>
      </w:pPr>
      <w:bookmarkStart w:id="84" w:name="_Toc179189977"/>
      <w:r w:rsidRPr="009960E1">
        <w:rPr>
          <w:lang w:val="es-ES_tradnl"/>
        </w:rPr>
        <w:t>2.2</w:t>
      </w:r>
      <w:r w:rsidRPr="009960E1">
        <w:rPr>
          <w:lang w:val="es-ES_tradnl"/>
        </w:rPr>
        <w:tab/>
        <w:t>Visualización de los componentes de este documento</w:t>
      </w:r>
      <w:bookmarkEnd w:id="84"/>
    </w:p>
    <w:p w14:paraId="64EDFF45" w14:textId="77777777" w:rsidR="00CF0CB0" w:rsidRPr="009960E1" w:rsidRDefault="00CF0CB0" w:rsidP="00CF0CB0">
      <w:pPr>
        <w:rPr>
          <w:lang w:val="es-ES_tradnl"/>
        </w:rPr>
      </w:pPr>
      <w:r w:rsidRPr="009960E1">
        <w:rPr>
          <w:lang w:val="es-ES_tradnl"/>
        </w:rPr>
        <w:t>Para una aplicación más eficaz, en consonancia con el [b-Plan Estratégico de la UIT] Plan Estratégico de la UIT 2024-2027: Marco estratégico, se introduce una estructura basada en los resultados para gestionar el plan de acción para la participación de la industria.</w:t>
      </w:r>
    </w:p>
    <w:p w14:paraId="1966F088" w14:textId="7C54F84B" w:rsidR="00CF0CB0" w:rsidRPr="009960E1" w:rsidRDefault="00D21C58" w:rsidP="00783A5D">
      <w:pPr>
        <w:spacing w:after="240"/>
        <w:rPr>
          <w:lang w:val="es-ES_tradnl"/>
        </w:rPr>
      </w:pPr>
      <w:r w:rsidRPr="009960E1">
        <w:rPr>
          <w:noProof/>
          <w:lang w:val="es-ES_tradnl"/>
        </w:rPr>
        <w:lastRenderedPageBreak/>
        <w:drawing>
          <wp:inline distT="0" distB="0" distL="0" distR="0" wp14:anchorId="62C6481C" wp14:editId="04F50265">
            <wp:extent cx="6120765" cy="2813685"/>
            <wp:effectExtent l="0" t="0" r="0" b="5715"/>
            <wp:docPr id="31951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1065" name="Picture 31951065"/>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6120765" cy="2813685"/>
                    </a:xfrm>
                    <a:prstGeom prst="rect">
                      <a:avLst/>
                    </a:prstGeom>
                  </pic:spPr>
                </pic:pic>
              </a:graphicData>
            </a:graphic>
          </wp:inline>
        </w:drawing>
      </w:r>
    </w:p>
    <w:p w14:paraId="5388F4E7" w14:textId="77777777" w:rsidR="00CF0CB0" w:rsidRPr="009960E1" w:rsidRDefault="00CF0CB0" w:rsidP="00AA4434">
      <w:pPr>
        <w:rPr>
          <w:lang w:val="es-ES_tradnl"/>
        </w:rPr>
      </w:pPr>
      <w:r w:rsidRPr="009960E1">
        <w:rPr>
          <w:lang w:val="es-ES_tradnl"/>
        </w:rPr>
        <w:t>Las medidas o acciones pueden clasificarse en cuatro pilares:</w:t>
      </w:r>
    </w:p>
    <w:p w14:paraId="48283010" w14:textId="77777777" w:rsidR="00CF0CB0" w:rsidRPr="009960E1" w:rsidRDefault="00CF0CB0" w:rsidP="00AA4434">
      <w:pPr>
        <w:pStyle w:val="enumlev1"/>
        <w:rPr>
          <w:lang w:val="es-ES_tradnl"/>
        </w:rPr>
      </w:pPr>
      <w:r w:rsidRPr="009960E1">
        <w:rPr>
          <w:lang w:val="es-ES_tradnl"/>
        </w:rPr>
        <w:t>–</w:t>
      </w:r>
      <w:r w:rsidRPr="009960E1">
        <w:rPr>
          <w:lang w:val="es-ES_tradnl"/>
        </w:rPr>
        <w:tab/>
        <w:t>La creación de conciencia, se refiere al plan de acción AP1.1 y AP5.</w:t>
      </w:r>
    </w:p>
    <w:p w14:paraId="48C8B01A" w14:textId="77777777" w:rsidR="00CF0CB0" w:rsidRPr="009960E1" w:rsidRDefault="00CF0CB0" w:rsidP="00AA4434">
      <w:pPr>
        <w:pStyle w:val="enumlev1"/>
        <w:rPr>
          <w:lang w:val="es-ES_tradnl"/>
        </w:rPr>
      </w:pPr>
      <w:r w:rsidRPr="009960E1">
        <w:rPr>
          <w:lang w:val="es-ES_tradnl"/>
        </w:rPr>
        <w:t>–</w:t>
      </w:r>
      <w:r w:rsidRPr="009960E1">
        <w:rPr>
          <w:lang w:val="es-ES_tradnl"/>
        </w:rPr>
        <w:tab/>
        <w:t>La adición de valor, se refiere al plan de acción AP1.2, AP1.3, y AP1.6.</w:t>
      </w:r>
    </w:p>
    <w:p w14:paraId="5618AA90" w14:textId="2E50F165" w:rsidR="00CF0CB0" w:rsidRPr="009960E1" w:rsidRDefault="00CF0CB0" w:rsidP="00AA4434">
      <w:pPr>
        <w:pStyle w:val="enumlev1"/>
        <w:rPr>
          <w:lang w:val="es-ES_tradnl"/>
        </w:rPr>
      </w:pPr>
      <w:r w:rsidRPr="009960E1">
        <w:rPr>
          <w:lang w:val="es-ES_tradnl"/>
        </w:rPr>
        <w:t>–</w:t>
      </w:r>
      <w:r w:rsidRPr="009960E1">
        <w:rPr>
          <w:lang w:val="es-ES_tradnl"/>
        </w:rPr>
        <w:tab/>
        <w:t>La atracción de nuevos miembros de sector potenciales, se refiere al plan de</w:t>
      </w:r>
      <w:r w:rsidR="00D21C58" w:rsidRPr="009960E1">
        <w:rPr>
          <w:lang w:val="es-ES_tradnl"/>
        </w:rPr>
        <w:t> </w:t>
      </w:r>
      <w:r w:rsidRPr="009960E1">
        <w:rPr>
          <w:lang w:val="es-ES_tradnl"/>
        </w:rPr>
        <w:t>acción</w:t>
      </w:r>
      <w:r w:rsidR="00D21C58" w:rsidRPr="009960E1">
        <w:rPr>
          <w:lang w:val="es-ES_tradnl"/>
        </w:rPr>
        <w:t> </w:t>
      </w:r>
      <w:r w:rsidRPr="009960E1">
        <w:rPr>
          <w:lang w:val="es-ES_tradnl"/>
        </w:rPr>
        <w:t>AP1.4.</w:t>
      </w:r>
    </w:p>
    <w:p w14:paraId="0B543D58" w14:textId="77777777" w:rsidR="00CF0CB0" w:rsidRPr="009960E1" w:rsidRDefault="00CF0CB0" w:rsidP="00AA4434">
      <w:pPr>
        <w:pStyle w:val="enumlev1"/>
        <w:rPr>
          <w:lang w:val="es-ES_tradnl"/>
        </w:rPr>
      </w:pPr>
      <w:r w:rsidRPr="009960E1">
        <w:rPr>
          <w:lang w:val="es-ES_tradnl"/>
        </w:rPr>
        <w:t>–</w:t>
      </w:r>
      <w:r w:rsidRPr="009960E1">
        <w:rPr>
          <w:lang w:val="es-ES_tradnl"/>
        </w:rPr>
        <w:tab/>
        <w:t>La cartografía del plan estratégico de la UIT y los indicadores, se refiere al plan de acción AP1.5, AP1.7, AP3, y AP4.</w:t>
      </w:r>
    </w:p>
    <w:p w14:paraId="39C20314" w14:textId="77777777" w:rsidR="00CF0CB0" w:rsidRPr="009960E1" w:rsidRDefault="00CF0CB0" w:rsidP="00CF0CB0">
      <w:pPr>
        <w:rPr>
          <w:lang w:val="es-ES_tradnl"/>
        </w:rPr>
      </w:pPr>
      <w:r w:rsidRPr="009960E1">
        <w:rPr>
          <w:lang w:val="es-ES_tradnl"/>
        </w:rPr>
        <w:t>Estos pilares, no exhaustivos y no exclusivos, constituirán los elementos principales de los resultados del RG-IEM, para su aplicación y evaluación.</w:t>
      </w:r>
    </w:p>
    <w:p w14:paraId="62FCF340" w14:textId="77777777" w:rsidR="00CF0CB0" w:rsidRPr="009960E1" w:rsidRDefault="00CF0CB0" w:rsidP="009247E5">
      <w:pPr>
        <w:pStyle w:val="Heading2"/>
        <w:rPr>
          <w:lang w:val="es-ES_tradnl"/>
        </w:rPr>
      </w:pPr>
      <w:bookmarkStart w:id="85" w:name="_Toc179189978"/>
      <w:r w:rsidRPr="009960E1">
        <w:rPr>
          <w:lang w:val="es-ES_tradnl"/>
        </w:rPr>
        <w:t>2.3</w:t>
      </w:r>
      <w:r w:rsidRPr="009960E1">
        <w:rPr>
          <w:lang w:val="es-ES_tradnl"/>
        </w:rPr>
        <w:tab/>
        <w:t>Metodología para el análisis del plan de acción de participación de la industria</w:t>
      </w:r>
      <w:bookmarkEnd w:id="85"/>
    </w:p>
    <w:p w14:paraId="1D0CC80D" w14:textId="77777777" w:rsidR="00CF0CB0" w:rsidRPr="009960E1" w:rsidRDefault="00CF0CB0" w:rsidP="009247E5">
      <w:pPr>
        <w:pStyle w:val="Heading3"/>
        <w:rPr>
          <w:lang w:val="es-ES_tradnl"/>
        </w:rPr>
      </w:pPr>
      <w:r w:rsidRPr="009960E1">
        <w:rPr>
          <w:lang w:val="es-ES_tradnl"/>
        </w:rPr>
        <w:t>2.3.1</w:t>
      </w:r>
      <w:r w:rsidRPr="009960E1">
        <w:rPr>
          <w:lang w:val="es-ES_tradnl"/>
        </w:rPr>
        <w:tab/>
        <w:t>Estructura del Plan Estratégico de la Unión para 2024-2027</w:t>
      </w:r>
    </w:p>
    <w:p w14:paraId="0E63607C" w14:textId="4087A8D2" w:rsidR="00CF0CB0" w:rsidRPr="009960E1" w:rsidRDefault="00CF0CB0" w:rsidP="00CF0CB0">
      <w:pPr>
        <w:rPr>
          <w:lang w:val="es-ES_tradnl"/>
        </w:rPr>
      </w:pPr>
      <w:r w:rsidRPr="009960E1">
        <w:rPr>
          <w:lang w:val="es-ES_tradnl"/>
        </w:rPr>
        <w:t>Para mayor comodidad, los componentes principales se extraen y enumeran de la siguiente manera del actual [b-Plan Estratégico de la UIT] en la sección 2.3.1 del Anexo</w:t>
      </w:r>
      <w:r w:rsidR="009247E5" w:rsidRPr="009960E1">
        <w:rPr>
          <w:lang w:val="es-ES_tradnl"/>
        </w:rPr>
        <w:t> </w:t>
      </w:r>
      <w:r w:rsidRPr="009960E1">
        <w:rPr>
          <w:lang w:val="es-ES_tradnl"/>
        </w:rPr>
        <w:t>1, Resolución</w:t>
      </w:r>
      <w:r w:rsidR="009247E5" w:rsidRPr="009960E1">
        <w:rPr>
          <w:lang w:val="es-ES_tradnl"/>
        </w:rPr>
        <w:t> </w:t>
      </w:r>
      <w:r w:rsidRPr="009960E1">
        <w:rPr>
          <w:lang w:val="es-ES_tradnl"/>
        </w:rPr>
        <w:t>71, sección</w:t>
      </w:r>
      <w:r w:rsidR="009247E5" w:rsidRPr="009960E1">
        <w:rPr>
          <w:lang w:val="es-ES_tradnl"/>
        </w:rPr>
        <w:t> </w:t>
      </w:r>
      <w:r w:rsidRPr="009960E1">
        <w:rPr>
          <w:lang w:val="es-ES_tradnl"/>
        </w:rPr>
        <w:t>2.1 (Marco general) y pueden aprovecharse para la descripción de cada punto del plan de</w:t>
      </w:r>
      <w:r w:rsidR="009247E5" w:rsidRPr="009960E1">
        <w:rPr>
          <w:lang w:val="es-ES_tradnl"/>
        </w:rPr>
        <w:t> </w:t>
      </w:r>
      <w:r w:rsidRPr="009960E1">
        <w:rPr>
          <w:lang w:val="es-ES_tradnl"/>
        </w:rPr>
        <w:t>acción:</w:t>
      </w:r>
    </w:p>
    <w:p w14:paraId="15792CA6" w14:textId="073896FB" w:rsidR="00CF0CB0" w:rsidRPr="009960E1" w:rsidRDefault="009247E5" w:rsidP="009247E5">
      <w:pPr>
        <w:pStyle w:val="TableNotitle"/>
        <w:keepLines w:val="0"/>
        <w:rPr>
          <w:lang w:val="es-ES_tradnl"/>
        </w:rPr>
      </w:pPr>
      <w:r w:rsidRPr="009960E1">
        <w:rPr>
          <w:b w:val="0"/>
          <w:bCs/>
          <w:lang w:val="es-ES_tradnl"/>
        </w:rPr>
        <w:t xml:space="preserve">CUADRO </w:t>
      </w:r>
      <w:r w:rsidR="00BA1D4A" w:rsidRPr="009960E1">
        <w:rPr>
          <w:b w:val="0"/>
          <w:bCs/>
          <w:lang w:val="es-ES_tradnl"/>
        </w:rPr>
        <w:t>3</w:t>
      </w:r>
      <w:r w:rsidR="00CF0CB0" w:rsidRPr="009960E1">
        <w:rPr>
          <w:b w:val="0"/>
          <w:bCs/>
          <w:lang w:val="es-ES_tradnl"/>
        </w:rPr>
        <w:t>.1</w:t>
      </w:r>
      <w:r w:rsidRPr="009960E1">
        <w:rPr>
          <w:b w:val="0"/>
          <w:bCs/>
          <w:lang w:val="es-ES_tradnl"/>
        </w:rPr>
        <w:br/>
      </w:r>
      <w:r w:rsidR="00CF0CB0" w:rsidRPr="009960E1">
        <w:rPr>
          <w:lang w:val="es-ES_tradnl"/>
        </w:rPr>
        <w:t>Definiciones de los principales componentes del Plan Estratégico</w:t>
      </w: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04"/>
        <w:gridCol w:w="6505"/>
      </w:tblGrid>
      <w:tr w:rsidR="00CF0CB0" w:rsidRPr="009960E1" w14:paraId="4D0AF15E" w14:textId="77777777" w:rsidTr="00F27F0E">
        <w:trPr>
          <w:tblHeader/>
          <w:jc w:val="center"/>
        </w:trPr>
        <w:tc>
          <w:tcPr>
            <w:tcW w:w="3104" w:type="dxa"/>
            <w:tcBorders>
              <w:top w:val="single" w:sz="12" w:space="0" w:color="auto"/>
              <w:bottom w:val="single" w:sz="12" w:space="0" w:color="auto"/>
            </w:tcBorders>
            <w:shd w:val="clear" w:color="auto" w:fill="auto"/>
          </w:tcPr>
          <w:p w14:paraId="64B2873D" w14:textId="77777777" w:rsidR="00CF0CB0" w:rsidRPr="009960E1" w:rsidRDefault="00CF0CB0" w:rsidP="009247E5">
            <w:pPr>
              <w:pStyle w:val="Tablehead"/>
              <w:rPr>
                <w:lang w:val="es-ES_tradnl"/>
              </w:rPr>
            </w:pPr>
            <w:r w:rsidRPr="009960E1">
              <w:rPr>
                <w:bCs/>
                <w:lang w:val="es-ES_tradnl"/>
              </w:rPr>
              <w:t>Componente del Plan Estratégico</w:t>
            </w:r>
          </w:p>
        </w:tc>
        <w:tc>
          <w:tcPr>
            <w:tcW w:w="6505" w:type="dxa"/>
            <w:tcBorders>
              <w:top w:val="single" w:sz="12" w:space="0" w:color="auto"/>
              <w:bottom w:val="single" w:sz="12" w:space="0" w:color="auto"/>
            </w:tcBorders>
            <w:shd w:val="clear" w:color="auto" w:fill="auto"/>
          </w:tcPr>
          <w:p w14:paraId="2FFB0C13" w14:textId="77777777" w:rsidR="00CF0CB0" w:rsidRPr="009960E1" w:rsidRDefault="00CF0CB0" w:rsidP="009247E5">
            <w:pPr>
              <w:pStyle w:val="Tablehead"/>
              <w:rPr>
                <w:lang w:val="es-ES_tradnl"/>
              </w:rPr>
            </w:pPr>
            <w:r w:rsidRPr="009960E1">
              <w:rPr>
                <w:bCs/>
                <w:lang w:val="es-ES_tradnl"/>
              </w:rPr>
              <w:t>Definición</w:t>
            </w:r>
          </w:p>
        </w:tc>
      </w:tr>
      <w:tr w:rsidR="00CF0CB0" w:rsidRPr="00A7143D" w14:paraId="7CA825D3" w14:textId="77777777" w:rsidTr="00F27F0E">
        <w:trPr>
          <w:jc w:val="center"/>
        </w:trPr>
        <w:tc>
          <w:tcPr>
            <w:tcW w:w="3104" w:type="dxa"/>
            <w:tcBorders>
              <w:top w:val="single" w:sz="12" w:space="0" w:color="auto"/>
            </w:tcBorders>
            <w:shd w:val="clear" w:color="auto" w:fill="auto"/>
          </w:tcPr>
          <w:p w14:paraId="37DA9364" w14:textId="1536A25F" w:rsidR="00CF0CB0" w:rsidRPr="009960E1" w:rsidRDefault="00CF0CB0" w:rsidP="009247E5">
            <w:pPr>
              <w:pStyle w:val="Tabletext"/>
              <w:keepNext/>
              <w:rPr>
                <w:lang w:val="es-ES_tradnl"/>
              </w:rPr>
            </w:pPr>
            <w:r w:rsidRPr="009960E1">
              <w:rPr>
                <w:lang w:val="es-ES_tradnl"/>
              </w:rPr>
              <w:t>Visión</w:t>
            </w:r>
          </w:p>
        </w:tc>
        <w:tc>
          <w:tcPr>
            <w:tcW w:w="6505" w:type="dxa"/>
            <w:tcBorders>
              <w:top w:val="single" w:sz="12" w:space="0" w:color="auto"/>
            </w:tcBorders>
            <w:shd w:val="clear" w:color="auto" w:fill="auto"/>
          </w:tcPr>
          <w:p w14:paraId="575540EA" w14:textId="77777777" w:rsidR="00CF0CB0" w:rsidRPr="009960E1" w:rsidRDefault="00CF0CB0" w:rsidP="009247E5">
            <w:pPr>
              <w:pStyle w:val="Tabletext"/>
              <w:keepNext/>
              <w:rPr>
                <w:lang w:val="es-ES_tradnl"/>
              </w:rPr>
            </w:pPr>
            <w:r w:rsidRPr="009960E1">
              <w:rPr>
                <w:lang w:val="es-ES_tradnl"/>
              </w:rPr>
              <w:t>El mundo mejor que desea la UIT.</w:t>
            </w:r>
          </w:p>
        </w:tc>
      </w:tr>
      <w:tr w:rsidR="00CF0CB0" w:rsidRPr="00A7143D" w14:paraId="46D47C20" w14:textId="77777777" w:rsidTr="00F27F0E">
        <w:trPr>
          <w:jc w:val="center"/>
        </w:trPr>
        <w:tc>
          <w:tcPr>
            <w:tcW w:w="3104" w:type="dxa"/>
            <w:shd w:val="clear" w:color="auto" w:fill="auto"/>
          </w:tcPr>
          <w:p w14:paraId="59C0012B" w14:textId="77777777" w:rsidR="00CF0CB0" w:rsidRPr="009960E1" w:rsidRDefault="00CF0CB0" w:rsidP="009247E5">
            <w:pPr>
              <w:pStyle w:val="Tabletext"/>
              <w:keepNext/>
              <w:rPr>
                <w:lang w:val="es-ES_tradnl"/>
              </w:rPr>
            </w:pPr>
            <w:r w:rsidRPr="009960E1">
              <w:rPr>
                <w:lang w:val="es-ES_tradnl"/>
              </w:rPr>
              <w:t>Misión</w:t>
            </w:r>
          </w:p>
        </w:tc>
        <w:tc>
          <w:tcPr>
            <w:tcW w:w="6505" w:type="dxa"/>
            <w:shd w:val="clear" w:color="auto" w:fill="auto"/>
          </w:tcPr>
          <w:p w14:paraId="35F9AFA7" w14:textId="77777777" w:rsidR="00CF0CB0" w:rsidRPr="009960E1" w:rsidRDefault="00CF0CB0" w:rsidP="009247E5">
            <w:pPr>
              <w:pStyle w:val="Tabletext"/>
              <w:keepNext/>
              <w:rPr>
                <w:lang w:val="es-ES_tradnl"/>
              </w:rPr>
            </w:pPr>
            <w:r w:rsidRPr="009960E1">
              <w:rPr>
                <w:lang w:val="es-ES_tradnl"/>
              </w:rPr>
              <w:t>Fines globales principales de la Unión, conforme a lo estipulado en los instrumentos fundamentales de la UIT.</w:t>
            </w:r>
          </w:p>
        </w:tc>
      </w:tr>
      <w:tr w:rsidR="00CF0CB0" w:rsidRPr="00A7143D" w14:paraId="79FF1474" w14:textId="77777777" w:rsidTr="00F27F0E">
        <w:trPr>
          <w:jc w:val="center"/>
        </w:trPr>
        <w:tc>
          <w:tcPr>
            <w:tcW w:w="3104" w:type="dxa"/>
            <w:shd w:val="clear" w:color="auto" w:fill="auto"/>
          </w:tcPr>
          <w:p w14:paraId="60AAA506" w14:textId="77777777" w:rsidR="00CF0CB0" w:rsidRPr="009960E1" w:rsidRDefault="00CF0CB0" w:rsidP="00F27F0E">
            <w:pPr>
              <w:pStyle w:val="Tabletext"/>
              <w:rPr>
                <w:lang w:val="es-ES_tradnl"/>
              </w:rPr>
            </w:pPr>
            <w:r w:rsidRPr="009960E1">
              <w:rPr>
                <w:lang w:val="es-ES_tradnl"/>
              </w:rPr>
              <w:t>Objetivos estratégicos</w:t>
            </w:r>
          </w:p>
        </w:tc>
        <w:tc>
          <w:tcPr>
            <w:tcW w:w="6505" w:type="dxa"/>
            <w:shd w:val="clear" w:color="auto" w:fill="auto"/>
          </w:tcPr>
          <w:p w14:paraId="0D89C960" w14:textId="77777777" w:rsidR="00CF0CB0" w:rsidRPr="009960E1" w:rsidRDefault="00CF0CB0" w:rsidP="00F27F0E">
            <w:pPr>
              <w:pStyle w:val="Tabletext"/>
              <w:rPr>
                <w:lang w:val="es-ES_tradnl"/>
              </w:rPr>
            </w:pPr>
            <w:r w:rsidRPr="009960E1">
              <w:rPr>
                <w:lang w:val="es-ES_tradnl"/>
              </w:rPr>
              <w:t>Objetivos de alto nivel de la Unión, que le permiten cumplir su misión.</w:t>
            </w:r>
          </w:p>
        </w:tc>
      </w:tr>
      <w:tr w:rsidR="00CF0CB0" w:rsidRPr="00A7143D" w14:paraId="194E0173" w14:textId="77777777" w:rsidTr="00F27F0E">
        <w:trPr>
          <w:jc w:val="center"/>
        </w:trPr>
        <w:tc>
          <w:tcPr>
            <w:tcW w:w="3104" w:type="dxa"/>
            <w:shd w:val="clear" w:color="auto" w:fill="auto"/>
          </w:tcPr>
          <w:p w14:paraId="49C0A944" w14:textId="77777777" w:rsidR="00CF0CB0" w:rsidRPr="009960E1" w:rsidRDefault="00CF0CB0" w:rsidP="00F27F0E">
            <w:pPr>
              <w:pStyle w:val="Tabletext"/>
              <w:rPr>
                <w:lang w:val="es-ES_tradnl"/>
              </w:rPr>
            </w:pPr>
            <w:r w:rsidRPr="009960E1">
              <w:rPr>
                <w:lang w:val="es-ES_tradnl"/>
              </w:rPr>
              <w:t>Metas</w:t>
            </w:r>
          </w:p>
        </w:tc>
        <w:tc>
          <w:tcPr>
            <w:tcW w:w="6505" w:type="dxa"/>
            <w:shd w:val="clear" w:color="auto" w:fill="auto"/>
          </w:tcPr>
          <w:p w14:paraId="7F2A6ABE" w14:textId="77777777" w:rsidR="00CF0CB0" w:rsidRPr="009960E1" w:rsidRDefault="00CF0CB0" w:rsidP="00F27F0E">
            <w:pPr>
              <w:pStyle w:val="Tabletext"/>
              <w:rPr>
                <w:lang w:val="es-ES_tradnl"/>
              </w:rPr>
            </w:pPr>
            <w:r w:rsidRPr="009960E1">
              <w:rPr>
                <w:lang w:val="es-ES_tradnl"/>
              </w:rPr>
              <w:t>Resultados deseados que la Unión se propone alcanzar para cumplir sus objetivos estratégicos, la Agenda 2030 para el Desarrollo Sostenible y las Líneas de Acción de la Cumbre Mundial sobre la Sociedad de la Información.</w:t>
            </w:r>
          </w:p>
        </w:tc>
      </w:tr>
      <w:tr w:rsidR="00CF0CB0" w:rsidRPr="00A7143D" w14:paraId="78114857" w14:textId="77777777" w:rsidTr="00F27F0E">
        <w:trPr>
          <w:jc w:val="center"/>
        </w:trPr>
        <w:tc>
          <w:tcPr>
            <w:tcW w:w="3104" w:type="dxa"/>
            <w:shd w:val="clear" w:color="auto" w:fill="auto"/>
          </w:tcPr>
          <w:p w14:paraId="609A4728" w14:textId="77777777" w:rsidR="00CF0CB0" w:rsidRPr="009960E1" w:rsidRDefault="00CF0CB0" w:rsidP="00F27F0E">
            <w:pPr>
              <w:pStyle w:val="Tabletext"/>
              <w:rPr>
                <w:lang w:val="es-ES_tradnl"/>
              </w:rPr>
            </w:pPr>
            <w:r w:rsidRPr="009960E1">
              <w:rPr>
                <w:lang w:val="es-ES_tradnl"/>
              </w:rPr>
              <w:lastRenderedPageBreak/>
              <w:t>Prioridades temáticas</w:t>
            </w:r>
          </w:p>
        </w:tc>
        <w:tc>
          <w:tcPr>
            <w:tcW w:w="6505" w:type="dxa"/>
            <w:shd w:val="clear" w:color="auto" w:fill="auto"/>
          </w:tcPr>
          <w:p w14:paraId="19A8B415" w14:textId="77777777" w:rsidR="00CF0CB0" w:rsidRPr="009960E1" w:rsidRDefault="00CF0CB0" w:rsidP="00F27F0E">
            <w:pPr>
              <w:pStyle w:val="Tabletext"/>
              <w:rPr>
                <w:lang w:val="es-ES_tradnl"/>
              </w:rPr>
            </w:pPr>
            <w:r w:rsidRPr="009960E1">
              <w:rPr>
                <w:lang w:val="es-ES_tradnl"/>
              </w:rPr>
              <w:t>Áreas de trabajo en las que se centra la Unión, en las que se lograrán las realizaciones para alcanzar los objetivos estratégicos.</w:t>
            </w:r>
          </w:p>
        </w:tc>
      </w:tr>
      <w:tr w:rsidR="00CF0CB0" w:rsidRPr="00A7143D" w14:paraId="3638838B" w14:textId="77777777" w:rsidTr="00F27F0E">
        <w:trPr>
          <w:jc w:val="center"/>
        </w:trPr>
        <w:tc>
          <w:tcPr>
            <w:tcW w:w="3104" w:type="dxa"/>
            <w:shd w:val="clear" w:color="auto" w:fill="auto"/>
          </w:tcPr>
          <w:p w14:paraId="4A113315" w14:textId="77777777" w:rsidR="00CF0CB0" w:rsidRPr="009960E1" w:rsidRDefault="00CF0CB0" w:rsidP="00F27F0E">
            <w:pPr>
              <w:pStyle w:val="Tabletext"/>
              <w:rPr>
                <w:lang w:val="es-ES_tradnl"/>
              </w:rPr>
            </w:pPr>
            <w:r w:rsidRPr="009960E1">
              <w:rPr>
                <w:lang w:val="es-ES_tradnl"/>
              </w:rPr>
              <w:t>Realizaciones</w:t>
            </w:r>
          </w:p>
        </w:tc>
        <w:tc>
          <w:tcPr>
            <w:tcW w:w="6505" w:type="dxa"/>
            <w:shd w:val="clear" w:color="auto" w:fill="auto"/>
          </w:tcPr>
          <w:p w14:paraId="10E181AD" w14:textId="77777777" w:rsidR="00CF0CB0" w:rsidRPr="009960E1" w:rsidRDefault="00CF0CB0" w:rsidP="00F27F0E">
            <w:pPr>
              <w:pStyle w:val="Tabletext"/>
              <w:rPr>
                <w:lang w:val="es-ES_tradnl"/>
              </w:rPr>
            </w:pPr>
            <w:r w:rsidRPr="009960E1">
              <w:rPr>
                <w:lang w:val="es-ES_tradnl"/>
              </w:rPr>
              <w:t>Resultados clave que la Unión se propone alcanzar en el marco de sus prioridades temáticas.</w:t>
            </w:r>
          </w:p>
        </w:tc>
      </w:tr>
      <w:tr w:rsidR="00CF0CB0" w:rsidRPr="00A7143D" w14:paraId="4857870D" w14:textId="77777777" w:rsidTr="00F27F0E">
        <w:trPr>
          <w:jc w:val="center"/>
        </w:trPr>
        <w:tc>
          <w:tcPr>
            <w:tcW w:w="3104" w:type="dxa"/>
            <w:shd w:val="clear" w:color="auto" w:fill="auto"/>
          </w:tcPr>
          <w:p w14:paraId="311B4017" w14:textId="77777777" w:rsidR="00CF0CB0" w:rsidRPr="009960E1" w:rsidRDefault="00CF0CB0" w:rsidP="00F27F0E">
            <w:pPr>
              <w:pStyle w:val="Tabletext"/>
              <w:rPr>
                <w:lang w:val="es-ES_tradnl"/>
              </w:rPr>
            </w:pPr>
            <w:r w:rsidRPr="009960E1">
              <w:rPr>
                <w:lang w:val="es-ES_tradnl"/>
              </w:rPr>
              <w:t>Ofertas de productos y servicios</w:t>
            </w:r>
          </w:p>
        </w:tc>
        <w:tc>
          <w:tcPr>
            <w:tcW w:w="6505" w:type="dxa"/>
            <w:shd w:val="clear" w:color="auto" w:fill="auto"/>
          </w:tcPr>
          <w:p w14:paraId="7D768EF7" w14:textId="77777777" w:rsidR="00CF0CB0" w:rsidRPr="009960E1" w:rsidRDefault="00CF0CB0" w:rsidP="00F27F0E">
            <w:pPr>
              <w:pStyle w:val="Tabletext"/>
              <w:rPr>
                <w:lang w:val="es-ES_tradnl"/>
              </w:rPr>
            </w:pPr>
            <w:r w:rsidRPr="009960E1">
              <w:rPr>
                <w:lang w:val="es-ES_tradnl"/>
              </w:rPr>
              <w:t>Gama de productos y servicios de la UIT, que se despliegan para apoyar los trabajos de la Unión en relación con sus prioridades temáticas.</w:t>
            </w:r>
          </w:p>
        </w:tc>
      </w:tr>
      <w:tr w:rsidR="00CF0CB0" w:rsidRPr="00A7143D" w14:paraId="734A6C0F" w14:textId="77777777" w:rsidTr="00F27F0E">
        <w:trPr>
          <w:jc w:val="center"/>
        </w:trPr>
        <w:tc>
          <w:tcPr>
            <w:tcW w:w="3104" w:type="dxa"/>
            <w:shd w:val="clear" w:color="auto" w:fill="auto"/>
          </w:tcPr>
          <w:p w14:paraId="60E4D829" w14:textId="77777777" w:rsidR="00CF0CB0" w:rsidRPr="009960E1" w:rsidRDefault="00CF0CB0" w:rsidP="00F27F0E">
            <w:pPr>
              <w:pStyle w:val="Tabletext"/>
              <w:rPr>
                <w:lang w:val="es-ES_tradnl"/>
              </w:rPr>
            </w:pPr>
            <w:r w:rsidRPr="009960E1">
              <w:rPr>
                <w:lang w:val="es-ES_tradnl"/>
              </w:rPr>
              <w:t>Factores habilitadores</w:t>
            </w:r>
          </w:p>
        </w:tc>
        <w:tc>
          <w:tcPr>
            <w:tcW w:w="6505" w:type="dxa"/>
            <w:shd w:val="clear" w:color="auto" w:fill="auto"/>
          </w:tcPr>
          <w:p w14:paraId="46457FF3" w14:textId="77777777" w:rsidR="00CF0CB0" w:rsidRPr="009960E1" w:rsidRDefault="00CF0CB0" w:rsidP="00F27F0E">
            <w:pPr>
              <w:pStyle w:val="Tabletext"/>
              <w:rPr>
                <w:lang w:val="es-ES_tradnl"/>
              </w:rPr>
            </w:pPr>
            <w:r w:rsidRPr="009960E1">
              <w:rPr>
                <w:lang w:val="es-ES_tradnl"/>
              </w:rPr>
              <w:t>Métodos de trabajo que permiten a la Unión cumplir sus objetivos y prioridades de manera más eficaz y eficiente.</w:t>
            </w:r>
          </w:p>
        </w:tc>
      </w:tr>
      <w:tr w:rsidR="00CF0CB0" w:rsidRPr="00A7143D" w14:paraId="76975C91" w14:textId="77777777" w:rsidTr="00F27F0E">
        <w:trPr>
          <w:jc w:val="center"/>
        </w:trPr>
        <w:tc>
          <w:tcPr>
            <w:tcW w:w="3104" w:type="dxa"/>
            <w:shd w:val="clear" w:color="auto" w:fill="auto"/>
          </w:tcPr>
          <w:p w14:paraId="0920730A" w14:textId="77777777" w:rsidR="00CF0CB0" w:rsidRPr="009960E1" w:rsidRDefault="00CF0CB0" w:rsidP="00F27F0E">
            <w:pPr>
              <w:pStyle w:val="Tabletext"/>
              <w:rPr>
                <w:lang w:val="es-ES_tradnl"/>
              </w:rPr>
            </w:pPr>
            <w:r w:rsidRPr="009960E1">
              <w:rPr>
                <w:lang w:val="es-ES_tradnl"/>
              </w:rPr>
              <w:t>Planes operacionales y prioridades sectoriales</w:t>
            </w:r>
          </w:p>
        </w:tc>
        <w:tc>
          <w:tcPr>
            <w:tcW w:w="6505" w:type="dxa"/>
            <w:shd w:val="clear" w:color="auto" w:fill="auto"/>
          </w:tcPr>
          <w:p w14:paraId="3CE9F636" w14:textId="77777777" w:rsidR="00CF0CB0" w:rsidRPr="009960E1" w:rsidRDefault="00CF0CB0" w:rsidP="00F27F0E">
            <w:pPr>
              <w:pStyle w:val="Tabletext"/>
              <w:rPr>
                <w:lang w:val="es-ES_tradnl"/>
              </w:rPr>
            </w:pPr>
            <w:r w:rsidRPr="009960E1">
              <w:rPr>
                <w:lang w:val="es-ES_tradnl"/>
              </w:rPr>
              <w:t>El Plan Operacional es preparado cada año por cada Oficina, en consulta con el Grupo Asesor pertinente, así como por la Secretaría General, de conformidad con los Planes Estratégico y Financiero. Contiene el plan detallado para el año siguiente y una previsión para el siguiente periodo de tres años respecto de cada Sector y la Secretaría General. El Consejo examina y aprueba los planes operacionales cuadrienales renovables.</w:t>
            </w:r>
          </w:p>
        </w:tc>
      </w:tr>
    </w:tbl>
    <w:p w14:paraId="1BB8B3AE" w14:textId="0D5770F2" w:rsidR="00CF0CB0" w:rsidRPr="009960E1" w:rsidRDefault="00CF0CB0" w:rsidP="009247E5">
      <w:pPr>
        <w:pStyle w:val="Heading3"/>
        <w:rPr>
          <w:lang w:val="es-ES_tradnl"/>
        </w:rPr>
      </w:pPr>
      <w:r w:rsidRPr="009960E1">
        <w:rPr>
          <w:lang w:val="es-ES_tradnl"/>
        </w:rPr>
        <w:t>2.3.2</w:t>
      </w:r>
      <w:r w:rsidRPr="009960E1">
        <w:rPr>
          <w:lang w:val="es-ES_tradnl"/>
        </w:rPr>
        <w:tab/>
        <w:t>Análisis del plan de acción para la participación de la industria en el marco del</w:t>
      </w:r>
      <w:r w:rsidR="009247E5" w:rsidRPr="009960E1">
        <w:rPr>
          <w:lang w:val="es-ES_tradnl"/>
        </w:rPr>
        <w:t> </w:t>
      </w:r>
      <w:r w:rsidRPr="009960E1">
        <w:rPr>
          <w:lang w:val="es-ES_tradnl"/>
        </w:rPr>
        <w:t>Plan Estratégico</w:t>
      </w:r>
    </w:p>
    <w:p w14:paraId="17D1E43E" w14:textId="77777777" w:rsidR="00CF0CB0" w:rsidRPr="009960E1" w:rsidRDefault="00CF0CB0" w:rsidP="00CF0CB0">
      <w:pPr>
        <w:rPr>
          <w:lang w:val="es-ES_tradnl"/>
        </w:rPr>
      </w:pPr>
      <w:r w:rsidRPr="009960E1">
        <w:rPr>
          <w:lang w:val="es-ES_tradnl"/>
        </w:rPr>
        <w:t>A los efectos del análisis del plan de acción para la participación de la industria, el "</w:t>
      </w:r>
      <w:r w:rsidRPr="009960E1">
        <w:rPr>
          <w:b/>
          <w:bCs/>
          <w:lang w:val="es-ES_tradnl"/>
        </w:rPr>
        <w:t>objetivo estratégico global</w:t>
      </w:r>
      <w:r w:rsidRPr="009960E1">
        <w:rPr>
          <w:lang w:val="es-ES_tradnl"/>
        </w:rPr>
        <w:t>" es identificar y considerar una amplia gama de medidas para avanzar y fortalecer la participación de la industria y los Estados Miembros en el cumplimiento de las metas de la Unión y los objetivos del Plan Estratégico tanto de los países desarrollados como en desarrollo.</w:t>
      </w:r>
    </w:p>
    <w:p w14:paraId="6A2DE3AE" w14:textId="77777777" w:rsidR="00CF0CB0" w:rsidRPr="009960E1" w:rsidRDefault="00CF0CB0" w:rsidP="003760DC">
      <w:pPr>
        <w:pStyle w:val="Heading1"/>
        <w:rPr>
          <w:lang w:val="es-ES_tradnl"/>
        </w:rPr>
      </w:pPr>
      <w:r w:rsidRPr="009960E1">
        <w:rPr>
          <w:lang w:val="es-ES_tradnl"/>
        </w:rPr>
        <w:t>3</w:t>
      </w:r>
      <w:r w:rsidRPr="009960E1">
        <w:rPr>
          <w:lang w:val="es-ES_tradnl"/>
        </w:rPr>
        <w:tab/>
        <w:t>Resoluciones, artículos del Convenio y la Constitución que fomentan la participación de la industria</w:t>
      </w:r>
    </w:p>
    <w:p w14:paraId="7D847D26" w14:textId="77777777" w:rsidR="00CF0CB0" w:rsidRPr="009960E1" w:rsidRDefault="00CF0CB0" w:rsidP="00CF0CB0">
      <w:pPr>
        <w:rPr>
          <w:lang w:val="es-ES_tradnl"/>
        </w:rPr>
      </w:pPr>
      <w:r w:rsidRPr="009960E1">
        <w:rPr>
          <w:lang w:val="es-ES_tradnl"/>
        </w:rPr>
        <w:t>A efectos del análisis de los elementos del plan de acción, el enfoque del compromiso de la industria abarca:</w:t>
      </w:r>
    </w:p>
    <w:p w14:paraId="5EC20D12" w14:textId="77777777" w:rsidR="00CF0CB0" w:rsidRPr="009960E1" w:rsidRDefault="00CF0CB0" w:rsidP="008D76C0">
      <w:pPr>
        <w:pStyle w:val="enumlev1"/>
        <w:rPr>
          <w:lang w:val="es-ES_tradnl"/>
        </w:rPr>
      </w:pPr>
      <w:r w:rsidRPr="009960E1">
        <w:rPr>
          <w:lang w:val="es-ES_tradnl"/>
        </w:rPr>
        <w:t>–</w:t>
      </w:r>
      <w:r w:rsidRPr="009960E1">
        <w:rPr>
          <w:lang w:val="es-ES_tradnl"/>
        </w:rPr>
        <w:tab/>
        <w:t>la inclusión de las empresas de explotación reconocidas y las organizaciones científicas o industriales,</w:t>
      </w:r>
    </w:p>
    <w:p w14:paraId="557C4587" w14:textId="77777777" w:rsidR="00CF0CB0" w:rsidRPr="009960E1" w:rsidRDefault="00CF0CB0" w:rsidP="008D76C0">
      <w:pPr>
        <w:pStyle w:val="enumlev1"/>
        <w:rPr>
          <w:lang w:val="es-ES_tradnl"/>
        </w:rPr>
      </w:pPr>
      <w:r w:rsidRPr="009960E1">
        <w:rPr>
          <w:lang w:val="es-ES_tradnl"/>
        </w:rPr>
        <w:t>–</w:t>
      </w:r>
      <w:r w:rsidRPr="009960E1">
        <w:rPr>
          <w:lang w:val="es-ES_tradnl"/>
        </w:rPr>
        <w:tab/>
        <w:t>los asociados y las pymes deben incluirse como subconjuntos de estas categorías en dicho análisis,</w:t>
      </w:r>
    </w:p>
    <w:p w14:paraId="1B842BA7" w14:textId="77777777" w:rsidR="00CF0CB0" w:rsidRPr="009960E1" w:rsidRDefault="00CF0CB0" w:rsidP="008D76C0">
      <w:pPr>
        <w:pStyle w:val="enumlev1"/>
        <w:rPr>
          <w:lang w:val="es-ES_tradnl"/>
        </w:rPr>
      </w:pPr>
      <w:r w:rsidRPr="009960E1">
        <w:rPr>
          <w:lang w:val="es-ES_tradnl"/>
        </w:rPr>
        <w:t>–</w:t>
      </w:r>
      <w:r w:rsidRPr="009960E1">
        <w:rPr>
          <w:lang w:val="es-ES_tradnl"/>
        </w:rPr>
        <w:tab/>
        <w:t>se reconoce la ausencia de ecosistemas verticales en el UIT-T y se está dispuesto a prestarles atención,</w:t>
      </w:r>
    </w:p>
    <w:p w14:paraId="388B76D1" w14:textId="77777777" w:rsidR="00CF0CB0" w:rsidRPr="009960E1" w:rsidRDefault="00CF0CB0" w:rsidP="008D76C0">
      <w:pPr>
        <w:pStyle w:val="enumlev1"/>
        <w:rPr>
          <w:lang w:val="es-ES_tradnl"/>
        </w:rPr>
      </w:pPr>
      <w:r w:rsidRPr="009960E1">
        <w:rPr>
          <w:lang w:val="es-ES_tradnl"/>
        </w:rPr>
        <w:t>–</w:t>
      </w:r>
      <w:r w:rsidRPr="009960E1">
        <w:rPr>
          <w:lang w:val="es-ES_tradnl"/>
        </w:rPr>
        <w:tab/>
        <w:t>podría considerarse la posibilidad de incluir otras entidades, según proceda,</w:t>
      </w:r>
    </w:p>
    <w:p w14:paraId="5959FEE6" w14:textId="77777777" w:rsidR="00CF0CB0" w:rsidRPr="009960E1" w:rsidRDefault="00CF0CB0" w:rsidP="008D76C0">
      <w:pPr>
        <w:pStyle w:val="enumlev1"/>
        <w:rPr>
          <w:lang w:val="es-ES_tradnl"/>
        </w:rPr>
      </w:pPr>
      <w:r w:rsidRPr="009960E1">
        <w:rPr>
          <w:lang w:val="es-ES_tradnl"/>
        </w:rPr>
        <w:t>–</w:t>
      </w:r>
      <w:r w:rsidRPr="009960E1">
        <w:rPr>
          <w:lang w:val="es-ES_tradnl"/>
        </w:rPr>
        <w:tab/>
        <w:t>este plan de acción se centra tanto en los países desarrollados como en desarrollo.</w:t>
      </w:r>
    </w:p>
    <w:p w14:paraId="6C94A8A0" w14:textId="76AB68BB" w:rsidR="00CF0CB0" w:rsidRPr="009960E1" w:rsidRDefault="00CF0CB0" w:rsidP="009247E5">
      <w:pPr>
        <w:pStyle w:val="Heading2"/>
        <w:rPr>
          <w:lang w:val="es-ES_tradnl"/>
        </w:rPr>
      </w:pPr>
      <w:bookmarkStart w:id="86" w:name="_Toc179189979"/>
      <w:r w:rsidRPr="009960E1">
        <w:rPr>
          <w:lang w:val="es-ES_tradnl"/>
        </w:rPr>
        <w:t>3.1</w:t>
      </w:r>
      <w:r w:rsidRPr="009960E1">
        <w:rPr>
          <w:lang w:val="es-ES_tradnl"/>
        </w:rPr>
        <w:tab/>
        <w:t>Entidades que se incluirán en el plan de acción para la participación</w:t>
      </w:r>
      <w:r w:rsidR="009247E5" w:rsidRPr="009960E1">
        <w:rPr>
          <w:lang w:val="es-ES_tradnl"/>
        </w:rPr>
        <w:br/>
      </w:r>
      <w:r w:rsidRPr="009960E1">
        <w:rPr>
          <w:lang w:val="es-ES_tradnl"/>
        </w:rPr>
        <w:t>de la industria</w:t>
      </w:r>
      <w:bookmarkEnd w:id="86"/>
    </w:p>
    <w:p w14:paraId="1E15F19F" w14:textId="06229D26" w:rsidR="00CF0CB0" w:rsidRPr="009960E1" w:rsidRDefault="00CF0CB0" w:rsidP="00CF0CB0">
      <w:pPr>
        <w:rPr>
          <w:lang w:val="es-ES_tradnl"/>
        </w:rPr>
      </w:pPr>
      <w:r w:rsidRPr="009960E1">
        <w:rPr>
          <w:lang w:val="es-ES_tradnl"/>
        </w:rPr>
        <w:t>En el Artículo</w:t>
      </w:r>
      <w:r w:rsidR="009247E5" w:rsidRPr="009960E1">
        <w:rPr>
          <w:lang w:val="es-ES_tradnl"/>
        </w:rPr>
        <w:t> </w:t>
      </w:r>
      <w:r w:rsidRPr="009960E1">
        <w:rPr>
          <w:lang w:val="es-ES_tradnl"/>
        </w:rPr>
        <w:t xml:space="preserve">19 del Convenio de la UIT (Participación de entidades y organizaciones distintas de las Administraciones en las actividades de la Unión) se determinan las entidades y organizaciones que la Secretaria General y los Directores de las Oficinas han decidido aumentar su participación, </w:t>
      </w:r>
      <w:r w:rsidRPr="009960E1">
        <w:rPr>
          <w:lang w:val="es-ES_tradnl"/>
        </w:rPr>
        <w:lastRenderedPageBreak/>
        <w:t>incluidas las empresas de explotación reconocidas (EER) y las organizaciones científicas o industriales (OCI)</w:t>
      </w:r>
      <w:r w:rsidR="008741F6" w:rsidRPr="009960E1">
        <w:rPr>
          <w:lang w:val="es-ES_tradnl"/>
        </w:rPr>
        <w:t> </w:t>
      </w:r>
      <w:r w:rsidRPr="009960E1">
        <w:rPr>
          <w:vertAlign w:val="superscript"/>
          <w:lang w:val="es-ES_tradnl"/>
        </w:rPr>
        <w:footnoteReference w:id="2"/>
      </w:r>
      <w:r w:rsidRPr="009960E1">
        <w:rPr>
          <w:lang w:val="es-ES_tradnl"/>
        </w:rPr>
        <w:t xml:space="preserve"> (número</w:t>
      </w:r>
      <w:r w:rsidR="009247E5" w:rsidRPr="009960E1">
        <w:rPr>
          <w:lang w:val="es-ES_tradnl"/>
        </w:rPr>
        <w:t> </w:t>
      </w:r>
      <w:r w:rsidRPr="009960E1">
        <w:rPr>
          <w:lang w:val="es-ES_tradnl"/>
        </w:rPr>
        <w:t>229 a) del Convenio).</w:t>
      </w:r>
    </w:p>
    <w:p w14:paraId="4AE31F07" w14:textId="24C9F863" w:rsidR="00CF0CB0" w:rsidRPr="009960E1" w:rsidRDefault="00CF0CB0" w:rsidP="00CF0CB0">
      <w:pPr>
        <w:rPr>
          <w:lang w:val="es-ES_tradnl"/>
        </w:rPr>
      </w:pPr>
      <w:r w:rsidRPr="009960E1">
        <w:rPr>
          <w:lang w:val="es-ES_tradnl"/>
        </w:rPr>
        <w:t>A efectos del plan de acción, estas son las entidades que representan el centro del análisis de sus diversos componentes, tal y como se identificaron en la primera reunión del GANT en el periodo de estudios</w:t>
      </w:r>
      <w:r w:rsidR="008D76C0" w:rsidRPr="009960E1">
        <w:rPr>
          <w:lang w:val="es-ES_tradnl"/>
        </w:rPr>
        <w:t> </w:t>
      </w:r>
      <w:r w:rsidRPr="009960E1">
        <w:rPr>
          <w:lang w:val="es-ES_tradnl"/>
        </w:rPr>
        <w:t>2022-2024. Estas entidades, a su vez, se incluyen en la definición de Miembro de Sector.</w:t>
      </w:r>
    </w:p>
    <w:p w14:paraId="062A2737" w14:textId="78F35D6B" w:rsidR="00CF0CB0" w:rsidRPr="009960E1" w:rsidRDefault="00CF0CB0" w:rsidP="00CF0CB0">
      <w:pPr>
        <w:rPr>
          <w:lang w:val="es-ES_tradnl"/>
        </w:rPr>
      </w:pPr>
      <w:r w:rsidRPr="009960E1">
        <w:rPr>
          <w:lang w:val="es-ES_tradnl"/>
        </w:rPr>
        <w:t>También se incluyen en esta definición las entidades identificadas como "Asociados"</w:t>
      </w:r>
      <w:r w:rsidR="008741F6" w:rsidRPr="009960E1">
        <w:rPr>
          <w:lang w:val="es-ES_tradnl"/>
        </w:rPr>
        <w:t> </w:t>
      </w:r>
      <w:r w:rsidRPr="009960E1">
        <w:rPr>
          <w:vertAlign w:val="superscript"/>
          <w:lang w:val="es-ES_tradnl"/>
        </w:rPr>
        <w:footnoteReference w:id="3"/>
      </w:r>
      <w:r w:rsidR="008D76C0" w:rsidRPr="009960E1">
        <w:rPr>
          <w:lang w:val="es-ES_tradnl"/>
        </w:rPr>
        <w:t xml:space="preserve"> </w:t>
      </w:r>
      <w:r w:rsidRPr="009960E1">
        <w:rPr>
          <w:lang w:val="es-ES_tradnl"/>
        </w:rPr>
        <w:t>(véase la Resolución</w:t>
      </w:r>
      <w:r w:rsidR="009247E5" w:rsidRPr="009960E1">
        <w:rPr>
          <w:lang w:val="es-ES_tradnl"/>
        </w:rPr>
        <w:t> </w:t>
      </w:r>
      <w:r w:rsidRPr="009960E1">
        <w:rPr>
          <w:lang w:val="es-ES_tradnl"/>
        </w:rPr>
        <w:t>31 (Rev. Dubái, 2012) de la AMNT, Admisión de entidades y organizaciones para participar como Asociados en los trabajos del UIT-T) y las pymes (véase la Resolución</w:t>
      </w:r>
      <w:r w:rsidR="009247E5" w:rsidRPr="009960E1">
        <w:rPr>
          <w:lang w:val="es-ES_tradnl"/>
        </w:rPr>
        <w:t> </w:t>
      </w:r>
      <w:r w:rsidRPr="009960E1">
        <w:rPr>
          <w:lang w:val="es-ES_tradnl"/>
        </w:rPr>
        <w:t>209 de la</w:t>
      </w:r>
      <w:r w:rsidR="009247E5" w:rsidRPr="009960E1">
        <w:rPr>
          <w:lang w:val="es-ES_tradnl"/>
        </w:rPr>
        <w:t> </w:t>
      </w:r>
      <w:r w:rsidRPr="009960E1">
        <w:rPr>
          <w:lang w:val="es-ES_tradnl"/>
        </w:rPr>
        <w:t>PP (Dubái, 2018</w:t>
      </w:r>
      <w:r w:rsidR="008D76C0" w:rsidRPr="009960E1">
        <w:rPr>
          <w:lang w:val="es-ES_tradnl"/>
        </w:rPr>
        <w:t>)</w:t>
      </w:r>
      <w:r w:rsidR="008741F6" w:rsidRPr="009960E1">
        <w:rPr>
          <w:lang w:val="es-ES_tradnl"/>
        </w:rPr>
        <w:t> </w:t>
      </w:r>
      <w:r w:rsidRPr="009960E1">
        <w:rPr>
          <w:vertAlign w:val="superscript"/>
          <w:lang w:val="es-ES_tradnl"/>
        </w:rPr>
        <w:footnoteReference w:id="4"/>
      </w:r>
      <w:r w:rsidRPr="009960E1">
        <w:rPr>
          <w:lang w:val="es-ES_tradnl"/>
        </w:rPr>
        <w:t>, Fomento de la participación de pequeñas y medianas empresas en los trabajos de la Unión).</w:t>
      </w:r>
    </w:p>
    <w:p w14:paraId="1A2F0A07" w14:textId="77777777" w:rsidR="00CF0CB0" w:rsidRPr="009960E1" w:rsidRDefault="00CF0CB0" w:rsidP="009247E5">
      <w:pPr>
        <w:pStyle w:val="Heading1"/>
        <w:rPr>
          <w:lang w:val="es-ES_tradnl"/>
        </w:rPr>
      </w:pPr>
      <w:bookmarkStart w:id="87" w:name="_Toc179189980"/>
      <w:bookmarkStart w:id="88" w:name="_Hlk134192839"/>
      <w:r w:rsidRPr="009960E1">
        <w:rPr>
          <w:lang w:val="es-ES_tradnl"/>
        </w:rPr>
        <w:t>4</w:t>
      </w:r>
      <w:r w:rsidRPr="009960E1">
        <w:rPr>
          <w:lang w:val="es-ES_tradnl"/>
        </w:rPr>
        <w:tab/>
        <w:t>Plan de acción para la participación de la industria</w:t>
      </w:r>
      <w:bookmarkEnd w:id="87"/>
    </w:p>
    <w:bookmarkEnd w:id="88"/>
    <w:p w14:paraId="19A065FE" w14:textId="77777777" w:rsidR="00CF0CB0" w:rsidRPr="009960E1" w:rsidRDefault="00CF0CB0" w:rsidP="00CF0CB0">
      <w:pPr>
        <w:contextualSpacing/>
        <w:rPr>
          <w:iCs/>
          <w:lang w:val="es-ES_tradnl"/>
        </w:rPr>
      </w:pPr>
      <w:r w:rsidRPr="009960E1">
        <w:rPr>
          <w:lang w:val="es-ES_tradnl"/>
        </w:rPr>
        <w:t>AP1 – El plan de acción para la participación de la industria se basa en la premisa de identificar y considerar toda una serie de medidas para promover y fortalecer la participación de la industria y los Estados Miembros en el cumplimiento de los objetivos de la Unión y las metas del Plan Estratégico tanto de los países desarrollados como en desarrollo, incluidas las siguientes:</w:t>
      </w:r>
      <w:bookmarkStart w:id="89" w:name="_Hlk134192900"/>
      <w:bookmarkEnd w:id="89"/>
    </w:p>
    <w:p w14:paraId="6C6E2001" w14:textId="77777777" w:rsidR="00CF0CB0" w:rsidRPr="009960E1" w:rsidRDefault="00CF0CB0" w:rsidP="009247E5">
      <w:pPr>
        <w:pStyle w:val="enumlev2"/>
        <w:tabs>
          <w:tab w:val="clear" w:pos="1134"/>
          <w:tab w:val="clear" w:pos="1871"/>
        </w:tabs>
        <w:ind w:left="1134" w:firstLine="0"/>
        <w:rPr>
          <w:iCs/>
          <w:lang w:val="es-ES_tradnl"/>
        </w:rPr>
      </w:pPr>
      <w:r w:rsidRPr="009960E1">
        <w:rPr>
          <w:lang w:val="es-ES_tradnl"/>
        </w:rPr>
        <w:t>AP1.1 – Identificar si existe un problema de falta de conocimiento de la normalización, y de falta de conocimiento del UIT-T en particular, incluyendo, pero sin limitarse a:</w:t>
      </w:r>
    </w:p>
    <w:p w14:paraId="2E20EE6A" w14:textId="77777777" w:rsidR="00CF0CB0" w:rsidRPr="009960E1" w:rsidRDefault="00CF0CB0" w:rsidP="009247E5">
      <w:pPr>
        <w:pStyle w:val="enumlev3"/>
        <w:tabs>
          <w:tab w:val="clear" w:pos="1871"/>
        </w:tabs>
        <w:ind w:left="1843" w:firstLine="0"/>
        <w:rPr>
          <w:iCs/>
          <w:lang w:val="es-ES_tradnl"/>
        </w:rPr>
      </w:pPr>
      <w:r w:rsidRPr="009960E1">
        <w:rPr>
          <w:lang w:val="es-ES_tradnl"/>
        </w:rPr>
        <w:t>AP1.1.1 – Correlacionar la falta de sensibilización con la falta de compromiso con las normas,</w:t>
      </w:r>
    </w:p>
    <w:p w14:paraId="4E4BDCCF" w14:textId="77777777" w:rsidR="00CF0CB0" w:rsidRPr="009960E1" w:rsidRDefault="00CF0CB0" w:rsidP="009247E5">
      <w:pPr>
        <w:pStyle w:val="enumlev3"/>
        <w:tabs>
          <w:tab w:val="clear" w:pos="1871"/>
        </w:tabs>
        <w:ind w:left="1843" w:firstLine="0"/>
        <w:rPr>
          <w:iCs/>
          <w:lang w:val="es-ES_tradnl"/>
        </w:rPr>
      </w:pPr>
      <w:r w:rsidRPr="009960E1">
        <w:rPr>
          <w:lang w:val="es-ES_tradnl"/>
        </w:rPr>
        <w:t>AP1.1.2 – Identificar las funciones y factores que intervienen, y las formas y los medios para aumentar la participación, por ejemplo, identificando nuevas métricas y mejorando las existentes,</w:t>
      </w:r>
    </w:p>
    <w:p w14:paraId="1F360C3A" w14:textId="77777777" w:rsidR="00CF0CB0" w:rsidRPr="009960E1" w:rsidRDefault="00CF0CB0" w:rsidP="009247E5">
      <w:pPr>
        <w:pStyle w:val="enumlev3"/>
        <w:tabs>
          <w:tab w:val="clear" w:pos="1871"/>
        </w:tabs>
        <w:ind w:left="1843" w:firstLine="0"/>
        <w:rPr>
          <w:iCs/>
          <w:lang w:val="es-ES_tradnl"/>
        </w:rPr>
      </w:pPr>
      <w:r w:rsidRPr="009960E1">
        <w:rPr>
          <w:lang w:val="es-ES_tradnl"/>
        </w:rPr>
        <w:t>AP1.1.3 – Identificar si la falta de cursos de normalización para líderes de la industria (MBA, etc.) contribuye a una falta de cultura de liderazgo en materia de normalización que, en algunos ámbitos, no proporciona las condiciones para que los equipos de normalización se desarrollen y prosperen.</w:t>
      </w:r>
    </w:p>
    <w:p w14:paraId="7B246B5D" w14:textId="77777777" w:rsidR="00CF0CB0" w:rsidRPr="009960E1" w:rsidRDefault="00CF0CB0" w:rsidP="008D76C0">
      <w:pPr>
        <w:pStyle w:val="enumlev2"/>
        <w:tabs>
          <w:tab w:val="clear" w:pos="1134"/>
          <w:tab w:val="clear" w:pos="1871"/>
        </w:tabs>
        <w:ind w:left="1134" w:firstLine="0"/>
        <w:rPr>
          <w:iCs/>
          <w:lang w:val="es-ES_tradnl"/>
        </w:rPr>
      </w:pPr>
      <w:r w:rsidRPr="009960E1">
        <w:rPr>
          <w:lang w:val="es-ES_tradnl"/>
        </w:rPr>
        <w:t>AP1.2 – Identificar cómo puede el UIT-T lograr una visión común del futuro como asociación entre los Estados Miembros y la industria a fin de preservar y fortalecer su credibilidad internacional definiendo más claramente las funciones respectivas de dicha asociación;</w:t>
      </w:r>
    </w:p>
    <w:p w14:paraId="5B2F101B" w14:textId="77777777" w:rsidR="00CF0CB0" w:rsidRPr="009960E1" w:rsidRDefault="00CF0CB0" w:rsidP="008D76C0">
      <w:pPr>
        <w:pStyle w:val="enumlev2"/>
        <w:tabs>
          <w:tab w:val="clear" w:pos="1134"/>
          <w:tab w:val="clear" w:pos="1871"/>
        </w:tabs>
        <w:ind w:left="1134" w:firstLine="0"/>
        <w:rPr>
          <w:iCs/>
          <w:lang w:val="es-ES_tradnl"/>
        </w:rPr>
      </w:pPr>
      <w:r w:rsidRPr="009960E1">
        <w:rPr>
          <w:lang w:val="es-ES_tradnl"/>
        </w:rPr>
        <w:t>AP1.3 – Identificar propuestas de valor para mejorar la participación y retención de la industria como Miembros de Sector y Asociados (incluidas las pymes) en el UIT-T;</w:t>
      </w:r>
    </w:p>
    <w:p w14:paraId="385B1ADE" w14:textId="77777777" w:rsidR="00CF0CB0" w:rsidRPr="009960E1" w:rsidRDefault="00CF0CB0" w:rsidP="008D76C0">
      <w:pPr>
        <w:pStyle w:val="enumlev2"/>
        <w:tabs>
          <w:tab w:val="clear" w:pos="1134"/>
          <w:tab w:val="clear" w:pos="1871"/>
        </w:tabs>
        <w:ind w:left="1134" w:firstLine="0"/>
        <w:rPr>
          <w:iCs/>
          <w:lang w:val="es-ES_tradnl"/>
        </w:rPr>
      </w:pPr>
      <w:r w:rsidRPr="009960E1">
        <w:rPr>
          <w:lang w:val="es-ES_tradnl"/>
        </w:rPr>
        <w:lastRenderedPageBreak/>
        <w:t>AP1.4 – Identificar la manera de atraer a la industria de países desarrollados y en desarrollo para que participen en el UIT-T como nuevos Miembros de Sector, Asociados y pymes, en particular de la próxima generación, y ser inclusivos;</w:t>
      </w:r>
    </w:p>
    <w:p w14:paraId="386A5B79" w14:textId="77777777" w:rsidR="00CF0CB0" w:rsidRPr="009960E1" w:rsidRDefault="00CF0CB0" w:rsidP="008D76C0">
      <w:pPr>
        <w:pStyle w:val="enumlev2"/>
        <w:tabs>
          <w:tab w:val="clear" w:pos="1134"/>
          <w:tab w:val="clear" w:pos="1871"/>
        </w:tabs>
        <w:ind w:left="1134" w:firstLine="0"/>
        <w:rPr>
          <w:iCs/>
          <w:lang w:val="es-ES_tradnl"/>
        </w:rPr>
      </w:pPr>
      <w:r w:rsidRPr="009960E1">
        <w:rPr>
          <w:lang w:val="es-ES_tradnl"/>
        </w:rPr>
        <w:t>AP1.5 – Determinar cómo reducir la brecha entre tecnología, política y estrategia en materia de normalización;</w:t>
      </w:r>
    </w:p>
    <w:p w14:paraId="45B51664" w14:textId="77777777" w:rsidR="00CF0CB0" w:rsidRPr="009960E1" w:rsidRDefault="00CF0CB0" w:rsidP="008D76C0">
      <w:pPr>
        <w:pStyle w:val="enumlev2"/>
        <w:tabs>
          <w:tab w:val="clear" w:pos="1134"/>
          <w:tab w:val="clear" w:pos="1871"/>
        </w:tabs>
        <w:ind w:left="1134" w:firstLine="0"/>
        <w:rPr>
          <w:iCs/>
          <w:lang w:val="es-ES_tradnl"/>
        </w:rPr>
      </w:pPr>
      <w:r w:rsidRPr="009960E1">
        <w:rPr>
          <w:lang w:val="es-ES_tradnl"/>
        </w:rPr>
        <w:t>AP1.6 – Identificar cómo pueden contribuir los Miembros de Sector y los Asociados del UIT-T (incluidas las pymes) a un diálogo conducente a un entorno propicio que añada valor y mejore la calidad;</w:t>
      </w:r>
    </w:p>
    <w:p w14:paraId="6D8E19B6" w14:textId="77777777" w:rsidR="00CF0CB0" w:rsidRPr="009960E1" w:rsidRDefault="00CF0CB0" w:rsidP="008D76C0">
      <w:pPr>
        <w:pStyle w:val="enumlev2"/>
        <w:tabs>
          <w:tab w:val="clear" w:pos="1134"/>
          <w:tab w:val="clear" w:pos="1871"/>
        </w:tabs>
        <w:ind w:left="1134" w:firstLine="0"/>
        <w:rPr>
          <w:iCs/>
          <w:lang w:val="es-ES_tradnl"/>
        </w:rPr>
      </w:pPr>
      <w:r w:rsidRPr="009960E1">
        <w:rPr>
          <w:lang w:val="es-ES_tradnl"/>
        </w:rPr>
        <w:t>AP1.7 – Motivar la coordinación de las actividades de normalización por los Miembros de Sector y Asociados del UIT-T (incluidas las pymes) que participan en otras organizaciones de normalización.</w:t>
      </w:r>
    </w:p>
    <w:p w14:paraId="7F7D5027" w14:textId="77777777" w:rsidR="00CF0CB0" w:rsidRPr="009960E1" w:rsidRDefault="00CF0CB0" w:rsidP="008D76C0">
      <w:pPr>
        <w:rPr>
          <w:lang w:val="es-ES_tradnl"/>
        </w:rPr>
      </w:pPr>
      <w:r w:rsidRPr="009960E1">
        <w:rPr>
          <w:lang w:val="es-ES_tradnl"/>
        </w:rPr>
        <w:t>AP2 – El plan de acción para la participación de la industria elaborado por el GANT también debe considerar estrategias de implementación para lograr lo anterior mediante la organización de talleres y encuestas periódicas con la industria para recibir información sobre cómo mejorar la participación en el UIT-T.</w:t>
      </w:r>
    </w:p>
    <w:p w14:paraId="0578DDE2" w14:textId="77777777" w:rsidR="00CF0CB0" w:rsidRPr="009960E1" w:rsidRDefault="00CF0CB0" w:rsidP="008D76C0">
      <w:pPr>
        <w:rPr>
          <w:lang w:val="es-ES_tradnl"/>
        </w:rPr>
      </w:pPr>
      <w:r w:rsidRPr="009960E1">
        <w:rPr>
          <w:lang w:val="es-ES_tradnl"/>
        </w:rPr>
        <w:t>AP3 – Estas acciones complementarían las actividades actuales que se están llevando a cabo como parte del proceso de CTO/CxO descrito en la (Resolución 68, Rev. Hammamet, 2016), aunque parte del Plan de Acción se centraría en determinar si se han alcanzado los objetivos originales de la Resolución 68. Sobre la base de la evaluación, realizar una revisión del proceso CTO/CxO según sea necesario.</w:t>
      </w:r>
    </w:p>
    <w:p w14:paraId="50B319A4" w14:textId="77777777" w:rsidR="00CF0CB0" w:rsidRPr="009960E1" w:rsidRDefault="00CF0CB0" w:rsidP="008D76C0">
      <w:pPr>
        <w:rPr>
          <w:lang w:val="es-ES_tradnl"/>
        </w:rPr>
      </w:pPr>
      <w:r w:rsidRPr="009960E1">
        <w:rPr>
          <w:lang w:val="es-ES_tradnl"/>
        </w:rPr>
        <w:t>AP4 – Estructurar el plan de acción sobre la base de la estructura basada en resultados del Plan Estratégico de la UIT, incluidas las realizaciones clave y los indicadores de realizaciones clave.</w:t>
      </w:r>
    </w:p>
    <w:p w14:paraId="443EC5CD" w14:textId="18F4A74F" w:rsidR="00CF0CB0" w:rsidRPr="009960E1" w:rsidRDefault="00CF0CB0" w:rsidP="008D76C0">
      <w:pPr>
        <w:rPr>
          <w:lang w:val="es-ES_tradnl"/>
        </w:rPr>
      </w:pPr>
      <w:r w:rsidRPr="009960E1">
        <w:rPr>
          <w:lang w:val="es-ES_tradnl"/>
        </w:rPr>
        <w:t>AP5 – Enviar una circular informando a los miembros sobre los debates en curso en el GANT para fomentar la participación de la industria, por ejemplo, basándose en el texto del Documento TSAG</w:t>
      </w:r>
      <w:r w:rsidR="008741F6" w:rsidRPr="009960E1">
        <w:rPr>
          <w:lang w:val="es-ES_tradnl"/>
        </w:rPr>
        <w:noBreakHyphen/>
      </w:r>
      <w:r w:rsidRPr="009960E1">
        <w:rPr>
          <w:lang w:val="es-ES_tradnl"/>
        </w:rPr>
        <w:t>C15R1.</w:t>
      </w:r>
    </w:p>
    <w:p w14:paraId="57D72DCF" w14:textId="77777777" w:rsidR="00CF0CB0" w:rsidRPr="009960E1" w:rsidRDefault="00CF0CB0" w:rsidP="008D76C0">
      <w:pPr>
        <w:rPr>
          <w:lang w:val="es-ES_tradnl"/>
        </w:rPr>
      </w:pPr>
      <w:r w:rsidRPr="009960E1">
        <w:rPr>
          <w:lang w:val="es-ES_tradnl"/>
        </w:rPr>
        <w:t>AP6 – Dado que existen interdependencias entre los Grupos de Relator, los descubrimientos y progresos logrados en este plan de acción podrían ser pertinentes para otros Grupos de Relator del GANT, por lo que la coordinación con el RG-IEM debe garantizar la coherencia.</w:t>
      </w:r>
    </w:p>
    <w:p w14:paraId="7505356A" w14:textId="77777777" w:rsidR="00CF0CB0" w:rsidRPr="009960E1" w:rsidRDefault="00CF0CB0" w:rsidP="00CF0CB0">
      <w:pPr>
        <w:rPr>
          <w:lang w:val="es-ES_tradnl"/>
        </w:rPr>
      </w:pPr>
      <w:r w:rsidRPr="009960E1">
        <w:rPr>
          <w:lang w:val="es-ES_tradnl"/>
        </w:rPr>
        <w:t>A fin de facilitar la aplicación del plan de acción, se sugiere que algunos elementos del plan se aborden antes que otros. Esta acción estaría sujeta a una evaluación continua a medida que prosiga el trabajo del RG-IEM.</w:t>
      </w:r>
    </w:p>
    <w:p w14:paraId="63DF0DD4" w14:textId="77777777" w:rsidR="00CF0CB0" w:rsidRPr="009960E1" w:rsidRDefault="00CF0CB0" w:rsidP="008741F6">
      <w:pPr>
        <w:pStyle w:val="Heading1"/>
        <w:rPr>
          <w:lang w:val="es-ES_tradnl"/>
        </w:rPr>
      </w:pPr>
      <w:bookmarkStart w:id="90" w:name="_Toc179189981"/>
      <w:r w:rsidRPr="009960E1">
        <w:rPr>
          <w:lang w:val="es-ES_tradnl"/>
        </w:rPr>
        <w:t>5</w:t>
      </w:r>
      <w:r w:rsidRPr="009960E1">
        <w:rPr>
          <w:lang w:val="es-ES_tradnl"/>
        </w:rPr>
        <w:tab/>
        <w:t>Ofertas de servicios del UIT-T</w:t>
      </w:r>
      <w:bookmarkEnd w:id="90"/>
    </w:p>
    <w:p w14:paraId="7F2274A0" w14:textId="0191FF94" w:rsidR="00CF0CB0" w:rsidRPr="009960E1" w:rsidRDefault="00CF0CB0" w:rsidP="008741F6">
      <w:pPr>
        <w:keepNext/>
        <w:keepLines/>
        <w:rPr>
          <w:lang w:val="es-ES_tradnl"/>
        </w:rPr>
      </w:pPr>
      <w:r w:rsidRPr="009960E1">
        <w:rPr>
          <w:lang w:val="es-ES_tradnl"/>
        </w:rPr>
        <w:t>A fin de lograr las realizaciones de los pilares mencionados, podrían introducirse los servicios ofrecidos por el UIT-T. La gama de servicios puede consultarse en la sección</w:t>
      </w:r>
      <w:r w:rsidR="008741F6" w:rsidRPr="009960E1">
        <w:rPr>
          <w:lang w:val="es-ES_tradnl"/>
        </w:rPr>
        <w:t> </w:t>
      </w:r>
      <w:r w:rsidRPr="009960E1">
        <w:rPr>
          <w:lang w:val="es-ES_tradnl"/>
        </w:rPr>
        <w:t>2.7 de la Resolución</w:t>
      </w:r>
      <w:r w:rsidR="008741F6" w:rsidRPr="009960E1">
        <w:rPr>
          <w:lang w:val="es-ES_tradnl"/>
        </w:rPr>
        <w:t> </w:t>
      </w:r>
      <w:r w:rsidRPr="009960E1">
        <w:rPr>
          <w:lang w:val="es-ES_tradnl"/>
        </w:rPr>
        <w:t>71 de la Conferencia de Plenipotenciarios de 2022</w:t>
      </w:r>
      <w:r w:rsidR="008741F6" w:rsidRPr="009960E1">
        <w:rPr>
          <w:lang w:val="es-ES_tradnl"/>
        </w:rPr>
        <w:t> </w:t>
      </w:r>
      <w:r w:rsidRPr="009960E1">
        <w:rPr>
          <w:vertAlign w:val="superscript"/>
          <w:lang w:val="es-ES_tradnl" w:eastAsia="zh-CN"/>
        </w:rPr>
        <w:footnoteReference w:id="5"/>
      </w:r>
      <w:r w:rsidRPr="009960E1">
        <w:rPr>
          <w:lang w:val="es-ES_tradnl"/>
        </w:rPr>
        <w:t>. Cada Sector y la Secretaría General proporcionarán información más detallada sobre la forma en que desplegarán estos servicios, y se pueden seleccionar los elementos pertinentes para añadirlos al plan de acción de participación de la industria:</w:t>
      </w:r>
    </w:p>
    <w:p w14:paraId="67E10C91" w14:textId="77777777" w:rsidR="00CF0CB0" w:rsidRPr="009960E1" w:rsidRDefault="00CF0CB0" w:rsidP="008741F6">
      <w:pPr>
        <w:pStyle w:val="enumlev1"/>
        <w:rPr>
          <w:lang w:val="es-ES_tradnl"/>
        </w:rPr>
      </w:pPr>
      <w:r w:rsidRPr="009960E1">
        <w:rPr>
          <w:lang w:val="es-ES_tradnl"/>
        </w:rPr>
        <w:t>–</w:t>
      </w:r>
      <w:r w:rsidRPr="009960E1">
        <w:rPr>
          <w:lang w:val="es-ES_tradnl"/>
        </w:rPr>
        <w:tab/>
        <w:t>Elaboración de normas del UIT-T y otros productos</w:t>
      </w:r>
    </w:p>
    <w:p w14:paraId="3FAC0CFD" w14:textId="77777777" w:rsidR="00CF0CB0" w:rsidRPr="009960E1" w:rsidRDefault="00CF0CB0" w:rsidP="008741F6">
      <w:pPr>
        <w:pStyle w:val="enumlev1"/>
        <w:rPr>
          <w:color w:val="000000" w:themeColor="text1"/>
          <w:lang w:val="es-ES_tradnl"/>
        </w:rPr>
      </w:pPr>
      <w:r w:rsidRPr="009960E1">
        <w:rPr>
          <w:lang w:val="es-ES_tradnl"/>
        </w:rPr>
        <w:t>–</w:t>
      </w:r>
      <w:r w:rsidRPr="009960E1">
        <w:rPr>
          <w:lang w:val="es-ES_tradnl"/>
        </w:rPr>
        <w:tab/>
        <w:t>Elaboración de marcos políticos y productos de conocimiento</w:t>
      </w:r>
    </w:p>
    <w:p w14:paraId="467B187B" w14:textId="77777777" w:rsidR="00CF0CB0" w:rsidRPr="009960E1" w:rsidRDefault="00CF0CB0" w:rsidP="008741F6">
      <w:pPr>
        <w:pStyle w:val="enumlev1"/>
        <w:rPr>
          <w:lang w:val="es-ES_tradnl"/>
        </w:rPr>
      </w:pPr>
      <w:r w:rsidRPr="009960E1">
        <w:rPr>
          <w:lang w:val="es-ES_tradnl"/>
        </w:rPr>
        <w:t>–</w:t>
      </w:r>
      <w:r w:rsidRPr="009960E1">
        <w:rPr>
          <w:lang w:val="es-ES_tradnl"/>
        </w:rPr>
        <w:tab/>
        <w:t>Suministro de datos y estadísticas</w:t>
      </w:r>
    </w:p>
    <w:p w14:paraId="7B6706F7" w14:textId="77777777" w:rsidR="00CF0CB0" w:rsidRPr="009960E1" w:rsidRDefault="00CF0CB0" w:rsidP="008741F6">
      <w:pPr>
        <w:pStyle w:val="enumlev1"/>
        <w:rPr>
          <w:lang w:val="es-ES_tradnl"/>
        </w:rPr>
      </w:pPr>
      <w:r w:rsidRPr="009960E1">
        <w:rPr>
          <w:lang w:val="es-ES_tradnl"/>
        </w:rPr>
        <w:t>–</w:t>
      </w:r>
      <w:r w:rsidRPr="009960E1">
        <w:rPr>
          <w:lang w:val="es-ES_tradnl"/>
        </w:rPr>
        <w:tab/>
        <w:t>Desarrollo de capacidades</w:t>
      </w:r>
    </w:p>
    <w:p w14:paraId="3A831B3B" w14:textId="77777777" w:rsidR="00CF0CB0" w:rsidRPr="009960E1" w:rsidRDefault="00CF0CB0" w:rsidP="008741F6">
      <w:pPr>
        <w:pStyle w:val="enumlev1"/>
        <w:rPr>
          <w:lang w:val="es-ES_tradnl"/>
        </w:rPr>
      </w:pPr>
      <w:r w:rsidRPr="009960E1">
        <w:rPr>
          <w:lang w:val="es-ES_tradnl"/>
        </w:rPr>
        <w:t>–</w:t>
      </w:r>
      <w:r w:rsidRPr="009960E1">
        <w:rPr>
          <w:lang w:val="es-ES_tradnl"/>
        </w:rPr>
        <w:tab/>
        <w:t>Prestación de asistencia técnica</w:t>
      </w:r>
    </w:p>
    <w:p w14:paraId="52B876AE" w14:textId="77777777" w:rsidR="00CF0CB0" w:rsidRPr="009960E1" w:rsidRDefault="00CF0CB0" w:rsidP="008741F6">
      <w:pPr>
        <w:pStyle w:val="enumlev1"/>
        <w:rPr>
          <w:lang w:val="es-ES_tradnl"/>
        </w:rPr>
      </w:pPr>
      <w:r w:rsidRPr="009960E1">
        <w:rPr>
          <w:lang w:val="es-ES_tradnl"/>
        </w:rPr>
        <w:lastRenderedPageBreak/>
        <w:t>–</w:t>
      </w:r>
      <w:r w:rsidRPr="009960E1">
        <w:rPr>
          <w:lang w:val="es-ES_tradnl"/>
        </w:rPr>
        <w:tab/>
        <w:t>Creación de plataformas</w:t>
      </w:r>
    </w:p>
    <w:p w14:paraId="09ADDFA9" w14:textId="77777777" w:rsidR="00CF0CB0" w:rsidRPr="009960E1" w:rsidRDefault="00CF0CB0" w:rsidP="008741F6">
      <w:pPr>
        <w:pStyle w:val="enumlev1"/>
        <w:rPr>
          <w:lang w:val="es-ES_tradnl"/>
        </w:rPr>
      </w:pPr>
      <w:r w:rsidRPr="009960E1">
        <w:rPr>
          <w:lang w:val="es-ES_tradnl"/>
        </w:rPr>
        <w:t>–</w:t>
      </w:r>
      <w:r w:rsidRPr="009960E1">
        <w:rPr>
          <w:lang w:val="es-ES_tradnl"/>
        </w:rPr>
        <w:tab/>
        <w:t>Organización de talleres</w:t>
      </w:r>
    </w:p>
    <w:p w14:paraId="6E69FFD4" w14:textId="77777777" w:rsidR="00CF0CB0" w:rsidRPr="009960E1" w:rsidRDefault="00CF0CB0" w:rsidP="008741F6">
      <w:pPr>
        <w:pStyle w:val="enumlev1"/>
        <w:rPr>
          <w:lang w:val="es-ES_tradnl"/>
        </w:rPr>
      </w:pPr>
      <w:r w:rsidRPr="009960E1">
        <w:rPr>
          <w:lang w:val="es-ES_tradnl"/>
        </w:rPr>
        <w:t>–</w:t>
      </w:r>
      <w:r w:rsidRPr="009960E1">
        <w:rPr>
          <w:lang w:val="es-ES_tradnl"/>
        </w:rPr>
        <w:tab/>
        <w:t>Organización de encuestas</w:t>
      </w:r>
    </w:p>
    <w:p w14:paraId="73885303" w14:textId="07EADB89" w:rsidR="00CF0CB0" w:rsidRPr="009960E1" w:rsidRDefault="00CF0CB0" w:rsidP="008741F6">
      <w:pPr>
        <w:pStyle w:val="Heading1"/>
        <w:rPr>
          <w:lang w:val="es-ES_tradnl"/>
        </w:rPr>
      </w:pPr>
      <w:bookmarkStart w:id="91" w:name="_Toc179189982"/>
      <w:r w:rsidRPr="009960E1">
        <w:rPr>
          <w:lang w:val="es-ES_tradnl"/>
        </w:rPr>
        <w:t>6</w:t>
      </w:r>
      <w:r w:rsidRPr="009960E1">
        <w:rPr>
          <w:lang w:val="es-ES_tradnl"/>
        </w:rPr>
        <w:tab/>
        <w:t>Factores habilitadores/medidas que debe adoptar el UIT-T para</w:t>
      </w:r>
      <w:r w:rsidR="008741F6" w:rsidRPr="009960E1">
        <w:rPr>
          <w:lang w:val="es-ES_tradnl"/>
        </w:rPr>
        <w:t> </w:t>
      </w:r>
      <w:r w:rsidRPr="009960E1">
        <w:rPr>
          <w:lang w:val="es-ES_tradnl"/>
        </w:rPr>
        <w:t>fomentar la participación de la industria</w:t>
      </w:r>
      <w:bookmarkEnd w:id="91"/>
    </w:p>
    <w:p w14:paraId="4FE5829D" w14:textId="2D6B232B" w:rsidR="00CF0CB0" w:rsidRPr="009960E1" w:rsidRDefault="00CF0CB0" w:rsidP="00CF0CB0">
      <w:pPr>
        <w:rPr>
          <w:lang w:val="es-ES_tradnl"/>
        </w:rPr>
      </w:pPr>
      <w:r w:rsidRPr="009960E1">
        <w:rPr>
          <w:lang w:val="es-ES_tradnl"/>
        </w:rPr>
        <w:t>El término "factor habilitador" se ha utilizado para destacar la necesidad de que la UIT trabaje como una organización impulsada por los miembros, que incluya no sólo a los Estados Miembros, sino que también "se esforzará por afianzar su compromiso con los representantes del sector de las telecomunicaciones/TIC, así como de otros sectores industriales, para demostrar su propuesta de valor en el contexto de los objetivos estratégicos"</w:t>
      </w:r>
      <w:r w:rsidR="008741F6" w:rsidRPr="009960E1">
        <w:rPr>
          <w:lang w:val="es-ES_tradnl"/>
        </w:rPr>
        <w:t xml:space="preserve"> </w:t>
      </w:r>
      <w:r w:rsidRPr="009960E1">
        <w:rPr>
          <w:lang w:val="es-ES_tradnl"/>
        </w:rPr>
        <w:t>(</w:t>
      </w:r>
      <w:r w:rsidR="008741F6" w:rsidRPr="009960E1">
        <w:rPr>
          <w:lang w:val="es-ES_tradnl"/>
        </w:rPr>
        <w:t xml:space="preserve">véase </w:t>
      </w:r>
      <w:r w:rsidRPr="009960E1">
        <w:rPr>
          <w:lang w:val="es-ES_tradnl"/>
        </w:rPr>
        <w:t>el Anexo 1 a la Resolución</w:t>
      </w:r>
      <w:r w:rsidR="008741F6" w:rsidRPr="009960E1">
        <w:rPr>
          <w:lang w:val="es-ES_tradnl"/>
        </w:rPr>
        <w:t> </w:t>
      </w:r>
      <w:r w:rsidRPr="009960E1">
        <w:rPr>
          <w:lang w:val="es-ES_tradnl"/>
        </w:rPr>
        <w:t>71 (Rev.</w:t>
      </w:r>
      <w:r w:rsidR="008741F6" w:rsidRPr="009960E1">
        <w:rPr>
          <w:lang w:val="es-ES_tradnl"/>
        </w:rPr>
        <w:t> </w:t>
      </w:r>
      <w:r w:rsidRPr="009960E1">
        <w:rPr>
          <w:lang w:val="es-ES_tradnl"/>
        </w:rPr>
        <w:t>Bucarest, 2022), sección 2 ([b-Plan Estratégico de la UIT] Marco estratégico para</w:t>
      </w:r>
      <w:r w:rsidR="008741F6" w:rsidRPr="009960E1">
        <w:rPr>
          <w:lang w:val="es-ES_tradnl"/>
        </w:rPr>
        <w:t> </w:t>
      </w:r>
      <w:r w:rsidRPr="009960E1">
        <w:rPr>
          <w:lang w:val="es-ES_tradnl"/>
        </w:rPr>
        <w:t>2024</w:t>
      </w:r>
      <w:r w:rsidR="008741F6" w:rsidRPr="009960E1">
        <w:rPr>
          <w:lang w:val="es-ES_tradnl"/>
        </w:rPr>
        <w:noBreakHyphen/>
      </w:r>
      <w:r w:rsidRPr="009960E1">
        <w:rPr>
          <w:lang w:val="es-ES_tradnl"/>
        </w:rPr>
        <w:t>2027), sección 2.8 Factores habilitadores):</w:t>
      </w:r>
    </w:p>
    <w:p w14:paraId="32D0A9DC" w14:textId="77777777" w:rsidR="00CF0CB0" w:rsidRPr="009960E1" w:rsidRDefault="00CF0CB0" w:rsidP="008741F6">
      <w:pPr>
        <w:pStyle w:val="NormalIndent"/>
        <w:rPr>
          <w:b/>
          <w:bCs/>
          <w:lang w:val="es-ES_tradnl"/>
        </w:rPr>
      </w:pPr>
      <w:r w:rsidRPr="009960E1">
        <w:rPr>
          <w:lang w:val="es-ES_tradnl"/>
        </w:rPr>
        <w:t>"</w:t>
      </w:r>
      <w:r w:rsidRPr="009960E1">
        <w:rPr>
          <w:b/>
          <w:bCs/>
          <w:lang w:val="es-ES_tradnl"/>
        </w:rPr>
        <w:t>2.8 Factores habilitadores</w:t>
      </w:r>
    </w:p>
    <w:p w14:paraId="0A113B2F" w14:textId="027FDF9A" w:rsidR="00CF0CB0" w:rsidRPr="009960E1" w:rsidRDefault="00CF0CB0" w:rsidP="008741F6">
      <w:pPr>
        <w:pStyle w:val="NormalIndent"/>
        <w:rPr>
          <w:lang w:val="es-ES_tradnl"/>
        </w:rPr>
      </w:pPr>
      <w:r w:rsidRPr="009960E1">
        <w:rPr>
          <w:lang w:val="es-ES_tradnl"/>
        </w:rPr>
        <w:t>64</w:t>
      </w:r>
      <w:r w:rsidR="008741F6" w:rsidRPr="009960E1">
        <w:rPr>
          <w:lang w:val="es-ES_tradnl"/>
        </w:rPr>
        <w:tab/>
      </w:r>
      <w:r w:rsidRPr="009960E1">
        <w:rPr>
          <w:lang w:val="es-ES_tradnl"/>
        </w:rPr>
        <w:t>Los factores habilitadores son los métodos de trabajo que permiten a la UIT cumplir sus objetivos y prioridades de manera más eficaz y eficiente. Éstos reflejan tanto los valores de la Unión de eficiencia, transparencia, responsabilidad, apertura, universalidad y neutralidad, como su condición de organización antropocéntrica, orientada a los servicios y basada en los resultados, aprovechan sus principales puntos fuertes y abordan sus puntos débiles, para poder apoyar a sus Miembros.</w:t>
      </w:r>
    </w:p>
    <w:p w14:paraId="521840E1" w14:textId="77777777" w:rsidR="00CF0CB0" w:rsidRPr="009960E1" w:rsidRDefault="00CF0CB0" w:rsidP="008741F6">
      <w:pPr>
        <w:pStyle w:val="NormalIndent"/>
        <w:rPr>
          <w:b/>
          <w:bCs/>
          <w:lang w:val="es-ES_tradnl"/>
        </w:rPr>
      </w:pPr>
      <w:r w:rsidRPr="009960E1">
        <w:rPr>
          <w:b/>
          <w:bCs/>
          <w:lang w:val="es-ES_tradnl"/>
        </w:rPr>
        <w:t>Impulso de los miembros</w:t>
      </w:r>
    </w:p>
    <w:p w14:paraId="077DEA88" w14:textId="11A12476" w:rsidR="00CF0CB0" w:rsidRPr="009960E1" w:rsidRDefault="00CF0CB0" w:rsidP="008741F6">
      <w:pPr>
        <w:pStyle w:val="NormalIndent"/>
        <w:rPr>
          <w:lang w:val="es-ES_tradnl"/>
        </w:rPr>
      </w:pPr>
      <w:r w:rsidRPr="009960E1">
        <w:rPr>
          <w:lang w:val="es-ES_tradnl"/>
        </w:rPr>
        <w:t>65</w:t>
      </w:r>
      <w:r w:rsidR="008741F6" w:rsidRPr="009960E1">
        <w:rPr>
          <w:lang w:val="es-ES_tradnl"/>
        </w:rPr>
        <w:tab/>
      </w:r>
      <w:r w:rsidRPr="009960E1">
        <w:rPr>
          <w:lang w:val="es-ES_tradnl"/>
        </w:rPr>
        <w:t>La UIT seguirá trabajando como una organización impulsada por sus Miembros, a fin de atender y reflejar eficazmente las necesidades de estos últimos. La UIT reconoce las necesidades de todos los países, en particular las de los países en desarrollo, incluidos los PMA, los PEID, los PDSL y los países con economías en transición, así como de las poblaciones insuficientemente atendidas y vulnerables, a las que habría que dar prioridad y prestar la debida atención. La UIT también se esforzará por afianzar su compromiso con los representantes del sector de las telecomunicaciones/TIC, así como de otros sectores industriales, para demostrar su propuesta de valor en el contexto de los objetivos estratégicos</w:t>
      </w:r>
      <w:r w:rsidR="00A01B74">
        <w:rPr>
          <w:lang w:val="es-ES_tradnl"/>
        </w:rPr>
        <w:t>"</w:t>
      </w:r>
      <w:r w:rsidRPr="009960E1">
        <w:rPr>
          <w:lang w:val="es-ES_tradnl"/>
        </w:rPr>
        <w:t>.</w:t>
      </w:r>
    </w:p>
    <w:p w14:paraId="4E5C1BAB" w14:textId="77777777" w:rsidR="00CF0CB0" w:rsidRPr="009960E1" w:rsidRDefault="00CF0CB0" w:rsidP="008741F6">
      <w:pPr>
        <w:keepNext/>
        <w:keepLines/>
        <w:rPr>
          <w:lang w:val="es-ES_tradnl"/>
        </w:rPr>
      </w:pPr>
      <w:r w:rsidRPr="009960E1">
        <w:rPr>
          <w:lang w:val="es-ES_tradnl"/>
        </w:rPr>
        <w:t>Entre los factores habilitadores adicionales que facilitan la aplicación del plan de acción figura la siguiente lista no exhaustiva de posibles factores habilitadores:</w:t>
      </w:r>
    </w:p>
    <w:p w14:paraId="3E9E4703" w14:textId="77777777" w:rsidR="00CF0CB0" w:rsidRPr="009960E1" w:rsidRDefault="00CF0CB0" w:rsidP="008741F6">
      <w:pPr>
        <w:pStyle w:val="enumlev1"/>
        <w:rPr>
          <w:lang w:val="es-ES_tradnl"/>
        </w:rPr>
      </w:pPr>
      <w:r w:rsidRPr="009960E1">
        <w:rPr>
          <w:lang w:val="es-ES_tradnl"/>
        </w:rPr>
        <w:t>–</w:t>
      </w:r>
      <w:r w:rsidRPr="009960E1">
        <w:rPr>
          <w:lang w:val="es-ES_tradnl"/>
        </w:rPr>
        <w:tab/>
        <w:t>Medidas para la satisfacción y el fomento de la confianza</w:t>
      </w:r>
    </w:p>
    <w:p w14:paraId="59171A66" w14:textId="77777777" w:rsidR="00CF0CB0" w:rsidRPr="009960E1" w:rsidRDefault="00CF0CB0" w:rsidP="008741F6">
      <w:pPr>
        <w:pStyle w:val="enumlev1"/>
        <w:rPr>
          <w:lang w:val="es-ES_tradnl"/>
        </w:rPr>
      </w:pPr>
      <w:r w:rsidRPr="009960E1">
        <w:rPr>
          <w:lang w:val="es-ES_tradnl"/>
        </w:rPr>
        <w:t>–</w:t>
      </w:r>
      <w:r w:rsidRPr="009960E1">
        <w:rPr>
          <w:lang w:val="es-ES_tradnl"/>
        </w:rPr>
        <w:tab/>
        <w:t>Implicación de ecosistemas verticales (FSI, automoción, etc.)</w:t>
      </w:r>
    </w:p>
    <w:p w14:paraId="665CB2DD" w14:textId="77777777" w:rsidR="00CF0CB0" w:rsidRPr="009960E1" w:rsidRDefault="00CF0CB0" w:rsidP="008741F6">
      <w:pPr>
        <w:pStyle w:val="enumlev1"/>
        <w:rPr>
          <w:lang w:val="es-ES_tradnl"/>
        </w:rPr>
      </w:pPr>
      <w:r w:rsidRPr="009960E1">
        <w:rPr>
          <w:lang w:val="es-ES_tradnl"/>
        </w:rPr>
        <w:t>–</w:t>
      </w:r>
      <w:r w:rsidRPr="009960E1">
        <w:rPr>
          <w:lang w:val="es-ES_tradnl"/>
        </w:rPr>
        <w:tab/>
        <w:t>Orientación a las próximas generaciones</w:t>
      </w:r>
    </w:p>
    <w:p w14:paraId="0D46B323" w14:textId="77777777" w:rsidR="00CF0CB0" w:rsidRPr="009960E1" w:rsidRDefault="00CF0CB0" w:rsidP="008741F6">
      <w:pPr>
        <w:pStyle w:val="enumlev1"/>
        <w:rPr>
          <w:lang w:val="es-ES_tradnl"/>
        </w:rPr>
      </w:pPr>
      <w:r w:rsidRPr="009960E1">
        <w:rPr>
          <w:lang w:val="es-ES_tradnl"/>
        </w:rPr>
        <w:t>–</w:t>
      </w:r>
      <w:r w:rsidRPr="009960E1">
        <w:rPr>
          <w:lang w:val="es-ES_tradnl"/>
        </w:rPr>
        <w:tab/>
        <w:t>Identificación de posibles nuevos Miembros de Sector/Asociados del UIT-T a través de los Estados Miembros</w:t>
      </w:r>
    </w:p>
    <w:p w14:paraId="6C52F9F0" w14:textId="77777777" w:rsidR="00CF0CB0" w:rsidRPr="009960E1" w:rsidRDefault="00CF0CB0" w:rsidP="008741F6">
      <w:pPr>
        <w:pStyle w:val="Heading1"/>
        <w:rPr>
          <w:lang w:val="es-ES_tradnl"/>
        </w:rPr>
      </w:pPr>
      <w:bookmarkStart w:id="92" w:name="_Toc179189983"/>
      <w:r w:rsidRPr="009960E1">
        <w:rPr>
          <w:lang w:val="es-ES_tradnl"/>
        </w:rPr>
        <w:t>7</w:t>
      </w:r>
      <w:r w:rsidRPr="009960E1">
        <w:rPr>
          <w:lang w:val="es-ES_tradnl"/>
        </w:rPr>
        <w:tab/>
        <w:t>Medición del plan de acción y consideraciones sobre la implementación</w:t>
      </w:r>
      <w:bookmarkEnd w:id="92"/>
    </w:p>
    <w:p w14:paraId="464B5D2E" w14:textId="77777777" w:rsidR="00CF0CB0" w:rsidRPr="009960E1" w:rsidRDefault="00CF0CB0" w:rsidP="00CF0CB0">
      <w:pPr>
        <w:rPr>
          <w:lang w:val="es-ES_tradnl"/>
        </w:rPr>
      </w:pPr>
      <w:r w:rsidRPr="009960E1">
        <w:rPr>
          <w:lang w:val="es-ES_tradnl"/>
        </w:rPr>
        <w:t>A fin de garantizar una aplicación satisfactoria, se propone que se utilice la metodología basada en resultados del Plan Estratégico de la UIT relativo a las realizaciones clave y los indicadores de realizaciones clave para proporcionar un marco de acción asociado con la mejora de la participación de la industria en el UIT-T.</w:t>
      </w:r>
    </w:p>
    <w:p w14:paraId="54428441" w14:textId="77777777" w:rsidR="00CF0CB0" w:rsidRPr="009960E1" w:rsidRDefault="00CF0CB0" w:rsidP="00CF0CB0">
      <w:pPr>
        <w:rPr>
          <w:lang w:val="es-ES_tradnl"/>
        </w:rPr>
      </w:pPr>
      <w:r w:rsidRPr="009960E1">
        <w:rPr>
          <w:lang w:val="es-ES_tradnl"/>
        </w:rPr>
        <w:t>Se propone, además, que la elaboración de estas realizaciones se identifique como parte integrante de la labor del RG-IEM.</w:t>
      </w:r>
    </w:p>
    <w:p w14:paraId="16D88396" w14:textId="77777777" w:rsidR="00CF0CB0" w:rsidRPr="009960E1" w:rsidRDefault="00CF0CB0" w:rsidP="00CF0CB0">
      <w:pPr>
        <w:rPr>
          <w:lang w:val="es-ES_tradnl"/>
        </w:rPr>
      </w:pPr>
      <w:r w:rsidRPr="009960E1">
        <w:rPr>
          <w:lang w:val="es-ES_tradnl"/>
        </w:rPr>
        <w:lastRenderedPageBreak/>
        <w:t>De hecho, otro término importante es el componente "realizaciones", definido como "resultados fundamentales que la Unión se propone alcanzar en el marco de sus prioridades temáticas". Las prioridades temáticas son esencialmente "objetivos", término utilizado en versiones anteriores del Plan Estratégico. Además, esos objetivos están asociados a los "resultados previstos y mediciones" en forma de realizaciones e "indicadores fundamentales de realizaciones". A los efectos de este análisis del plan de acción de participación de la industria, una categoría adicional podría incluir "Estrategias de implementación".</w:t>
      </w:r>
    </w:p>
    <w:p w14:paraId="0B3CE065" w14:textId="77777777" w:rsidR="00CF0CB0" w:rsidRPr="009960E1" w:rsidRDefault="00CF0CB0" w:rsidP="00CF0CB0">
      <w:pPr>
        <w:rPr>
          <w:lang w:val="es-ES_tradnl"/>
        </w:rPr>
      </w:pPr>
      <w:r w:rsidRPr="009960E1">
        <w:rPr>
          <w:lang w:val="es-ES_tradnl"/>
        </w:rPr>
        <w:t>Leyenda de etiquetas en los Cuadros 3.2 a 3.13:</w:t>
      </w:r>
    </w:p>
    <w:p w14:paraId="3979406F" w14:textId="77777777" w:rsidR="00CF0CB0" w:rsidRPr="009960E1" w:rsidRDefault="00CF0CB0" w:rsidP="00CF0CB0">
      <w:pPr>
        <w:rPr>
          <w:lang w:val="es-ES_tradnl"/>
        </w:rPr>
      </w:pPr>
      <w:r w:rsidRPr="009960E1">
        <w:rPr>
          <w:lang w:val="es-ES_tradnl"/>
        </w:rPr>
        <w:t>IWX-xx</w:t>
      </w:r>
      <w:r w:rsidRPr="009960E1">
        <w:rPr>
          <w:lang w:val="es-ES_tradnl"/>
        </w:rPr>
        <w:tab/>
        <w:t>Una etiqueta que señala los "puntos a considerar" del cuadro en el capítulo 8 siguiente.</w:t>
      </w:r>
    </w:p>
    <w:p w14:paraId="37C17EA8" w14:textId="77777777" w:rsidR="00CF0CB0" w:rsidRPr="009960E1" w:rsidRDefault="00CF0CB0" w:rsidP="00CF0CB0">
      <w:pPr>
        <w:rPr>
          <w:lang w:val="es-ES_tradnl"/>
        </w:rPr>
      </w:pPr>
      <w:r w:rsidRPr="009960E1">
        <w:rPr>
          <w:lang w:val="es-ES_tradnl"/>
        </w:rPr>
        <w:br w:type="page"/>
      </w:r>
    </w:p>
    <w:p w14:paraId="1524CE5F" w14:textId="324B3971" w:rsidR="00CF0CB0" w:rsidRPr="009960E1" w:rsidRDefault="002A260D" w:rsidP="00CF0CB0">
      <w:pPr>
        <w:pStyle w:val="TableNotitle"/>
        <w:rPr>
          <w:lang w:val="es-ES_tradnl"/>
        </w:rPr>
      </w:pPr>
      <w:r w:rsidRPr="009960E1">
        <w:rPr>
          <w:b w:val="0"/>
          <w:lang w:val="es-ES_tradnl"/>
        </w:rPr>
        <w:lastRenderedPageBreak/>
        <w:t xml:space="preserve">CUADRO </w:t>
      </w:r>
      <w:r w:rsidR="00CF0CB0" w:rsidRPr="009960E1">
        <w:rPr>
          <w:b w:val="0"/>
          <w:lang w:val="es-ES_tradnl"/>
        </w:rPr>
        <w:t>3.2</w:t>
      </w:r>
      <w:r w:rsidRPr="009960E1">
        <w:rPr>
          <w:bCs/>
          <w:lang w:val="es-ES_tradnl"/>
        </w:rPr>
        <w:br/>
      </w:r>
      <w:r w:rsidR="00CF0CB0" w:rsidRPr="009960E1">
        <w:rPr>
          <w:bCs/>
          <w:lang w:val="es-ES_tradnl"/>
        </w:rPr>
        <w:t>Punto del plan de acción sobre "Falta de información"</w:t>
      </w:r>
    </w:p>
    <w:tbl>
      <w:tblPr>
        <w:tblStyle w:val="TableGrid"/>
        <w:tblW w:w="0" w:type="auto"/>
        <w:tblInd w:w="0" w:type="dxa"/>
        <w:tblLayout w:type="fixed"/>
        <w:tblLook w:val="04A0" w:firstRow="1" w:lastRow="0" w:firstColumn="1" w:lastColumn="0" w:noHBand="0" w:noVBand="1"/>
      </w:tblPr>
      <w:tblGrid>
        <w:gridCol w:w="846"/>
        <w:gridCol w:w="2551"/>
        <w:gridCol w:w="2835"/>
        <w:gridCol w:w="3397"/>
      </w:tblGrid>
      <w:tr w:rsidR="00CF0CB0" w:rsidRPr="009960E1" w14:paraId="7D709D94" w14:textId="77777777" w:rsidTr="000C5F84">
        <w:tc>
          <w:tcPr>
            <w:tcW w:w="846" w:type="dxa"/>
          </w:tcPr>
          <w:p w14:paraId="400DD619" w14:textId="77777777" w:rsidR="00CF0CB0" w:rsidRPr="009960E1" w:rsidRDefault="00CF0CB0" w:rsidP="001F4AB5">
            <w:pPr>
              <w:pStyle w:val="TableHead0"/>
              <w:rPr>
                <w:lang w:val="es-ES_tradnl"/>
              </w:rPr>
            </w:pPr>
            <w:r w:rsidRPr="009960E1">
              <w:rPr>
                <w:lang w:val="es-ES_tradnl"/>
              </w:rPr>
              <w:t>AP#</w:t>
            </w:r>
          </w:p>
        </w:tc>
        <w:tc>
          <w:tcPr>
            <w:tcW w:w="2551" w:type="dxa"/>
          </w:tcPr>
          <w:p w14:paraId="6DDB50C6" w14:textId="77777777" w:rsidR="00CF0CB0" w:rsidRPr="009960E1" w:rsidRDefault="00CF0CB0" w:rsidP="001F4AB5">
            <w:pPr>
              <w:pStyle w:val="TableHead0"/>
              <w:rPr>
                <w:b w:val="0"/>
                <w:bCs/>
                <w:lang w:val="es-ES_tradnl"/>
              </w:rPr>
            </w:pPr>
            <w:r w:rsidRPr="009960E1">
              <w:rPr>
                <w:b w:val="0"/>
                <w:bCs/>
                <w:lang w:val="es-ES_tradnl"/>
              </w:rPr>
              <w:t>AP1.1, AP1.1.1 – AP1.1.3</w:t>
            </w:r>
          </w:p>
        </w:tc>
        <w:tc>
          <w:tcPr>
            <w:tcW w:w="2835" w:type="dxa"/>
          </w:tcPr>
          <w:p w14:paraId="11B6B804" w14:textId="77777777" w:rsidR="00CF0CB0" w:rsidRPr="009960E1" w:rsidRDefault="00CF0CB0" w:rsidP="001F4AB5">
            <w:pPr>
              <w:pStyle w:val="TableHead0"/>
              <w:rPr>
                <w:lang w:val="es-ES_tradnl"/>
              </w:rPr>
            </w:pPr>
            <w:r w:rsidRPr="009960E1">
              <w:rPr>
                <w:lang w:val="es-ES_tradnl"/>
              </w:rPr>
              <w:t>Nombre abreviado de AP</w:t>
            </w:r>
          </w:p>
        </w:tc>
        <w:tc>
          <w:tcPr>
            <w:tcW w:w="3397" w:type="dxa"/>
          </w:tcPr>
          <w:p w14:paraId="29BE1D23" w14:textId="77777777" w:rsidR="00CF0CB0" w:rsidRPr="009960E1" w:rsidRDefault="00CF0CB0" w:rsidP="001F4AB5">
            <w:pPr>
              <w:pStyle w:val="TableHead0"/>
              <w:rPr>
                <w:b w:val="0"/>
                <w:bCs/>
                <w:lang w:val="es-ES_tradnl"/>
              </w:rPr>
            </w:pPr>
            <w:r w:rsidRPr="009960E1">
              <w:rPr>
                <w:b w:val="0"/>
                <w:bCs/>
                <w:lang w:val="es-ES_tradnl"/>
              </w:rPr>
              <w:t>"Desconocimiento"</w:t>
            </w:r>
          </w:p>
        </w:tc>
      </w:tr>
      <w:tr w:rsidR="00CF0CB0" w:rsidRPr="009960E1" w14:paraId="74E74F3C" w14:textId="77777777" w:rsidTr="00F27F0E">
        <w:tc>
          <w:tcPr>
            <w:tcW w:w="9629" w:type="dxa"/>
            <w:gridSpan w:val="4"/>
          </w:tcPr>
          <w:p w14:paraId="645A3D1C" w14:textId="77777777" w:rsidR="00CF0CB0" w:rsidRPr="009960E1" w:rsidRDefault="00CF0CB0" w:rsidP="001F4AB5">
            <w:pPr>
              <w:pStyle w:val="TableHead0"/>
              <w:rPr>
                <w:lang w:val="es-ES_tradnl"/>
              </w:rPr>
            </w:pPr>
            <w:r w:rsidRPr="009960E1">
              <w:rPr>
                <w:lang w:val="es-ES_tradnl"/>
              </w:rPr>
              <w:t>Objetivo/Prioridad temática</w:t>
            </w:r>
          </w:p>
        </w:tc>
      </w:tr>
      <w:tr w:rsidR="00CF0CB0" w:rsidRPr="00A7143D" w14:paraId="292FB60A" w14:textId="77777777" w:rsidTr="00F27F0E">
        <w:tc>
          <w:tcPr>
            <w:tcW w:w="9629" w:type="dxa"/>
            <w:gridSpan w:val="4"/>
          </w:tcPr>
          <w:p w14:paraId="68D7987F" w14:textId="77777777" w:rsidR="00CF0CB0" w:rsidRPr="009960E1" w:rsidRDefault="00CF0CB0" w:rsidP="001F4AB5">
            <w:pPr>
              <w:pStyle w:val="TableText0"/>
              <w:rPr>
                <w:iCs/>
                <w:lang w:val="es-ES_tradnl"/>
              </w:rPr>
            </w:pPr>
            <w:r w:rsidRPr="009960E1">
              <w:rPr>
                <w:lang w:val="es-ES_tradnl"/>
              </w:rPr>
              <w:t>Identificar si existe un problema de falta de conocimiento de la normalización, y de falta de conocimiento del UIT-T en particular, incluyendo, pero sin limitarse a:</w:t>
            </w:r>
          </w:p>
          <w:p w14:paraId="320228F6" w14:textId="46681B04" w:rsidR="00CF0CB0" w:rsidRPr="009960E1" w:rsidRDefault="001F4AB5" w:rsidP="00D04732">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Correlacionar la falta de conocimiento con la falta de compromiso con las normas</w:t>
            </w:r>
            <w:r w:rsidR="00D04732" w:rsidRPr="009960E1">
              <w:rPr>
                <w:sz w:val="22"/>
                <w:szCs w:val="22"/>
                <w:lang w:val="es-ES_tradnl"/>
              </w:rPr>
              <w:t>.</w:t>
            </w:r>
          </w:p>
          <w:p w14:paraId="17EA43A1" w14:textId="3A18588F" w:rsidR="00CF0CB0" w:rsidRPr="009960E1" w:rsidRDefault="001F4AB5" w:rsidP="00D04732">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Identificar las funciones y factores que intervienen, así como las formas y los medios para aumentar la participación</w:t>
            </w:r>
            <w:r w:rsidR="00D04732" w:rsidRPr="009960E1">
              <w:rPr>
                <w:sz w:val="22"/>
                <w:szCs w:val="22"/>
                <w:lang w:val="es-ES_tradnl"/>
              </w:rPr>
              <w:t>.</w:t>
            </w:r>
          </w:p>
          <w:p w14:paraId="11313E4C" w14:textId="794D9D4F" w:rsidR="00CF0CB0" w:rsidRPr="009960E1" w:rsidRDefault="001F4AB5" w:rsidP="00D04732">
            <w:pPr>
              <w:pStyle w:val="enumlev1"/>
              <w:tabs>
                <w:tab w:val="clear" w:pos="1134"/>
              </w:tabs>
              <w:ind w:left="739" w:hanging="739"/>
              <w:rPr>
                <w:iCs/>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Determinar si faltan cursos de normalización para los líderes del sector (MBA, etc.).</w:t>
            </w:r>
          </w:p>
        </w:tc>
      </w:tr>
      <w:tr w:rsidR="00CF0CB0" w:rsidRPr="009960E1" w14:paraId="6631DEBC" w14:textId="77777777" w:rsidTr="00F27F0E">
        <w:tc>
          <w:tcPr>
            <w:tcW w:w="9629" w:type="dxa"/>
            <w:gridSpan w:val="4"/>
          </w:tcPr>
          <w:p w14:paraId="26675B9A" w14:textId="77777777" w:rsidR="00CF0CB0" w:rsidRPr="009960E1" w:rsidRDefault="00CF0CB0" w:rsidP="001F4AB5">
            <w:pPr>
              <w:pStyle w:val="TableHead0"/>
              <w:rPr>
                <w:b w:val="0"/>
                <w:bCs/>
                <w:sz w:val="20"/>
                <w:lang w:val="es-ES_tradnl"/>
              </w:rPr>
            </w:pPr>
            <w:r w:rsidRPr="009960E1">
              <w:rPr>
                <w:lang w:val="es-ES_tradnl"/>
              </w:rPr>
              <w:t>Realización(es) clave(s)</w:t>
            </w:r>
          </w:p>
        </w:tc>
      </w:tr>
      <w:tr w:rsidR="00CF0CB0" w:rsidRPr="00A7143D" w14:paraId="455F8D89" w14:textId="77777777" w:rsidTr="00F27F0E">
        <w:tc>
          <w:tcPr>
            <w:tcW w:w="9629" w:type="dxa"/>
            <w:gridSpan w:val="4"/>
          </w:tcPr>
          <w:p w14:paraId="223AD08E" w14:textId="433E91BF" w:rsidR="00CF0CB0" w:rsidRPr="009960E1" w:rsidRDefault="00CF0CB0" w:rsidP="001F4AB5">
            <w:pPr>
              <w:pStyle w:val="TableText0"/>
              <w:rPr>
                <w:lang w:val="es-ES_tradnl"/>
              </w:rPr>
            </w:pPr>
            <w:r w:rsidRPr="009960E1">
              <w:rPr>
                <w:lang w:val="es-ES_tradnl"/>
              </w:rPr>
              <w:t>Mayor información de la importancia, incluso entre la próxima generación de ingenieros y otros en</w:t>
            </w:r>
            <w:r w:rsidR="001F4AB5" w:rsidRPr="009960E1">
              <w:rPr>
                <w:lang w:val="es-ES_tradnl"/>
              </w:rPr>
              <w:t> </w:t>
            </w:r>
            <w:r w:rsidRPr="009960E1">
              <w:rPr>
                <w:lang w:val="es-ES_tradnl"/>
              </w:rPr>
              <w:t>campos conexos, de las normas mundiales del UIT-T en el desarrollo de sistemas y servicios de</w:t>
            </w:r>
            <w:r w:rsidR="001F4AB5" w:rsidRPr="009960E1">
              <w:rPr>
                <w:lang w:val="es-ES_tradnl"/>
              </w:rPr>
              <w:t> </w:t>
            </w:r>
            <w:r w:rsidRPr="009960E1">
              <w:rPr>
                <w:lang w:val="es-ES_tradnl"/>
              </w:rPr>
              <w:t>telecomunicaciones/TIC.</w:t>
            </w:r>
          </w:p>
        </w:tc>
      </w:tr>
      <w:tr w:rsidR="00CF0CB0" w:rsidRPr="00A7143D" w14:paraId="1F8732D5" w14:textId="77777777" w:rsidTr="00F27F0E">
        <w:tc>
          <w:tcPr>
            <w:tcW w:w="9629" w:type="dxa"/>
            <w:gridSpan w:val="4"/>
          </w:tcPr>
          <w:p w14:paraId="7DC59237" w14:textId="77777777" w:rsidR="00CF0CB0" w:rsidRPr="009960E1" w:rsidRDefault="00CF0CB0" w:rsidP="001F4AB5">
            <w:pPr>
              <w:pStyle w:val="TableHead0"/>
              <w:rPr>
                <w:b w:val="0"/>
                <w:bCs/>
                <w:sz w:val="20"/>
                <w:lang w:val="es-ES_tradnl"/>
              </w:rPr>
            </w:pPr>
            <w:r w:rsidRPr="009960E1">
              <w:rPr>
                <w:lang w:val="es-ES_tradnl"/>
              </w:rPr>
              <w:t>Indicador(es) de realizaciones clave</w:t>
            </w:r>
          </w:p>
        </w:tc>
      </w:tr>
      <w:tr w:rsidR="00CF0CB0" w:rsidRPr="00A7143D" w14:paraId="76BA0262" w14:textId="77777777" w:rsidTr="00F27F0E">
        <w:tc>
          <w:tcPr>
            <w:tcW w:w="9629" w:type="dxa"/>
            <w:gridSpan w:val="4"/>
          </w:tcPr>
          <w:p w14:paraId="20B5C9C2" w14:textId="41F15D86" w:rsidR="00CF0CB0" w:rsidRPr="009960E1" w:rsidRDefault="001F4AB5" w:rsidP="00D04732">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Mayor participación (se pueden contabilizar específicamente las estadísticas relativas a los ingenieros de la próxima generación) en los trabajos de las Comisiones de Estudio del UIT-T.</w:t>
            </w:r>
          </w:p>
          <w:p w14:paraId="7909C9AD" w14:textId="3B9DBCB1" w:rsidR="00CF0CB0" w:rsidRPr="009960E1" w:rsidRDefault="001F4AB5" w:rsidP="00D04732">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Satisfacción y fomento de la confianza.</w:t>
            </w:r>
          </w:p>
          <w:p w14:paraId="078AE684" w14:textId="6AB5829B" w:rsidR="00CF0CB0" w:rsidRPr="009960E1" w:rsidRDefault="001F4AB5" w:rsidP="00D04732">
            <w:pPr>
              <w:pStyle w:val="enumlev1"/>
              <w:tabs>
                <w:tab w:val="clear" w:pos="1134"/>
              </w:tabs>
              <w:ind w:left="739" w:hanging="739"/>
              <w:rPr>
                <w:sz w:val="20"/>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 xml:space="preserve">Más </w:t>
            </w:r>
            <w:r w:rsidR="00412F3C">
              <w:rPr>
                <w:sz w:val="22"/>
                <w:szCs w:val="22"/>
                <w:lang w:val="es-ES_tradnl"/>
              </w:rPr>
              <w:t>R</w:t>
            </w:r>
            <w:r w:rsidR="00CF0CB0" w:rsidRPr="009960E1">
              <w:rPr>
                <w:sz w:val="22"/>
                <w:szCs w:val="22"/>
                <w:lang w:val="es-ES_tradnl"/>
              </w:rPr>
              <w:t>ecomendaciones que resulten valiosas para la industria (implementadas en productos, utilizadas en normativas relevantes para mercados específicos,</w:t>
            </w:r>
            <w:r w:rsidR="009960E1">
              <w:rPr>
                <w:sz w:val="22"/>
                <w:szCs w:val="22"/>
                <w:lang w:val="es-ES_tradnl"/>
              </w:rPr>
              <w:t xml:space="preserve"> etc.</w:t>
            </w:r>
            <w:r w:rsidR="00CF0CB0" w:rsidRPr="009960E1">
              <w:rPr>
                <w:sz w:val="22"/>
                <w:szCs w:val="22"/>
                <w:lang w:val="es-ES_tradnl"/>
              </w:rPr>
              <w:t>).</w:t>
            </w:r>
          </w:p>
        </w:tc>
      </w:tr>
      <w:tr w:rsidR="00CF0CB0" w:rsidRPr="009960E1" w14:paraId="18134885" w14:textId="77777777" w:rsidTr="00F27F0E">
        <w:tc>
          <w:tcPr>
            <w:tcW w:w="9629" w:type="dxa"/>
            <w:gridSpan w:val="4"/>
          </w:tcPr>
          <w:p w14:paraId="58FA5ECA" w14:textId="77777777" w:rsidR="00CF0CB0" w:rsidRPr="009960E1" w:rsidRDefault="00CF0CB0" w:rsidP="001F4AB5">
            <w:pPr>
              <w:pStyle w:val="TableHead0"/>
              <w:rPr>
                <w:b w:val="0"/>
                <w:bCs/>
                <w:sz w:val="20"/>
                <w:lang w:val="es-ES_tradnl"/>
              </w:rPr>
            </w:pPr>
            <w:r w:rsidRPr="009960E1">
              <w:rPr>
                <w:lang w:val="es-ES_tradnl"/>
              </w:rPr>
              <w:t>Estrategias de aplicación</w:t>
            </w:r>
          </w:p>
        </w:tc>
      </w:tr>
      <w:tr w:rsidR="00CF0CB0" w:rsidRPr="00A7143D" w14:paraId="482EC578" w14:textId="77777777" w:rsidTr="00F27F0E">
        <w:tc>
          <w:tcPr>
            <w:tcW w:w="9629" w:type="dxa"/>
            <w:gridSpan w:val="4"/>
          </w:tcPr>
          <w:p w14:paraId="36D1E7B0" w14:textId="77777777" w:rsidR="00CF0CB0" w:rsidRPr="009960E1" w:rsidRDefault="00CF0CB0" w:rsidP="00B511E0">
            <w:pPr>
              <w:pStyle w:val="TableText0"/>
              <w:rPr>
                <w:lang w:val="es-ES_tradnl"/>
              </w:rPr>
            </w:pPr>
            <w:r w:rsidRPr="009960E1">
              <w:rPr>
                <w:lang w:val="es-ES_tradnl"/>
              </w:rPr>
              <w:t>Entre esas estrategias se incluirían mecanismos tales como talleres, encuestas, etc., para determinar el conocimiento de las "ofertas de productos y servicios" del UIT-T.</w:t>
            </w:r>
          </w:p>
          <w:p w14:paraId="2DB22ED1" w14:textId="77777777" w:rsidR="00CF0CB0" w:rsidRPr="009960E1" w:rsidRDefault="00CF0CB0" w:rsidP="00B511E0">
            <w:pPr>
              <w:pStyle w:val="TableText0"/>
              <w:rPr>
                <w:lang w:val="es-ES_tradnl"/>
              </w:rPr>
            </w:pPr>
            <w:r w:rsidRPr="009960E1">
              <w:rPr>
                <w:lang w:val="es-ES_tradnl"/>
              </w:rPr>
              <w:t xml:space="preserve">Teniendo en cuenta la Resolución 123 de la PP (PP, Bucarest, 2022), los Programas 1 y 3 del Anexo a la Resolución 44 (AMNT, Ginebra, 2022) podrían considerarse como una aportación a las estrategias de aplicación. Asimismo, el </w:t>
            </w:r>
            <w:r w:rsidRPr="009960E1">
              <w:rPr>
                <w:i/>
                <w:iCs/>
                <w:lang w:val="es-ES_tradnl"/>
              </w:rPr>
              <w:t>Reconociendo c</w:t>
            </w:r>
            <w:r w:rsidRPr="009960E1">
              <w:rPr>
                <w:lang w:val="es-ES_tradnl"/>
              </w:rPr>
              <w:t>).</w:t>
            </w:r>
          </w:p>
          <w:p w14:paraId="27BAE6A3" w14:textId="77777777" w:rsidR="00CF0CB0" w:rsidRPr="009960E1" w:rsidRDefault="00CF0CB0" w:rsidP="00B511E0">
            <w:pPr>
              <w:pStyle w:val="TableText0"/>
              <w:rPr>
                <w:sz w:val="20"/>
                <w:lang w:val="es-ES_tradnl"/>
              </w:rPr>
            </w:pPr>
            <w:r w:rsidRPr="009960E1">
              <w:rPr>
                <w:lang w:val="es-ES_tradnl"/>
              </w:rPr>
              <w:t>En particular, los aspectos relacionados con la creación de capacidad podrían beneficiarse si se llegara al sector de la formación de líderes en general y se evaluara la hipótesis de que en algunas partes del mundo la normalización no forma parte de los planes de estudio de los líderes empresariales y se debatieran soluciones provisionales a corto, medio y largo plazo. Se debe considerar un enfoque particular para las próximas generaciones (durante la etapa de educación superior).</w:t>
            </w:r>
          </w:p>
        </w:tc>
      </w:tr>
      <w:tr w:rsidR="00CF0CB0" w:rsidRPr="009960E1" w14:paraId="3821219C" w14:textId="77777777" w:rsidTr="00F27F0E">
        <w:tc>
          <w:tcPr>
            <w:tcW w:w="9629" w:type="dxa"/>
            <w:gridSpan w:val="4"/>
          </w:tcPr>
          <w:p w14:paraId="455A66A8" w14:textId="77777777" w:rsidR="00CF0CB0" w:rsidRPr="009960E1" w:rsidRDefault="00CF0CB0" w:rsidP="00B511E0">
            <w:pPr>
              <w:pStyle w:val="TableHead0"/>
              <w:rPr>
                <w:b w:val="0"/>
                <w:bCs/>
                <w:sz w:val="20"/>
                <w:lang w:val="es-ES_tradnl"/>
              </w:rPr>
            </w:pPr>
            <w:r w:rsidRPr="009960E1">
              <w:rPr>
                <w:lang w:val="es-ES_tradnl"/>
              </w:rPr>
              <w:t>Factores habilitadores</w:t>
            </w:r>
          </w:p>
        </w:tc>
      </w:tr>
      <w:tr w:rsidR="00CF0CB0" w:rsidRPr="009960E1" w14:paraId="7C59E460" w14:textId="77777777" w:rsidTr="00F27F0E">
        <w:tc>
          <w:tcPr>
            <w:tcW w:w="9629" w:type="dxa"/>
            <w:gridSpan w:val="4"/>
          </w:tcPr>
          <w:p w14:paraId="6A132AB2" w14:textId="77777777" w:rsidR="00CF0CB0" w:rsidRPr="009960E1" w:rsidRDefault="00CF0CB0" w:rsidP="00F27F0E">
            <w:pPr>
              <w:rPr>
                <w:sz w:val="20"/>
                <w:lang w:val="es-ES_tradnl"/>
              </w:rPr>
            </w:pPr>
          </w:p>
        </w:tc>
      </w:tr>
      <w:tr w:rsidR="00CF0CB0" w:rsidRPr="009960E1" w14:paraId="1CEB16A3" w14:textId="77777777" w:rsidTr="00F27F0E">
        <w:tc>
          <w:tcPr>
            <w:tcW w:w="9629" w:type="dxa"/>
            <w:gridSpan w:val="4"/>
          </w:tcPr>
          <w:p w14:paraId="1F9B1E6E" w14:textId="77777777" w:rsidR="00CF0CB0" w:rsidRPr="009960E1" w:rsidRDefault="00CF0CB0" w:rsidP="00B511E0">
            <w:pPr>
              <w:pStyle w:val="TableHead0"/>
              <w:rPr>
                <w:b w:val="0"/>
                <w:bCs/>
                <w:sz w:val="20"/>
                <w:lang w:val="es-ES_tradnl"/>
              </w:rPr>
            </w:pPr>
            <w:r w:rsidRPr="009960E1">
              <w:rPr>
                <w:lang w:val="es-ES_tradnl"/>
              </w:rPr>
              <w:t>Servicios de la UIT</w:t>
            </w:r>
          </w:p>
        </w:tc>
      </w:tr>
      <w:tr w:rsidR="00CF0CB0" w:rsidRPr="00A7143D" w14:paraId="2C32B010" w14:textId="77777777" w:rsidTr="00F27F0E">
        <w:tc>
          <w:tcPr>
            <w:tcW w:w="9629" w:type="dxa"/>
            <w:gridSpan w:val="4"/>
          </w:tcPr>
          <w:p w14:paraId="01D0394B" w14:textId="77777777" w:rsidR="00CF0CB0" w:rsidRPr="009960E1" w:rsidRDefault="00CF0CB0" w:rsidP="00B511E0">
            <w:pPr>
              <w:pStyle w:val="TableText0"/>
              <w:rPr>
                <w:sz w:val="20"/>
                <w:lang w:val="es-ES_tradnl"/>
              </w:rPr>
            </w:pPr>
            <w:r w:rsidRPr="009960E1">
              <w:rPr>
                <w:lang w:val="es-ES_tradnl"/>
              </w:rPr>
              <w:t>Recopilación de prácticas idóneas de los Miembros del UIT-T.</w:t>
            </w:r>
            <w:r w:rsidRPr="009960E1">
              <w:rPr>
                <w:sz w:val="20"/>
                <w:lang w:val="es-ES_tradnl"/>
              </w:rPr>
              <w:t xml:space="preserve"> </w:t>
            </w:r>
          </w:p>
        </w:tc>
      </w:tr>
      <w:tr w:rsidR="00CF0CB0" w:rsidRPr="009960E1" w14:paraId="21EE6C0B" w14:textId="77777777" w:rsidTr="00F27F0E">
        <w:tc>
          <w:tcPr>
            <w:tcW w:w="9629" w:type="dxa"/>
            <w:gridSpan w:val="4"/>
          </w:tcPr>
          <w:p w14:paraId="2F992A09" w14:textId="77777777" w:rsidR="00CF0CB0" w:rsidRPr="009960E1" w:rsidRDefault="00CF0CB0" w:rsidP="00B511E0">
            <w:pPr>
              <w:pStyle w:val="TableHead0"/>
              <w:rPr>
                <w:sz w:val="20"/>
                <w:lang w:val="es-ES_tradnl"/>
              </w:rPr>
            </w:pPr>
            <w:r w:rsidRPr="009960E1">
              <w:rPr>
                <w:lang w:val="es-ES_tradnl"/>
              </w:rPr>
              <w:t>Aprendizaje y retroalimentación</w:t>
            </w:r>
          </w:p>
        </w:tc>
      </w:tr>
      <w:tr w:rsidR="00CF0CB0" w:rsidRPr="00A7143D" w14:paraId="61D1503F" w14:textId="77777777" w:rsidTr="00F27F0E">
        <w:tc>
          <w:tcPr>
            <w:tcW w:w="9629" w:type="dxa"/>
            <w:gridSpan w:val="4"/>
          </w:tcPr>
          <w:p w14:paraId="52B3B47E" w14:textId="77777777" w:rsidR="00CF0CB0" w:rsidRPr="009960E1" w:rsidRDefault="00CF0CB0" w:rsidP="00B511E0">
            <w:pPr>
              <w:pStyle w:val="TableText0"/>
              <w:rPr>
                <w:sz w:val="20"/>
                <w:lang w:val="es-ES_tradnl"/>
              </w:rPr>
            </w:pPr>
            <w:r w:rsidRPr="009960E1">
              <w:rPr>
                <w:lang w:val="es-ES_tradnl"/>
              </w:rPr>
              <w:t>La 1ª IEW formuló las siguientes observaciones en relación con el "desconocimiento":</w:t>
            </w:r>
          </w:p>
          <w:p w14:paraId="53201F16" w14:textId="2D70F95F" w:rsidR="00CF0CB0" w:rsidRPr="009960E1" w:rsidRDefault="00B511E0" w:rsidP="00D04732">
            <w:pPr>
              <w:pStyle w:val="enumlev1"/>
              <w:tabs>
                <w:tab w:val="clear" w:pos="1134"/>
              </w:tabs>
              <w:ind w:left="739" w:hanging="739"/>
              <w:rPr>
                <w:sz w:val="22"/>
                <w:szCs w:val="22"/>
                <w:lang w:val="es-ES_tradnl"/>
              </w:rPr>
            </w:pPr>
            <w:r w:rsidRPr="00DA3440">
              <w:rPr>
                <w:sz w:val="22"/>
                <w:szCs w:val="22"/>
                <w:lang w:val="es-ES_tradnl"/>
              </w:rPr>
              <w:t>•</w:t>
            </w:r>
            <w:r w:rsidR="00CF0CB0" w:rsidRPr="009960E1">
              <w:rPr>
                <w:sz w:val="20"/>
                <w:lang w:val="es-ES_tradnl"/>
              </w:rPr>
              <w:tab/>
            </w:r>
            <w:r w:rsidR="00CF0CB0" w:rsidRPr="009960E1">
              <w:rPr>
                <w:sz w:val="22"/>
                <w:szCs w:val="22"/>
                <w:lang w:val="es-ES_tradnl"/>
              </w:rPr>
              <w:t>Los productos y el valor del UIT-T son escasos, por lo que la industria se siente atraída por otros foros de competencia. El desarrollo de una "historia del UIT-T", junto con la comercialización y promoción de lo que tiene el UIT-T, puede cambiar esta situación.</w:t>
            </w:r>
          </w:p>
          <w:p w14:paraId="12557C9E" w14:textId="2BBE4356" w:rsidR="00CF0CB0" w:rsidRPr="009960E1" w:rsidRDefault="00B511E0" w:rsidP="00D04732">
            <w:pPr>
              <w:pStyle w:val="enumlev1"/>
              <w:tabs>
                <w:tab w:val="clear" w:pos="1134"/>
              </w:tabs>
              <w:ind w:left="739" w:hanging="739"/>
              <w:rPr>
                <w:sz w:val="22"/>
                <w:szCs w:val="22"/>
                <w:lang w:val="es-ES_tradnl"/>
              </w:rPr>
            </w:pPr>
            <w:r w:rsidRPr="009960E1">
              <w:rPr>
                <w:sz w:val="22"/>
                <w:szCs w:val="22"/>
                <w:lang w:val="es-ES_tradnl"/>
              </w:rPr>
              <w:t>•</w:t>
            </w:r>
            <w:r w:rsidR="00CF0CB0" w:rsidRPr="009960E1">
              <w:rPr>
                <w:sz w:val="22"/>
                <w:szCs w:val="22"/>
                <w:lang w:val="es-ES_tradnl"/>
              </w:rPr>
              <w:tab/>
              <w:t>Hay no miembros que han manifestado el desconocimiento, no de la normalización sino del UIT</w:t>
            </w:r>
            <w:r w:rsidR="00C66B9B">
              <w:rPr>
                <w:sz w:val="22"/>
                <w:szCs w:val="22"/>
                <w:lang w:val="es-ES_tradnl"/>
              </w:rPr>
              <w:noBreakHyphen/>
            </w:r>
            <w:r w:rsidR="00CF0CB0" w:rsidRPr="009960E1">
              <w:rPr>
                <w:sz w:val="22"/>
                <w:szCs w:val="22"/>
                <w:lang w:val="es-ES_tradnl"/>
              </w:rPr>
              <w:t>T. Incluso hay miembros que han indicado que no se promueve o comercializa lo suficiente el éxito de la labor normativa del UIT-T.</w:t>
            </w:r>
          </w:p>
          <w:p w14:paraId="749A62E8" w14:textId="7A45CDB4" w:rsidR="00CF0CB0" w:rsidRPr="009960E1" w:rsidRDefault="00B511E0" w:rsidP="00D04732">
            <w:pPr>
              <w:pStyle w:val="enumlev1"/>
              <w:tabs>
                <w:tab w:val="clear" w:pos="1134"/>
              </w:tabs>
              <w:ind w:left="739" w:hanging="739"/>
              <w:rPr>
                <w:sz w:val="20"/>
                <w:lang w:val="es-ES_tradnl"/>
              </w:rPr>
            </w:pPr>
            <w:r w:rsidRPr="009960E1">
              <w:rPr>
                <w:sz w:val="22"/>
                <w:szCs w:val="22"/>
                <w:lang w:val="es-ES_tradnl"/>
              </w:rPr>
              <w:t>•</w:t>
            </w:r>
            <w:r w:rsidR="00CF0CB0" w:rsidRPr="009960E1">
              <w:rPr>
                <w:sz w:val="22"/>
                <w:szCs w:val="22"/>
                <w:lang w:val="es-ES_tradnl"/>
              </w:rPr>
              <w:tab/>
              <w:t xml:space="preserve">En el UIT-T, los cargos directivos y los editores se identifican públicamente. Sin embargo, los contribuyentes no lo son, lo que hace imposible que su línea de gestión/partes interesadas tengan algún tipo de IFR y, por lo tanto, los únicos roles que pueden ser recompensados son los roles que </w:t>
            </w:r>
            <w:r w:rsidR="00CF0CB0" w:rsidRPr="009960E1">
              <w:rPr>
                <w:sz w:val="22"/>
                <w:szCs w:val="22"/>
                <w:lang w:val="es-ES_tradnl"/>
              </w:rPr>
              <w:lastRenderedPageBreak/>
              <w:t>cotizan públicamente, como editores. Esto implica que no se miden las contribuciones, salvo en el caso de los nuevos temas de trabajo.</w:t>
            </w:r>
          </w:p>
        </w:tc>
      </w:tr>
      <w:tr w:rsidR="00CF0CB0" w:rsidRPr="009960E1" w14:paraId="483D90E1" w14:textId="77777777" w:rsidTr="00F27F0E">
        <w:tc>
          <w:tcPr>
            <w:tcW w:w="9629" w:type="dxa"/>
            <w:gridSpan w:val="4"/>
          </w:tcPr>
          <w:p w14:paraId="3600655E" w14:textId="77777777" w:rsidR="00CF0CB0" w:rsidRPr="009960E1" w:rsidRDefault="00CF0CB0" w:rsidP="00B511E0">
            <w:pPr>
              <w:pStyle w:val="TableHead0"/>
              <w:rPr>
                <w:sz w:val="20"/>
                <w:lang w:val="es-ES_tradnl"/>
              </w:rPr>
            </w:pPr>
            <w:r w:rsidRPr="009960E1">
              <w:rPr>
                <w:lang w:val="es-ES_tradnl"/>
              </w:rPr>
              <w:lastRenderedPageBreak/>
              <w:t>Acciones propuestas</w:t>
            </w:r>
          </w:p>
        </w:tc>
      </w:tr>
      <w:tr w:rsidR="00CF0CB0" w:rsidRPr="00A7143D" w14:paraId="1406D34A" w14:textId="77777777" w:rsidTr="00F27F0E">
        <w:tc>
          <w:tcPr>
            <w:tcW w:w="9629" w:type="dxa"/>
            <w:gridSpan w:val="4"/>
          </w:tcPr>
          <w:p w14:paraId="7CEBD762" w14:textId="77777777" w:rsidR="00CF0CB0" w:rsidRPr="009960E1" w:rsidRDefault="00CF0CB0" w:rsidP="00B511E0">
            <w:pPr>
              <w:pStyle w:val="TableText0"/>
              <w:rPr>
                <w:b/>
                <w:bCs/>
                <w:lang w:val="es-ES_tradnl"/>
              </w:rPr>
            </w:pPr>
            <w:r w:rsidRPr="009960E1">
              <w:rPr>
                <w:b/>
                <w:bCs/>
                <w:lang w:val="es-ES_tradnl"/>
              </w:rPr>
              <w:t>Para AP1.1.2</w:t>
            </w:r>
          </w:p>
          <w:p w14:paraId="7EB2CE06" w14:textId="248A41F9" w:rsidR="00CF0CB0" w:rsidRPr="009960E1" w:rsidRDefault="00CF0CB0" w:rsidP="00B511E0">
            <w:pPr>
              <w:pStyle w:val="TableText0"/>
              <w:rPr>
                <w:lang w:val="es-ES_tradnl"/>
              </w:rPr>
            </w:pPr>
            <w:r w:rsidRPr="009960E1">
              <w:rPr>
                <w:lang w:val="es-ES_tradnl"/>
              </w:rPr>
              <w:t xml:space="preserve">IWX-09 </w:t>
            </w:r>
            <w:r w:rsidR="00576E4E" w:rsidRPr="009960E1">
              <w:rPr>
                <w:lang w:val="es-ES_tradnl"/>
              </w:rPr>
              <w:t>–</w:t>
            </w:r>
            <w:r w:rsidRPr="009960E1">
              <w:rPr>
                <w:lang w:val="es-ES_tradnl"/>
              </w:rPr>
              <w:t xml:space="preserve"> Investigar las mejores formas de mejorar las métricas cuantitativas para completar las existentes y las cualitativas.</w:t>
            </w:r>
          </w:p>
          <w:p w14:paraId="2C96AD19" w14:textId="6E57CE29" w:rsidR="00CF0CB0" w:rsidRPr="009960E1" w:rsidRDefault="00CF0CB0" w:rsidP="00B511E0">
            <w:pPr>
              <w:pStyle w:val="TableText0"/>
              <w:rPr>
                <w:lang w:val="es-ES_tradnl"/>
              </w:rPr>
            </w:pPr>
            <w:r w:rsidRPr="009960E1">
              <w:rPr>
                <w:lang w:val="es-ES_tradnl"/>
              </w:rPr>
              <w:t xml:space="preserve">IWX-14 </w:t>
            </w:r>
            <w:r w:rsidR="00576E4E" w:rsidRPr="009960E1">
              <w:rPr>
                <w:lang w:val="es-ES_tradnl"/>
              </w:rPr>
              <w:t>–</w:t>
            </w:r>
            <w:r w:rsidRPr="009960E1">
              <w:rPr>
                <w:lang w:val="es-ES_tradnl"/>
              </w:rPr>
              <w:t xml:space="preserve"> Organizar una reunión </w:t>
            </w:r>
            <w:r w:rsidRPr="00D15FEC">
              <w:rPr>
                <w:i/>
                <w:iCs/>
                <w:lang w:val="es-ES_tradnl"/>
              </w:rPr>
              <w:t>ad hoc</w:t>
            </w:r>
            <w:r w:rsidRPr="009960E1">
              <w:rPr>
                <w:lang w:val="es-ES_tradnl"/>
              </w:rPr>
              <w:t xml:space="preserve"> para abordar los pros y los contras de la incentivación y cómo mejores condiciones podrían conducir a un mejor comportamiento y mejores resultados.</w:t>
            </w:r>
          </w:p>
          <w:p w14:paraId="2B7B67BB" w14:textId="51080BD2" w:rsidR="00CF0CB0" w:rsidRPr="009960E1" w:rsidRDefault="00576E4E" w:rsidP="00B511E0">
            <w:pPr>
              <w:pStyle w:val="TableText0"/>
              <w:rPr>
                <w:lang w:val="es-ES_tradnl"/>
              </w:rPr>
            </w:pPr>
            <w:r w:rsidRPr="009960E1">
              <w:rPr>
                <w:lang w:val="es-ES_tradnl"/>
              </w:rPr>
              <w:t>–</w:t>
            </w:r>
          </w:p>
          <w:p w14:paraId="38474DFF" w14:textId="400AA08F" w:rsidR="00CF0CB0" w:rsidRPr="009960E1" w:rsidRDefault="00CF0CB0" w:rsidP="00B511E0">
            <w:pPr>
              <w:pStyle w:val="TableText0"/>
              <w:rPr>
                <w:sz w:val="20"/>
                <w:lang w:val="es-ES_tradnl"/>
              </w:rPr>
            </w:pPr>
            <w:r w:rsidRPr="009960E1">
              <w:rPr>
                <w:lang w:val="es-ES_tradnl"/>
              </w:rPr>
              <w:t xml:space="preserve">IWX-16 </w:t>
            </w:r>
            <w:r w:rsidR="00576E4E" w:rsidRPr="009960E1">
              <w:rPr>
                <w:lang w:val="es-ES_tradnl"/>
              </w:rPr>
              <w:t>–</w:t>
            </w:r>
            <w:r w:rsidRPr="009960E1">
              <w:rPr>
                <w:lang w:val="es-ES_tradnl"/>
              </w:rPr>
              <w:t xml:space="preserve"> Evaluar, medir y explorar formas de mejorar/desarrollar los factores de éxito como impacto del UIT-T para apoyar sus propuestas de valor.</w:t>
            </w:r>
          </w:p>
          <w:p w14:paraId="2287FA0B" w14:textId="77777777" w:rsidR="00CF0CB0" w:rsidRPr="009960E1" w:rsidRDefault="00CF0CB0" w:rsidP="00B511E0">
            <w:pPr>
              <w:pStyle w:val="TableText0"/>
              <w:rPr>
                <w:b/>
                <w:bCs/>
                <w:sz w:val="20"/>
                <w:lang w:val="es-ES_tradnl"/>
              </w:rPr>
            </w:pPr>
            <w:r w:rsidRPr="009960E1">
              <w:rPr>
                <w:b/>
                <w:bCs/>
                <w:lang w:val="es-ES_tradnl"/>
              </w:rPr>
              <w:t>Para AP1.1.3</w:t>
            </w:r>
          </w:p>
          <w:p w14:paraId="559039A2" w14:textId="1AFCB9F1" w:rsidR="00CF0CB0" w:rsidRPr="009960E1" w:rsidRDefault="00CF0CB0" w:rsidP="00B511E0">
            <w:pPr>
              <w:pStyle w:val="TableText0"/>
              <w:rPr>
                <w:lang w:val="es-ES_tradnl"/>
              </w:rPr>
            </w:pPr>
            <w:r w:rsidRPr="009960E1">
              <w:rPr>
                <w:lang w:val="es-ES_tradnl"/>
              </w:rPr>
              <w:t xml:space="preserve">IWX-06 </w:t>
            </w:r>
            <w:r w:rsidR="00576E4E" w:rsidRPr="009960E1">
              <w:rPr>
                <w:lang w:val="es-ES_tradnl"/>
              </w:rPr>
              <w:t>–</w:t>
            </w:r>
            <w:r w:rsidRPr="009960E1">
              <w:rPr>
                <w:lang w:val="es-ES_tradnl"/>
              </w:rPr>
              <w:t xml:space="preserve"> Investigar el problema de que los nuevos temas de trabajo establecidos como Informes Técnicos o Directrices se reconozcan mejor en el contexto del proceso de normalización (A.1 y A.13).</w:t>
            </w:r>
          </w:p>
          <w:p w14:paraId="18FFDA30" w14:textId="7BB92102" w:rsidR="00CF0CB0" w:rsidRPr="009960E1" w:rsidRDefault="00CF0CB0" w:rsidP="00B511E0">
            <w:pPr>
              <w:pStyle w:val="TableText0"/>
              <w:rPr>
                <w:lang w:val="es-ES_tradnl"/>
              </w:rPr>
            </w:pPr>
            <w:r w:rsidRPr="009960E1">
              <w:rPr>
                <w:lang w:val="es-ES_tradnl"/>
              </w:rPr>
              <w:t xml:space="preserve">IWX-24 para AP1.1.3 </w:t>
            </w:r>
            <w:r w:rsidR="00576E4E" w:rsidRPr="009960E1">
              <w:rPr>
                <w:lang w:val="es-ES_tradnl"/>
              </w:rPr>
              <w:t>–</w:t>
            </w:r>
            <w:r w:rsidRPr="009960E1">
              <w:rPr>
                <w:lang w:val="es-ES_tradnl"/>
              </w:rPr>
              <w:t xml:space="preserve"> Investigar la suposición de que el código de escritura y los estándares de escritura son muy similares y, al mismo tiempo, resaltar las diferencias. Con el objetivo de poner a los desarrolladores de </w:t>
            </w:r>
            <w:r w:rsidRPr="00D15FEC">
              <w:rPr>
                <w:i/>
                <w:iCs/>
                <w:lang w:val="es-ES_tradnl"/>
              </w:rPr>
              <w:t>software</w:t>
            </w:r>
            <w:r w:rsidRPr="009960E1">
              <w:rPr>
                <w:lang w:val="es-ES_tradnl"/>
              </w:rPr>
              <w:t xml:space="preserve"> y a los desarrolladores de normas en pie de igualdad.</w:t>
            </w:r>
          </w:p>
          <w:p w14:paraId="2A623137" w14:textId="77777777" w:rsidR="00CF0CB0" w:rsidRPr="009960E1" w:rsidRDefault="00CF0CB0" w:rsidP="00B511E0">
            <w:pPr>
              <w:pStyle w:val="TableText0"/>
              <w:rPr>
                <w:sz w:val="20"/>
                <w:lang w:val="es-ES_tradnl"/>
              </w:rPr>
            </w:pPr>
            <w:r w:rsidRPr="009960E1">
              <w:rPr>
                <w:lang w:val="es-ES_tradnl"/>
              </w:rPr>
              <w:t>IWX-25 – para AP1.1.3 – Investigar la mejor manera de apoyar a los actuales miembros de la industria para que desarrollen sus propios "promotores" o "traductores" internos y recopilen prácticas idóneas junto con enfoques de "formación de formadores". Cómo cambiar la percepción en algunos entornos corporativos y cómo reagrupar un programa de formación adecuado.</w:t>
            </w:r>
          </w:p>
        </w:tc>
      </w:tr>
    </w:tbl>
    <w:p w14:paraId="2C7E7558" w14:textId="77777777" w:rsidR="00CF0CB0" w:rsidRPr="009960E1" w:rsidRDefault="00CF0CB0" w:rsidP="00CF0CB0">
      <w:pPr>
        <w:rPr>
          <w:lang w:val="es-ES_tradnl"/>
        </w:rPr>
      </w:pPr>
      <w:r w:rsidRPr="009960E1">
        <w:rPr>
          <w:lang w:val="es-ES_tradnl"/>
        </w:rPr>
        <w:br w:type="page"/>
      </w:r>
    </w:p>
    <w:p w14:paraId="0A687442" w14:textId="2F877301" w:rsidR="00CF0CB0" w:rsidRPr="009960E1" w:rsidRDefault="00B511E0" w:rsidP="00CF0CB0">
      <w:pPr>
        <w:pStyle w:val="TableNotitle"/>
        <w:rPr>
          <w:lang w:val="es-ES_tradnl"/>
        </w:rPr>
      </w:pPr>
      <w:r w:rsidRPr="009960E1">
        <w:rPr>
          <w:b w:val="0"/>
          <w:lang w:val="es-ES_tradnl"/>
        </w:rPr>
        <w:lastRenderedPageBreak/>
        <w:t xml:space="preserve">CUADRO </w:t>
      </w:r>
      <w:r w:rsidR="00CF0CB0" w:rsidRPr="009960E1">
        <w:rPr>
          <w:b w:val="0"/>
          <w:lang w:val="es-ES_tradnl"/>
        </w:rPr>
        <w:t>3.3</w:t>
      </w:r>
      <w:r w:rsidRPr="009960E1">
        <w:rPr>
          <w:bCs/>
          <w:lang w:val="es-ES_tradnl"/>
        </w:rPr>
        <w:br/>
      </w:r>
      <w:r w:rsidR="00CF0CB0" w:rsidRPr="009960E1">
        <w:rPr>
          <w:bCs/>
          <w:lang w:val="es-ES_tradnl"/>
        </w:rPr>
        <w:t>Plan de acción sobre "Visión y funciones comunes"</w:t>
      </w:r>
    </w:p>
    <w:tbl>
      <w:tblPr>
        <w:tblStyle w:val="TableGrid"/>
        <w:tblW w:w="0" w:type="auto"/>
        <w:tblInd w:w="0" w:type="dxa"/>
        <w:tblLayout w:type="fixed"/>
        <w:tblLook w:val="04A0" w:firstRow="1" w:lastRow="0" w:firstColumn="1" w:lastColumn="0" w:noHBand="0" w:noVBand="1"/>
      </w:tblPr>
      <w:tblGrid>
        <w:gridCol w:w="846"/>
        <w:gridCol w:w="2551"/>
        <w:gridCol w:w="2835"/>
        <w:gridCol w:w="3397"/>
      </w:tblGrid>
      <w:tr w:rsidR="00CF0CB0" w:rsidRPr="009960E1" w14:paraId="0D89CFF5" w14:textId="77777777" w:rsidTr="000C5F84">
        <w:tc>
          <w:tcPr>
            <w:tcW w:w="846" w:type="dxa"/>
          </w:tcPr>
          <w:p w14:paraId="6440BFCC" w14:textId="77777777" w:rsidR="00CF0CB0" w:rsidRPr="009960E1" w:rsidRDefault="00CF0CB0" w:rsidP="00B511E0">
            <w:pPr>
              <w:pStyle w:val="TableHead0"/>
              <w:rPr>
                <w:lang w:val="es-ES_tradnl"/>
              </w:rPr>
            </w:pPr>
            <w:r w:rsidRPr="009960E1">
              <w:rPr>
                <w:lang w:val="es-ES_tradnl"/>
              </w:rPr>
              <w:t>AP#</w:t>
            </w:r>
          </w:p>
        </w:tc>
        <w:tc>
          <w:tcPr>
            <w:tcW w:w="2551" w:type="dxa"/>
          </w:tcPr>
          <w:p w14:paraId="230ADB50" w14:textId="77777777" w:rsidR="00CF0CB0" w:rsidRPr="00D562A8" w:rsidRDefault="00CF0CB0" w:rsidP="00B511E0">
            <w:pPr>
              <w:pStyle w:val="TableHead0"/>
              <w:rPr>
                <w:b w:val="0"/>
                <w:bCs/>
                <w:lang w:val="es-ES_tradnl"/>
              </w:rPr>
            </w:pPr>
            <w:r w:rsidRPr="00D562A8">
              <w:rPr>
                <w:b w:val="0"/>
                <w:bCs/>
                <w:lang w:val="es-ES_tradnl"/>
              </w:rPr>
              <w:t>AP1.2</w:t>
            </w:r>
          </w:p>
        </w:tc>
        <w:tc>
          <w:tcPr>
            <w:tcW w:w="2835" w:type="dxa"/>
          </w:tcPr>
          <w:p w14:paraId="728C5C9C" w14:textId="77777777" w:rsidR="00CF0CB0" w:rsidRPr="009960E1" w:rsidRDefault="00CF0CB0" w:rsidP="00B511E0">
            <w:pPr>
              <w:pStyle w:val="TableHead0"/>
              <w:rPr>
                <w:lang w:val="es-ES_tradnl"/>
              </w:rPr>
            </w:pPr>
            <w:r w:rsidRPr="009960E1">
              <w:rPr>
                <w:lang w:val="es-ES_tradnl"/>
              </w:rPr>
              <w:t>Nombre abreviado de AP</w:t>
            </w:r>
          </w:p>
        </w:tc>
        <w:tc>
          <w:tcPr>
            <w:tcW w:w="3397" w:type="dxa"/>
          </w:tcPr>
          <w:p w14:paraId="0DC9B0A1" w14:textId="77777777" w:rsidR="00CF0CB0" w:rsidRPr="00D562A8" w:rsidRDefault="00CF0CB0" w:rsidP="00B511E0">
            <w:pPr>
              <w:pStyle w:val="TableHead0"/>
              <w:rPr>
                <w:b w:val="0"/>
                <w:bCs/>
                <w:lang w:val="es-ES_tradnl"/>
              </w:rPr>
            </w:pPr>
            <w:r w:rsidRPr="00D562A8">
              <w:rPr>
                <w:b w:val="0"/>
                <w:bCs/>
                <w:lang w:val="es-ES_tradnl"/>
              </w:rPr>
              <w:t>"Visión y funciones comunes"</w:t>
            </w:r>
          </w:p>
        </w:tc>
      </w:tr>
      <w:tr w:rsidR="00CF0CB0" w:rsidRPr="009960E1" w14:paraId="20F7F351" w14:textId="77777777" w:rsidTr="00F27F0E">
        <w:tc>
          <w:tcPr>
            <w:tcW w:w="9629" w:type="dxa"/>
            <w:gridSpan w:val="4"/>
          </w:tcPr>
          <w:p w14:paraId="7AFB97B5" w14:textId="77777777" w:rsidR="00CF0CB0" w:rsidRPr="009960E1" w:rsidRDefault="00CF0CB0" w:rsidP="00B511E0">
            <w:pPr>
              <w:pStyle w:val="TableHead0"/>
              <w:rPr>
                <w:lang w:val="es-ES_tradnl"/>
              </w:rPr>
            </w:pPr>
            <w:r w:rsidRPr="009960E1">
              <w:rPr>
                <w:lang w:val="es-ES_tradnl"/>
              </w:rPr>
              <w:t>Objetivo/Prioridad temática</w:t>
            </w:r>
          </w:p>
        </w:tc>
      </w:tr>
      <w:tr w:rsidR="00CF0CB0" w:rsidRPr="00A7143D" w14:paraId="628F2742" w14:textId="77777777" w:rsidTr="00F27F0E">
        <w:tc>
          <w:tcPr>
            <w:tcW w:w="9629" w:type="dxa"/>
            <w:gridSpan w:val="4"/>
          </w:tcPr>
          <w:p w14:paraId="633E27F1" w14:textId="57A87281" w:rsidR="00CF0CB0" w:rsidRPr="009960E1" w:rsidRDefault="00CF0CB0" w:rsidP="00B511E0">
            <w:pPr>
              <w:pStyle w:val="TableText0"/>
              <w:rPr>
                <w:sz w:val="20"/>
                <w:lang w:val="es-ES_tradnl"/>
              </w:rPr>
            </w:pPr>
            <w:r w:rsidRPr="009960E1">
              <w:rPr>
                <w:lang w:val="es-ES_tradnl"/>
              </w:rPr>
              <w:t>Identificar cómo puede el UIT-T lograr una visión común del futuro como asociación entre los Estados</w:t>
            </w:r>
            <w:r w:rsidR="00C66B9B">
              <w:rPr>
                <w:lang w:val="es-ES_tradnl"/>
              </w:rPr>
              <w:t> </w:t>
            </w:r>
            <w:r w:rsidRPr="009960E1">
              <w:rPr>
                <w:lang w:val="es-ES_tradnl"/>
              </w:rPr>
              <w:t>Miembros y la industria a fin de preservar y fortalecer su credibilidad internacional definiendo más claramente las funciones respectivas de dicha asociación;</w:t>
            </w:r>
          </w:p>
        </w:tc>
      </w:tr>
      <w:tr w:rsidR="00CF0CB0" w:rsidRPr="009960E1" w14:paraId="01174449" w14:textId="77777777" w:rsidTr="00F27F0E">
        <w:tc>
          <w:tcPr>
            <w:tcW w:w="9629" w:type="dxa"/>
            <w:gridSpan w:val="4"/>
          </w:tcPr>
          <w:p w14:paraId="28E1FF98" w14:textId="77777777" w:rsidR="00CF0CB0" w:rsidRPr="009960E1" w:rsidRDefault="00CF0CB0" w:rsidP="00B511E0">
            <w:pPr>
              <w:pStyle w:val="TableHead0"/>
              <w:rPr>
                <w:b w:val="0"/>
                <w:bCs/>
                <w:sz w:val="20"/>
                <w:lang w:val="es-ES_tradnl"/>
              </w:rPr>
            </w:pPr>
            <w:r w:rsidRPr="009960E1">
              <w:rPr>
                <w:lang w:val="es-ES_tradnl"/>
              </w:rPr>
              <w:t>Realización(es) clave(s)</w:t>
            </w:r>
          </w:p>
        </w:tc>
      </w:tr>
      <w:tr w:rsidR="00CF0CB0" w:rsidRPr="00A7143D" w14:paraId="67B21A22" w14:textId="77777777" w:rsidTr="00F27F0E">
        <w:tc>
          <w:tcPr>
            <w:tcW w:w="9629" w:type="dxa"/>
            <w:gridSpan w:val="4"/>
          </w:tcPr>
          <w:p w14:paraId="74A364BB" w14:textId="69CD105D" w:rsidR="00CF0CB0" w:rsidRPr="00B97CA5" w:rsidRDefault="00B511E0"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El UIT-T está dotado de una visión común claramente explicable del futuro en forma de "historia".</w:t>
            </w:r>
          </w:p>
          <w:p w14:paraId="3B5C4D53" w14:textId="29C50FE7" w:rsidR="00CF0CB0" w:rsidRPr="00B97CA5" w:rsidRDefault="00B511E0"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Las funciones de la asociación están claramente definidas.</w:t>
            </w:r>
          </w:p>
          <w:p w14:paraId="5F0F440A" w14:textId="2E0B67CB" w:rsidR="00CF0CB0" w:rsidRPr="009960E1" w:rsidRDefault="00B511E0"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0"/>
                <w:lang w:val="es-ES_tradnl"/>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Identificar la naturaleza y las opciones para contrarrestar la percepción desafortunada o involuntaria de que, en algunos casos, existe un conflicto entre los Estados Miembros y los participantes de la industria.</w:t>
            </w:r>
          </w:p>
        </w:tc>
      </w:tr>
      <w:tr w:rsidR="00CF0CB0" w:rsidRPr="00A7143D" w14:paraId="6B565D66" w14:textId="77777777" w:rsidTr="00F27F0E">
        <w:tc>
          <w:tcPr>
            <w:tcW w:w="9629" w:type="dxa"/>
            <w:gridSpan w:val="4"/>
          </w:tcPr>
          <w:p w14:paraId="36A176C6" w14:textId="77777777" w:rsidR="00CF0CB0" w:rsidRPr="009960E1" w:rsidRDefault="00CF0CB0" w:rsidP="00B511E0">
            <w:pPr>
              <w:pStyle w:val="TableHead0"/>
              <w:rPr>
                <w:b w:val="0"/>
                <w:bCs/>
                <w:sz w:val="20"/>
                <w:lang w:val="es-ES_tradnl"/>
              </w:rPr>
            </w:pPr>
            <w:r w:rsidRPr="009960E1">
              <w:rPr>
                <w:lang w:val="es-ES_tradnl"/>
              </w:rPr>
              <w:t>Indicador(es) de realizaciones clave</w:t>
            </w:r>
          </w:p>
        </w:tc>
      </w:tr>
      <w:tr w:rsidR="00CF0CB0" w:rsidRPr="00A7143D" w14:paraId="1201CCEE" w14:textId="77777777" w:rsidTr="00F27F0E">
        <w:tc>
          <w:tcPr>
            <w:tcW w:w="9629" w:type="dxa"/>
            <w:gridSpan w:val="4"/>
          </w:tcPr>
          <w:p w14:paraId="6B49F93B" w14:textId="54FF0F94" w:rsidR="00CF0CB0" w:rsidRPr="00B97CA5" w:rsidRDefault="00D04732"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Una historia acordada.</w:t>
            </w:r>
          </w:p>
          <w:p w14:paraId="0FEB2AEC" w14:textId="63C4CEEC" w:rsidR="00CF0CB0" w:rsidRPr="00B97CA5" w:rsidRDefault="00D04732"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Una función claramente descrita para el UIT-T y la industria.</w:t>
            </w:r>
          </w:p>
          <w:p w14:paraId="4BDA5528" w14:textId="77C5AE10" w:rsidR="00CF0CB0" w:rsidRPr="009960E1" w:rsidRDefault="00D04732"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sz w:val="20"/>
                <w:lang w:val="es-ES_tradnl"/>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Un entorno de colaboración sin fricciones.</w:t>
            </w:r>
          </w:p>
        </w:tc>
      </w:tr>
      <w:tr w:rsidR="00CF0CB0" w:rsidRPr="009960E1" w14:paraId="55B530ED" w14:textId="77777777" w:rsidTr="00F27F0E">
        <w:tc>
          <w:tcPr>
            <w:tcW w:w="9629" w:type="dxa"/>
            <w:gridSpan w:val="4"/>
          </w:tcPr>
          <w:p w14:paraId="6A1F816D" w14:textId="77777777" w:rsidR="00CF0CB0" w:rsidRPr="009960E1" w:rsidRDefault="00CF0CB0" w:rsidP="00B511E0">
            <w:pPr>
              <w:pStyle w:val="TableHead0"/>
              <w:rPr>
                <w:b w:val="0"/>
                <w:bCs/>
                <w:sz w:val="20"/>
                <w:lang w:val="es-ES_tradnl"/>
              </w:rPr>
            </w:pPr>
            <w:r w:rsidRPr="009960E1">
              <w:rPr>
                <w:lang w:val="es-ES_tradnl"/>
              </w:rPr>
              <w:t>Estrategias de aplicación</w:t>
            </w:r>
          </w:p>
        </w:tc>
      </w:tr>
      <w:tr w:rsidR="00CF0CB0" w:rsidRPr="00A7143D" w14:paraId="531E3AD6" w14:textId="77777777" w:rsidTr="00F27F0E">
        <w:tc>
          <w:tcPr>
            <w:tcW w:w="9629" w:type="dxa"/>
            <w:gridSpan w:val="4"/>
          </w:tcPr>
          <w:p w14:paraId="2322D761" w14:textId="047E0DC3" w:rsidR="00CF0CB0" w:rsidRPr="00B97CA5" w:rsidRDefault="00D04732"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El propio Plan Estratégico de la UIT contiene la visión y las funciones.</w:t>
            </w:r>
          </w:p>
          <w:p w14:paraId="0AAD7191" w14:textId="7AB67410" w:rsidR="00CF0CB0" w:rsidRPr="00B97CA5" w:rsidRDefault="00D04732"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Se trata de un acto de liderazgo y las mejores prácticas y métodos de consultoría ejecutiva aportarían una valiosa aportación.</w:t>
            </w:r>
          </w:p>
          <w:p w14:paraId="3AEA8C89" w14:textId="4F58A819" w:rsidR="00CF0CB0" w:rsidRPr="00B97CA5" w:rsidRDefault="00D04732"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Alentar a los dirigentes del UIT-T (TSB y Miembros) a que identifiquen y reiteren los intereses comunes entre los Estados Miembros y la industria e identifiquen opciones de mejora para minimizar cualquier conflicto futuro, real o percibido.</w:t>
            </w:r>
          </w:p>
        </w:tc>
      </w:tr>
      <w:tr w:rsidR="00CF0CB0" w:rsidRPr="009960E1" w14:paraId="7F45CA66" w14:textId="77777777" w:rsidTr="00F27F0E">
        <w:tc>
          <w:tcPr>
            <w:tcW w:w="9629" w:type="dxa"/>
            <w:gridSpan w:val="4"/>
          </w:tcPr>
          <w:p w14:paraId="49C40021" w14:textId="77777777" w:rsidR="00CF0CB0" w:rsidRPr="009960E1" w:rsidRDefault="00CF0CB0" w:rsidP="00B511E0">
            <w:pPr>
              <w:pStyle w:val="TableHead0"/>
              <w:rPr>
                <w:lang w:val="es-ES_tradnl"/>
              </w:rPr>
            </w:pPr>
            <w:r w:rsidRPr="009960E1">
              <w:rPr>
                <w:lang w:val="es-ES_tradnl"/>
              </w:rPr>
              <w:t>Factores habilitadores</w:t>
            </w:r>
          </w:p>
        </w:tc>
      </w:tr>
      <w:tr w:rsidR="00CF0CB0" w:rsidRPr="009960E1" w14:paraId="530F3E7A" w14:textId="77777777" w:rsidTr="00F27F0E">
        <w:tc>
          <w:tcPr>
            <w:tcW w:w="9629" w:type="dxa"/>
            <w:gridSpan w:val="4"/>
          </w:tcPr>
          <w:p w14:paraId="3372B825" w14:textId="77777777" w:rsidR="00CF0CB0" w:rsidRPr="009960E1" w:rsidRDefault="00CF0CB0" w:rsidP="00F27F0E">
            <w:pPr>
              <w:rPr>
                <w:sz w:val="20"/>
                <w:lang w:val="es-ES_tradnl"/>
              </w:rPr>
            </w:pPr>
          </w:p>
        </w:tc>
      </w:tr>
      <w:tr w:rsidR="00CF0CB0" w:rsidRPr="009960E1" w14:paraId="522870A8" w14:textId="77777777" w:rsidTr="00F27F0E">
        <w:tc>
          <w:tcPr>
            <w:tcW w:w="9629" w:type="dxa"/>
            <w:gridSpan w:val="4"/>
          </w:tcPr>
          <w:p w14:paraId="0ADCC2C3" w14:textId="77777777" w:rsidR="00CF0CB0" w:rsidRPr="009960E1" w:rsidRDefault="00CF0CB0" w:rsidP="00B511E0">
            <w:pPr>
              <w:pStyle w:val="TableHead0"/>
              <w:rPr>
                <w:lang w:val="es-ES_tradnl"/>
              </w:rPr>
            </w:pPr>
            <w:r w:rsidRPr="009960E1">
              <w:rPr>
                <w:lang w:val="es-ES_tradnl"/>
              </w:rPr>
              <w:t>Servicios de la UIT</w:t>
            </w:r>
          </w:p>
        </w:tc>
      </w:tr>
      <w:tr w:rsidR="00CF0CB0" w:rsidRPr="009960E1" w14:paraId="087AC463" w14:textId="77777777" w:rsidTr="00F27F0E">
        <w:tc>
          <w:tcPr>
            <w:tcW w:w="9629" w:type="dxa"/>
            <w:gridSpan w:val="4"/>
          </w:tcPr>
          <w:p w14:paraId="7476B13F" w14:textId="77777777" w:rsidR="00CF0CB0" w:rsidRPr="009960E1" w:rsidRDefault="00CF0CB0" w:rsidP="00F27F0E">
            <w:pPr>
              <w:rPr>
                <w:sz w:val="20"/>
                <w:lang w:val="es-ES_tradnl"/>
              </w:rPr>
            </w:pPr>
          </w:p>
        </w:tc>
      </w:tr>
      <w:tr w:rsidR="00CF0CB0" w:rsidRPr="009960E1" w14:paraId="11D1669F" w14:textId="77777777" w:rsidTr="00F27F0E">
        <w:tc>
          <w:tcPr>
            <w:tcW w:w="9629" w:type="dxa"/>
            <w:gridSpan w:val="4"/>
          </w:tcPr>
          <w:p w14:paraId="68CCBF3D" w14:textId="77777777" w:rsidR="00CF0CB0" w:rsidRPr="009960E1" w:rsidRDefault="00CF0CB0" w:rsidP="00B511E0">
            <w:pPr>
              <w:pStyle w:val="TableHead0"/>
              <w:rPr>
                <w:lang w:val="es-ES_tradnl"/>
              </w:rPr>
            </w:pPr>
            <w:r w:rsidRPr="009960E1">
              <w:rPr>
                <w:lang w:val="es-ES_tradnl"/>
              </w:rPr>
              <w:t>Aprendizaje y retroalimentación</w:t>
            </w:r>
          </w:p>
        </w:tc>
      </w:tr>
      <w:tr w:rsidR="00CF0CB0" w:rsidRPr="00A7143D" w14:paraId="0542FEAC" w14:textId="77777777" w:rsidTr="00D517B5">
        <w:trPr>
          <w:trHeight w:val="60"/>
        </w:trPr>
        <w:tc>
          <w:tcPr>
            <w:tcW w:w="9629" w:type="dxa"/>
            <w:gridSpan w:val="4"/>
          </w:tcPr>
          <w:p w14:paraId="295AA4F9" w14:textId="77777777" w:rsidR="00CF0CB0" w:rsidRPr="009960E1" w:rsidRDefault="00CF0CB0" w:rsidP="00B511E0">
            <w:pPr>
              <w:pStyle w:val="TableText0"/>
              <w:rPr>
                <w:sz w:val="20"/>
                <w:lang w:val="es-ES_tradnl"/>
              </w:rPr>
            </w:pPr>
            <w:r w:rsidRPr="009960E1">
              <w:rPr>
                <w:lang w:val="es-ES_tradnl"/>
              </w:rPr>
              <w:t>La 1ª IEW formuló las siguientes observaciones en relación con la "Visión y funciones comunes":</w:t>
            </w:r>
          </w:p>
          <w:p w14:paraId="1577BBAD" w14:textId="74E6E66D" w:rsidR="00CF0CB0" w:rsidRPr="009960E1" w:rsidRDefault="00D04732" w:rsidP="00D04732">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El Director de la TSB compartió:</w:t>
            </w:r>
          </w:p>
          <w:p w14:paraId="2D679FCF" w14:textId="7C07A8DB" w:rsidR="00CF0CB0" w:rsidRPr="009960E1" w:rsidRDefault="00D04732" w:rsidP="00D04732">
            <w:pPr>
              <w:pStyle w:val="enumlev2"/>
              <w:tabs>
                <w:tab w:val="clear" w:pos="1871"/>
              </w:tabs>
              <w:rPr>
                <w:sz w:val="22"/>
                <w:szCs w:val="22"/>
                <w:lang w:val="es-ES_tradnl"/>
              </w:rPr>
            </w:pPr>
            <w:r w:rsidRPr="009960E1">
              <w:rPr>
                <w:lang w:val="es-ES_tradnl"/>
              </w:rPr>
              <w:t>•</w:t>
            </w:r>
            <w:r w:rsidR="00CF0CB0" w:rsidRPr="009960E1">
              <w:rPr>
                <w:lang w:val="es-ES_tradnl"/>
              </w:rPr>
              <w:tab/>
            </w:r>
            <w:r w:rsidR="00CF0CB0" w:rsidRPr="009960E1">
              <w:rPr>
                <w:sz w:val="22"/>
                <w:szCs w:val="22"/>
                <w:lang w:val="es-ES_tradnl"/>
              </w:rPr>
              <w:t>El valor de la normalización se deriva de la aplicación y amplia difusión de las</w:t>
            </w:r>
            <w:r w:rsidRPr="009960E1">
              <w:rPr>
                <w:sz w:val="22"/>
                <w:szCs w:val="22"/>
                <w:lang w:val="es-ES_tradnl"/>
              </w:rPr>
              <w:t> </w:t>
            </w:r>
            <w:r w:rsidR="00CF0CB0" w:rsidRPr="009960E1">
              <w:rPr>
                <w:sz w:val="22"/>
                <w:szCs w:val="22"/>
                <w:lang w:val="es-ES_tradnl"/>
              </w:rPr>
              <w:t>normas.</w:t>
            </w:r>
          </w:p>
          <w:p w14:paraId="7B6A985F" w14:textId="2FCF3A51" w:rsidR="00CF0CB0" w:rsidRPr="009960E1" w:rsidRDefault="00D04732" w:rsidP="00D04732">
            <w:pPr>
              <w:pStyle w:val="enumlev2"/>
              <w:rPr>
                <w:sz w:val="22"/>
                <w:szCs w:val="22"/>
                <w:lang w:val="es-ES_tradnl"/>
              </w:rPr>
            </w:pPr>
            <w:r w:rsidRPr="009960E1">
              <w:rPr>
                <w:lang w:val="es-ES_tradnl"/>
              </w:rPr>
              <w:t>•</w:t>
            </w:r>
            <w:r w:rsidR="00CF0CB0" w:rsidRPr="009960E1">
              <w:rPr>
                <w:sz w:val="22"/>
                <w:szCs w:val="22"/>
                <w:lang w:val="es-ES_tradnl"/>
              </w:rPr>
              <w:tab/>
              <w:t>La industria desempeña un papel crucial en la aplicación de las normas.</w:t>
            </w:r>
          </w:p>
          <w:p w14:paraId="43645BFD" w14:textId="53BEF4B4" w:rsidR="00CF0CB0" w:rsidRPr="009960E1" w:rsidRDefault="00D04732" w:rsidP="00D04732">
            <w:pPr>
              <w:pStyle w:val="enumlev2"/>
              <w:rPr>
                <w:sz w:val="22"/>
                <w:szCs w:val="22"/>
                <w:lang w:val="es-ES_tradnl"/>
              </w:rPr>
            </w:pPr>
            <w:r w:rsidRPr="009960E1">
              <w:rPr>
                <w:lang w:val="es-ES_tradnl"/>
              </w:rPr>
              <w:t>•</w:t>
            </w:r>
            <w:r w:rsidR="00CF0CB0" w:rsidRPr="009960E1">
              <w:rPr>
                <w:sz w:val="22"/>
                <w:szCs w:val="22"/>
                <w:lang w:val="es-ES_tradnl"/>
              </w:rPr>
              <w:tab/>
              <w:t>La normalización es una poderosa herramienta para que las empresas tengan éxito en el mercado.</w:t>
            </w:r>
          </w:p>
          <w:p w14:paraId="7C29CCE7" w14:textId="4E921058" w:rsidR="00CF0CB0" w:rsidRPr="009960E1" w:rsidRDefault="00D04732" w:rsidP="00D04732">
            <w:pPr>
              <w:pStyle w:val="enumlev2"/>
              <w:rPr>
                <w:lang w:val="es-ES_tradnl"/>
              </w:rPr>
            </w:pPr>
            <w:r w:rsidRPr="009960E1">
              <w:rPr>
                <w:lang w:val="es-ES_tradnl"/>
              </w:rPr>
              <w:t>•</w:t>
            </w:r>
            <w:r w:rsidR="00CF0CB0" w:rsidRPr="009960E1">
              <w:rPr>
                <w:sz w:val="22"/>
                <w:szCs w:val="22"/>
                <w:lang w:val="es-ES_tradnl"/>
              </w:rPr>
              <w:tab/>
              <w:t>La normalización es una herramienta poderosa para crear un mundo que satisfaga las demandas de cada uno a un precio asequible.</w:t>
            </w:r>
          </w:p>
          <w:p w14:paraId="6AA6AB82" w14:textId="2B281A2F" w:rsidR="00CF0CB0" w:rsidRPr="009960E1" w:rsidRDefault="00D04732" w:rsidP="00D04732">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Evolución hacia la digitalización, la inteligencia y la ecología. Propuesta de asociación privada del UIT-T, modelos de participación flexibles, evolución hacia normas ágiles.</w:t>
            </w:r>
          </w:p>
          <w:p w14:paraId="22A3E989" w14:textId="4BAC2BF4" w:rsidR="00CF0CB0" w:rsidRPr="00D517B5" w:rsidRDefault="00D04732" w:rsidP="00D517B5">
            <w:pPr>
              <w:pStyle w:val="enumlev1"/>
              <w:tabs>
                <w:tab w:val="clear" w:pos="1134"/>
              </w:tabs>
              <w:spacing w:before="0"/>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El UIT-T es la única organización de normalización extremo a extremo (E2E) para el mercado de operadores. Los temas de trabajo deben basarse en los requisitos de los clientes identificados (es decir, los operadores).</w:t>
            </w:r>
          </w:p>
        </w:tc>
      </w:tr>
      <w:tr w:rsidR="00CF0CB0" w:rsidRPr="009960E1" w14:paraId="449210F3" w14:textId="77777777" w:rsidTr="00F27F0E">
        <w:tc>
          <w:tcPr>
            <w:tcW w:w="9629" w:type="dxa"/>
            <w:gridSpan w:val="4"/>
          </w:tcPr>
          <w:p w14:paraId="7630AE0D" w14:textId="77777777" w:rsidR="00CF0CB0" w:rsidRPr="009960E1" w:rsidRDefault="00CF0CB0" w:rsidP="00B511E0">
            <w:pPr>
              <w:pStyle w:val="TableHead0"/>
              <w:rPr>
                <w:lang w:val="es-ES_tradnl"/>
              </w:rPr>
            </w:pPr>
            <w:r w:rsidRPr="009960E1">
              <w:rPr>
                <w:lang w:val="es-ES_tradnl"/>
              </w:rPr>
              <w:lastRenderedPageBreak/>
              <w:t>Acciones propuestas</w:t>
            </w:r>
          </w:p>
        </w:tc>
      </w:tr>
      <w:tr w:rsidR="00CF0CB0" w:rsidRPr="00A7143D" w14:paraId="033A593D" w14:textId="77777777" w:rsidTr="00F27F0E">
        <w:tc>
          <w:tcPr>
            <w:tcW w:w="9629" w:type="dxa"/>
            <w:gridSpan w:val="4"/>
          </w:tcPr>
          <w:p w14:paraId="669F2AD0" w14:textId="73B1FEC3" w:rsidR="00CF0CB0" w:rsidRPr="009960E1" w:rsidRDefault="00CF0CB0" w:rsidP="00B511E0">
            <w:pPr>
              <w:pStyle w:val="TableText0"/>
              <w:rPr>
                <w:sz w:val="20"/>
                <w:lang w:val="es-ES_tradnl"/>
              </w:rPr>
            </w:pPr>
            <w:r w:rsidRPr="009960E1">
              <w:rPr>
                <w:lang w:val="es-ES_tradnl"/>
              </w:rPr>
              <w:t xml:space="preserve">IWX-05 </w:t>
            </w:r>
            <w:r w:rsidR="00576E4E" w:rsidRPr="009960E1">
              <w:rPr>
                <w:lang w:val="es-ES_tradnl"/>
              </w:rPr>
              <w:t>–</w:t>
            </w:r>
            <w:r w:rsidRPr="009960E1">
              <w:rPr>
                <w:lang w:val="es-ES_tradnl"/>
              </w:rPr>
              <w:t xml:space="preserve"> Investigar la mejor manera de aumentar el valor de las realizaciones del UIT-T garantizando las condiciones adecuadas para las contribuciones como nuevos temas de trabajo, en particular optimizando la aplicabilidad mundial frente a los requisitos de diversidad regional.</w:t>
            </w:r>
          </w:p>
        </w:tc>
      </w:tr>
    </w:tbl>
    <w:p w14:paraId="47EBDC9D" w14:textId="5A4F3DCA" w:rsidR="00D04732" w:rsidRPr="009960E1" w:rsidRDefault="00D04732" w:rsidP="00D04732">
      <w:pPr>
        <w:rPr>
          <w:lang w:val="es-ES_tradnl"/>
        </w:rPr>
      </w:pPr>
      <w:r w:rsidRPr="009960E1">
        <w:rPr>
          <w:lang w:val="es-ES_tradnl"/>
        </w:rPr>
        <w:br w:type="page"/>
      </w:r>
    </w:p>
    <w:p w14:paraId="339D19BA" w14:textId="58A32DFF" w:rsidR="00CF0CB0" w:rsidRPr="009960E1" w:rsidRDefault="00D04732" w:rsidP="00CF0CB0">
      <w:pPr>
        <w:pStyle w:val="TableNotitle"/>
        <w:rPr>
          <w:lang w:val="es-ES_tradnl"/>
        </w:rPr>
      </w:pPr>
      <w:r w:rsidRPr="009960E1">
        <w:rPr>
          <w:b w:val="0"/>
          <w:lang w:val="es-ES_tradnl"/>
        </w:rPr>
        <w:lastRenderedPageBreak/>
        <w:t xml:space="preserve">CUADRO </w:t>
      </w:r>
      <w:r w:rsidR="00CF0CB0" w:rsidRPr="009960E1">
        <w:rPr>
          <w:b w:val="0"/>
          <w:lang w:val="es-ES_tradnl"/>
        </w:rPr>
        <w:t>3.4</w:t>
      </w:r>
      <w:r w:rsidRPr="009960E1">
        <w:rPr>
          <w:bCs/>
          <w:lang w:val="es-ES_tradnl"/>
        </w:rPr>
        <w:br/>
      </w:r>
      <w:r w:rsidR="00CF0CB0" w:rsidRPr="009960E1">
        <w:rPr>
          <w:bCs/>
          <w:lang w:val="es-ES_tradnl"/>
        </w:rPr>
        <w:t>Plan de acción sobre "Propuestas de valor"</w:t>
      </w:r>
    </w:p>
    <w:tbl>
      <w:tblPr>
        <w:tblStyle w:val="TableGrid"/>
        <w:tblW w:w="0" w:type="auto"/>
        <w:tblInd w:w="0" w:type="dxa"/>
        <w:tblLayout w:type="fixed"/>
        <w:tblLook w:val="04A0" w:firstRow="1" w:lastRow="0" w:firstColumn="1" w:lastColumn="0" w:noHBand="0" w:noVBand="1"/>
      </w:tblPr>
      <w:tblGrid>
        <w:gridCol w:w="846"/>
        <w:gridCol w:w="2268"/>
        <w:gridCol w:w="3260"/>
        <w:gridCol w:w="3255"/>
      </w:tblGrid>
      <w:tr w:rsidR="00CF0CB0" w:rsidRPr="009960E1" w14:paraId="07B5DBD7" w14:textId="77777777" w:rsidTr="000C5F84">
        <w:tc>
          <w:tcPr>
            <w:tcW w:w="846" w:type="dxa"/>
          </w:tcPr>
          <w:p w14:paraId="2CF0BFE0" w14:textId="77777777" w:rsidR="00CF0CB0" w:rsidRPr="009960E1" w:rsidRDefault="00CF0CB0" w:rsidP="00D04732">
            <w:pPr>
              <w:pStyle w:val="TableHead0"/>
              <w:rPr>
                <w:lang w:val="es-ES_tradnl"/>
              </w:rPr>
            </w:pPr>
            <w:r w:rsidRPr="009960E1">
              <w:rPr>
                <w:lang w:val="es-ES_tradnl"/>
              </w:rPr>
              <w:t>AP#</w:t>
            </w:r>
          </w:p>
        </w:tc>
        <w:tc>
          <w:tcPr>
            <w:tcW w:w="2268" w:type="dxa"/>
          </w:tcPr>
          <w:p w14:paraId="2AFDBCE8" w14:textId="77777777" w:rsidR="00CF0CB0" w:rsidRPr="009960E1" w:rsidRDefault="00CF0CB0" w:rsidP="00D04732">
            <w:pPr>
              <w:pStyle w:val="TableHead0"/>
              <w:rPr>
                <w:b w:val="0"/>
                <w:bCs/>
                <w:lang w:val="es-ES_tradnl"/>
              </w:rPr>
            </w:pPr>
            <w:r w:rsidRPr="009960E1">
              <w:rPr>
                <w:b w:val="0"/>
                <w:bCs/>
                <w:lang w:val="es-ES_tradnl"/>
              </w:rPr>
              <w:t>AP1.3</w:t>
            </w:r>
          </w:p>
        </w:tc>
        <w:tc>
          <w:tcPr>
            <w:tcW w:w="3260" w:type="dxa"/>
          </w:tcPr>
          <w:p w14:paraId="6344E386" w14:textId="77777777" w:rsidR="00CF0CB0" w:rsidRPr="009960E1" w:rsidRDefault="00CF0CB0" w:rsidP="00D04732">
            <w:pPr>
              <w:pStyle w:val="TableHead0"/>
              <w:rPr>
                <w:lang w:val="es-ES_tradnl"/>
              </w:rPr>
            </w:pPr>
            <w:r w:rsidRPr="009960E1">
              <w:rPr>
                <w:lang w:val="es-ES_tradnl"/>
              </w:rPr>
              <w:t>Nombre abreviado de AP</w:t>
            </w:r>
          </w:p>
        </w:tc>
        <w:tc>
          <w:tcPr>
            <w:tcW w:w="3255" w:type="dxa"/>
          </w:tcPr>
          <w:p w14:paraId="64D98450" w14:textId="77777777" w:rsidR="00CF0CB0" w:rsidRPr="009960E1" w:rsidRDefault="00CF0CB0" w:rsidP="00D04732">
            <w:pPr>
              <w:pStyle w:val="TableHead0"/>
              <w:rPr>
                <w:b w:val="0"/>
                <w:bCs/>
                <w:lang w:val="es-ES_tradnl"/>
              </w:rPr>
            </w:pPr>
            <w:r w:rsidRPr="009960E1">
              <w:rPr>
                <w:b w:val="0"/>
                <w:bCs/>
                <w:lang w:val="es-ES_tradnl"/>
              </w:rPr>
              <w:t>"Propuestas de valor"</w:t>
            </w:r>
          </w:p>
        </w:tc>
      </w:tr>
      <w:tr w:rsidR="00CF0CB0" w:rsidRPr="009960E1" w14:paraId="59DFE289" w14:textId="77777777" w:rsidTr="00F27F0E">
        <w:tc>
          <w:tcPr>
            <w:tcW w:w="9629" w:type="dxa"/>
            <w:gridSpan w:val="4"/>
          </w:tcPr>
          <w:p w14:paraId="66BF745C" w14:textId="77777777" w:rsidR="00CF0CB0" w:rsidRPr="009960E1" w:rsidRDefault="00CF0CB0" w:rsidP="00D04732">
            <w:pPr>
              <w:pStyle w:val="TableHead0"/>
              <w:rPr>
                <w:lang w:val="es-ES_tradnl"/>
              </w:rPr>
            </w:pPr>
            <w:r w:rsidRPr="009960E1">
              <w:rPr>
                <w:lang w:val="es-ES_tradnl"/>
              </w:rPr>
              <w:t>Objetivo/Prioridad temática</w:t>
            </w:r>
          </w:p>
        </w:tc>
      </w:tr>
      <w:tr w:rsidR="00CF0CB0" w:rsidRPr="00A7143D" w14:paraId="62C007AE" w14:textId="77777777" w:rsidTr="00F27F0E">
        <w:tc>
          <w:tcPr>
            <w:tcW w:w="9629" w:type="dxa"/>
            <w:gridSpan w:val="4"/>
          </w:tcPr>
          <w:p w14:paraId="7D0277EF" w14:textId="77777777" w:rsidR="00CF0CB0" w:rsidRPr="009960E1" w:rsidRDefault="00CF0CB0" w:rsidP="00576E4E">
            <w:pPr>
              <w:pStyle w:val="TableText0"/>
              <w:rPr>
                <w:sz w:val="20"/>
                <w:lang w:val="es-ES_tradnl"/>
              </w:rPr>
            </w:pPr>
            <w:r w:rsidRPr="009960E1">
              <w:rPr>
                <w:lang w:val="es-ES_tradnl"/>
              </w:rPr>
              <w:t>Identificar propuestas de valor para mejorar la participación y retención de la industria como Miembros de Sector y Asociados (incluidas las pymes) en el UIT-T.</w:t>
            </w:r>
          </w:p>
        </w:tc>
      </w:tr>
      <w:tr w:rsidR="00CF0CB0" w:rsidRPr="009960E1" w14:paraId="47C70B95" w14:textId="77777777" w:rsidTr="00F27F0E">
        <w:tc>
          <w:tcPr>
            <w:tcW w:w="9629" w:type="dxa"/>
            <w:gridSpan w:val="4"/>
          </w:tcPr>
          <w:p w14:paraId="7BF381CA" w14:textId="77777777" w:rsidR="00CF0CB0" w:rsidRPr="009960E1" w:rsidRDefault="00CF0CB0" w:rsidP="00D04732">
            <w:pPr>
              <w:pStyle w:val="TableHead0"/>
              <w:rPr>
                <w:lang w:val="es-ES_tradnl"/>
              </w:rPr>
            </w:pPr>
            <w:r w:rsidRPr="009960E1">
              <w:rPr>
                <w:lang w:val="es-ES_tradnl"/>
              </w:rPr>
              <w:t>Realización(es) clave(s)</w:t>
            </w:r>
          </w:p>
        </w:tc>
      </w:tr>
      <w:tr w:rsidR="00CF0CB0" w:rsidRPr="00A7143D" w14:paraId="33307637" w14:textId="77777777" w:rsidTr="00F27F0E">
        <w:tc>
          <w:tcPr>
            <w:tcW w:w="9629" w:type="dxa"/>
            <w:gridSpan w:val="4"/>
          </w:tcPr>
          <w:p w14:paraId="3A142DDE" w14:textId="77777777" w:rsidR="00CF0CB0" w:rsidRPr="009960E1" w:rsidRDefault="00CF0CB0" w:rsidP="00576E4E">
            <w:pPr>
              <w:pStyle w:val="TableText0"/>
              <w:rPr>
                <w:lang w:val="es-ES_tradnl"/>
              </w:rPr>
            </w:pPr>
            <w:r w:rsidRPr="009960E1">
              <w:rPr>
                <w:lang w:val="es-ES_tradnl"/>
              </w:rPr>
              <w:t>Lista identificada de propuestas de valor para aumentar el valor de la labor del UIT-T.</w:t>
            </w:r>
          </w:p>
        </w:tc>
      </w:tr>
      <w:tr w:rsidR="00CF0CB0" w:rsidRPr="00A7143D" w14:paraId="13AF9EE1" w14:textId="77777777" w:rsidTr="00F27F0E">
        <w:tc>
          <w:tcPr>
            <w:tcW w:w="9629" w:type="dxa"/>
            <w:gridSpan w:val="4"/>
          </w:tcPr>
          <w:p w14:paraId="6533EA47" w14:textId="77777777" w:rsidR="00CF0CB0" w:rsidRPr="009960E1" w:rsidRDefault="00CF0CB0" w:rsidP="00D04732">
            <w:pPr>
              <w:pStyle w:val="TableHead0"/>
              <w:rPr>
                <w:lang w:val="es-ES_tradnl"/>
              </w:rPr>
            </w:pPr>
            <w:r w:rsidRPr="009960E1">
              <w:rPr>
                <w:lang w:val="es-ES_tradnl"/>
              </w:rPr>
              <w:t>Indicador(es) de realizaciones clave</w:t>
            </w:r>
          </w:p>
        </w:tc>
      </w:tr>
      <w:tr w:rsidR="00CF0CB0" w:rsidRPr="00A7143D" w14:paraId="103480D4" w14:textId="77777777" w:rsidTr="00F27F0E">
        <w:tc>
          <w:tcPr>
            <w:tcW w:w="9629" w:type="dxa"/>
            <w:gridSpan w:val="4"/>
          </w:tcPr>
          <w:p w14:paraId="536EE598" w14:textId="334CD9CC" w:rsidR="00CF0CB0" w:rsidRPr="00B97CA5" w:rsidRDefault="00576E4E"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la retención de representantes de la industria en las actividades del UIT-T,</w:t>
            </w:r>
          </w:p>
          <w:p w14:paraId="606AD979" w14:textId="54CE47FF" w:rsidR="00CF0CB0" w:rsidRPr="00B97CA5" w:rsidRDefault="00576E4E"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un aumento de la participación en los trabajos de las CE, los Grupos Temáticos, las JCA, etc.,</w:t>
            </w:r>
          </w:p>
          <w:p w14:paraId="7E25EE50" w14:textId="5AB3AE7A" w:rsidR="00CF0CB0" w:rsidRPr="00B97CA5" w:rsidRDefault="00576E4E"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un aumento del número de contribuciones presentadas a dichas reuniones.</w:t>
            </w:r>
          </w:p>
        </w:tc>
      </w:tr>
      <w:tr w:rsidR="00CF0CB0" w:rsidRPr="009960E1" w14:paraId="13A11F7A" w14:textId="77777777" w:rsidTr="00F27F0E">
        <w:tc>
          <w:tcPr>
            <w:tcW w:w="9629" w:type="dxa"/>
            <w:gridSpan w:val="4"/>
          </w:tcPr>
          <w:p w14:paraId="493F11F7" w14:textId="77777777" w:rsidR="00CF0CB0" w:rsidRPr="009960E1" w:rsidRDefault="00CF0CB0" w:rsidP="00D04732">
            <w:pPr>
              <w:pStyle w:val="TableHead0"/>
              <w:rPr>
                <w:lang w:val="es-ES_tradnl"/>
              </w:rPr>
            </w:pPr>
            <w:r w:rsidRPr="009960E1">
              <w:rPr>
                <w:lang w:val="es-ES_tradnl"/>
              </w:rPr>
              <w:t>Estrategias de aplicación</w:t>
            </w:r>
          </w:p>
        </w:tc>
      </w:tr>
      <w:tr w:rsidR="00CF0CB0" w:rsidRPr="00A7143D" w14:paraId="2F15E906" w14:textId="77777777" w:rsidTr="00F27F0E">
        <w:tc>
          <w:tcPr>
            <w:tcW w:w="9629" w:type="dxa"/>
            <w:gridSpan w:val="4"/>
          </w:tcPr>
          <w:p w14:paraId="274150A1" w14:textId="327EA691" w:rsidR="00CF0CB0" w:rsidRPr="00B97CA5" w:rsidRDefault="00576E4E"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determinar mediante encuestas a los miembros u otros medios similares que el valor de la participación en el UIT-T está aumentando;</w:t>
            </w:r>
          </w:p>
          <w:p w14:paraId="0FBF0B01" w14:textId="0CC7D059" w:rsidR="00CF0CB0" w:rsidRPr="00B97CA5" w:rsidRDefault="00576E4E" w:rsidP="00B97CA5">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Fonts w:eastAsia="SimSun"/>
                <w:sz w:val="22"/>
                <w:szCs w:val="22"/>
                <w:lang w:val="es-ES"/>
              </w:rPr>
            </w:pPr>
            <w:r w:rsidRPr="00B97CA5">
              <w:rPr>
                <w:rFonts w:eastAsia="SimSun"/>
                <w:sz w:val="22"/>
                <w:szCs w:val="22"/>
                <w:lang w:val="es-ES"/>
              </w:rPr>
              <w:t>–</w:t>
            </w:r>
            <w:r w:rsidRPr="00B97CA5">
              <w:rPr>
                <w:rFonts w:eastAsia="SimSun"/>
                <w:sz w:val="22"/>
                <w:szCs w:val="22"/>
                <w:lang w:val="es-ES"/>
              </w:rPr>
              <w:tab/>
            </w:r>
            <w:r w:rsidR="00CF0CB0" w:rsidRPr="00B97CA5">
              <w:rPr>
                <w:rFonts w:eastAsia="SimSun"/>
                <w:sz w:val="22"/>
                <w:szCs w:val="22"/>
                <w:lang w:val="es-ES"/>
              </w:rPr>
              <w:t>realizar un análisis estadístico del número de representantes de la industria entre los Miembros de Sector, los Asociados y las pymes que participan y contribuyen a los trabajos.</w:t>
            </w:r>
          </w:p>
        </w:tc>
      </w:tr>
      <w:tr w:rsidR="00CF0CB0" w:rsidRPr="009960E1" w14:paraId="75E4E110" w14:textId="77777777" w:rsidTr="00F27F0E">
        <w:tc>
          <w:tcPr>
            <w:tcW w:w="9629" w:type="dxa"/>
            <w:gridSpan w:val="4"/>
          </w:tcPr>
          <w:p w14:paraId="769965D7" w14:textId="77777777" w:rsidR="00CF0CB0" w:rsidRPr="009960E1" w:rsidRDefault="00CF0CB0" w:rsidP="00D04732">
            <w:pPr>
              <w:pStyle w:val="TableHead0"/>
              <w:rPr>
                <w:lang w:val="es-ES_tradnl"/>
              </w:rPr>
            </w:pPr>
            <w:r w:rsidRPr="009960E1">
              <w:rPr>
                <w:lang w:val="es-ES_tradnl"/>
              </w:rPr>
              <w:t>Factores habilitadores</w:t>
            </w:r>
          </w:p>
        </w:tc>
      </w:tr>
      <w:tr w:rsidR="00CF0CB0" w:rsidRPr="009960E1" w14:paraId="21816EE0" w14:textId="77777777" w:rsidTr="00F27F0E">
        <w:tc>
          <w:tcPr>
            <w:tcW w:w="9629" w:type="dxa"/>
            <w:gridSpan w:val="4"/>
          </w:tcPr>
          <w:p w14:paraId="689B1BAB" w14:textId="77777777" w:rsidR="00CF0CB0" w:rsidRPr="009960E1" w:rsidRDefault="00CF0CB0" w:rsidP="00F27F0E">
            <w:pPr>
              <w:rPr>
                <w:sz w:val="20"/>
                <w:lang w:val="es-ES_tradnl"/>
              </w:rPr>
            </w:pPr>
          </w:p>
        </w:tc>
      </w:tr>
      <w:tr w:rsidR="00CF0CB0" w:rsidRPr="009960E1" w14:paraId="4BEBC0B3" w14:textId="77777777" w:rsidTr="00F27F0E">
        <w:tc>
          <w:tcPr>
            <w:tcW w:w="9629" w:type="dxa"/>
            <w:gridSpan w:val="4"/>
          </w:tcPr>
          <w:p w14:paraId="7D875599" w14:textId="77777777" w:rsidR="00CF0CB0" w:rsidRPr="009960E1" w:rsidRDefault="00CF0CB0" w:rsidP="00D04732">
            <w:pPr>
              <w:pStyle w:val="TableHead0"/>
              <w:rPr>
                <w:lang w:val="es-ES_tradnl"/>
              </w:rPr>
            </w:pPr>
            <w:r w:rsidRPr="009960E1">
              <w:rPr>
                <w:lang w:val="es-ES_tradnl"/>
              </w:rPr>
              <w:t>Servicios de la UIT</w:t>
            </w:r>
          </w:p>
        </w:tc>
      </w:tr>
      <w:tr w:rsidR="00CF0CB0" w:rsidRPr="009960E1" w14:paraId="42E86A1E" w14:textId="77777777" w:rsidTr="00F27F0E">
        <w:tc>
          <w:tcPr>
            <w:tcW w:w="9629" w:type="dxa"/>
            <w:gridSpan w:val="4"/>
          </w:tcPr>
          <w:p w14:paraId="2E4C5F15" w14:textId="77777777" w:rsidR="00CF0CB0" w:rsidRPr="009960E1" w:rsidRDefault="00CF0CB0" w:rsidP="00F27F0E">
            <w:pPr>
              <w:rPr>
                <w:sz w:val="20"/>
                <w:lang w:val="es-ES_tradnl"/>
              </w:rPr>
            </w:pPr>
          </w:p>
        </w:tc>
      </w:tr>
      <w:tr w:rsidR="00CF0CB0" w:rsidRPr="009960E1" w14:paraId="36D926A1" w14:textId="77777777" w:rsidTr="00F27F0E">
        <w:tc>
          <w:tcPr>
            <w:tcW w:w="9629" w:type="dxa"/>
            <w:gridSpan w:val="4"/>
          </w:tcPr>
          <w:p w14:paraId="693BD14B" w14:textId="77777777" w:rsidR="00CF0CB0" w:rsidRPr="009960E1" w:rsidRDefault="00CF0CB0" w:rsidP="00D04732">
            <w:pPr>
              <w:pStyle w:val="TableHead0"/>
              <w:rPr>
                <w:lang w:val="es-ES_tradnl"/>
              </w:rPr>
            </w:pPr>
            <w:r w:rsidRPr="009960E1">
              <w:rPr>
                <w:lang w:val="es-ES_tradnl"/>
              </w:rPr>
              <w:t>Aprendizaje y retroalimentación</w:t>
            </w:r>
          </w:p>
        </w:tc>
      </w:tr>
      <w:tr w:rsidR="00CF0CB0" w:rsidRPr="00A7143D" w14:paraId="2622559A" w14:textId="77777777" w:rsidTr="00F27F0E">
        <w:tc>
          <w:tcPr>
            <w:tcW w:w="9629" w:type="dxa"/>
            <w:gridSpan w:val="4"/>
          </w:tcPr>
          <w:p w14:paraId="43ABB60B" w14:textId="77777777" w:rsidR="00CF0CB0" w:rsidRPr="009960E1" w:rsidRDefault="00CF0CB0" w:rsidP="00576E4E">
            <w:pPr>
              <w:pStyle w:val="TableText0"/>
              <w:rPr>
                <w:lang w:val="es-ES_tradnl"/>
              </w:rPr>
            </w:pPr>
            <w:r w:rsidRPr="009960E1">
              <w:rPr>
                <w:lang w:val="es-ES_tradnl"/>
              </w:rPr>
              <w:t>La 1ª IEW formuló las siguientes observaciones en relación con las "Propuestas de valor":</w:t>
            </w:r>
          </w:p>
          <w:p w14:paraId="2D73AFBF" w14:textId="1F04B54B" w:rsidR="00CF0CB0" w:rsidRPr="009960E1" w:rsidRDefault="00576E4E" w:rsidP="00576E4E">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La propuesta de valor del UIT-T debe ser salvaguardar la armonización mundial de las diferentes organizaciones de normalización. El UIT-T se beneficia de un proceso líder en el mundo basado en el consenso, una política equilibrada de DPI y la inclusividad, y es un puente único entre la industria y el gobierno, y debe centrarse en la cooperación y coordinación con los centros de competencia existentes reconocidos por la industria.</w:t>
            </w:r>
          </w:p>
          <w:p w14:paraId="4A29ED81" w14:textId="225BCAF0" w:rsidR="00CF0CB0" w:rsidRPr="009960E1" w:rsidRDefault="00576E4E" w:rsidP="00576E4E">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La escasa pertinencia del UIT-T para el mercado empresarial, GitHub y las implementaciones de código abierto son el nuevo mundo. El UIT-T es el lugar ideal para interactuar con los responsables políticos. Algunos opinaron que el UIT-T debería reinventarse.</w:t>
            </w:r>
          </w:p>
          <w:p w14:paraId="405F613E" w14:textId="46CC9793" w:rsidR="00CF0CB0" w:rsidRPr="009960E1" w:rsidRDefault="00576E4E" w:rsidP="00576E4E">
            <w:pPr>
              <w:pStyle w:val="enumlev1"/>
              <w:tabs>
                <w:tab w:val="clear" w:pos="1134"/>
              </w:tabs>
              <w:ind w:left="739" w:hanging="739"/>
              <w:rPr>
                <w:sz w:val="20"/>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Se debería promover una exposición más clara de la propuesta de valor del UIT-T, por ejemplo, a través de la página web del UIT-T y la parte correspondiente al UIT-T del Plan Estratégico.</w:t>
            </w:r>
          </w:p>
        </w:tc>
      </w:tr>
      <w:tr w:rsidR="00CF0CB0" w:rsidRPr="009960E1" w14:paraId="7CE8B70E" w14:textId="77777777" w:rsidTr="00F27F0E">
        <w:tc>
          <w:tcPr>
            <w:tcW w:w="9629" w:type="dxa"/>
            <w:gridSpan w:val="4"/>
          </w:tcPr>
          <w:p w14:paraId="0E3AB2C4" w14:textId="77777777" w:rsidR="00CF0CB0" w:rsidRPr="009960E1" w:rsidRDefault="00CF0CB0" w:rsidP="00D04732">
            <w:pPr>
              <w:pStyle w:val="TableHead0"/>
              <w:rPr>
                <w:lang w:val="es-ES_tradnl"/>
              </w:rPr>
            </w:pPr>
            <w:r w:rsidRPr="009960E1">
              <w:rPr>
                <w:lang w:val="es-ES_tradnl"/>
              </w:rPr>
              <w:t>Acciones propuestas</w:t>
            </w:r>
          </w:p>
        </w:tc>
      </w:tr>
      <w:tr w:rsidR="00CF0CB0" w:rsidRPr="00A7143D" w14:paraId="24FD2050" w14:textId="77777777" w:rsidTr="00F27F0E">
        <w:tc>
          <w:tcPr>
            <w:tcW w:w="9629" w:type="dxa"/>
            <w:gridSpan w:val="4"/>
          </w:tcPr>
          <w:p w14:paraId="06C39A96" w14:textId="6D56FE70" w:rsidR="00CF0CB0" w:rsidRPr="009960E1" w:rsidRDefault="00CF0CB0" w:rsidP="00576E4E">
            <w:pPr>
              <w:pStyle w:val="TableText0"/>
              <w:rPr>
                <w:lang w:val="es-ES_tradnl"/>
              </w:rPr>
            </w:pPr>
            <w:r w:rsidRPr="009960E1">
              <w:rPr>
                <w:lang w:val="es-ES_tradnl"/>
              </w:rPr>
              <w:t xml:space="preserve">IWX-03 </w:t>
            </w:r>
            <w:r w:rsidR="00576E4E" w:rsidRPr="009960E1">
              <w:rPr>
                <w:lang w:val="es-ES_tradnl"/>
              </w:rPr>
              <w:t>–</w:t>
            </w:r>
            <w:r w:rsidRPr="009960E1">
              <w:rPr>
                <w:lang w:val="es-ES_tradnl"/>
              </w:rPr>
              <w:t xml:space="preserve"> Aclarar dónde la industria puede identificar soluciones y participar</w:t>
            </w:r>
          </w:p>
          <w:p w14:paraId="190E21C5" w14:textId="459D1230" w:rsidR="00CF0CB0" w:rsidRPr="009960E1" w:rsidRDefault="00CF0CB0" w:rsidP="00576E4E">
            <w:pPr>
              <w:pStyle w:val="TableText0"/>
              <w:rPr>
                <w:lang w:val="es-ES_tradnl"/>
              </w:rPr>
            </w:pPr>
            <w:r w:rsidRPr="009960E1">
              <w:rPr>
                <w:lang w:val="es-ES_tradnl"/>
              </w:rPr>
              <w:t xml:space="preserve">IWX-07 </w:t>
            </w:r>
            <w:r w:rsidR="00576E4E" w:rsidRPr="009960E1">
              <w:rPr>
                <w:lang w:val="es-ES_tradnl"/>
              </w:rPr>
              <w:t>–</w:t>
            </w:r>
            <w:r w:rsidRPr="009960E1">
              <w:rPr>
                <w:lang w:val="es-ES_tradnl"/>
              </w:rPr>
              <w:t xml:space="preserve"> Investigar la mejor manera de ofrecer una "historia del UIT-T"/propuesta de valor y promover lo que el UIT-T tiene.</w:t>
            </w:r>
          </w:p>
          <w:p w14:paraId="4E323BA9" w14:textId="75964DDF" w:rsidR="00CF0CB0" w:rsidRPr="009960E1" w:rsidRDefault="00CF0CB0" w:rsidP="00576E4E">
            <w:pPr>
              <w:pStyle w:val="TableText0"/>
              <w:rPr>
                <w:lang w:val="es-ES_tradnl"/>
              </w:rPr>
            </w:pPr>
            <w:r w:rsidRPr="009960E1">
              <w:rPr>
                <w:lang w:val="es-ES_tradnl"/>
              </w:rPr>
              <w:t xml:space="preserve">IWX-08 </w:t>
            </w:r>
            <w:r w:rsidR="00576E4E" w:rsidRPr="009960E1">
              <w:rPr>
                <w:lang w:val="es-ES_tradnl"/>
              </w:rPr>
              <w:t>–</w:t>
            </w:r>
            <w:r w:rsidRPr="009960E1">
              <w:rPr>
                <w:lang w:val="es-ES_tradnl"/>
              </w:rPr>
              <w:t xml:space="preserve"> Investigar si es realista tener una "historia del UIT-T"/propuesta de valor o si se necesitan múltiples para diferentes contextos (Comisión de Estudio, temas, audiencias, etc.).</w:t>
            </w:r>
          </w:p>
          <w:p w14:paraId="7827ABF7" w14:textId="77777777" w:rsidR="00CF0CB0" w:rsidRPr="009960E1" w:rsidRDefault="00CF0CB0" w:rsidP="00576E4E">
            <w:pPr>
              <w:pStyle w:val="TableText0"/>
              <w:rPr>
                <w:lang w:val="es-ES_tradnl"/>
              </w:rPr>
            </w:pPr>
            <w:r w:rsidRPr="009960E1">
              <w:rPr>
                <w:lang w:val="es-ES_tradnl"/>
              </w:rPr>
              <w:t>IWX-26 – Investigar formas de reducir el obstáculo financiero de entrada de pymes y nuevas empresas para incorporarse a la UIT como Miembros de Sector.</w:t>
            </w:r>
          </w:p>
        </w:tc>
      </w:tr>
    </w:tbl>
    <w:p w14:paraId="6B0FF35A" w14:textId="77777777" w:rsidR="00CF0CB0" w:rsidRPr="009960E1" w:rsidRDefault="00CF0CB0" w:rsidP="00CF0CB0">
      <w:pPr>
        <w:rPr>
          <w:lang w:val="es-ES_tradnl"/>
        </w:rPr>
      </w:pPr>
      <w:r w:rsidRPr="009960E1">
        <w:rPr>
          <w:lang w:val="es-ES_tradnl"/>
        </w:rPr>
        <w:br w:type="page"/>
      </w:r>
    </w:p>
    <w:p w14:paraId="5DF7AB2B" w14:textId="371A272E" w:rsidR="00CF0CB0" w:rsidRPr="009960E1" w:rsidRDefault="00576E4E" w:rsidP="00CF0CB0">
      <w:pPr>
        <w:pStyle w:val="TableNotitle"/>
        <w:rPr>
          <w:lang w:val="es-ES_tradnl"/>
        </w:rPr>
      </w:pPr>
      <w:r w:rsidRPr="009960E1">
        <w:rPr>
          <w:b w:val="0"/>
          <w:lang w:val="es-ES_tradnl"/>
        </w:rPr>
        <w:lastRenderedPageBreak/>
        <w:t xml:space="preserve">CUADRO </w:t>
      </w:r>
      <w:r w:rsidR="00CF0CB0" w:rsidRPr="009960E1">
        <w:rPr>
          <w:b w:val="0"/>
          <w:lang w:val="es-ES_tradnl"/>
        </w:rPr>
        <w:t>3.5</w:t>
      </w:r>
      <w:r w:rsidRPr="009960E1">
        <w:rPr>
          <w:bCs/>
          <w:lang w:val="es-ES_tradnl"/>
        </w:rPr>
        <w:br/>
      </w:r>
      <w:r w:rsidR="00CF0CB0" w:rsidRPr="009960E1">
        <w:rPr>
          <w:bCs/>
          <w:lang w:val="es-ES_tradnl"/>
        </w:rPr>
        <w:t>Plan de acción para "Atraer a la industria"</w:t>
      </w:r>
    </w:p>
    <w:tbl>
      <w:tblPr>
        <w:tblStyle w:val="TableGrid"/>
        <w:tblW w:w="0" w:type="auto"/>
        <w:tblInd w:w="0" w:type="dxa"/>
        <w:tblLayout w:type="fixed"/>
        <w:tblLook w:val="04A0" w:firstRow="1" w:lastRow="0" w:firstColumn="1" w:lastColumn="0" w:noHBand="0" w:noVBand="1"/>
      </w:tblPr>
      <w:tblGrid>
        <w:gridCol w:w="846"/>
        <w:gridCol w:w="2410"/>
        <w:gridCol w:w="3118"/>
        <w:gridCol w:w="3255"/>
      </w:tblGrid>
      <w:tr w:rsidR="00CF0CB0" w:rsidRPr="009960E1" w14:paraId="10750D54" w14:textId="77777777" w:rsidTr="000C5F84">
        <w:tc>
          <w:tcPr>
            <w:tcW w:w="846" w:type="dxa"/>
          </w:tcPr>
          <w:p w14:paraId="016E8AFC" w14:textId="77777777" w:rsidR="00CF0CB0" w:rsidRPr="009960E1" w:rsidRDefault="00CF0CB0" w:rsidP="000C5F84">
            <w:pPr>
              <w:pStyle w:val="TableHead0"/>
              <w:rPr>
                <w:lang w:val="es-ES_tradnl"/>
              </w:rPr>
            </w:pPr>
            <w:r w:rsidRPr="009960E1">
              <w:rPr>
                <w:lang w:val="es-ES_tradnl"/>
              </w:rPr>
              <w:t>AP#</w:t>
            </w:r>
          </w:p>
        </w:tc>
        <w:tc>
          <w:tcPr>
            <w:tcW w:w="2410" w:type="dxa"/>
          </w:tcPr>
          <w:p w14:paraId="08D68A6A" w14:textId="77777777" w:rsidR="00CF0CB0" w:rsidRPr="009960E1" w:rsidRDefault="00CF0CB0" w:rsidP="000C5F84">
            <w:pPr>
              <w:pStyle w:val="TableHead0"/>
              <w:rPr>
                <w:b w:val="0"/>
                <w:bCs/>
                <w:lang w:val="es-ES_tradnl"/>
              </w:rPr>
            </w:pPr>
            <w:r w:rsidRPr="009960E1">
              <w:rPr>
                <w:b w:val="0"/>
                <w:bCs/>
                <w:lang w:val="es-ES_tradnl"/>
              </w:rPr>
              <w:t>AP1.4</w:t>
            </w:r>
          </w:p>
        </w:tc>
        <w:tc>
          <w:tcPr>
            <w:tcW w:w="3118" w:type="dxa"/>
          </w:tcPr>
          <w:p w14:paraId="2988C613" w14:textId="77777777" w:rsidR="00CF0CB0" w:rsidRPr="009960E1" w:rsidRDefault="00CF0CB0" w:rsidP="000C5F84">
            <w:pPr>
              <w:pStyle w:val="TableHead0"/>
              <w:rPr>
                <w:lang w:val="es-ES_tradnl"/>
              </w:rPr>
            </w:pPr>
            <w:r w:rsidRPr="009960E1">
              <w:rPr>
                <w:lang w:val="es-ES_tradnl"/>
              </w:rPr>
              <w:t>Nombre abreviado de AP</w:t>
            </w:r>
          </w:p>
        </w:tc>
        <w:tc>
          <w:tcPr>
            <w:tcW w:w="3255" w:type="dxa"/>
          </w:tcPr>
          <w:p w14:paraId="7F238367" w14:textId="77777777" w:rsidR="00CF0CB0" w:rsidRPr="009960E1" w:rsidRDefault="00CF0CB0" w:rsidP="000C5F84">
            <w:pPr>
              <w:pStyle w:val="TableHead0"/>
              <w:rPr>
                <w:b w:val="0"/>
                <w:bCs/>
                <w:lang w:val="es-ES_tradnl"/>
              </w:rPr>
            </w:pPr>
            <w:r w:rsidRPr="009960E1">
              <w:rPr>
                <w:b w:val="0"/>
                <w:bCs/>
                <w:lang w:val="es-ES_tradnl"/>
              </w:rPr>
              <w:t>"Atraer a la industria"</w:t>
            </w:r>
          </w:p>
        </w:tc>
      </w:tr>
      <w:tr w:rsidR="00CF0CB0" w:rsidRPr="009960E1" w14:paraId="40DD77BC" w14:textId="77777777" w:rsidTr="00F27F0E">
        <w:tc>
          <w:tcPr>
            <w:tcW w:w="9629" w:type="dxa"/>
            <w:gridSpan w:val="4"/>
          </w:tcPr>
          <w:p w14:paraId="758D17F8" w14:textId="77777777" w:rsidR="00CF0CB0" w:rsidRPr="009960E1" w:rsidRDefault="00CF0CB0" w:rsidP="000C5F84">
            <w:pPr>
              <w:pStyle w:val="TableHead0"/>
              <w:rPr>
                <w:lang w:val="es-ES_tradnl"/>
              </w:rPr>
            </w:pPr>
            <w:r w:rsidRPr="009960E1">
              <w:rPr>
                <w:lang w:val="es-ES_tradnl"/>
              </w:rPr>
              <w:t>Objetivo/Prioridad temática</w:t>
            </w:r>
          </w:p>
        </w:tc>
      </w:tr>
      <w:tr w:rsidR="00CF0CB0" w:rsidRPr="00A7143D" w14:paraId="471C3314" w14:textId="77777777" w:rsidTr="00F27F0E">
        <w:tc>
          <w:tcPr>
            <w:tcW w:w="9629" w:type="dxa"/>
            <w:gridSpan w:val="4"/>
          </w:tcPr>
          <w:p w14:paraId="0B473DD8" w14:textId="77777777" w:rsidR="00CF0CB0" w:rsidRPr="009960E1" w:rsidRDefault="00CF0CB0" w:rsidP="00DE17FD">
            <w:pPr>
              <w:pStyle w:val="TableText0"/>
              <w:rPr>
                <w:lang w:val="es-ES_tradnl"/>
              </w:rPr>
            </w:pPr>
            <w:r w:rsidRPr="009960E1">
              <w:rPr>
                <w:lang w:val="es-ES_tradnl"/>
              </w:rPr>
              <w:t>Identificar la manera de atraer a la industria de los países desarrollados y en desarrollo para que participen en el UIT-T como nuevos Miembros de Sector, Asociados y pymes.</w:t>
            </w:r>
          </w:p>
        </w:tc>
      </w:tr>
      <w:tr w:rsidR="00CF0CB0" w:rsidRPr="009960E1" w14:paraId="7C30105C" w14:textId="77777777" w:rsidTr="00F27F0E">
        <w:tc>
          <w:tcPr>
            <w:tcW w:w="9629" w:type="dxa"/>
            <w:gridSpan w:val="4"/>
          </w:tcPr>
          <w:p w14:paraId="1FE0552B" w14:textId="77777777" w:rsidR="00CF0CB0" w:rsidRPr="009960E1" w:rsidRDefault="00CF0CB0" w:rsidP="000C5F84">
            <w:pPr>
              <w:pStyle w:val="TableHead0"/>
              <w:rPr>
                <w:lang w:val="es-ES_tradnl"/>
              </w:rPr>
            </w:pPr>
            <w:r w:rsidRPr="009960E1">
              <w:rPr>
                <w:lang w:val="es-ES_tradnl"/>
              </w:rPr>
              <w:t>Realización(es) clave(s)</w:t>
            </w:r>
          </w:p>
        </w:tc>
      </w:tr>
      <w:tr w:rsidR="00CF0CB0" w:rsidRPr="009960E1" w14:paraId="3E55ADBD" w14:textId="77777777" w:rsidTr="00F27F0E">
        <w:tc>
          <w:tcPr>
            <w:tcW w:w="9629" w:type="dxa"/>
            <w:gridSpan w:val="4"/>
          </w:tcPr>
          <w:p w14:paraId="5AF08D09" w14:textId="5504FA3A" w:rsidR="00CF0CB0" w:rsidRPr="009960E1" w:rsidRDefault="00CF0CB0" w:rsidP="00DE17FD">
            <w:pPr>
              <w:pStyle w:val="TableText0"/>
              <w:rPr>
                <w:lang w:val="es-ES_tradnl"/>
              </w:rPr>
            </w:pPr>
            <w:r w:rsidRPr="009960E1">
              <w:rPr>
                <w:lang w:val="es-ES_tradnl"/>
              </w:rPr>
              <w:t xml:space="preserve">Identificación de medidas para abordar la siguiente lista no exhaustiva de cuestiones: disparidad de recursos humanos capacitados en normalización y disparidad en la participación efectiva en las actividades del UIT-T; el acceso a la información técnica esencial para mejorar los conocimientos y la capacidad i) aplicar normas mundiales, ii) contribuir eficazmente a la labor del UIT-T, iii) incluir sus propias especificidades y necesidades en el proceso mundial de elaboración de normas, </w:t>
            </w:r>
            <w:r w:rsidR="004444AA">
              <w:rPr>
                <w:lang w:val="es-ES_tradnl"/>
              </w:rPr>
              <w:t>y</w:t>
            </w:r>
            <w:r w:rsidRPr="009960E1">
              <w:rPr>
                <w:lang w:val="es-ES_tradnl"/>
              </w:rPr>
              <w:t xml:space="preserve"> </w:t>
            </w:r>
            <w:proofErr w:type="spellStart"/>
            <w:r w:rsidRPr="009960E1">
              <w:rPr>
                <w:lang w:val="es-ES_tradnl"/>
              </w:rPr>
              <w:t>iv</w:t>
            </w:r>
            <w:proofErr w:type="spellEnd"/>
            <w:r w:rsidRPr="009960E1">
              <w:rPr>
                <w:lang w:val="es-ES_tradnl"/>
              </w:rPr>
              <w:t>) influir en los debates mundiales sobre la normalización desempeñando un papel activo en las CE del UIT-T, en estrecha colaboración con otras iniciativas de creación de capacidades de la BDT; crear y mantener una base de datos actualizada en la que se recoja información sobre las nuevas tecnologías normalizadas, así como productos que sean conformes con las Recomendaciones del UIT-T.</w:t>
            </w:r>
          </w:p>
          <w:p w14:paraId="595F7699" w14:textId="77777777" w:rsidR="00CF0CB0" w:rsidRPr="009960E1" w:rsidRDefault="00CF0CB0" w:rsidP="00DE17FD">
            <w:pPr>
              <w:pStyle w:val="TableText0"/>
              <w:rPr>
                <w:sz w:val="20"/>
                <w:lang w:val="es-ES_tradnl"/>
              </w:rPr>
            </w:pPr>
            <w:r w:rsidRPr="009960E1">
              <w:rPr>
                <w:lang w:val="es-ES_tradnl"/>
              </w:rPr>
              <w:t>Una consideración importante que hay que tener en cuenta es que el nuevo programa de reducción de la disparidad en materia de normalización (BSG) tiene por objeto abordar las disparidades en los países en desarrollo, en particular en lo que respecta a la elaboración y aplicación de normas internacionales a través de las Recomendaciones del UIT-T. (También puede señalarse y ampliarse en la sección AP1.5).</w:t>
            </w:r>
          </w:p>
        </w:tc>
      </w:tr>
      <w:tr w:rsidR="00CF0CB0" w:rsidRPr="00A7143D" w14:paraId="5A501488" w14:textId="77777777" w:rsidTr="00F27F0E">
        <w:tc>
          <w:tcPr>
            <w:tcW w:w="9629" w:type="dxa"/>
            <w:gridSpan w:val="4"/>
          </w:tcPr>
          <w:p w14:paraId="77F7038C" w14:textId="77777777" w:rsidR="00CF0CB0" w:rsidRPr="009960E1" w:rsidRDefault="00CF0CB0" w:rsidP="000C5F84">
            <w:pPr>
              <w:pStyle w:val="TableHead0"/>
              <w:rPr>
                <w:lang w:val="es-ES_tradnl"/>
              </w:rPr>
            </w:pPr>
            <w:r w:rsidRPr="009960E1">
              <w:rPr>
                <w:lang w:val="es-ES_tradnl"/>
              </w:rPr>
              <w:t xml:space="preserve">Indicador(es) de realizaciones clave </w:t>
            </w:r>
          </w:p>
        </w:tc>
      </w:tr>
      <w:tr w:rsidR="00CF0CB0" w:rsidRPr="00A7143D" w14:paraId="5D0C31D4" w14:textId="77777777" w:rsidTr="00F27F0E">
        <w:tc>
          <w:tcPr>
            <w:tcW w:w="9629" w:type="dxa"/>
            <w:gridSpan w:val="4"/>
          </w:tcPr>
          <w:p w14:paraId="4D309D37" w14:textId="77777777" w:rsidR="00CF0CB0" w:rsidRPr="009960E1" w:rsidRDefault="00CF0CB0" w:rsidP="00DE17FD">
            <w:pPr>
              <w:pStyle w:val="TableText0"/>
              <w:rPr>
                <w:sz w:val="20"/>
                <w:lang w:val="es-ES_tradnl"/>
              </w:rPr>
            </w:pPr>
            <w:r w:rsidRPr="009960E1">
              <w:rPr>
                <w:lang w:val="es-ES_tradnl"/>
              </w:rPr>
              <w:t>Una participación más activa de la industria de los países desarrollados y en desarrollo en asociación con los Estados Miembros.</w:t>
            </w:r>
          </w:p>
        </w:tc>
      </w:tr>
      <w:tr w:rsidR="00CF0CB0" w:rsidRPr="009960E1" w14:paraId="37B340F0" w14:textId="77777777" w:rsidTr="00F27F0E">
        <w:tc>
          <w:tcPr>
            <w:tcW w:w="9629" w:type="dxa"/>
            <w:gridSpan w:val="4"/>
          </w:tcPr>
          <w:p w14:paraId="37E06C9B" w14:textId="77777777" w:rsidR="00CF0CB0" w:rsidRPr="009960E1" w:rsidRDefault="00CF0CB0" w:rsidP="000C5F84">
            <w:pPr>
              <w:pStyle w:val="TableHead0"/>
              <w:rPr>
                <w:lang w:val="es-ES_tradnl"/>
              </w:rPr>
            </w:pPr>
            <w:r w:rsidRPr="009960E1">
              <w:rPr>
                <w:lang w:val="es-ES_tradnl"/>
              </w:rPr>
              <w:t>Estrategias de aplicación</w:t>
            </w:r>
          </w:p>
        </w:tc>
      </w:tr>
      <w:tr w:rsidR="00CF0CB0" w:rsidRPr="00A7143D" w14:paraId="2532FF8F" w14:textId="77777777" w:rsidTr="00F27F0E">
        <w:tc>
          <w:tcPr>
            <w:tcW w:w="9629" w:type="dxa"/>
            <w:gridSpan w:val="4"/>
          </w:tcPr>
          <w:p w14:paraId="72CF0DBA" w14:textId="77777777" w:rsidR="00CF0CB0" w:rsidRPr="009960E1" w:rsidRDefault="00CF0CB0" w:rsidP="00DE17FD">
            <w:pPr>
              <w:pStyle w:val="TableText0"/>
              <w:rPr>
                <w:lang w:val="es-ES_tradnl"/>
              </w:rPr>
            </w:pPr>
            <w:r w:rsidRPr="009960E1">
              <w:rPr>
                <w:lang w:val="es-ES_tradnl"/>
              </w:rPr>
              <w:t>Identificar estrategias basadas en la aplicación del programa de reducción de la brecha de normalización, así como las disposiciones pertinentes del Plan de Acción de Kigali; recabar el asesoramiento y las recomendaciones del Grupo Asesor de la Industria que participa en el proceso del GSR.</w:t>
            </w:r>
          </w:p>
          <w:p w14:paraId="0C4E90E9" w14:textId="5F99DF90" w:rsidR="00CF0CB0" w:rsidRPr="009960E1" w:rsidRDefault="00CF0CB0" w:rsidP="00DE17FD">
            <w:pPr>
              <w:pStyle w:val="Note"/>
              <w:rPr>
                <w:sz w:val="22"/>
                <w:szCs w:val="22"/>
                <w:lang w:val="es-ES_tradnl"/>
              </w:rPr>
            </w:pPr>
            <w:r w:rsidRPr="009960E1">
              <w:rPr>
                <w:sz w:val="22"/>
                <w:szCs w:val="22"/>
                <w:lang w:val="es-ES_tradnl"/>
              </w:rPr>
              <w:t>NOTA</w:t>
            </w:r>
            <w:r w:rsidR="003C4B56">
              <w:rPr>
                <w:sz w:val="22"/>
                <w:szCs w:val="22"/>
                <w:lang w:val="es-ES_tradnl"/>
              </w:rPr>
              <w:t xml:space="preserve"> </w:t>
            </w:r>
            <w:r w:rsidR="003C4B56" w:rsidRPr="009960E1">
              <w:rPr>
                <w:lang w:val="es-ES_tradnl"/>
              </w:rPr>
              <w:t>–</w:t>
            </w:r>
            <w:r w:rsidRPr="009960E1">
              <w:rPr>
                <w:sz w:val="22"/>
                <w:szCs w:val="22"/>
                <w:lang w:val="es-ES_tradnl"/>
              </w:rPr>
              <w:t xml:space="preserve"> De conformidad con la Resolución 74 (AMNT, Ginebra, 2022), los Miembros de Sector de los países en desarrollo no podrán estar afiliados en modo alguno a ningún Miembro de Sector de un país desarrollado. Además, la participación de los operadores se limitará a aquellos cuyos ingresos </w:t>
            </w:r>
            <w:r w:rsidRPr="009960E1">
              <w:rPr>
                <w:i/>
                <w:iCs/>
                <w:sz w:val="22"/>
                <w:szCs w:val="22"/>
                <w:lang w:val="es-ES_tradnl"/>
              </w:rPr>
              <w:t xml:space="preserve">per cápita </w:t>
            </w:r>
            <w:r w:rsidRPr="009960E1">
              <w:rPr>
                <w:sz w:val="22"/>
                <w:szCs w:val="22"/>
                <w:lang w:val="es-ES_tradnl"/>
              </w:rPr>
              <w:t>de acuerdo con el Programa de las Naciones Unidas para el Desarrollo no superen un umbral por determinar.</w:t>
            </w:r>
          </w:p>
          <w:p w14:paraId="3D19E355" w14:textId="67A76C13" w:rsidR="00CF0CB0" w:rsidRPr="009960E1" w:rsidRDefault="00DE17FD" w:rsidP="00DE17FD">
            <w:pPr>
              <w:pStyle w:val="Note"/>
              <w:rPr>
                <w:lang w:val="es-ES_tradnl"/>
              </w:rPr>
            </w:pPr>
            <w:r w:rsidRPr="009960E1">
              <w:rPr>
                <w:sz w:val="22"/>
                <w:szCs w:val="22"/>
                <w:lang w:val="es-ES_tradnl"/>
              </w:rPr>
              <w:t>NOTA</w:t>
            </w:r>
            <w:r w:rsidR="003C4B56" w:rsidRPr="009960E1">
              <w:rPr>
                <w:lang w:val="es-ES_tradnl"/>
              </w:rPr>
              <w:t xml:space="preserve"> –</w:t>
            </w:r>
            <w:r w:rsidR="00CF0CB0" w:rsidRPr="009960E1">
              <w:rPr>
                <w:sz w:val="22"/>
                <w:szCs w:val="22"/>
                <w:lang w:val="es-ES_tradnl"/>
              </w:rPr>
              <w:t xml:space="preserve"> En los países desarrollados, los líderes de la industria que hayan recibido una conciencia adecuada y reconozcan la necesidad de comprometerse apoyarán el compromiso como líderes con el presupuesto adecuado, las asignaciones correctas y el apoyo profesional para la generación actual y la nueva.</w:t>
            </w:r>
          </w:p>
        </w:tc>
      </w:tr>
      <w:tr w:rsidR="00CF0CB0" w:rsidRPr="009960E1" w14:paraId="2656FD02" w14:textId="77777777" w:rsidTr="00F27F0E">
        <w:tc>
          <w:tcPr>
            <w:tcW w:w="9629" w:type="dxa"/>
            <w:gridSpan w:val="4"/>
          </w:tcPr>
          <w:p w14:paraId="3082D5F6" w14:textId="77777777" w:rsidR="00CF0CB0" w:rsidRPr="009960E1" w:rsidRDefault="00CF0CB0" w:rsidP="000C5F84">
            <w:pPr>
              <w:pStyle w:val="TableHead0"/>
              <w:rPr>
                <w:lang w:val="es-ES_tradnl"/>
              </w:rPr>
            </w:pPr>
            <w:r w:rsidRPr="009960E1">
              <w:rPr>
                <w:lang w:val="es-ES_tradnl"/>
              </w:rPr>
              <w:t>Factores habilitadores</w:t>
            </w:r>
          </w:p>
        </w:tc>
      </w:tr>
      <w:tr w:rsidR="00CF0CB0" w:rsidRPr="009960E1" w14:paraId="77C8892C" w14:textId="77777777" w:rsidTr="00F27F0E">
        <w:tc>
          <w:tcPr>
            <w:tcW w:w="9629" w:type="dxa"/>
            <w:gridSpan w:val="4"/>
          </w:tcPr>
          <w:p w14:paraId="723509DE" w14:textId="77777777" w:rsidR="00CF0CB0" w:rsidRPr="009960E1" w:rsidRDefault="00CF0CB0" w:rsidP="00F27F0E">
            <w:pPr>
              <w:rPr>
                <w:sz w:val="20"/>
                <w:lang w:val="es-ES_tradnl"/>
              </w:rPr>
            </w:pPr>
          </w:p>
        </w:tc>
      </w:tr>
      <w:tr w:rsidR="00CF0CB0" w:rsidRPr="009960E1" w14:paraId="2B40C1D7" w14:textId="77777777" w:rsidTr="00F27F0E">
        <w:tc>
          <w:tcPr>
            <w:tcW w:w="9629" w:type="dxa"/>
            <w:gridSpan w:val="4"/>
          </w:tcPr>
          <w:p w14:paraId="6343632E" w14:textId="77777777" w:rsidR="00CF0CB0" w:rsidRPr="009960E1" w:rsidRDefault="00CF0CB0" w:rsidP="000C5F84">
            <w:pPr>
              <w:pStyle w:val="TableHead0"/>
              <w:rPr>
                <w:lang w:val="es-ES_tradnl"/>
              </w:rPr>
            </w:pPr>
            <w:r w:rsidRPr="009960E1">
              <w:rPr>
                <w:lang w:val="es-ES_tradnl"/>
              </w:rPr>
              <w:t>Servicios de la UIT</w:t>
            </w:r>
          </w:p>
        </w:tc>
      </w:tr>
      <w:tr w:rsidR="00CF0CB0" w:rsidRPr="009960E1" w14:paraId="6BFB07A6" w14:textId="77777777" w:rsidTr="00F27F0E">
        <w:tc>
          <w:tcPr>
            <w:tcW w:w="9629" w:type="dxa"/>
            <w:gridSpan w:val="4"/>
          </w:tcPr>
          <w:p w14:paraId="6E591EAF" w14:textId="77777777" w:rsidR="00CF0CB0" w:rsidRPr="009960E1" w:rsidRDefault="00CF0CB0" w:rsidP="00F27F0E">
            <w:pPr>
              <w:rPr>
                <w:sz w:val="20"/>
                <w:lang w:val="es-ES_tradnl"/>
              </w:rPr>
            </w:pPr>
          </w:p>
        </w:tc>
      </w:tr>
      <w:tr w:rsidR="00CF0CB0" w:rsidRPr="009960E1" w14:paraId="68611A45" w14:textId="77777777" w:rsidTr="00F27F0E">
        <w:tc>
          <w:tcPr>
            <w:tcW w:w="9629" w:type="dxa"/>
            <w:gridSpan w:val="4"/>
          </w:tcPr>
          <w:p w14:paraId="186150AF" w14:textId="77777777" w:rsidR="00CF0CB0" w:rsidRPr="009960E1" w:rsidRDefault="00CF0CB0" w:rsidP="000C5F84">
            <w:pPr>
              <w:pStyle w:val="TableHead0"/>
              <w:rPr>
                <w:lang w:val="es-ES_tradnl"/>
              </w:rPr>
            </w:pPr>
            <w:r w:rsidRPr="009960E1">
              <w:rPr>
                <w:lang w:val="es-ES_tradnl"/>
              </w:rPr>
              <w:t>Aprendizaje y retroalimentación</w:t>
            </w:r>
          </w:p>
        </w:tc>
      </w:tr>
      <w:tr w:rsidR="00CF0CB0" w:rsidRPr="00A7143D" w14:paraId="3EE4FD50" w14:textId="77777777" w:rsidTr="00F27F0E">
        <w:tc>
          <w:tcPr>
            <w:tcW w:w="9629" w:type="dxa"/>
            <w:gridSpan w:val="4"/>
          </w:tcPr>
          <w:p w14:paraId="7039BAF4" w14:textId="77777777" w:rsidR="00CF0CB0" w:rsidRPr="009960E1" w:rsidRDefault="00CF0CB0" w:rsidP="00DE17FD">
            <w:pPr>
              <w:pStyle w:val="TableText0"/>
              <w:rPr>
                <w:lang w:val="es-ES_tradnl"/>
              </w:rPr>
            </w:pPr>
            <w:r w:rsidRPr="009960E1">
              <w:rPr>
                <w:lang w:val="es-ES_tradnl"/>
              </w:rPr>
              <w:t>La 1ª IEW formuló las siguientes observaciones en relación con "Atraer a la industria":</w:t>
            </w:r>
          </w:p>
          <w:p w14:paraId="71C62670" w14:textId="097B3299" w:rsidR="00CF0CB0" w:rsidRPr="009960E1" w:rsidRDefault="00DE17FD" w:rsidP="00DE17FD">
            <w:pPr>
              <w:pStyle w:val="enumlev1"/>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 xml:space="preserve">El UIT-T cuenta con un proceso estable, maduro y predecible de elaboración de normas internacionales, al menos para el ecosistema de las telecomunicaciones. Sin embargo, esto puede ser demasiado lento y estar desalineado con las nuevas metodologías ágiles más allá de las aplicaciones de </w:t>
            </w:r>
            <w:r w:rsidR="00CF0CB0" w:rsidRPr="00D15FEC">
              <w:rPr>
                <w:i/>
                <w:iCs/>
                <w:sz w:val="22"/>
                <w:szCs w:val="22"/>
                <w:lang w:val="es-ES_tradnl"/>
              </w:rPr>
              <w:t>software</w:t>
            </w:r>
            <w:r w:rsidR="00CF0CB0" w:rsidRPr="009960E1">
              <w:rPr>
                <w:sz w:val="22"/>
                <w:szCs w:val="22"/>
                <w:lang w:val="es-ES_tradnl"/>
              </w:rPr>
              <w:t>, y esto puede ser un obstáculo para atraer a la próxima generación.</w:t>
            </w:r>
          </w:p>
          <w:p w14:paraId="376A9A88" w14:textId="77777777" w:rsidR="00DE17FD" w:rsidRPr="009960E1" w:rsidRDefault="00DE17FD" w:rsidP="00DE17FD">
            <w:pPr>
              <w:pStyle w:val="enumlev1"/>
              <w:tabs>
                <w:tab w:val="clear" w:pos="1134"/>
              </w:tabs>
              <w:ind w:left="739" w:hanging="739"/>
              <w:rPr>
                <w:sz w:val="22"/>
                <w:szCs w:val="22"/>
                <w:lang w:val="es-ES_tradnl"/>
              </w:rPr>
            </w:pPr>
            <w:r w:rsidRPr="009960E1">
              <w:rPr>
                <w:sz w:val="22"/>
                <w:szCs w:val="22"/>
                <w:lang w:val="es-ES_tradnl"/>
              </w:rPr>
              <w:lastRenderedPageBreak/>
              <w:t>•</w:t>
            </w:r>
            <w:r w:rsidRPr="009960E1">
              <w:rPr>
                <w:sz w:val="22"/>
                <w:szCs w:val="22"/>
                <w:lang w:val="es-ES_tradnl"/>
              </w:rPr>
              <w:tab/>
            </w:r>
            <w:r w:rsidR="00CF0CB0" w:rsidRPr="009960E1">
              <w:rPr>
                <w:sz w:val="22"/>
                <w:szCs w:val="22"/>
                <w:lang w:val="es-ES_tradnl"/>
              </w:rPr>
              <w:t xml:space="preserve">Una posible opción es instituir un cambio en la forma en que el UIT-T elabora normas. Proporcionar una visión internacional pero una cultura ágil de estilo </w:t>
            </w:r>
            <w:r w:rsidR="00CF0CB0" w:rsidRPr="00D15FEC">
              <w:rPr>
                <w:i/>
                <w:iCs/>
                <w:sz w:val="22"/>
                <w:szCs w:val="22"/>
                <w:lang w:val="es-ES_tradnl"/>
              </w:rPr>
              <w:t>software</w:t>
            </w:r>
            <w:r w:rsidR="00CF0CB0" w:rsidRPr="009960E1">
              <w:rPr>
                <w:sz w:val="22"/>
                <w:szCs w:val="22"/>
                <w:lang w:val="es-ES_tradnl"/>
              </w:rPr>
              <w:t xml:space="preserve"> que atraiga de nuevo al UIT-T a los expertos en la materia y a las industrias.</w:t>
            </w:r>
          </w:p>
          <w:p w14:paraId="567E1B2A" w14:textId="05F19846" w:rsidR="00CF0CB0" w:rsidRPr="009960E1" w:rsidRDefault="00DE17FD" w:rsidP="00DE17FD">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Falta rapidez y agilidad en el proceso, pero se están realizando esfuerzos para incorporar métodos de trabajo adaptados a la industria.</w:t>
            </w:r>
          </w:p>
        </w:tc>
      </w:tr>
      <w:tr w:rsidR="00CF0CB0" w:rsidRPr="009960E1" w14:paraId="574A8A0E" w14:textId="77777777" w:rsidTr="00F27F0E">
        <w:tc>
          <w:tcPr>
            <w:tcW w:w="9629" w:type="dxa"/>
            <w:gridSpan w:val="4"/>
          </w:tcPr>
          <w:p w14:paraId="71D6C4D8" w14:textId="77777777" w:rsidR="00CF0CB0" w:rsidRPr="009960E1" w:rsidRDefault="00CF0CB0" w:rsidP="000C5F84">
            <w:pPr>
              <w:pStyle w:val="TableHead0"/>
              <w:rPr>
                <w:lang w:val="es-ES_tradnl"/>
              </w:rPr>
            </w:pPr>
            <w:r w:rsidRPr="009960E1">
              <w:rPr>
                <w:lang w:val="es-ES_tradnl"/>
              </w:rPr>
              <w:lastRenderedPageBreak/>
              <w:t>Acciones propuestas</w:t>
            </w:r>
          </w:p>
        </w:tc>
      </w:tr>
      <w:tr w:rsidR="00CF0CB0" w:rsidRPr="00A7143D" w14:paraId="1FC2E7D9" w14:textId="77777777" w:rsidTr="00F27F0E">
        <w:tc>
          <w:tcPr>
            <w:tcW w:w="9629" w:type="dxa"/>
            <w:gridSpan w:val="4"/>
          </w:tcPr>
          <w:p w14:paraId="619F1107" w14:textId="5581887C" w:rsidR="00CF0CB0" w:rsidRPr="009960E1" w:rsidRDefault="00CF0CB0" w:rsidP="00DE17FD">
            <w:pPr>
              <w:pStyle w:val="TableText0"/>
              <w:rPr>
                <w:lang w:val="es-ES_tradnl"/>
              </w:rPr>
            </w:pPr>
            <w:r w:rsidRPr="009960E1">
              <w:rPr>
                <w:lang w:val="es-ES_tradnl"/>
              </w:rPr>
              <w:t xml:space="preserve">IWX-01 </w:t>
            </w:r>
            <w:r w:rsidR="00DE17FD" w:rsidRPr="009960E1">
              <w:rPr>
                <w:lang w:val="es-ES_tradnl"/>
              </w:rPr>
              <w:t>–</w:t>
            </w:r>
            <w:r w:rsidRPr="009960E1">
              <w:rPr>
                <w:lang w:val="es-ES_tradnl"/>
              </w:rPr>
              <w:t xml:space="preserve"> Investigar nuevas metodologías, por ejemplo, metodologías ágiles, y evaluar si pueden ser un factor de éxito para atraer a la próxima generación y mejorar la eficiencia.</w:t>
            </w:r>
          </w:p>
          <w:p w14:paraId="2E5D207F" w14:textId="1139C1F7" w:rsidR="00CF0CB0" w:rsidRPr="009960E1" w:rsidRDefault="00CF0CB0" w:rsidP="00DE17FD">
            <w:pPr>
              <w:pStyle w:val="TableText0"/>
              <w:rPr>
                <w:lang w:val="es-ES_tradnl"/>
              </w:rPr>
            </w:pPr>
            <w:r w:rsidRPr="009960E1">
              <w:rPr>
                <w:lang w:val="es-ES_tradnl"/>
              </w:rPr>
              <w:t xml:space="preserve">IWX-04a) </w:t>
            </w:r>
            <w:r w:rsidR="00DE17FD" w:rsidRPr="009960E1">
              <w:rPr>
                <w:lang w:val="es-ES_tradnl"/>
              </w:rPr>
              <w:t>–</w:t>
            </w:r>
            <w:r w:rsidRPr="009960E1">
              <w:rPr>
                <w:lang w:val="es-ES_tradnl"/>
              </w:rPr>
              <w:t xml:space="preserve"> (Proveedor de servicios de contenido (PSC) </w:t>
            </w:r>
            <w:r w:rsidR="00C66B9B" w:rsidRPr="009960E1">
              <w:rPr>
                <w:lang w:val="es-ES_tradnl"/>
              </w:rPr>
              <w:t>–</w:t>
            </w:r>
            <w:r w:rsidRPr="009960E1">
              <w:rPr>
                <w:lang w:val="es-ES_tradnl"/>
              </w:rPr>
              <w:t xml:space="preserve"> mercado restringido) Investigar las mejores formas de reorientar los temas de trabajo hacia los requisitos del cliente.</w:t>
            </w:r>
          </w:p>
          <w:p w14:paraId="45B471A4" w14:textId="75E23F06" w:rsidR="00CF0CB0" w:rsidRPr="009960E1" w:rsidRDefault="00CF0CB0" w:rsidP="00DE17FD">
            <w:pPr>
              <w:pStyle w:val="TableText0"/>
              <w:rPr>
                <w:lang w:val="es-ES_tradnl"/>
              </w:rPr>
            </w:pPr>
            <w:r w:rsidRPr="009960E1">
              <w:rPr>
                <w:lang w:val="es-ES_tradnl"/>
              </w:rPr>
              <w:t xml:space="preserve">IWX-04b) </w:t>
            </w:r>
            <w:r w:rsidR="00DE17FD" w:rsidRPr="009960E1">
              <w:rPr>
                <w:lang w:val="es-ES_tradnl"/>
              </w:rPr>
              <w:t>–</w:t>
            </w:r>
            <w:r w:rsidRPr="009960E1">
              <w:rPr>
                <w:lang w:val="es-ES_tradnl"/>
              </w:rPr>
              <w:t xml:space="preserve"> Investigar la mejor manera de atraer a los gestores de productos pertinentes para el mercado PSC a participar en los trabajos del UIT-T.</w:t>
            </w:r>
          </w:p>
          <w:p w14:paraId="367881B0" w14:textId="05940D65" w:rsidR="00CF0CB0" w:rsidRPr="009960E1" w:rsidRDefault="00CF0CB0" w:rsidP="00DE17FD">
            <w:pPr>
              <w:pStyle w:val="TableText0"/>
              <w:rPr>
                <w:lang w:val="es-ES_tradnl"/>
              </w:rPr>
            </w:pPr>
            <w:r w:rsidRPr="009960E1">
              <w:rPr>
                <w:lang w:val="es-ES_tradnl"/>
              </w:rPr>
              <w:t xml:space="preserve">IWX-06 </w:t>
            </w:r>
            <w:r w:rsidR="00C66B9B" w:rsidRPr="009960E1">
              <w:rPr>
                <w:lang w:val="es-ES_tradnl"/>
              </w:rPr>
              <w:t>–</w:t>
            </w:r>
            <w:r w:rsidRPr="009960E1">
              <w:rPr>
                <w:lang w:val="es-ES_tradnl"/>
              </w:rPr>
              <w:t xml:space="preserve"> Investigar el problema de que los nuevos temas de trabajo establecidos como Informes Técnicos o Directrices se reconozcan mejor en el contexto del proceso de normalización (A.1 y A.13).</w:t>
            </w:r>
          </w:p>
          <w:p w14:paraId="48140000" w14:textId="77777777" w:rsidR="00CF0CB0" w:rsidRPr="009960E1" w:rsidRDefault="00CF0CB0" w:rsidP="00DE17FD">
            <w:pPr>
              <w:pStyle w:val="TableText0"/>
              <w:rPr>
                <w:lang w:val="es-ES_tradnl"/>
              </w:rPr>
            </w:pPr>
            <w:r w:rsidRPr="009960E1">
              <w:rPr>
                <w:lang w:val="es-ES_tradnl"/>
              </w:rPr>
              <w:t>IWX-21a) – ¿Qué herramientas pueden apoyar y mejorar la colaboración y el desarrollo de productos?</w:t>
            </w:r>
          </w:p>
          <w:p w14:paraId="4250C948" w14:textId="77777777" w:rsidR="00CF0CB0" w:rsidRPr="009960E1" w:rsidRDefault="00CF0CB0" w:rsidP="00DE17FD">
            <w:pPr>
              <w:pStyle w:val="TableText0"/>
              <w:rPr>
                <w:lang w:val="es-ES_tradnl"/>
              </w:rPr>
            </w:pPr>
            <w:r w:rsidRPr="009960E1">
              <w:rPr>
                <w:lang w:val="es-ES_tradnl"/>
              </w:rPr>
              <w:t>IWX-21b) – Invitar a posibles proveedores de productos candidatos a presentar sus soluciones al UIT-T.</w:t>
            </w:r>
          </w:p>
          <w:p w14:paraId="30469B5C" w14:textId="69AC4989" w:rsidR="00CF0CB0" w:rsidRPr="009960E1" w:rsidRDefault="00CF0CB0" w:rsidP="00DE17FD">
            <w:pPr>
              <w:pStyle w:val="TableText0"/>
              <w:rPr>
                <w:lang w:val="es-ES_tradnl"/>
              </w:rPr>
            </w:pPr>
            <w:r w:rsidRPr="009960E1">
              <w:rPr>
                <w:lang w:val="es-ES_tradnl"/>
              </w:rPr>
              <w:t xml:space="preserve">IWX-27 </w:t>
            </w:r>
            <w:r w:rsidR="00DE17FD" w:rsidRPr="009960E1">
              <w:rPr>
                <w:lang w:val="es-ES_tradnl"/>
              </w:rPr>
              <w:t>–</w:t>
            </w:r>
            <w:r w:rsidRPr="009960E1">
              <w:rPr>
                <w:lang w:val="es-ES_tradnl"/>
              </w:rPr>
              <w:t xml:space="preserve"> Investigar la mejor manera de promover el UIT-T en segmentos desatendidos (hiperescaladores, </w:t>
            </w:r>
            <w:r w:rsidRPr="00D15FEC">
              <w:rPr>
                <w:i/>
                <w:iCs/>
                <w:lang w:val="es-ES_tradnl"/>
              </w:rPr>
              <w:t>software</w:t>
            </w:r>
            <w:r w:rsidRPr="009960E1">
              <w:rPr>
                <w:lang w:val="es-ES_tradnl"/>
              </w:rPr>
              <w:t>, IoT, etc.).</w:t>
            </w:r>
          </w:p>
        </w:tc>
      </w:tr>
    </w:tbl>
    <w:p w14:paraId="6181BBAD" w14:textId="77777777" w:rsidR="00CF0CB0" w:rsidRPr="009960E1" w:rsidRDefault="00CF0CB0" w:rsidP="00CF0CB0">
      <w:pPr>
        <w:rPr>
          <w:lang w:val="es-ES_tradnl"/>
        </w:rPr>
      </w:pPr>
      <w:r w:rsidRPr="009960E1">
        <w:rPr>
          <w:lang w:val="es-ES_tradnl"/>
        </w:rPr>
        <w:br w:type="page"/>
      </w:r>
    </w:p>
    <w:p w14:paraId="4909C2B9" w14:textId="6CF0B51B" w:rsidR="00CF0CB0" w:rsidRPr="009960E1" w:rsidRDefault="00CF0CB0" w:rsidP="00CF0CB0">
      <w:pPr>
        <w:pStyle w:val="TableNotitle"/>
        <w:rPr>
          <w:lang w:val="es-ES_tradnl"/>
        </w:rPr>
      </w:pPr>
      <w:r w:rsidRPr="009960E1">
        <w:rPr>
          <w:b w:val="0"/>
          <w:lang w:val="es-ES_tradnl"/>
        </w:rPr>
        <w:lastRenderedPageBreak/>
        <w:t>Cuadro 3.6</w:t>
      </w:r>
      <w:r w:rsidR="00EA0FDB" w:rsidRPr="009960E1">
        <w:rPr>
          <w:bCs/>
          <w:lang w:val="es-ES_tradnl"/>
        </w:rPr>
        <w:br/>
      </w:r>
      <w:r w:rsidRPr="009960E1">
        <w:rPr>
          <w:bCs/>
          <w:lang w:val="es-ES_tradnl"/>
        </w:rPr>
        <w:t>Plan de acción sobre "Reducir la brecha tecnológica/política/estratégica"</w:t>
      </w:r>
    </w:p>
    <w:tbl>
      <w:tblPr>
        <w:tblStyle w:val="TableGrid"/>
        <w:tblW w:w="0" w:type="auto"/>
        <w:tblInd w:w="0" w:type="dxa"/>
        <w:tblLayout w:type="fixed"/>
        <w:tblLook w:val="04A0" w:firstRow="1" w:lastRow="0" w:firstColumn="1" w:lastColumn="0" w:noHBand="0" w:noVBand="1"/>
      </w:tblPr>
      <w:tblGrid>
        <w:gridCol w:w="846"/>
        <w:gridCol w:w="2126"/>
        <w:gridCol w:w="3402"/>
        <w:gridCol w:w="3255"/>
      </w:tblGrid>
      <w:tr w:rsidR="00CF0CB0" w:rsidRPr="00A7143D" w14:paraId="7FE7E2A9" w14:textId="77777777" w:rsidTr="000C5F84">
        <w:tc>
          <w:tcPr>
            <w:tcW w:w="846" w:type="dxa"/>
          </w:tcPr>
          <w:p w14:paraId="16801C1C" w14:textId="77777777" w:rsidR="00CF0CB0" w:rsidRPr="009960E1" w:rsidRDefault="00CF0CB0" w:rsidP="000C5F84">
            <w:pPr>
              <w:pStyle w:val="TableHead0"/>
              <w:rPr>
                <w:lang w:val="es-ES_tradnl"/>
              </w:rPr>
            </w:pPr>
            <w:r w:rsidRPr="009960E1">
              <w:rPr>
                <w:lang w:val="es-ES_tradnl"/>
              </w:rPr>
              <w:t>AP#</w:t>
            </w:r>
          </w:p>
        </w:tc>
        <w:tc>
          <w:tcPr>
            <w:tcW w:w="2126" w:type="dxa"/>
          </w:tcPr>
          <w:p w14:paraId="4BC31D09" w14:textId="77777777" w:rsidR="00CF0CB0" w:rsidRPr="009960E1" w:rsidRDefault="00CF0CB0" w:rsidP="000C5F84">
            <w:pPr>
              <w:pStyle w:val="TableHead0"/>
              <w:rPr>
                <w:b w:val="0"/>
                <w:bCs/>
                <w:lang w:val="es-ES_tradnl"/>
              </w:rPr>
            </w:pPr>
            <w:r w:rsidRPr="009960E1">
              <w:rPr>
                <w:b w:val="0"/>
                <w:bCs/>
                <w:lang w:val="es-ES_tradnl"/>
              </w:rPr>
              <w:t>AP1.5</w:t>
            </w:r>
          </w:p>
        </w:tc>
        <w:tc>
          <w:tcPr>
            <w:tcW w:w="3402" w:type="dxa"/>
          </w:tcPr>
          <w:p w14:paraId="173DCB52" w14:textId="77777777" w:rsidR="00CF0CB0" w:rsidRPr="009960E1" w:rsidRDefault="00CF0CB0" w:rsidP="000C5F84">
            <w:pPr>
              <w:pStyle w:val="TableHead0"/>
              <w:rPr>
                <w:lang w:val="es-ES_tradnl"/>
              </w:rPr>
            </w:pPr>
            <w:r w:rsidRPr="009960E1">
              <w:rPr>
                <w:lang w:val="es-ES_tradnl"/>
              </w:rPr>
              <w:t>Nombre abreviado de AP</w:t>
            </w:r>
          </w:p>
        </w:tc>
        <w:tc>
          <w:tcPr>
            <w:tcW w:w="3255" w:type="dxa"/>
          </w:tcPr>
          <w:p w14:paraId="38ADD597" w14:textId="77777777" w:rsidR="00CF0CB0" w:rsidRPr="009960E1" w:rsidRDefault="00CF0CB0" w:rsidP="000C5F84">
            <w:pPr>
              <w:pStyle w:val="TableHead0"/>
              <w:rPr>
                <w:b w:val="0"/>
                <w:bCs/>
                <w:lang w:val="es-ES_tradnl"/>
              </w:rPr>
            </w:pPr>
            <w:r w:rsidRPr="009960E1">
              <w:rPr>
                <w:b w:val="0"/>
                <w:bCs/>
                <w:lang w:val="es-ES_tradnl"/>
              </w:rPr>
              <w:t>"Reducir la brecha tecnológica/política/estratégica"</w:t>
            </w:r>
          </w:p>
        </w:tc>
      </w:tr>
      <w:tr w:rsidR="00CF0CB0" w:rsidRPr="009960E1" w14:paraId="6374ED89" w14:textId="77777777" w:rsidTr="00F27F0E">
        <w:tc>
          <w:tcPr>
            <w:tcW w:w="9629" w:type="dxa"/>
            <w:gridSpan w:val="4"/>
          </w:tcPr>
          <w:p w14:paraId="7DEF614E" w14:textId="77777777" w:rsidR="00CF0CB0" w:rsidRPr="009960E1" w:rsidRDefault="00CF0CB0" w:rsidP="000C5F84">
            <w:pPr>
              <w:pStyle w:val="TableHead0"/>
              <w:rPr>
                <w:lang w:val="es-ES_tradnl"/>
              </w:rPr>
            </w:pPr>
            <w:r w:rsidRPr="009960E1">
              <w:rPr>
                <w:lang w:val="es-ES_tradnl"/>
              </w:rPr>
              <w:t>Objetivo/Prioridad temática</w:t>
            </w:r>
          </w:p>
        </w:tc>
      </w:tr>
      <w:tr w:rsidR="00CF0CB0" w:rsidRPr="00A7143D" w14:paraId="2BFAD019" w14:textId="77777777" w:rsidTr="00F27F0E">
        <w:tc>
          <w:tcPr>
            <w:tcW w:w="9629" w:type="dxa"/>
            <w:gridSpan w:val="4"/>
          </w:tcPr>
          <w:p w14:paraId="17C998E2" w14:textId="77777777" w:rsidR="00CF0CB0" w:rsidRPr="009960E1" w:rsidRDefault="00CF0CB0" w:rsidP="00DE17FD">
            <w:pPr>
              <w:pStyle w:val="TableText0"/>
              <w:rPr>
                <w:lang w:val="es-ES_tradnl"/>
              </w:rPr>
            </w:pPr>
            <w:r w:rsidRPr="009960E1">
              <w:rPr>
                <w:lang w:val="es-ES_tradnl"/>
              </w:rPr>
              <w:t>Determinar cómo reducir la brecha entre tecnología, política y estrategia en materia de normalización.</w:t>
            </w:r>
          </w:p>
        </w:tc>
      </w:tr>
      <w:tr w:rsidR="00CF0CB0" w:rsidRPr="009960E1" w14:paraId="47E91291" w14:textId="77777777" w:rsidTr="00F27F0E">
        <w:tc>
          <w:tcPr>
            <w:tcW w:w="9629" w:type="dxa"/>
            <w:gridSpan w:val="4"/>
          </w:tcPr>
          <w:p w14:paraId="500E192F" w14:textId="77777777" w:rsidR="00CF0CB0" w:rsidRPr="009960E1" w:rsidRDefault="00CF0CB0" w:rsidP="000C5F84">
            <w:pPr>
              <w:pStyle w:val="TableHead0"/>
              <w:rPr>
                <w:lang w:val="es-ES_tradnl"/>
              </w:rPr>
            </w:pPr>
            <w:r w:rsidRPr="009960E1">
              <w:rPr>
                <w:lang w:val="es-ES_tradnl"/>
              </w:rPr>
              <w:t>Realización(es) clave(s)</w:t>
            </w:r>
          </w:p>
        </w:tc>
      </w:tr>
      <w:tr w:rsidR="00CF0CB0" w:rsidRPr="00A7143D" w14:paraId="0C569DA2" w14:textId="77777777" w:rsidTr="00F27F0E">
        <w:tc>
          <w:tcPr>
            <w:tcW w:w="9629" w:type="dxa"/>
            <w:gridSpan w:val="4"/>
          </w:tcPr>
          <w:p w14:paraId="537A0D21" w14:textId="77777777" w:rsidR="00CF0CB0" w:rsidRPr="009960E1" w:rsidRDefault="00CF0CB0" w:rsidP="00DE17FD">
            <w:pPr>
              <w:pStyle w:val="TableText0"/>
              <w:rPr>
                <w:lang w:val="es-ES_tradnl"/>
              </w:rPr>
            </w:pPr>
            <w:r w:rsidRPr="009960E1">
              <w:rPr>
                <w:lang w:val="es-ES_tradnl"/>
              </w:rPr>
              <w:t>La identificación de medidas en forma de directrices a lo largo de todo el ciclo de vida de la normalización a partir de las competencias de los miembros en los tres campos, el inicio de nuevos temas de trabajo, su desarrollo, su calidad, y la aplicación de las Recomendaciones del UIT-T, en particular sobre productos manufacturados e interconexión, haciendo hincapié en las Recomendaciones que tienen repercusiones reglamentarias y políticas.</w:t>
            </w:r>
          </w:p>
        </w:tc>
      </w:tr>
      <w:tr w:rsidR="00CF0CB0" w:rsidRPr="00A7143D" w14:paraId="390A4523" w14:textId="77777777" w:rsidTr="00F27F0E">
        <w:tc>
          <w:tcPr>
            <w:tcW w:w="9629" w:type="dxa"/>
            <w:gridSpan w:val="4"/>
          </w:tcPr>
          <w:p w14:paraId="71E9FFE1" w14:textId="77777777" w:rsidR="00CF0CB0" w:rsidRPr="009960E1" w:rsidRDefault="00CF0CB0" w:rsidP="000C5F84">
            <w:pPr>
              <w:pStyle w:val="TableHead0"/>
              <w:rPr>
                <w:lang w:val="es-ES_tradnl"/>
              </w:rPr>
            </w:pPr>
            <w:r w:rsidRPr="009960E1">
              <w:rPr>
                <w:lang w:val="es-ES_tradnl"/>
              </w:rPr>
              <w:t>Indicador(es) de realizaciones clave</w:t>
            </w:r>
          </w:p>
        </w:tc>
      </w:tr>
      <w:tr w:rsidR="00CF0CB0" w:rsidRPr="00A7143D" w14:paraId="0B511F4E" w14:textId="77777777" w:rsidTr="00F27F0E">
        <w:tc>
          <w:tcPr>
            <w:tcW w:w="9629" w:type="dxa"/>
            <w:gridSpan w:val="4"/>
          </w:tcPr>
          <w:p w14:paraId="5A0B26DB" w14:textId="150988E2" w:rsidR="00CF0CB0" w:rsidRPr="009960E1" w:rsidRDefault="00DE17FD" w:rsidP="00DE17FD">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Número de medidas pertinentes y aplicables, clasificadas en función de su ejecución e impacto a corto, medio y largo plazo.</w:t>
            </w:r>
          </w:p>
          <w:p w14:paraId="78DE82E9" w14:textId="784DC3C6" w:rsidR="00CF0CB0" w:rsidRPr="009960E1" w:rsidRDefault="00DE17FD" w:rsidP="00DE17FD">
            <w:pPr>
              <w:pStyle w:val="enumlev1"/>
              <w:tabs>
                <w:tab w:val="clear" w:pos="1134"/>
              </w:tabs>
              <w:ind w:left="739" w:hanging="739"/>
              <w:rPr>
                <w:sz w:val="20"/>
                <w:lang w:val="es-ES_tradnl"/>
              </w:rPr>
            </w:pPr>
            <w:r w:rsidRPr="009960E1">
              <w:rPr>
                <w:lang w:val="es-ES_tradnl"/>
              </w:rPr>
              <w:t>–</w:t>
            </w:r>
            <w:r w:rsidRPr="009960E1">
              <w:rPr>
                <w:lang w:val="es-ES_tradnl"/>
              </w:rPr>
              <w:tab/>
            </w:r>
            <w:r w:rsidR="00CF0CB0" w:rsidRPr="009960E1">
              <w:rPr>
                <w:sz w:val="22"/>
                <w:szCs w:val="22"/>
                <w:lang w:val="es-ES_tradnl"/>
              </w:rPr>
              <w:t>Las medidas son pertinentes frente a una lista de preocupaciones por elaborar para cerrar la brecha entre tecnología, política y estrategia.</w:t>
            </w:r>
          </w:p>
        </w:tc>
      </w:tr>
      <w:tr w:rsidR="00CF0CB0" w:rsidRPr="009960E1" w14:paraId="7B4DF436" w14:textId="77777777" w:rsidTr="00F27F0E">
        <w:tc>
          <w:tcPr>
            <w:tcW w:w="9629" w:type="dxa"/>
            <w:gridSpan w:val="4"/>
          </w:tcPr>
          <w:p w14:paraId="422AB426" w14:textId="77777777" w:rsidR="00CF0CB0" w:rsidRPr="009960E1" w:rsidRDefault="00CF0CB0" w:rsidP="000C5F84">
            <w:pPr>
              <w:pStyle w:val="TableHead0"/>
              <w:rPr>
                <w:lang w:val="es-ES_tradnl"/>
              </w:rPr>
            </w:pPr>
            <w:r w:rsidRPr="009960E1">
              <w:rPr>
                <w:lang w:val="es-ES_tradnl"/>
              </w:rPr>
              <w:t>Estrategias de aplicación</w:t>
            </w:r>
          </w:p>
        </w:tc>
      </w:tr>
      <w:tr w:rsidR="00CF0CB0" w:rsidRPr="00A7143D" w14:paraId="2C1CCE24" w14:textId="77777777" w:rsidTr="00F27F0E">
        <w:tc>
          <w:tcPr>
            <w:tcW w:w="9629" w:type="dxa"/>
            <w:gridSpan w:val="4"/>
          </w:tcPr>
          <w:p w14:paraId="789EB6B9" w14:textId="1AA5498A" w:rsidR="00CF0CB0" w:rsidRPr="009960E1" w:rsidRDefault="00DE17FD" w:rsidP="00DE17FD">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4444AA">
              <w:rPr>
                <w:sz w:val="22"/>
                <w:szCs w:val="22"/>
                <w:lang w:val="es-ES_tradnl"/>
              </w:rPr>
              <w:t>L</w:t>
            </w:r>
            <w:r w:rsidR="00CF0CB0" w:rsidRPr="009960E1">
              <w:rPr>
                <w:sz w:val="22"/>
                <w:szCs w:val="22"/>
                <w:lang w:val="es-ES_tradnl"/>
              </w:rPr>
              <w:t>a creación de cursos de formación sobre competencias en materia de normalización, teniendo en cuenta las relaciones y dinámicas específicas entre las tecnologías, las políticas y las estrategias tanto en los países desarrollados como en los países en desarrollo.</w:t>
            </w:r>
          </w:p>
          <w:p w14:paraId="7BD4C1D4" w14:textId="5F5D4871" w:rsidR="00CF0CB0" w:rsidRPr="009960E1" w:rsidRDefault="00DE17FD" w:rsidP="00DE17FD">
            <w:pPr>
              <w:pStyle w:val="enumlev1"/>
              <w:tabs>
                <w:tab w:val="clear" w:pos="1134"/>
              </w:tabs>
              <w:ind w:left="739" w:hanging="739"/>
              <w:rPr>
                <w:sz w:val="20"/>
                <w:lang w:val="es-ES_tradnl"/>
              </w:rPr>
            </w:pPr>
            <w:r w:rsidRPr="009960E1">
              <w:rPr>
                <w:lang w:val="es-ES_tradnl"/>
              </w:rPr>
              <w:t>–</w:t>
            </w:r>
            <w:r w:rsidRPr="009960E1">
              <w:rPr>
                <w:lang w:val="es-ES_tradnl"/>
              </w:rPr>
              <w:tab/>
            </w:r>
            <w:r w:rsidR="004444AA">
              <w:rPr>
                <w:sz w:val="22"/>
                <w:szCs w:val="22"/>
                <w:lang w:val="es-ES_tradnl"/>
              </w:rPr>
              <w:t>L</w:t>
            </w:r>
            <w:r w:rsidR="00CF0CB0" w:rsidRPr="009960E1">
              <w:rPr>
                <w:sz w:val="22"/>
                <w:szCs w:val="22"/>
                <w:lang w:val="es-ES_tradnl"/>
              </w:rPr>
              <w:t>a consulta con la BDT y la TSB sobre su experiencia y sus relaciones fuera de la UIT.</w:t>
            </w:r>
          </w:p>
        </w:tc>
      </w:tr>
      <w:tr w:rsidR="00CF0CB0" w:rsidRPr="009960E1" w14:paraId="39998804" w14:textId="77777777" w:rsidTr="00F27F0E">
        <w:tc>
          <w:tcPr>
            <w:tcW w:w="9629" w:type="dxa"/>
            <w:gridSpan w:val="4"/>
          </w:tcPr>
          <w:p w14:paraId="681CF2BF" w14:textId="77777777" w:rsidR="00CF0CB0" w:rsidRPr="009960E1" w:rsidRDefault="00CF0CB0" w:rsidP="000C5F84">
            <w:pPr>
              <w:pStyle w:val="TableHead0"/>
              <w:rPr>
                <w:lang w:val="es-ES_tradnl"/>
              </w:rPr>
            </w:pPr>
            <w:r w:rsidRPr="009960E1">
              <w:rPr>
                <w:lang w:val="es-ES_tradnl"/>
              </w:rPr>
              <w:t>Factores habilitadores</w:t>
            </w:r>
          </w:p>
        </w:tc>
      </w:tr>
      <w:tr w:rsidR="00CF0CB0" w:rsidRPr="009960E1" w14:paraId="78D85FBA" w14:textId="77777777" w:rsidTr="00F27F0E">
        <w:tc>
          <w:tcPr>
            <w:tcW w:w="9629" w:type="dxa"/>
            <w:gridSpan w:val="4"/>
          </w:tcPr>
          <w:p w14:paraId="5203DA3E" w14:textId="77777777" w:rsidR="00CF0CB0" w:rsidRPr="009960E1" w:rsidRDefault="00CF0CB0" w:rsidP="00F27F0E">
            <w:pPr>
              <w:rPr>
                <w:sz w:val="20"/>
                <w:lang w:val="es-ES_tradnl"/>
              </w:rPr>
            </w:pPr>
          </w:p>
        </w:tc>
      </w:tr>
      <w:tr w:rsidR="00CF0CB0" w:rsidRPr="009960E1" w14:paraId="0837B94E" w14:textId="77777777" w:rsidTr="00F27F0E">
        <w:tc>
          <w:tcPr>
            <w:tcW w:w="9629" w:type="dxa"/>
            <w:gridSpan w:val="4"/>
          </w:tcPr>
          <w:p w14:paraId="1FDD4F4B" w14:textId="77777777" w:rsidR="00CF0CB0" w:rsidRPr="009960E1" w:rsidRDefault="00CF0CB0" w:rsidP="000C5F84">
            <w:pPr>
              <w:pStyle w:val="TableHead0"/>
              <w:rPr>
                <w:lang w:val="es-ES_tradnl"/>
              </w:rPr>
            </w:pPr>
            <w:r w:rsidRPr="009960E1">
              <w:rPr>
                <w:lang w:val="es-ES_tradnl"/>
              </w:rPr>
              <w:t>Servicios de la UIT</w:t>
            </w:r>
          </w:p>
        </w:tc>
      </w:tr>
      <w:tr w:rsidR="00CF0CB0" w:rsidRPr="009960E1" w14:paraId="30A1CEA4" w14:textId="77777777" w:rsidTr="00F27F0E">
        <w:tc>
          <w:tcPr>
            <w:tcW w:w="9629" w:type="dxa"/>
            <w:gridSpan w:val="4"/>
          </w:tcPr>
          <w:p w14:paraId="5CCC9CA2" w14:textId="77777777" w:rsidR="00CF0CB0" w:rsidRPr="009960E1" w:rsidRDefault="00CF0CB0" w:rsidP="00F27F0E">
            <w:pPr>
              <w:rPr>
                <w:sz w:val="20"/>
                <w:lang w:val="es-ES_tradnl"/>
              </w:rPr>
            </w:pPr>
          </w:p>
        </w:tc>
      </w:tr>
      <w:tr w:rsidR="00CF0CB0" w:rsidRPr="009960E1" w14:paraId="5932B201" w14:textId="77777777" w:rsidTr="00F27F0E">
        <w:tc>
          <w:tcPr>
            <w:tcW w:w="9629" w:type="dxa"/>
            <w:gridSpan w:val="4"/>
          </w:tcPr>
          <w:p w14:paraId="4A81309C" w14:textId="77777777" w:rsidR="00CF0CB0" w:rsidRPr="009960E1" w:rsidRDefault="00CF0CB0" w:rsidP="000C5F84">
            <w:pPr>
              <w:pStyle w:val="TableHead0"/>
              <w:rPr>
                <w:lang w:val="es-ES_tradnl"/>
              </w:rPr>
            </w:pPr>
            <w:r w:rsidRPr="009960E1">
              <w:rPr>
                <w:lang w:val="es-ES_tradnl"/>
              </w:rPr>
              <w:t>Aprendizaje y retroalimentación</w:t>
            </w:r>
          </w:p>
        </w:tc>
      </w:tr>
      <w:tr w:rsidR="00CF0CB0" w:rsidRPr="009960E1" w14:paraId="167826EE" w14:textId="77777777" w:rsidTr="00F27F0E">
        <w:tc>
          <w:tcPr>
            <w:tcW w:w="9629" w:type="dxa"/>
            <w:gridSpan w:val="4"/>
          </w:tcPr>
          <w:p w14:paraId="08E3A855" w14:textId="77777777" w:rsidR="00CF0CB0" w:rsidRPr="009960E1" w:rsidRDefault="00CF0CB0" w:rsidP="00DE17FD">
            <w:pPr>
              <w:pStyle w:val="TableText0"/>
              <w:rPr>
                <w:lang w:val="es-ES_tradnl"/>
              </w:rPr>
            </w:pPr>
            <w:r w:rsidRPr="009960E1">
              <w:rPr>
                <w:lang w:val="es-ES_tradnl"/>
              </w:rPr>
              <w:t>La 1ª IEW formuló las siguientes observaciones en relación con "Cerrar la brecha tecnológica/política/estratégica":</w:t>
            </w:r>
          </w:p>
          <w:p w14:paraId="20BD81CC" w14:textId="1D96D227" w:rsidR="00CF0CB0" w:rsidRPr="009960E1" w:rsidRDefault="00DE17FD" w:rsidP="00DE17FD">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El UIT-T mantiene una excelente relación con los Estados Miembros. Sin embargo, los expertos y la competencia en la materia se están integrando en asociaciones y foros que a menudo se dedican a una solución específica.</w:t>
            </w:r>
          </w:p>
          <w:p w14:paraId="21293C70" w14:textId="09BFB3F1" w:rsidR="00CF0CB0" w:rsidRPr="009960E1" w:rsidRDefault="00DE17FD" w:rsidP="00DE17FD">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En el UIT-T existen varios modelos de funcionamiento para la elaboración de normas internacionales. Sin embargo, sin un requisito de diversidad regional o alguna identificación de aplicabilidad global, a menudo es demasiado fácil iniciar nuevos trabajos.</w:t>
            </w:r>
          </w:p>
          <w:p w14:paraId="4600598C" w14:textId="7C18819B" w:rsidR="00CF0CB0" w:rsidRPr="009960E1" w:rsidRDefault="00DE17FD" w:rsidP="00DE17FD">
            <w:pPr>
              <w:pStyle w:val="enumlev1"/>
              <w:tabs>
                <w:tab w:val="clear" w:pos="1134"/>
              </w:tabs>
              <w:ind w:left="739" w:hanging="739"/>
              <w:rPr>
                <w:sz w:val="20"/>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Se señaló que el puente entre la tecnología, la política y la estrategia es uno de los puntos fuertes de la UIT, y que el UIT-T necesita identificar los temas en los que esto sería más útil. Como la definición de transferencia de datos entre países.</w:t>
            </w:r>
          </w:p>
        </w:tc>
      </w:tr>
      <w:tr w:rsidR="00CF0CB0" w:rsidRPr="009960E1" w14:paraId="5C562376" w14:textId="77777777" w:rsidTr="00F27F0E">
        <w:tc>
          <w:tcPr>
            <w:tcW w:w="9629" w:type="dxa"/>
            <w:gridSpan w:val="4"/>
          </w:tcPr>
          <w:p w14:paraId="1A7A2E7D" w14:textId="77777777" w:rsidR="00CF0CB0" w:rsidRPr="009960E1" w:rsidRDefault="00CF0CB0" w:rsidP="000C5F84">
            <w:pPr>
              <w:pStyle w:val="TableHead0"/>
              <w:rPr>
                <w:lang w:val="es-ES_tradnl"/>
              </w:rPr>
            </w:pPr>
            <w:r w:rsidRPr="009960E1">
              <w:rPr>
                <w:lang w:val="es-ES_tradnl"/>
              </w:rPr>
              <w:t>Acciones propuestas</w:t>
            </w:r>
          </w:p>
        </w:tc>
      </w:tr>
      <w:tr w:rsidR="00CF0CB0" w:rsidRPr="00A7143D" w14:paraId="3D1C5855" w14:textId="77777777" w:rsidTr="00F27F0E">
        <w:tc>
          <w:tcPr>
            <w:tcW w:w="9629" w:type="dxa"/>
            <w:gridSpan w:val="4"/>
          </w:tcPr>
          <w:p w14:paraId="6F9B4C97" w14:textId="1CCA5510" w:rsidR="00CF0CB0" w:rsidRPr="009960E1" w:rsidRDefault="00CF0CB0" w:rsidP="00DE17FD">
            <w:pPr>
              <w:pStyle w:val="TableText0"/>
              <w:rPr>
                <w:lang w:val="es-ES_tradnl"/>
              </w:rPr>
            </w:pPr>
            <w:r w:rsidRPr="009960E1">
              <w:rPr>
                <w:lang w:val="es-ES_tradnl"/>
              </w:rPr>
              <w:t xml:space="preserve">IWX-11 </w:t>
            </w:r>
            <w:r w:rsidR="00DE17FD" w:rsidRPr="009960E1">
              <w:rPr>
                <w:lang w:val="es-ES_tradnl"/>
              </w:rPr>
              <w:t>–</w:t>
            </w:r>
            <w:r w:rsidRPr="009960E1">
              <w:rPr>
                <w:lang w:val="es-ES_tradnl"/>
              </w:rPr>
              <w:t xml:space="preserve"> Investigar la mejor manera de que el UIT-T identifique temas que maximicen su fortaleza como puente entre tecnología, política y estrategia.</w:t>
            </w:r>
          </w:p>
          <w:p w14:paraId="33D63E2F" w14:textId="070CDB63" w:rsidR="00CF0CB0" w:rsidRPr="009960E1" w:rsidRDefault="00CF0CB0" w:rsidP="00DE17FD">
            <w:pPr>
              <w:pStyle w:val="TableText0"/>
              <w:rPr>
                <w:lang w:val="es-ES_tradnl"/>
              </w:rPr>
            </w:pPr>
            <w:r w:rsidRPr="009960E1">
              <w:rPr>
                <w:lang w:val="es-ES_tradnl"/>
              </w:rPr>
              <w:t xml:space="preserve">IWX-28 </w:t>
            </w:r>
            <w:r w:rsidR="00DE17FD" w:rsidRPr="009960E1">
              <w:rPr>
                <w:lang w:val="es-ES_tradnl"/>
              </w:rPr>
              <w:t>–</w:t>
            </w:r>
            <w:r w:rsidRPr="009960E1">
              <w:rPr>
                <w:lang w:val="es-ES_tradnl"/>
              </w:rPr>
              <w:t xml:space="preserve"> Investigar la mejor manera de definir claramente la función del UIT-T en la IA.</w:t>
            </w:r>
          </w:p>
        </w:tc>
      </w:tr>
    </w:tbl>
    <w:p w14:paraId="4E72ABB7" w14:textId="77777777" w:rsidR="00CF0CB0" w:rsidRPr="009960E1" w:rsidRDefault="00CF0CB0" w:rsidP="00CF0CB0">
      <w:pPr>
        <w:rPr>
          <w:lang w:val="es-ES_tradnl"/>
        </w:rPr>
      </w:pPr>
      <w:r w:rsidRPr="009960E1">
        <w:rPr>
          <w:lang w:val="es-ES_tradnl"/>
        </w:rPr>
        <w:br w:type="page"/>
      </w:r>
    </w:p>
    <w:p w14:paraId="20326FE3" w14:textId="2A86D23B" w:rsidR="00CF0CB0" w:rsidRPr="009960E1" w:rsidRDefault="00EA0FDB" w:rsidP="00CF0CB0">
      <w:pPr>
        <w:pStyle w:val="TableNotitle"/>
        <w:rPr>
          <w:lang w:val="es-ES_tradnl"/>
        </w:rPr>
      </w:pPr>
      <w:r w:rsidRPr="009960E1">
        <w:rPr>
          <w:b w:val="0"/>
          <w:lang w:val="es-ES_tradnl"/>
        </w:rPr>
        <w:lastRenderedPageBreak/>
        <w:t xml:space="preserve">CUADRO </w:t>
      </w:r>
      <w:r w:rsidR="00CF0CB0" w:rsidRPr="009960E1">
        <w:rPr>
          <w:b w:val="0"/>
          <w:lang w:val="es-ES_tradnl"/>
        </w:rPr>
        <w:t>3.7</w:t>
      </w:r>
      <w:r w:rsidRPr="009960E1">
        <w:rPr>
          <w:bCs/>
          <w:lang w:val="es-ES_tradnl"/>
        </w:rPr>
        <w:br/>
      </w:r>
      <w:r w:rsidR="00CF0CB0" w:rsidRPr="009960E1">
        <w:rPr>
          <w:bCs/>
          <w:lang w:val="es-ES_tradnl"/>
        </w:rPr>
        <w:t>Plan de acción sobre "Diálogo"</w:t>
      </w:r>
    </w:p>
    <w:tbl>
      <w:tblPr>
        <w:tblStyle w:val="TableGrid"/>
        <w:tblW w:w="0" w:type="auto"/>
        <w:tblInd w:w="0" w:type="dxa"/>
        <w:tblLayout w:type="fixed"/>
        <w:tblLook w:val="04A0" w:firstRow="1" w:lastRow="0" w:firstColumn="1" w:lastColumn="0" w:noHBand="0" w:noVBand="1"/>
      </w:tblPr>
      <w:tblGrid>
        <w:gridCol w:w="846"/>
        <w:gridCol w:w="2551"/>
        <w:gridCol w:w="2835"/>
        <w:gridCol w:w="3397"/>
      </w:tblGrid>
      <w:tr w:rsidR="00CF0CB0" w:rsidRPr="009960E1" w14:paraId="3E7AD3BB" w14:textId="77777777" w:rsidTr="00EA0FDB">
        <w:tc>
          <w:tcPr>
            <w:tcW w:w="846" w:type="dxa"/>
          </w:tcPr>
          <w:p w14:paraId="49FB1A3A" w14:textId="77777777" w:rsidR="00CF0CB0" w:rsidRPr="009960E1" w:rsidRDefault="00CF0CB0" w:rsidP="00EA0FDB">
            <w:pPr>
              <w:pStyle w:val="TableHead0"/>
              <w:rPr>
                <w:lang w:val="es-ES_tradnl"/>
              </w:rPr>
            </w:pPr>
            <w:r w:rsidRPr="009960E1">
              <w:rPr>
                <w:lang w:val="es-ES_tradnl"/>
              </w:rPr>
              <w:t>AP#</w:t>
            </w:r>
          </w:p>
        </w:tc>
        <w:tc>
          <w:tcPr>
            <w:tcW w:w="2551" w:type="dxa"/>
          </w:tcPr>
          <w:p w14:paraId="4129F6D7" w14:textId="77777777" w:rsidR="00CF0CB0" w:rsidRPr="00B97CA5" w:rsidRDefault="00CF0CB0" w:rsidP="00EA0FDB">
            <w:pPr>
              <w:pStyle w:val="TableHead0"/>
              <w:rPr>
                <w:b w:val="0"/>
                <w:bCs/>
                <w:lang w:val="es-ES_tradnl"/>
              </w:rPr>
            </w:pPr>
            <w:r w:rsidRPr="00B97CA5">
              <w:rPr>
                <w:b w:val="0"/>
                <w:bCs/>
                <w:lang w:val="es-ES_tradnl"/>
              </w:rPr>
              <w:t>AP1.6</w:t>
            </w:r>
          </w:p>
        </w:tc>
        <w:tc>
          <w:tcPr>
            <w:tcW w:w="2835" w:type="dxa"/>
          </w:tcPr>
          <w:p w14:paraId="01EF72CC" w14:textId="77777777" w:rsidR="00CF0CB0" w:rsidRPr="009960E1" w:rsidRDefault="00CF0CB0" w:rsidP="00EA0FDB">
            <w:pPr>
              <w:pStyle w:val="TableHead0"/>
              <w:rPr>
                <w:lang w:val="es-ES_tradnl"/>
              </w:rPr>
            </w:pPr>
            <w:r w:rsidRPr="009960E1">
              <w:rPr>
                <w:lang w:val="es-ES_tradnl"/>
              </w:rPr>
              <w:t>Nombre abreviado de AP</w:t>
            </w:r>
          </w:p>
        </w:tc>
        <w:tc>
          <w:tcPr>
            <w:tcW w:w="3397" w:type="dxa"/>
          </w:tcPr>
          <w:p w14:paraId="5A13A3AC" w14:textId="77777777" w:rsidR="00CF0CB0" w:rsidRPr="00B97CA5" w:rsidRDefault="00CF0CB0" w:rsidP="00EA0FDB">
            <w:pPr>
              <w:pStyle w:val="TableHead0"/>
              <w:rPr>
                <w:b w:val="0"/>
                <w:bCs/>
                <w:lang w:val="es-ES_tradnl"/>
              </w:rPr>
            </w:pPr>
            <w:r w:rsidRPr="00B97CA5">
              <w:rPr>
                <w:b w:val="0"/>
                <w:bCs/>
                <w:lang w:val="es-ES_tradnl"/>
              </w:rPr>
              <w:t>"Diálogo"</w:t>
            </w:r>
          </w:p>
        </w:tc>
      </w:tr>
      <w:tr w:rsidR="00CF0CB0" w:rsidRPr="009960E1" w14:paraId="316B8197" w14:textId="77777777" w:rsidTr="00F27F0E">
        <w:tc>
          <w:tcPr>
            <w:tcW w:w="9629" w:type="dxa"/>
            <w:gridSpan w:val="4"/>
          </w:tcPr>
          <w:p w14:paraId="09197A0A" w14:textId="77777777" w:rsidR="00CF0CB0" w:rsidRPr="009960E1" w:rsidRDefault="00CF0CB0" w:rsidP="00EA0FDB">
            <w:pPr>
              <w:pStyle w:val="TableHead0"/>
              <w:rPr>
                <w:lang w:val="es-ES_tradnl"/>
              </w:rPr>
            </w:pPr>
            <w:r w:rsidRPr="009960E1">
              <w:rPr>
                <w:lang w:val="es-ES_tradnl"/>
              </w:rPr>
              <w:t>Objetivo/Prioridad temática</w:t>
            </w:r>
          </w:p>
        </w:tc>
      </w:tr>
      <w:tr w:rsidR="00CF0CB0" w:rsidRPr="00A7143D" w14:paraId="217C4B00" w14:textId="77777777" w:rsidTr="00F27F0E">
        <w:tc>
          <w:tcPr>
            <w:tcW w:w="9629" w:type="dxa"/>
            <w:gridSpan w:val="4"/>
          </w:tcPr>
          <w:p w14:paraId="04573AED" w14:textId="77777777" w:rsidR="00CF0CB0" w:rsidRPr="009960E1" w:rsidRDefault="00CF0CB0" w:rsidP="00EA0FDB">
            <w:pPr>
              <w:pStyle w:val="TableText0"/>
              <w:rPr>
                <w:lang w:val="es-ES_tradnl"/>
              </w:rPr>
            </w:pPr>
            <w:r w:rsidRPr="009960E1">
              <w:rPr>
                <w:lang w:val="es-ES_tradnl"/>
              </w:rPr>
              <w:t xml:space="preserve">Identificar cómo los Miembros de Sector, los Asociados y las pymes del UIT-T pueden contribuir a un diálogo que conduzca a un entorno propicio que añada valor y mejore la calidad. </w:t>
            </w:r>
          </w:p>
        </w:tc>
      </w:tr>
      <w:tr w:rsidR="00CF0CB0" w:rsidRPr="009960E1" w14:paraId="55A2B437" w14:textId="77777777" w:rsidTr="00F27F0E">
        <w:tc>
          <w:tcPr>
            <w:tcW w:w="9629" w:type="dxa"/>
            <w:gridSpan w:val="4"/>
          </w:tcPr>
          <w:p w14:paraId="3855FB9E" w14:textId="77777777" w:rsidR="00CF0CB0" w:rsidRPr="009960E1" w:rsidRDefault="00CF0CB0" w:rsidP="00EA0FDB">
            <w:pPr>
              <w:pStyle w:val="TableHead0"/>
              <w:rPr>
                <w:lang w:val="es-ES_tradnl"/>
              </w:rPr>
            </w:pPr>
            <w:r w:rsidRPr="009960E1">
              <w:rPr>
                <w:lang w:val="es-ES_tradnl"/>
              </w:rPr>
              <w:t>Realización(es) clave(s)</w:t>
            </w:r>
          </w:p>
        </w:tc>
      </w:tr>
      <w:tr w:rsidR="00CF0CB0" w:rsidRPr="009960E1" w14:paraId="3A3680B9" w14:textId="77777777" w:rsidTr="00F27F0E">
        <w:tc>
          <w:tcPr>
            <w:tcW w:w="9629" w:type="dxa"/>
            <w:gridSpan w:val="4"/>
          </w:tcPr>
          <w:p w14:paraId="5DE87753" w14:textId="77777777" w:rsidR="00CF0CB0" w:rsidRPr="009960E1" w:rsidRDefault="00CF0CB0" w:rsidP="00F27F0E">
            <w:pPr>
              <w:rPr>
                <w:sz w:val="20"/>
                <w:lang w:val="es-ES_tradnl"/>
              </w:rPr>
            </w:pPr>
          </w:p>
        </w:tc>
      </w:tr>
      <w:tr w:rsidR="00CF0CB0" w:rsidRPr="00A7143D" w14:paraId="6CA6EA89" w14:textId="77777777" w:rsidTr="00F27F0E">
        <w:tc>
          <w:tcPr>
            <w:tcW w:w="9629" w:type="dxa"/>
            <w:gridSpan w:val="4"/>
          </w:tcPr>
          <w:p w14:paraId="57F4FD51" w14:textId="77777777" w:rsidR="00CF0CB0" w:rsidRPr="009960E1" w:rsidRDefault="00CF0CB0" w:rsidP="00EA0FDB">
            <w:pPr>
              <w:pStyle w:val="TableHead0"/>
              <w:rPr>
                <w:lang w:val="es-ES_tradnl"/>
              </w:rPr>
            </w:pPr>
            <w:r w:rsidRPr="009960E1">
              <w:rPr>
                <w:lang w:val="es-ES_tradnl"/>
              </w:rPr>
              <w:t>Indicador(es) de realizaciones clave</w:t>
            </w:r>
          </w:p>
        </w:tc>
      </w:tr>
      <w:tr w:rsidR="00CF0CB0" w:rsidRPr="00A7143D" w14:paraId="0B49201C" w14:textId="77777777" w:rsidTr="00F27F0E">
        <w:tc>
          <w:tcPr>
            <w:tcW w:w="9629" w:type="dxa"/>
            <w:gridSpan w:val="4"/>
          </w:tcPr>
          <w:p w14:paraId="5A806901" w14:textId="77777777" w:rsidR="00CF0CB0" w:rsidRPr="009960E1" w:rsidRDefault="00CF0CB0" w:rsidP="00F27F0E">
            <w:pPr>
              <w:rPr>
                <w:sz w:val="20"/>
                <w:lang w:val="es-ES_tradnl"/>
              </w:rPr>
            </w:pPr>
          </w:p>
        </w:tc>
      </w:tr>
      <w:tr w:rsidR="00CF0CB0" w:rsidRPr="009960E1" w14:paraId="2DD20623" w14:textId="77777777" w:rsidTr="00F27F0E">
        <w:tc>
          <w:tcPr>
            <w:tcW w:w="9629" w:type="dxa"/>
            <w:gridSpan w:val="4"/>
          </w:tcPr>
          <w:p w14:paraId="0F61965C" w14:textId="77777777" w:rsidR="00CF0CB0" w:rsidRPr="009960E1" w:rsidRDefault="00CF0CB0" w:rsidP="00EA0FDB">
            <w:pPr>
              <w:pStyle w:val="TableHead0"/>
              <w:rPr>
                <w:lang w:val="es-ES_tradnl"/>
              </w:rPr>
            </w:pPr>
            <w:r w:rsidRPr="009960E1">
              <w:rPr>
                <w:lang w:val="es-ES_tradnl"/>
              </w:rPr>
              <w:t>Estrategias de aplicación</w:t>
            </w:r>
          </w:p>
        </w:tc>
      </w:tr>
      <w:tr w:rsidR="00CF0CB0" w:rsidRPr="009960E1" w14:paraId="22CA6510" w14:textId="77777777" w:rsidTr="00F27F0E">
        <w:tc>
          <w:tcPr>
            <w:tcW w:w="9629" w:type="dxa"/>
            <w:gridSpan w:val="4"/>
          </w:tcPr>
          <w:p w14:paraId="6D4247D3" w14:textId="77777777" w:rsidR="00CF0CB0" w:rsidRPr="009960E1" w:rsidRDefault="00CF0CB0" w:rsidP="00F27F0E">
            <w:pPr>
              <w:rPr>
                <w:sz w:val="20"/>
                <w:lang w:val="es-ES_tradnl"/>
              </w:rPr>
            </w:pPr>
          </w:p>
        </w:tc>
      </w:tr>
      <w:tr w:rsidR="00CF0CB0" w:rsidRPr="009960E1" w14:paraId="46B5BFB1" w14:textId="77777777" w:rsidTr="00F27F0E">
        <w:tc>
          <w:tcPr>
            <w:tcW w:w="9629" w:type="dxa"/>
            <w:gridSpan w:val="4"/>
          </w:tcPr>
          <w:p w14:paraId="4993D095" w14:textId="77777777" w:rsidR="00CF0CB0" w:rsidRPr="009960E1" w:rsidRDefault="00CF0CB0" w:rsidP="00EA0FDB">
            <w:pPr>
              <w:pStyle w:val="TableHead0"/>
              <w:rPr>
                <w:lang w:val="es-ES_tradnl"/>
              </w:rPr>
            </w:pPr>
            <w:r w:rsidRPr="009960E1">
              <w:rPr>
                <w:lang w:val="es-ES_tradnl"/>
              </w:rPr>
              <w:t>Factores habilitadores</w:t>
            </w:r>
          </w:p>
        </w:tc>
      </w:tr>
      <w:tr w:rsidR="00CF0CB0" w:rsidRPr="009960E1" w14:paraId="04225015" w14:textId="77777777" w:rsidTr="00F27F0E">
        <w:tc>
          <w:tcPr>
            <w:tcW w:w="9629" w:type="dxa"/>
            <w:gridSpan w:val="4"/>
          </w:tcPr>
          <w:p w14:paraId="4587C1CB" w14:textId="77777777" w:rsidR="00CF0CB0" w:rsidRPr="009960E1" w:rsidRDefault="00CF0CB0" w:rsidP="00F27F0E">
            <w:pPr>
              <w:rPr>
                <w:sz w:val="20"/>
                <w:lang w:val="es-ES_tradnl"/>
              </w:rPr>
            </w:pPr>
          </w:p>
        </w:tc>
      </w:tr>
      <w:tr w:rsidR="00CF0CB0" w:rsidRPr="009960E1" w14:paraId="0D9687A8" w14:textId="77777777" w:rsidTr="00F27F0E">
        <w:tc>
          <w:tcPr>
            <w:tcW w:w="9629" w:type="dxa"/>
            <w:gridSpan w:val="4"/>
          </w:tcPr>
          <w:p w14:paraId="3366E61C" w14:textId="77777777" w:rsidR="00CF0CB0" w:rsidRPr="009960E1" w:rsidRDefault="00CF0CB0" w:rsidP="00EA0FDB">
            <w:pPr>
              <w:pStyle w:val="TableHead0"/>
              <w:rPr>
                <w:lang w:val="es-ES_tradnl"/>
              </w:rPr>
            </w:pPr>
            <w:r w:rsidRPr="009960E1">
              <w:rPr>
                <w:lang w:val="es-ES_tradnl"/>
              </w:rPr>
              <w:t>Servicios de la UIT</w:t>
            </w:r>
          </w:p>
        </w:tc>
      </w:tr>
      <w:tr w:rsidR="00CF0CB0" w:rsidRPr="009960E1" w14:paraId="1EA15905" w14:textId="77777777" w:rsidTr="00F27F0E">
        <w:tc>
          <w:tcPr>
            <w:tcW w:w="9629" w:type="dxa"/>
            <w:gridSpan w:val="4"/>
          </w:tcPr>
          <w:p w14:paraId="62DEF672" w14:textId="77777777" w:rsidR="00CF0CB0" w:rsidRPr="009960E1" w:rsidRDefault="00CF0CB0" w:rsidP="00F27F0E">
            <w:pPr>
              <w:rPr>
                <w:sz w:val="20"/>
                <w:lang w:val="es-ES_tradnl"/>
              </w:rPr>
            </w:pPr>
          </w:p>
        </w:tc>
      </w:tr>
      <w:tr w:rsidR="00CF0CB0" w:rsidRPr="009960E1" w14:paraId="023122BF" w14:textId="77777777" w:rsidTr="00F27F0E">
        <w:tc>
          <w:tcPr>
            <w:tcW w:w="9629" w:type="dxa"/>
            <w:gridSpan w:val="4"/>
          </w:tcPr>
          <w:p w14:paraId="2EE0D3FB" w14:textId="77777777" w:rsidR="00CF0CB0" w:rsidRPr="009960E1" w:rsidRDefault="00CF0CB0" w:rsidP="00EA0FDB">
            <w:pPr>
              <w:pStyle w:val="TableHead0"/>
              <w:rPr>
                <w:lang w:val="es-ES_tradnl"/>
              </w:rPr>
            </w:pPr>
            <w:r w:rsidRPr="009960E1">
              <w:rPr>
                <w:lang w:val="es-ES_tradnl"/>
              </w:rPr>
              <w:t>Aprendizaje y retroalimentación</w:t>
            </w:r>
          </w:p>
        </w:tc>
      </w:tr>
      <w:tr w:rsidR="00CF0CB0" w:rsidRPr="00A7143D" w14:paraId="2649B44B" w14:textId="77777777" w:rsidTr="00F27F0E">
        <w:tc>
          <w:tcPr>
            <w:tcW w:w="9629" w:type="dxa"/>
            <w:gridSpan w:val="4"/>
          </w:tcPr>
          <w:p w14:paraId="320EB5B5" w14:textId="77777777" w:rsidR="00CF0CB0" w:rsidRPr="009960E1" w:rsidRDefault="00CF0CB0" w:rsidP="00EA0FDB">
            <w:pPr>
              <w:pStyle w:val="TableText0"/>
              <w:rPr>
                <w:sz w:val="20"/>
                <w:lang w:val="es-ES_tradnl"/>
              </w:rPr>
            </w:pPr>
            <w:r w:rsidRPr="009960E1">
              <w:rPr>
                <w:lang w:val="es-ES_tradnl"/>
              </w:rPr>
              <w:t>La 1ª IEW proporcionó la siguiente información relacionada con el "Diálogo":</w:t>
            </w:r>
          </w:p>
          <w:p w14:paraId="795D9CB2" w14:textId="48E9B9EF" w:rsidR="00CF0CB0" w:rsidRPr="009960E1" w:rsidRDefault="00EA0FDB" w:rsidP="00EA0FDB">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La colaboración con expertos en la materia de todo el ecosistema es fundamental para la aplicación de normas internacionales.</w:t>
            </w:r>
          </w:p>
          <w:p w14:paraId="1751557F" w14:textId="7DE19755" w:rsidR="00CF0CB0" w:rsidRPr="009960E1" w:rsidRDefault="00EA0FDB" w:rsidP="00EA0FDB">
            <w:pPr>
              <w:pStyle w:val="enumlev1"/>
              <w:tabs>
                <w:tab w:val="clear" w:pos="1134"/>
              </w:tabs>
              <w:ind w:left="739" w:hanging="739"/>
              <w:rPr>
                <w:sz w:val="20"/>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Los organismos de normalización tradicionales están perdiendo expertos en la materia en favor de otros organismos, lo que conduce a la ineficiencia y a la regionalización en lugar de a la normalización internacional</w:t>
            </w:r>
            <w:r w:rsidR="00CF0CB0" w:rsidRPr="009960E1">
              <w:rPr>
                <w:sz w:val="20"/>
                <w:lang w:val="es-ES_tradnl"/>
              </w:rPr>
              <w:t>.</w:t>
            </w:r>
          </w:p>
        </w:tc>
      </w:tr>
      <w:tr w:rsidR="00CF0CB0" w:rsidRPr="009960E1" w14:paraId="474E2298" w14:textId="77777777" w:rsidTr="00F27F0E">
        <w:tc>
          <w:tcPr>
            <w:tcW w:w="9629" w:type="dxa"/>
            <w:gridSpan w:val="4"/>
          </w:tcPr>
          <w:p w14:paraId="74965BD6" w14:textId="77777777" w:rsidR="00CF0CB0" w:rsidRPr="009960E1" w:rsidRDefault="00CF0CB0" w:rsidP="00EA0FDB">
            <w:pPr>
              <w:pStyle w:val="TableHead0"/>
              <w:rPr>
                <w:lang w:val="es-ES_tradnl"/>
              </w:rPr>
            </w:pPr>
            <w:r w:rsidRPr="009960E1">
              <w:rPr>
                <w:lang w:val="es-ES_tradnl"/>
              </w:rPr>
              <w:t>Acciones propuestas</w:t>
            </w:r>
          </w:p>
        </w:tc>
      </w:tr>
      <w:tr w:rsidR="00CF0CB0" w:rsidRPr="009960E1" w14:paraId="491D0E59" w14:textId="77777777" w:rsidTr="00F27F0E">
        <w:tc>
          <w:tcPr>
            <w:tcW w:w="9629" w:type="dxa"/>
            <w:gridSpan w:val="4"/>
          </w:tcPr>
          <w:p w14:paraId="1B91F2D1" w14:textId="77777777" w:rsidR="00CF0CB0" w:rsidRPr="009960E1" w:rsidRDefault="00CF0CB0" w:rsidP="00F27F0E">
            <w:pPr>
              <w:rPr>
                <w:sz w:val="20"/>
                <w:lang w:val="es-ES_tradnl" w:eastAsia="zh-CN"/>
              </w:rPr>
            </w:pPr>
          </w:p>
        </w:tc>
      </w:tr>
    </w:tbl>
    <w:p w14:paraId="22BD6497" w14:textId="77777777" w:rsidR="00CF0CB0" w:rsidRPr="009960E1" w:rsidRDefault="00CF0CB0" w:rsidP="00CF0CB0">
      <w:pPr>
        <w:rPr>
          <w:lang w:val="es-ES_tradnl"/>
        </w:rPr>
      </w:pPr>
      <w:r w:rsidRPr="009960E1">
        <w:rPr>
          <w:lang w:val="es-ES_tradnl"/>
        </w:rPr>
        <w:br w:type="page"/>
      </w:r>
    </w:p>
    <w:p w14:paraId="56C8C481" w14:textId="2F4A0849" w:rsidR="00CF0CB0" w:rsidRPr="009960E1" w:rsidRDefault="00CF0CB0" w:rsidP="00CF0CB0">
      <w:pPr>
        <w:pStyle w:val="TableNotitle"/>
        <w:rPr>
          <w:lang w:val="es-ES_tradnl"/>
        </w:rPr>
      </w:pPr>
      <w:r w:rsidRPr="009960E1">
        <w:rPr>
          <w:b w:val="0"/>
          <w:lang w:val="es-ES_tradnl"/>
        </w:rPr>
        <w:lastRenderedPageBreak/>
        <w:t>Cuadro 3.8</w:t>
      </w:r>
      <w:r w:rsidR="00EA0FDB" w:rsidRPr="009960E1">
        <w:rPr>
          <w:bCs/>
          <w:lang w:val="es-ES_tradnl"/>
        </w:rPr>
        <w:br/>
      </w:r>
      <w:r w:rsidRPr="009960E1">
        <w:rPr>
          <w:bCs/>
          <w:lang w:val="es-ES_tradnl"/>
        </w:rPr>
        <w:t>Acción sobre el plan "Motivar la coordinación"</w:t>
      </w:r>
    </w:p>
    <w:tbl>
      <w:tblPr>
        <w:tblStyle w:val="TableGrid"/>
        <w:tblW w:w="0" w:type="auto"/>
        <w:tblInd w:w="0" w:type="dxa"/>
        <w:tblLayout w:type="fixed"/>
        <w:tblLook w:val="04A0" w:firstRow="1" w:lastRow="0" w:firstColumn="1" w:lastColumn="0" w:noHBand="0" w:noVBand="1"/>
      </w:tblPr>
      <w:tblGrid>
        <w:gridCol w:w="846"/>
        <w:gridCol w:w="2410"/>
        <w:gridCol w:w="3118"/>
        <w:gridCol w:w="3255"/>
      </w:tblGrid>
      <w:tr w:rsidR="00CF0CB0" w:rsidRPr="009960E1" w14:paraId="53FCE668" w14:textId="77777777" w:rsidTr="00EA0FDB">
        <w:tc>
          <w:tcPr>
            <w:tcW w:w="846" w:type="dxa"/>
          </w:tcPr>
          <w:p w14:paraId="6F2765EC" w14:textId="77777777" w:rsidR="00CF0CB0" w:rsidRPr="009960E1" w:rsidRDefault="00CF0CB0" w:rsidP="00EA0FDB">
            <w:pPr>
              <w:pStyle w:val="TableHead0"/>
              <w:rPr>
                <w:lang w:val="es-ES_tradnl"/>
              </w:rPr>
            </w:pPr>
            <w:r w:rsidRPr="009960E1">
              <w:rPr>
                <w:lang w:val="es-ES_tradnl"/>
              </w:rPr>
              <w:t>AP#</w:t>
            </w:r>
          </w:p>
        </w:tc>
        <w:tc>
          <w:tcPr>
            <w:tcW w:w="2410" w:type="dxa"/>
          </w:tcPr>
          <w:p w14:paraId="557DFF80" w14:textId="77777777" w:rsidR="00CF0CB0" w:rsidRPr="009960E1" w:rsidRDefault="00CF0CB0" w:rsidP="00B97CA5">
            <w:pPr>
              <w:pStyle w:val="TableHead0"/>
              <w:rPr>
                <w:bCs/>
                <w:lang w:val="es-ES_tradnl"/>
              </w:rPr>
            </w:pPr>
            <w:r w:rsidRPr="00B97CA5">
              <w:rPr>
                <w:b w:val="0"/>
                <w:bCs/>
                <w:lang w:val="es-ES_tradnl"/>
              </w:rPr>
              <w:t>AP1</w:t>
            </w:r>
            <w:r w:rsidRPr="009960E1">
              <w:rPr>
                <w:bCs/>
                <w:lang w:val="es-ES_tradnl"/>
              </w:rPr>
              <w:t>.7</w:t>
            </w:r>
          </w:p>
        </w:tc>
        <w:tc>
          <w:tcPr>
            <w:tcW w:w="3118" w:type="dxa"/>
          </w:tcPr>
          <w:p w14:paraId="5DBFB993" w14:textId="77777777" w:rsidR="00CF0CB0" w:rsidRPr="009960E1" w:rsidRDefault="00CF0CB0" w:rsidP="00B97CA5">
            <w:pPr>
              <w:pStyle w:val="TableHead0"/>
              <w:rPr>
                <w:b w:val="0"/>
                <w:lang w:val="es-ES_tradnl"/>
              </w:rPr>
            </w:pPr>
            <w:r w:rsidRPr="009960E1">
              <w:rPr>
                <w:lang w:val="es-ES_tradnl"/>
              </w:rPr>
              <w:t>Nombre abreviado de AP</w:t>
            </w:r>
          </w:p>
        </w:tc>
        <w:tc>
          <w:tcPr>
            <w:tcW w:w="3255" w:type="dxa"/>
          </w:tcPr>
          <w:p w14:paraId="1F3F21B5" w14:textId="77777777" w:rsidR="00CF0CB0" w:rsidRPr="00B97CA5" w:rsidRDefault="00CF0CB0" w:rsidP="00B97CA5">
            <w:pPr>
              <w:pStyle w:val="TableHead0"/>
              <w:rPr>
                <w:b w:val="0"/>
                <w:lang w:val="es-ES_tradnl"/>
              </w:rPr>
            </w:pPr>
            <w:r w:rsidRPr="00B97CA5">
              <w:rPr>
                <w:b w:val="0"/>
                <w:lang w:val="es-ES_tradnl"/>
              </w:rPr>
              <w:t>"Motivar la coordinación"</w:t>
            </w:r>
          </w:p>
        </w:tc>
      </w:tr>
      <w:tr w:rsidR="00CF0CB0" w:rsidRPr="009960E1" w14:paraId="717F09D5" w14:textId="77777777" w:rsidTr="00F27F0E">
        <w:tc>
          <w:tcPr>
            <w:tcW w:w="9629" w:type="dxa"/>
            <w:gridSpan w:val="4"/>
          </w:tcPr>
          <w:p w14:paraId="282012D4" w14:textId="77777777" w:rsidR="00CF0CB0" w:rsidRPr="009960E1" w:rsidRDefault="00CF0CB0" w:rsidP="00EA0FDB">
            <w:pPr>
              <w:pStyle w:val="TableHead0"/>
              <w:rPr>
                <w:lang w:val="es-ES_tradnl"/>
              </w:rPr>
            </w:pPr>
            <w:r w:rsidRPr="009960E1">
              <w:rPr>
                <w:lang w:val="es-ES_tradnl"/>
              </w:rPr>
              <w:t>Objetivo/Prioridad temática</w:t>
            </w:r>
          </w:p>
        </w:tc>
      </w:tr>
      <w:tr w:rsidR="00CF0CB0" w:rsidRPr="00A7143D" w14:paraId="405B1117" w14:textId="77777777" w:rsidTr="00F27F0E">
        <w:tc>
          <w:tcPr>
            <w:tcW w:w="9629" w:type="dxa"/>
            <w:gridSpan w:val="4"/>
          </w:tcPr>
          <w:p w14:paraId="31A920C6" w14:textId="77777777" w:rsidR="00CF0CB0" w:rsidRPr="009960E1" w:rsidRDefault="00CF0CB0" w:rsidP="00EA0FDB">
            <w:pPr>
              <w:pStyle w:val="TableText0"/>
              <w:rPr>
                <w:lang w:val="es-ES_tradnl"/>
              </w:rPr>
            </w:pPr>
            <w:r w:rsidRPr="009960E1">
              <w:rPr>
                <w:lang w:val="es-ES_tradnl"/>
              </w:rPr>
              <w:t>Motivar la coordinación de las actividades de normalización por los Miembros de Sector y Asociados del UIT-T (incluidas las pymes) que participan en otras organizaciones de normalización.</w:t>
            </w:r>
          </w:p>
        </w:tc>
      </w:tr>
      <w:tr w:rsidR="00CF0CB0" w:rsidRPr="009960E1" w14:paraId="4B587BBA" w14:textId="77777777" w:rsidTr="00F27F0E">
        <w:tc>
          <w:tcPr>
            <w:tcW w:w="9629" w:type="dxa"/>
            <w:gridSpan w:val="4"/>
          </w:tcPr>
          <w:p w14:paraId="00AB6BF0" w14:textId="77777777" w:rsidR="00CF0CB0" w:rsidRPr="009960E1" w:rsidRDefault="00CF0CB0" w:rsidP="00EA0FDB">
            <w:pPr>
              <w:pStyle w:val="TableHead0"/>
              <w:rPr>
                <w:lang w:val="es-ES_tradnl"/>
              </w:rPr>
            </w:pPr>
            <w:r w:rsidRPr="009960E1">
              <w:rPr>
                <w:lang w:val="es-ES_tradnl"/>
              </w:rPr>
              <w:t>Realización(es) clave(s)</w:t>
            </w:r>
          </w:p>
        </w:tc>
      </w:tr>
      <w:tr w:rsidR="00CF0CB0" w:rsidRPr="00A7143D" w14:paraId="44A84127" w14:textId="77777777" w:rsidTr="00F27F0E">
        <w:tc>
          <w:tcPr>
            <w:tcW w:w="9629" w:type="dxa"/>
            <w:gridSpan w:val="4"/>
          </w:tcPr>
          <w:p w14:paraId="1C8F687D" w14:textId="77777777" w:rsidR="00CF0CB0" w:rsidRPr="009960E1" w:rsidRDefault="00CF0CB0" w:rsidP="00EA0FDB">
            <w:pPr>
              <w:pStyle w:val="TableText0"/>
              <w:rPr>
                <w:lang w:val="es-ES_tradnl"/>
              </w:rPr>
            </w:pPr>
            <w:r w:rsidRPr="009960E1">
              <w:rPr>
                <w:lang w:val="es-ES_tradnl"/>
              </w:rPr>
              <w:t>Dado el rápido ritmo de cambio en el ecosistema mundial de normalización, las acciones coordinadas en la elaboración de normas pueden conducir a evitar la duplicación de tareas, a una mejor armonización de la colaboración y las normas, y a una mejor cualificación de las oportunidades de normalización.</w:t>
            </w:r>
          </w:p>
        </w:tc>
      </w:tr>
      <w:tr w:rsidR="00CF0CB0" w:rsidRPr="00A7143D" w14:paraId="5478E720" w14:textId="77777777" w:rsidTr="00F27F0E">
        <w:tc>
          <w:tcPr>
            <w:tcW w:w="9629" w:type="dxa"/>
            <w:gridSpan w:val="4"/>
          </w:tcPr>
          <w:p w14:paraId="05D8426C" w14:textId="77777777" w:rsidR="00CF0CB0" w:rsidRPr="009960E1" w:rsidRDefault="00CF0CB0" w:rsidP="00EA0FDB">
            <w:pPr>
              <w:pStyle w:val="TableHead0"/>
              <w:rPr>
                <w:lang w:val="es-ES_tradnl"/>
              </w:rPr>
            </w:pPr>
            <w:r w:rsidRPr="009960E1">
              <w:rPr>
                <w:lang w:val="es-ES_tradnl"/>
              </w:rPr>
              <w:t>Indicador(es) de realizaciones clave</w:t>
            </w:r>
          </w:p>
        </w:tc>
      </w:tr>
      <w:tr w:rsidR="00CF0CB0" w:rsidRPr="00A7143D" w14:paraId="7DB1B492" w14:textId="77777777" w:rsidTr="00F27F0E">
        <w:tc>
          <w:tcPr>
            <w:tcW w:w="9629" w:type="dxa"/>
            <w:gridSpan w:val="4"/>
          </w:tcPr>
          <w:p w14:paraId="3D4791D0" w14:textId="4E949C34" w:rsidR="00CF0CB0" w:rsidRPr="009960E1" w:rsidRDefault="00CF0CB0" w:rsidP="00EA0FDB">
            <w:pPr>
              <w:pStyle w:val="TableText0"/>
              <w:rPr>
                <w:lang w:val="es-ES_tradnl"/>
              </w:rPr>
            </w:pPr>
            <w:r w:rsidRPr="009960E1">
              <w:rPr>
                <w:lang w:val="es-ES_tradnl"/>
              </w:rPr>
              <w:t>Una apreciación y comprensión más fundamentadas entre los Miembros de Sector, los Asociados y la</w:t>
            </w:r>
            <w:r w:rsidR="00B97CA5">
              <w:rPr>
                <w:lang w:val="es-ES_tradnl"/>
              </w:rPr>
              <w:t>s</w:t>
            </w:r>
            <w:r w:rsidRPr="009960E1">
              <w:rPr>
                <w:lang w:val="es-ES_tradnl"/>
              </w:rPr>
              <w:t xml:space="preserve"> pymes que participan en otros foros de normalización sobre el papel del UIT-T en el ecosistema mundial de normalización.</w:t>
            </w:r>
          </w:p>
        </w:tc>
      </w:tr>
      <w:tr w:rsidR="00CF0CB0" w:rsidRPr="009960E1" w14:paraId="52E2A9A6" w14:textId="77777777" w:rsidTr="00F27F0E">
        <w:tc>
          <w:tcPr>
            <w:tcW w:w="9629" w:type="dxa"/>
            <w:gridSpan w:val="4"/>
          </w:tcPr>
          <w:p w14:paraId="25694757" w14:textId="77777777" w:rsidR="00CF0CB0" w:rsidRPr="009960E1" w:rsidRDefault="00CF0CB0" w:rsidP="00EA0FDB">
            <w:pPr>
              <w:pStyle w:val="TableHead0"/>
              <w:rPr>
                <w:lang w:val="es-ES_tradnl"/>
              </w:rPr>
            </w:pPr>
            <w:r w:rsidRPr="009960E1">
              <w:rPr>
                <w:lang w:val="es-ES_tradnl"/>
              </w:rPr>
              <w:t>Estrategias de aplicación</w:t>
            </w:r>
          </w:p>
        </w:tc>
      </w:tr>
      <w:tr w:rsidR="00CF0CB0" w:rsidRPr="00A7143D" w14:paraId="59C5A6D9" w14:textId="77777777" w:rsidTr="00F27F0E">
        <w:tc>
          <w:tcPr>
            <w:tcW w:w="9629" w:type="dxa"/>
            <w:gridSpan w:val="4"/>
          </w:tcPr>
          <w:p w14:paraId="5C93255D" w14:textId="77777777" w:rsidR="00CF0CB0" w:rsidRPr="009960E1" w:rsidRDefault="00CF0CB0" w:rsidP="00EA0FDB">
            <w:pPr>
              <w:pStyle w:val="TableText0"/>
              <w:rPr>
                <w:lang w:val="es-ES_tradnl"/>
              </w:rPr>
            </w:pPr>
            <w:r w:rsidRPr="009960E1">
              <w:rPr>
                <w:lang w:val="es-ES_tradnl"/>
              </w:rPr>
              <w:t>Este elemento podría incluirse en el orden del día de un taller para fomentar el debate sobre la manera de cumplir este punto del plan de acción; de lo contrario, la información solicitada podría facilitarse a través de encuestas y cuestionarios.</w:t>
            </w:r>
          </w:p>
          <w:p w14:paraId="140D3562" w14:textId="77777777" w:rsidR="00CF0CB0" w:rsidRPr="009960E1" w:rsidRDefault="00CF0CB0" w:rsidP="00EA0FDB">
            <w:pPr>
              <w:pStyle w:val="TableText0"/>
              <w:rPr>
                <w:lang w:val="es-ES_tradnl"/>
              </w:rPr>
            </w:pPr>
            <w:r w:rsidRPr="009960E1">
              <w:rPr>
                <w:lang w:val="es-ES_tradnl"/>
              </w:rPr>
              <w:t>La Resolución 209 (PP, 2022) puede considerarse una aportación a esta estrategia de aplicación.</w:t>
            </w:r>
          </w:p>
        </w:tc>
      </w:tr>
      <w:tr w:rsidR="00CF0CB0" w:rsidRPr="009960E1" w14:paraId="7B3E7287" w14:textId="77777777" w:rsidTr="00F27F0E">
        <w:tc>
          <w:tcPr>
            <w:tcW w:w="9629" w:type="dxa"/>
            <w:gridSpan w:val="4"/>
          </w:tcPr>
          <w:p w14:paraId="0E9EC028" w14:textId="77777777" w:rsidR="00CF0CB0" w:rsidRPr="009960E1" w:rsidRDefault="00CF0CB0" w:rsidP="00EA0FDB">
            <w:pPr>
              <w:pStyle w:val="TableHead0"/>
              <w:rPr>
                <w:lang w:val="es-ES_tradnl"/>
              </w:rPr>
            </w:pPr>
            <w:r w:rsidRPr="009960E1">
              <w:rPr>
                <w:lang w:val="es-ES_tradnl"/>
              </w:rPr>
              <w:t>Factores habilitadores</w:t>
            </w:r>
          </w:p>
        </w:tc>
      </w:tr>
      <w:tr w:rsidR="00CF0CB0" w:rsidRPr="009960E1" w14:paraId="51726FC1" w14:textId="77777777" w:rsidTr="00F27F0E">
        <w:tc>
          <w:tcPr>
            <w:tcW w:w="9629" w:type="dxa"/>
            <w:gridSpan w:val="4"/>
          </w:tcPr>
          <w:p w14:paraId="25BCA77F" w14:textId="77777777" w:rsidR="00CF0CB0" w:rsidRPr="009960E1" w:rsidRDefault="00CF0CB0" w:rsidP="00F27F0E">
            <w:pPr>
              <w:rPr>
                <w:sz w:val="20"/>
                <w:lang w:val="es-ES_tradnl"/>
              </w:rPr>
            </w:pPr>
          </w:p>
        </w:tc>
      </w:tr>
      <w:tr w:rsidR="00CF0CB0" w:rsidRPr="009960E1" w14:paraId="6C1A7DCD" w14:textId="77777777" w:rsidTr="00F27F0E">
        <w:tc>
          <w:tcPr>
            <w:tcW w:w="9629" w:type="dxa"/>
            <w:gridSpan w:val="4"/>
          </w:tcPr>
          <w:p w14:paraId="2E3616EE" w14:textId="77777777" w:rsidR="00CF0CB0" w:rsidRPr="009960E1" w:rsidRDefault="00CF0CB0" w:rsidP="00EA0FDB">
            <w:pPr>
              <w:pStyle w:val="TableHead0"/>
              <w:rPr>
                <w:lang w:val="es-ES_tradnl"/>
              </w:rPr>
            </w:pPr>
            <w:r w:rsidRPr="009960E1">
              <w:rPr>
                <w:lang w:val="es-ES_tradnl"/>
              </w:rPr>
              <w:t>Servicios de la UIT</w:t>
            </w:r>
          </w:p>
        </w:tc>
      </w:tr>
      <w:tr w:rsidR="00CF0CB0" w:rsidRPr="009960E1" w14:paraId="28C9E30B" w14:textId="77777777" w:rsidTr="00F27F0E">
        <w:tc>
          <w:tcPr>
            <w:tcW w:w="9629" w:type="dxa"/>
            <w:gridSpan w:val="4"/>
          </w:tcPr>
          <w:p w14:paraId="4F591D67" w14:textId="77777777" w:rsidR="00CF0CB0" w:rsidRPr="009960E1" w:rsidRDefault="00CF0CB0" w:rsidP="00F27F0E">
            <w:pPr>
              <w:rPr>
                <w:sz w:val="20"/>
                <w:lang w:val="es-ES_tradnl"/>
              </w:rPr>
            </w:pPr>
          </w:p>
        </w:tc>
      </w:tr>
      <w:tr w:rsidR="00CF0CB0" w:rsidRPr="009960E1" w14:paraId="03600435" w14:textId="77777777" w:rsidTr="00F27F0E">
        <w:tc>
          <w:tcPr>
            <w:tcW w:w="9629" w:type="dxa"/>
            <w:gridSpan w:val="4"/>
          </w:tcPr>
          <w:p w14:paraId="6417E2AD" w14:textId="77777777" w:rsidR="00CF0CB0" w:rsidRPr="009960E1" w:rsidRDefault="00CF0CB0" w:rsidP="00EA0FDB">
            <w:pPr>
              <w:pStyle w:val="TableHead0"/>
              <w:rPr>
                <w:lang w:val="es-ES_tradnl"/>
              </w:rPr>
            </w:pPr>
            <w:r w:rsidRPr="009960E1">
              <w:rPr>
                <w:lang w:val="es-ES_tradnl"/>
              </w:rPr>
              <w:t>Aprendizaje y retroalimentación</w:t>
            </w:r>
          </w:p>
        </w:tc>
      </w:tr>
      <w:tr w:rsidR="00CF0CB0" w:rsidRPr="00A7143D" w14:paraId="28D0534A" w14:textId="77777777" w:rsidTr="00F27F0E">
        <w:tc>
          <w:tcPr>
            <w:tcW w:w="9629" w:type="dxa"/>
            <w:gridSpan w:val="4"/>
          </w:tcPr>
          <w:p w14:paraId="158E1450" w14:textId="77777777" w:rsidR="00CF0CB0" w:rsidRPr="009960E1" w:rsidRDefault="00CF0CB0" w:rsidP="00EA0FDB">
            <w:pPr>
              <w:pStyle w:val="TableText0"/>
              <w:rPr>
                <w:lang w:val="es-ES_tradnl"/>
              </w:rPr>
            </w:pPr>
            <w:r w:rsidRPr="009960E1">
              <w:rPr>
                <w:lang w:val="es-ES_tradnl"/>
              </w:rPr>
              <w:t>La 1ª IEW formuló las siguientes observaciones en relación con "Motivar la coordinación":</w:t>
            </w:r>
          </w:p>
          <w:p w14:paraId="06ADF73D" w14:textId="6A9991A7" w:rsidR="00CF0CB0" w:rsidRPr="009960E1" w:rsidRDefault="00EA0FDB" w:rsidP="00EA0FDB">
            <w:pPr>
              <w:pStyle w:val="enumlev1"/>
              <w:tabs>
                <w:tab w:val="clear" w:pos="1134"/>
              </w:tabs>
              <w:ind w:left="739" w:hanging="739"/>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Se sugirió una mayor y mejor coordinación con otras organizaciones de normalización y el código abierto para evitar duplicaciones y que la UIT pueda ser la coordinadora en beneficio de la industria.</w:t>
            </w:r>
          </w:p>
          <w:p w14:paraId="5AF29F26" w14:textId="0A9987AD" w:rsidR="00CF0CB0" w:rsidRPr="009960E1" w:rsidRDefault="00EA0FDB" w:rsidP="00EA0FDB">
            <w:pPr>
              <w:pStyle w:val="enumlev1"/>
              <w:tabs>
                <w:tab w:val="clear" w:pos="1134"/>
              </w:tabs>
              <w:ind w:left="739" w:hanging="739"/>
              <w:rPr>
                <w:sz w:val="20"/>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La UIT debe coordinar y aprovechar la labor técnica en otros foros especializados, mantener y mejorar la excelencia técnica adquirida en algunos ámbitos y abordar cuestiones en ámbitos con escaso éxito, y mejorar el proceso de decisión y las métricas para evaluar la eficiencia.</w:t>
            </w:r>
          </w:p>
        </w:tc>
      </w:tr>
      <w:tr w:rsidR="00CF0CB0" w:rsidRPr="009960E1" w14:paraId="469AC2A5" w14:textId="77777777" w:rsidTr="00F27F0E">
        <w:tc>
          <w:tcPr>
            <w:tcW w:w="9629" w:type="dxa"/>
            <w:gridSpan w:val="4"/>
          </w:tcPr>
          <w:p w14:paraId="5B181998" w14:textId="77777777" w:rsidR="00CF0CB0" w:rsidRPr="009960E1" w:rsidRDefault="00CF0CB0" w:rsidP="00EA0FDB">
            <w:pPr>
              <w:pStyle w:val="TableHead0"/>
              <w:rPr>
                <w:lang w:val="es-ES_tradnl"/>
              </w:rPr>
            </w:pPr>
            <w:r w:rsidRPr="009960E1">
              <w:rPr>
                <w:lang w:val="es-ES_tradnl"/>
              </w:rPr>
              <w:t>Acciones propuestas</w:t>
            </w:r>
          </w:p>
        </w:tc>
      </w:tr>
      <w:tr w:rsidR="00CF0CB0" w:rsidRPr="00A7143D" w14:paraId="144430AA" w14:textId="77777777" w:rsidTr="00F27F0E">
        <w:tc>
          <w:tcPr>
            <w:tcW w:w="9629" w:type="dxa"/>
            <w:gridSpan w:val="4"/>
          </w:tcPr>
          <w:p w14:paraId="3A2A1965" w14:textId="19595258" w:rsidR="00CF0CB0" w:rsidRPr="009960E1" w:rsidRDefault="00CF0CB0" w:rsidP="00EA0FDB">
            <w:pPr>
              <w:pStyle w:val="TableText0"/>
              <w:rPr>
                <w:lang w:val="es-ES_tradnl"/>
              </w:rPr>
            </w:pPr>
            <w:r w:rsidRPr="009960E1">
              <w:rPr>
                <w:lang w:val="es-ES_tradnl"/>
              </w:rPr>
              <w:t xml:space="preserve">IWX-02 </w:t>
            </w:r>
            <w:r w:rsidR="00EA0FDB" w:rsidRPr="009960E1">
              <w:rPr>
                <w:lang w:val="es-ES_tradnl"/>
              </w:rPr>
              <w:t>–</w:t>
            </w:r>
            <w:r w:rsidRPr="009960E1">
              <w:rPr>
                <w:lang w:val="es-ES_tradnl"/>
              </w:rPr>
              <w:t xml:space="preserve"> Investigar la mejor manera de coordinar con otros foros a fin de garantizar una buena experiencia para los expertos y que los conocimientos especializados del UIT-T se mantengan estables.</w:t>
            </w:r>
          </w:p>
          <w:p w14:paraId="7C1D0F47" w14:textId="1E2B92DC" w:rsidR="00CF0CB0" w:rsidRPr="009960E1" w:rsidRDefault="00CF0CB0" w:rsidP="00EA0FDB">
            <w:pPr>
              <w:pStyle w:val="TableText0"/>
              <w:rPr>
                <w:lang w:val="es-ES_tradnl"/>
              </w:rPr>
            </w:pPr>
            <w:r w:rsidRPr="009960E1">
              <w:rPr>
                <w:lang w:val="es-ES_tradnl"/>
              </w:rPr>
              <w:t xml:space="preserve">IWX-10a) </w:t>
            </w:r>
            <w:r w:rsidR="00EA0FDB" w:rsidRPr="009960E1">
              <w:rPr>
                <w:lang w:val="es-ES_tradnl"/>
              </w:rPr>
              <w:t xml:space="preserve">– </w:t>
            </w:r>
            <w:r w:rsidRPr="009960E1">
              <w:rPr>
                <w:lang w:val="es-ES_tradnl"/>
              </w:rPr>
              <w:t>Investigar las formas de mejorar la coordinación con otras organizaciones de normalización y comunidades de código abierto para evitar duplicaciones.</w:t>
            </w:r>
          </w:p>
          <w:p w14:paraId="01E023F6" w14:textId="67C52E6D" w:rsidR="00CF0CB0" w:rsidRPr="009960E1" w:rsidRDefault="00CF0CB0" w:rsidP="00EA0FDB">
            <w:pPr>
              <w:pStyle w:val="TableText0"/>
              <w:rPr>
                <w:lang w:val="es-ES_tradnl"/>
              </w:rPr>
            </w:pPr>
            <w:r w:rsidRPr="009960E1">
              <w:rPr>
                <w:lang w:val="es-ES_tradnl"/>
              </w:rPr>
              <w:t xml:space="preserve">IWX-10b) </w:t>
            </w:r>
            <w:r w:rsidR="00EA0FDB" w:rsidRPr="009960E1">
              <w:rPr>
                <w:lang w:val="es-ES_tradnl"/>
              </w:rPr>
              <w:t>–</w:t>
            </w:r>
            <w:r w:rsidRPr="009960E1">
              <w:rPr>
                <w:lang w:val="es-ES_tradnl"/>
              </w:rPr>
              <w:t>y para que la UIT pueda ser la coordinadora en beneficio de la industria.</w:t>
            </w:r>
          </w:p>
          <w:p w14:paraId="0ED04FF0" w14:textId="631751CD" w:rsidR="00CF0CB0" w:rsidRPr="009960E1" w:rsidRDefault="00CF0CB0" w:rsidP="00EA0FDB">
            <w:pPr>
              <w:pStyle w:val="TableText0"/>
              <w:rPr>
                <w:lang w:val="es-ES_tradnl"/>
              </w:rPr>
            </w:pPr>
            <w:r w:rsidRPr="009960E1">
              <w:rPr>
                <w:lang w:val="es-ES_tradnl"/>
              </w:rPr>
              <w:t xml:space="preserve">IWX-19 </w:t>
            </w:r>
            <w:r w:rsidR="00EA0FDB" w:rsidRPr="009960E1">
              <w:rPr>
                <w:lang w:val="es-ES_tradnl"/>
              </w:rPr>
              <w:t xml:space="preserve">– </w:t>
            </w:r>
            <w:r w:rsidRPr="009960E1">
              <w:rPr>
                <w:lang w:val="es-ES_tradnl"/>
              </w:rPr>
              <w:t>Reflejar las diferencias en la propuesta de valor y en la comunicación del UIT-T en cuanto a la función del UIT-T y la coordinación.</w:t>
            </w:r>
          </w:p>
          <w:p w14:paraId="68976D2C" w14:textId="566CDA1F" w:rsidR="00CF0CB0" w:rsidRPr="009960E1" w:rsidRDefault="00CF0CB0" w:rsidP="00EA0FDB">
            <w:pPr>
              <w:pStyle w:val="TableText0"/>
              <w:rPr>
                <w:lang w:val="es-ES_tradnl"/>
              </w:rPr>
            </w:pPr>
            <w:r w:rsidRPr="009960E1">
              <w:rPr>
                <w:lang w:val="es-ES_tradnl"/>
              </w:rPr>
              <w:t xml:space="preserve">IWX-29 </w:t>
            </w:r>
            <w:r w:rsidR="00EA0FDB" w:rsidRPr="009960E1">
              <w:rPr>
                <w:lang w:val="es-ES_tradnl"/>
              </w:rPr>
              <w:t>–</w:t>
            </w:r>
            <w:r w:rsidRPr="009960E1">
              <w:rPr>
                <w:lang w:val="es-ES_tradnl"/>
              </w:rPr>
              <w:t xml:space="preserve"> Investigar qué es más atractivo en el código abierto o en foros específicos de otros SDO, incluido un desglose por temas (ciberseguridad, nube, etc.), por ejemplo, por qué los expertos van a un determinado foro y por qué a otros.</w:t>
            </w:r>
          </w:p>
        </w:tc>
      </w:tr>
    </w:tbl>
    <w:p w14:paraId="3692B654" w14:textId="77777777" w:rsidR="00CF0CB0" w:rsidRPr="009960E1" w:rsidRDefault="00CF0CB0" w:rsidP="00CF0CB0">
      <w:pPr>
        <w:rPr>
          <w:lang w:val="es-ES_tradnl"/>
        </w:rPr>
      </w:pPr>
      <w:r w:rsidRPr="009960E1">
        <w:rPr>
          <w:lang w:val="es-ES_tradnl"/>
        </w:rPr>
        <w:br w:type="page"/>
      </w:r>
    </w:p>
    <w:p w14:paraId="3569801F" w14:textId="5416D90C" w:rsidR="00CF0CB0" w:rsidRPr="009960E1" w:rsidRDefault="00CF0CB0" w:rsidP="00CF0CB0">
      <w:pPr>
        <w:pStyle w:val="TableNotitle"/>
        <w:rPr>
          <w:lang w:val="es-ES_tradnl"/>
        </w:rPr>
      </w:pPr>
      <w:r w:rsidRPr="009960E1">
        <w:rPr>
          <w:b w:val="0"/>
          <w:lang w:val="es-ES_tradnl"/>
        </w:rPr>
        <w:lastRenderedPageBreak/>
        <w:t>Cuadro 3.9</w:t>
      </w:r>
      <w:r w:rsidR="000E343A" w:rsidRPr="009960E1">
        <w:rPr>
          <w:bCs/>
          <w:lang w:val="es-ES_tradnl"/>
        </w:rPr>
        <w:br/>
      </w:r>
      <w:r w:rsidRPr="009960E1">
        <w:rPr>
          <w:bCs/>
          <w:lang w:val="es-ES_tradnl"/>
        </w:rPr>
        <w:t>Plan de acción sobre "Talleres y encuestas"</w:t>
      </w:r>
    </w:p>
    <w:tbl>
      <w:tblPr>
        <w:tblStyle w:val="TableGrid"/>
        <w:tblW w:w="0" w:type="auto"/>
        <w:tblInd w:w="0" w:type="dxa"/>
        <w:tblLayout w:type="fixed"/>
        <w:tblLook w:val="04A0" w:firstRow="1" w:lastRow="0" w:firstColumn="1" w:lastColumn="0" w:noHBand="0" w:noVBand="1"/>
      </w:tblPr>
      <w:tblGrid>
        <w:gridCol w:w="846"/>
        <w:gridCol w:w="2410"/>
        <w:gridCol w:w="3118"/>
        <w:gridCol w:w="3255"/>
      </w:tblGrid>
      <w:tr w:rsidR="00CF0CB0" w:rsidRPr="009960E1" w14:paraId="7593EB19" w14:textId="77777777" w:rsidTr="00EA0FDB">
        <w:tc>
          <w:tcPr>
            <w:tcW w:w="846" w:type="dxa"/>
          </w:tcPr>
          <w:p w14:paraId="2B64E34E" w14:textId="77777777" w:rsidR="00CF0CB0" w:rsidRPr="009960E1" w:rsidRDefault="00CF0CB0" w:rsidP="00EA0FDB">
            <w:pPr>
              <w:pStyle w:val="TableHead0"/>
              <w:rPr>
                <w:lang w:val="es-ES_tradnl"/>
              </w:rPr>
            </w:pPr>
            <w:r w:rsidRPr="009960E1">
              <w:rPr>
                <w:lang w:val="es-ES_tradnl"/>
              </w:rPr>
              <w:t>AP#</w:t>
            </w:r>
          </w:p>
        </w:tc>
        <w:tc>
          <w:tcPr>
            <w:tcW w:w="2410" w:type="dxa"/>
          </w:tcPr>
          <w:p w14:paraId="5870EA19" w14:textId="77777777" w:rsidR="00CF0CB0" w:rsidRPr="009960E1" w:rsidRDefault="00CF0CB0" w:rsidP="00EA0FDB">
            <w:pPr>
              <w:pStyle w:val="TableHead0"/>
              <w:rPr>
                <w:b w:val="0"/>
                <w:bCs/>
                <w:lang w:val="es-ES_tradnl"/>
              </w:rPr>
            </w:pPr>
            <w:r w:rsidRPr="009960E1">
              <w:rPr>
                <w:b w:val="0"/>
                <w:bCs/>
                <w:lang w:val="es-ES_tradnl"/>
              </w:rPr>
              <w:t>AP2</w:t>
            </w:r>
          </w:p>
        </w:tc>
        <w:tc>
          <w:tcPr>
            <w:tcW w:w="3118" w:type="dxa"/>
          </w:tcPr>
          <w:p w14:paraId="7ED194D9" w14:textId="77777777" w:rsidR="00CF0CB0" w:rsidRPr="009960E1" w:rsidRDefault="00CF0CB0" w:rsidP="00EA0FDB">
            <w:pPr>
              <w:pStyle w:val="TableHead0"/>
              <w:rPr>
                <w:lang w:val="es-ES_tradnl"/>
              </w:rPr>
            </w:pPr>
            <w:r w:rsidRPr="009960E1">
              <w:rPr>
                <w:lang w:val="es-ES_tradnl"/>
              </w:rPr>
              <w:t>Nombre abreviado de AP</w:t>
            </w:r>
          </w:p>
        </w:tc>
        <w:tc>
          <w:tcPr>
            <w:tcW w:w="3255" w:type="dxa"/>
          </w:tcPr>
          <w:p w14:paraId="49484BE2" w14:textId="77777777" w:rsidR="00CF0CB0" w:rsidRPr="009960E1" w:rsidRDefault="00CF0CB0" w:rsidP="00EA0FDB">
            <w:pPr>
              <w:pStyle w:val="TableHead0"/>
              <w:rPr>
                <w:b w:val="0"/>
                <w:bCs/>
                <w:lang w:val="es-ES_tradnl"/>
              </w:rPr>
            </w:pPr>
            <w:r w:rsidRPr="009960E1">
              <w:rPr>
                <w:b w:val="0"/>
                <w:bCs/>
                <w:lang w:val="es-ES_tradnl"/>
              </w:rPr>
              <w:t>"Talleres y encuestas"</w:t>
            </w:r>
          </w:p>
        </w:tc>
      </w:tr>
      <w:tr w:rsidR="00CF0CB0" w:rsidRPr="009960E1" w14:paraId="47AB025F" w14:textId="77777777" w:rsidTr="00F27F0E">
        <w:tc>
          <w:tcPr>
            <w:tcW w:w="9629" w:type="dxa"/>
            <w:gridSpan w:val="4"/>
          </w:tcPr>
          <w:p w14:paraId="46AF21A8" w14:textId="77777777" w:rsidR="00CF0CB0" w:rsidRPr="009960E1" w:rsidRDefault="00CF0CB0" w:rsidP="00EA0FDB">
            <w:pPr>
              <w:pStyle w:val="TableHead0"/>
              <w:rPr>
                <w:lang w:val="es-ES_tradnl"/>
              </w:rPr>
            </w:pPr>
            <w:r w:rsidRPr="009960E1">
              <w:rPr>
                <w:lang w:val="es-ES_tradnl"/>
              </w:rPr>
              <w:t>Objetivo/Prioridad temática</w:t>
            </w:r>
          </w:p>
        </w:tc>
      </w:tr>
      <w:tr w:rsidR="00CF0CB0" w:rsidRPr="00A7143D" w14:paraId="7DD6F426" w14:textId="77777777" w:rsidTr="00F27F0E">
        <w:tc>
          <w:tcPr>
            <w:tcW w:w="9629" w:type="dxa"/>
            <w:gridSpan w:val="4"/>
          </w:tcPr>
          <w:p w14:paraId="0686D646" w14:textId="77777777" w:rsidR="00CF0CB0" w:rsidRPr="009960E1" w:rsidRDefault="00CF0CB0" w:rsidP="00EA0FDB">
            <w:pPr>
              <w:pStyle w:val="TableText0"/>
              <w:rPr>
                <w:lang w:val="es-ES_tradnl"/>
              </w:rPr>
            </w:pPr>
            <w:r w:rsidRPr="009960E1">
              <w:rPr>
                <w:lang w:val="es-ES_tradnl"/>
              </w:rPr>
              <w:t>El Plan de Acción elaborado por el GANT también debe considerar estrategias de implementación para lograr lo anterior mediante la organización de talleres y encuestas periódicas con la industria para recibir información sobre cómo mejorar la participación en el UIT-T.</w:t>
            </w:r>
          </w:p>
        </w:tc>
      </w:tr>
      <w:tr w:rsidR="00CF0CB0" w:rsidRPr="009960E1" w14:paraId="40505D60" w14:textId="77777777" w:rsidTr="00F27F0E">
        <w:tc>
          <w:tcPr>
            <w:tcW w:w="9629" w:type="dxa"/>
            <w:gridSpan w:val="4"/>
          </w:tcPr>
          <w:p w14:paraId="3A6142E7" w14:textId="77777777" w:rsidR="00CF0CB0" w:rsidRPr="009960E1" w:rsidRDefault="00CF0CB0" w:rsidP="00EA0FDB">
            <w:pPr>
              <w:pStyle w:val="TableHead0"/>
              <w:rPr>
                <w:lang w:val="es-ES_tradnl"/>
              </w:rPr>
            </w:pPr>
            <w:r w:rsidRPr="009960E1">
              <w:rPr>
                <w:lang w:val="es-ES_tradnl"/>
              </w:rPr>
              <w:t>Realización(es) clave(s)</w:t>
            </w:r>
          </w:p>
        </w:tc>
      </w:tr>
      <w:tr w:rsidR="00CF0CB0" w:rsidRPr="00A7143D" w14:paraId="3E2167B7" w14:textId="77777777" w:rsidTr="00F27F0E">
        <w:tc>
          <w:tcPr>
            <w:tcW w:w="9629" w:type="dxa"/>
            <w:gridSpan w:val="4"/>
          </w:tcPr>
          <w:p w14:paraId="661B1453" w14:textId="10738D92"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Se formalizan y matizan los comentarios tangibles y se aportan aportaciones a otros puntos del plan de acción.</w:t>
            </w:r>
          </w:p>
          <w:p w14:paraId="37E795EF" w14:textId="5B324411"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La sensibilización de la industria y su interés por la normalización aumentaron de forma significativa y sostenible.</w:t>
            </w:r>
          </w:p>
          <w:p w14:paraId="4A6FCD3D" w14:textId="37BD5448" w:rsidR="00CF0CB0" w:rsidRPr="009960E1" w:rsidRDefault="00EA0FDB" w:rsidP="00EA0FDB">
            <w:pPr>
              <w:pStyle w:val="enumlev1"/>
              <w:tabs>
                <w:tab w:val="clear" w:pos="1134"/>
              </w:tabs>
              <w:ind w:left="739" w:hanging="739"/>
              <w:rPr>
                <w:sz w:val="20"/>
                <w:lang w:val="es-ES_tradnl"/>
              </w:rPr>
            </w:pPr>
            <w:r w:rsidRPr="009960E1">
              <w:rPr>
                <w:lang w:val="es-ES_tradnl"/>
              </w:rPr>
              <w:t>–</w:t>
            </w:r>
            <w:r w:rsidRPr="009960E1">
              <w:rPr>
                <w:lang w:val="es-ES_tradnl"/>
              </w:rPr>
              <w:tab/>
            </w:r>
            <w:r w:rsidR="00CF0CB0" w:rsidRPr="009960E1">
              <w:rPr>
                <w:sz w:val="22"/>
                <w:szCs w:val="22"/>
                <w:lang w:val="es-ES_tradnl"/>
              </w:rPr>
              <w:t>La información sobre la calidad recibida por el UIT-T es un elemento esencial para aumentar el atractivo del UIT-T.</w:t>
            </w:r>
          </w:p>
        </w:tc>
      </w:tr>
      <w:tr w:rsidR="00CF0CB0" w:rsidRPr="00A7143D" w14:paraId="3BD99A2E" w14:textId="77777777" w:rsidTr="00F27F0E">
        <w:tc>
          <w:tcPr>
            <w:tcW w:w="9629" w:type="dxa"/>
            <w:gridSpan w:val="4"/>
          </w:tcPr>
          <w:p w14:paraId="2294A70E" w14:textId="77777777" w:rsidR="00CF0CB0" w:rsidRPr="009960E1" w:rsidRDefault="00CF0CB0" w:rsidP="00EA0FDB">
            <w:pPr>
              <w:pStyle w:val="TableHead0"/>
              <w:rPr>
                <w:lang w:val="es-ES_tradnl"/>
              </w:rPr>
            </w:pPr>
            <w:r w:rsidRPr="009960E1">
              <w:rPr>
                <w:lang w:val="es-ES_tradnl"/>
              </w:rPr>
              <w:t>Indicador(es) de realizaciones clave</w:t>
            </w:r>
          </w:p>
        </w:tc>
      </w:tr>
      <w:tr w:rsidR="00CF0CB0" w:rsidRPr="00A7143D" w14:paraId="2C3E87BD" w14:textId="77777777" w:rsidTr="00F27F0E">
        <w:tc>
          <w:tcPr>
            <w:tcW w:w="9629" w:type="dxa"/>
            <w:gridSpan w:val="4"/>
          </w:tcPr>
          <w:p w14:paraId="25FCA53D" w14:textId="6EF432DE"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Aumenta el número de participantes activos y comprometidos en la normalización.</w:t>
            </w:r>
          </w:p>
          <w:p w14:paraId="685BD66C" w14:textId="0C46A3B4"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sz w:val="22"/>
                <w:szCs w:val="22"/>
                <w:lang w:val="es-ES_tradnl"/>
              </w:rPr>
              <w:tab/>
            </w:r>
            <w:r w:rsidR="00CF0CB0" w:rsidRPr="009960E1">
              <w:rPr>
                <w:sz w:val="22"/>
                <w:szCs w:val="22"/>
                <w:lang w:val="es-ES_tradnl"/>
              </w:rPr>
              <w:t>Aumentó el número de contribuciones a la normalización.</w:t>
            </w:r>
          </w:p>
          <w:p w14:paraId="263DCF18" w14:textId="52631C58" w:rsidR="00CF0CB0" w:rsidRPr="009960E1" w:rsidRDefault="00EA0FDB" w:rsidP="00EA0FDB">
            <w:pPr>
              <w:pStyle w:val="enumlev1"/>
              <w:tabs>
                <w:tab w:val="clear" w:pos="1134"/>
              </w:tabs>
              <w:ind w:left="739" w:hanging="739"/>
              <w:rPr>
                <w:sz w:val="20"/>
                <w:lang w:val="es-ES_tradnl"/>
              </w:rPr>
            </w:pPr>
            <w:r w:rsidRPr="009960E1">
              <w:rPr>
                <w:lang w:val="es-ES_tradnl"/>
              </w:rPr>
              <w:t>–</w:t>
            </w:r>
            <w:r w:rsidRPr="009960E1">
              <w:rPr>
                <w:lang w:val="es-ES_tradnl"/>
              </w:rPr>
              <w:tab/>
            </w:r>
            <w:r w:rsidR="00CF0CB0" w:rsidRPr="009960E1">
              <w:rPr>
                <w:sz w:val="22"/>
                <w:szCs w:val="22"/>
                <w:lang w:val="es-ES_tradnl"/>
              </w:rPr>
              <w:t>Aumentó el número de Recomendaciones citadas (mediante armonización reglamentaria, procesos comerciales RFx, etc.).</w:t>
            </w:r>
          </w:p>
        </w:tc>
      </w:tr>
      <w:tr w:rsidR="00CF0CB0" w:rsidRPr="009960E1" w14:paraId="32777CAB" w14:textId="77777777" w:rsidTr="00F27F0E">
        <w:tc>
          <w:tcPr>
            <w:tcW w:w="9629" w:type="dxa"/>
            <w:gridSpan w:val="4"/>
          </w:tcPr>
          <w:p w14:paraId="75EA2417" w14:textId="77777777" w:rsidR="00CF0CB0" w:rsidRPr="009960E1" w:rsidRDefault="00CF0CB0" w:rsidP="00EA0FDB">
            <w:pPr>
              <w:pStyle w:val="TableHead0"/>
              <w:rPr>
                <w:lang w:val="es-ES_tradnl"/>
              </w:rPr>
            </w:pPr>
            <w:r w:rsidRPr="009960E1">
              <w:rPr>
                <w:lang w:val="es-ES_tradnl"/>
              </w:rPr>
              <w:t>Estrategias de aplicación</w:t>
            </w:r>
          </w:p>
        </w:tc>
      </w:tr>
      <w:tr w:rsidR="00CF0CB0" w:rsidRPr="009960E1" w14:paraId="38A95331" w14:textId="77777777" w:rsidTr="00F27F0E">
        <w:tc>
          <w:tcPr>
            <w:tcW w:w="9629" w:type="dxa"/>
            <w:gridSpan w:val="4"/>
          </w:tcPr>
          <w:p w14:paraId="2CF67EC5" w14:textId="455B8DBC"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Consultar con el Director de la TSB y otros dirigentes de la UIT.</w:t>
            </w:r>
          </w:p>
          <w:p w14:paraId="076A0C75" w14:textId="79CC28ED"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Examinar el compromiso existente con la industria, como el PAI del sector D.</w:t>
            </w:r>
          </w:p>
          <w:p w14:paraId="0A6CA386" w14:textId="77048B37"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Revisar el compromiso anterior con la industria, como la reunión de Martigny.</w:t>
            </w:r>
          </w:p>
          <w:p w14:paraId="04C9F5F1" w14:textId="5F3E127B"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Centrarse en las necesidades de los CxO y en lo que afecta a los Directores Ejecutivos.</w:t>
            </w:r>
          </w:p>
          <w:p w14:paraId="52ECE31C" w14:textId="2682BFAD"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Aprovechar los resultados del AP1.2 como base de lo que podría atraer a los CxO a un taller.</w:t>
            </w:r>
          </w:p>
          <w:p w14:paraId="64D18ABA" w14:textId="496E35B4"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Revisar la Resolución 68 (AMNT, Ginebra, 2022).</w:t>
            </w:r>
          </w:p>
          <w:p w14:paraId="55C3EE71" w14:textId="798CABFE"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Examinar el posicionamiento de los talleres en el contexto de la UIT en su conjunto.</w:t>
            </w:r>
          </w:p>
          <w:p w14:paraId="589F3BF7" w14:textId="1AD43369"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Establecer una buena "historia", "lugar", "momento", "indicador clave de resultado".</w:t>
            </w:r>
          </w:p>
          <w:p w14:paraId="6FCC678B" w14:textId="166C7A04"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Establecer un Comité Directivo del Taller de Participación de la Industria y un mandato.</w:t>
            </w:r>
          </w:p>
          <w:p w14:paraId="0FAD2028" w14:textId="58DE3FAF" w:rsidR="00CF0CB0" w:rsidRPr="009960E1" w:rsidRDefault="00EA0FDB" w:rsidP="00EA0FDB">
            <w:pPr>
              <w:pStyle w:val="enumlev1"/>
              <w:tabs>
                <w:tab w:val="clear" w:pos="1134"/>
              </w:tabs>
              <w:ind w:left="739" w:hanging="739"/>
              <w:rPr>
                <w:sz w:val="22"/>
                <w:szCs w:val="22"/>
                <w:lang w:val="es-ES_tradnl"/>
              </w:rPr>
            </w:pPr>
            <w:r w:rsidRPr="009960E1">
              <w:rPr>
                <w:lang w:val="es-ES_tradnl"/>
              </w:rPr>
              <w:t>–</w:t>
            </w:r>
            <w:r w:rsidRPr="009960E1">
              <w:rPr>
                <w:lang w:val="es-ES_tradnl"/>
              </w:rPr>
              <w:tab/>
            </w:r>
            <w:r w:rsidR="00CF0CB0" w:rsidRPr="009960E1">
              <w:rPr>
                <w:sz w:val="22"/>
                <w:szCs w:val="22"/>
                <w:lang w:val="es-ES_tradnl"/>
              </w:rPr>
              <w:t>Aprovechar este plan de acción en su conjunto.</w:t>
            </w:r>
          </w:p>
          <w:p w14:paraId="7FB75E4B" w14:textId="0B62EB49" w:rsidR="00CF0CB0" w:rsidRPr="009960E1" w:rsidRDefault="00EA0FDB" w:rsidP="00EA0FDB">
            <w:pPr>
              <w:pStyle w:val="enumlev1"/>
              <w:tabs>
                <w:tab w:val="clear" w:pos="1134"/>
              </w:tabs>
              <w:ind w:left="739" w:hanging="739"/>
              <w:rPr>
                <w:sz w:val="20"/>
                <w:lang w:val="es-ES_tradnl"/>
              </w:rPr>
            </w:pPr>
            <w:r w:rsidRPr="009960E1">
              <w:rPr>
                <w:lang w:val="es-ES_tradnl"/>
              </w:rPr>
              <w:t>–</w:t>
            </w:r>
            <w:r w:rsidRPr="009960E1">
              <w:rPr>
                <w:lang w:val="es-ES_tradnl"/>
              </w:rPr>
              <w:tab/>
            </w:r>
            <w:r w:rsidR="00CF0CB0" w:rsidRPr="009960E1">
              <w:rPr>
                <w:sz w:val="22"/>
                <w:szCs w:val="22"/>
                <w:lang w:val="es-ES_tradnl"/>
              </w:rPr>
              <w:t>Considerar los aspectos presupuestarios.</w:t>
            </w:r>
          </w:p>
        </w:tc>
      </w:tr>
      <w:tr w:rsidR="00CF0CB0" w:rsidRPr="009960E1" w14:paraId="596286A2" w14:textId="77777777" w:rsidTr="00F27F0E">
        <w:tc>
          <w:tcPr>
            <w:tcW w:w="9629" w:type="dxa"/>
            <w:gridSpan w:val="4"/>
          </w:tcPr>
          <w:p w14:paraId="52E940A9" w14:textId="77777777" w:rsidR="00CF0CB0" w:rsidRPr="009960E1" w:rsidRDefault="00CF0CB0" w:rsidP="00EA0FDB">
            <w:pPr>
              <w:pStyle w:val="TableHead0"/>
              <w:rPr>
                <w:lang w:val="es-ES_tradnl"/>
              </w:rPr>
            </w:pPr>
            <w:r w:rsidRPr="009960E1">
              <w:rPr>
                <w:lang w:val="es-ES_tradnl"/>
              </w:rPr>
              <w:t>Factores habilitadores</w:t>
            </w:r>
          </w:p>
        </w:tc>
      </w:tr>
      <w:tr w:rsidR="00CF0CB0" w:rsidRPr="00A7143D" w14:paraId="61C3D5EB" w14:textId="77777777" w:rsidTr="00F27F0E">
        <w:tc>
          <w:tcPr>
            <w:tcW w:w="9629" w:type="dxa"/>
            <w:gridSpan w:val="4"/>
          </w:tcPr>
          <w:p w14:paraId="33D3DCA1" w14:textId="77777777" w:rsidR="00CF0CB0" w:rsidRPr="009960E1" w:rsidRDefault="00CF0CB0" w:rsidP="00EA0FDB">
            <w:pPr>
              <w:pStyle w:val="TableText0"/>
              <w:rPr>
                <w:lang w:val="es-ES_tradnl"/>
              </w:rPr>
            </w:pPr>
            <w:r w:rsidRPr="009960E1">
              <w:rPr>
                <w:lang w:val="es-ES_tradnl"/>
              </w:rPr>
              <w:t>Todos los factores habilitadores enumerados y, en particular, el de próxima generación.</w:t>
            </w:r>
          </w:p>
        </w:tc>
      </w:tr>
      <w:tr w:rsidR="00CF0CB0" w:rsidRPr="009960E1" w14:paraId="601FD2C5" w14:textId="77777777" w:rsidTr="00F27F0E">
        <w:tc>
          <w:tcPr>
            <w:tcW w:w="9629" w:type="dxa"/>
            <w:gridSpan w:val="4"/>
          </w:tcPr>
          <w:p w14:paraId="30F27283" w14:textId="77777777" w:rsidR="00CF0CB0" w:rsidRPr="009960E1" w:rsidRDefault="00CF0CB0" w:rsidP="00EA0FDB">
            <w:pPr>
              <w:pStyle w:val="TableHead0"/>
              <w:rPr>
                <w:lang w:val="es-ES_tradnl"/>
              </w:rPr>
            </w:pPr>
            <w:r w:rsidRPr="009960E1">
              <w:rPr>
                <w:lang w:val="es-ES_tradnl"/>
              </w:rPr>
              <w:t>Servicios de la UIT</w:t>
            </w:r>
          </w:p>
        </w:tc>
      </w:tr>
      <w:tr w:rsidR="00CF0CB0" w:rsidRPr="00A7143D" w14:paraId="6BD6E777" w14:textId="77777777" w:rsidTr="00F27F0E">
        <w:tc>
          <w:tcPr>
            <w:tcW w:w="9629" w:type="dxa"/>
            <w:gridSpan w:val="4"/>
          </w:tcPr>
          <w:p w14:paraId="3FE5BED6" w14:textId="77777777" w:rsidR="00CF0CB0" w:rsidRPr="009960E1" w:rsidRDefault="00CF0CB0" w:rsidP="00EA0FDB">
            <w:pPr>
              <w:pStyle w:val="TableText0"/>
              <w:rPr>
                <w:lang w:val="es-ES_tradnl"/>
              </w:rPr>
            </w:pPr>
            <w:r w:rsidRPr="009960E1">
              <w:rPr>
                <w:lang w:val="es-ES_tradnl"/>
              </w:rPr>
              <w:t>El servicio encargado de organizar los talleres.</w:t>
            </w:r>
          </w:p>
        </w:tc>
      </w:tr>
      <w:tr w:rsidR="00CF0CB0" w:rsidRPr="009960E1" w14:paraId="31FC64B3" w14:textId="77777777" w:rsidTr="00F27F0E">
        <w:tc>
          <w:tcPr>
            <w:tcW w:w="9629" w:type="dxa"/>
            <w:gridSpan w:val="4"/>
          </w:tcPr>
          <w:p w14:paraId="2E7AA443" w14:textId="77777777" w:rsidR="00CF0CB0" w:rsidRPr="009960E1" w:rsidRDefault="00CF0CB0" w:rsidP="00B97CA5">
            <w:pPr>
              <w:pStyle w:val="TableHead0"/>
              <w:keepLines/>
              <w:rPr>
                <w:lang w:val="es-ES_tradnl"/>
              </w:rPr>
            </w:pPr>
            <w:r w:rsidRPr="009960E1">
              <w:rPr>
                <w:lang w:val="es-ES_tradnl"/>
              </w:rPr>
              <w:lastRenderedPageBreak/>
              <w:t>Aprendizaje y retroalimentación</w:t>
            </w:r>
          </w:p>
        </w:tc>
      </w:tr>
      <w:tr w:rsidR="00CF0CB0" w:rsidRPr="00A7143D" w14:paraId="35323251" w14:textId="77777777" w:rsidTr="00F27F0E">
        <w:tc>
          <w:tcPr>
            <w:tcW w:w="9629" w:type="dxa"/>
            <w:gridSpan w:val="4"/>
          </w:tcPr>
          <w:p w14:paraId="3AAFF002" w14:textId="694E9BF3" w:rsidR="00CF0CB0" w:rsidRPr="009960E1" w:rsidRDefault="00CF0CB0" w:rsidP="00B97CA5">
            <w:pPr>
              <w:pStyle w:val="TableText0"/>
              <w:keepNext/>
              <w:keepLines/>
              <w:rPr>
                <w:lang w:val="es-ES_tradnl"/>
              </w:rPr>
            </w:pPr>
            <w:r w:rsidRPr="009960E1">
              <w:rPr>
                <w:lang w:val="es-ES_tradnl"/>
              </w:rPr>
              <w:t>La 1ª IEW es un ejemplo de solicitud de comentarios en forma de taller. El taller duró un día completo, con discursos de apertura a cargo de personalidades del UIT-T y de la industria, cuatro sesiones, 1)</w:t>
            </w:r>
            <w:r w:rsidR="000E343A" w:rsidRPr="009960E1">
              <w:rPr>
                <w:lang w:val="es-ES_tradnl"/>
              </w:rPr>
              <w:t> </w:t>
            </w:r>
            <w:r w:rsidRPr="009960E1">
              <w:rPr>
                <w:lang w:val="es-ES_tradnl"/>
              </w:rPr>
              <w:t>Participación de la industria, 2) Métricas, 3) Propuesta de valor y 4) Proceso de normalización, y se clausuró con una sesión de recapitulación con los organizadores de la conferencia. Los resultados/comentarios del primer taller proporcionan información sobre los puntos de acción que figuran en el proyecto de plan de acción.</w:t>
            </w:r>
          </w:p>
          <w:p w14:paraId="6A680FC7" w14:textId="48BBEE76" w:rsidR="00CF0CB0" w:rsidRPr="009960E1" w:rsidRDefault="00CF0CB0" w:rsidP="00B97CA5">
            <w:pPr>
              <w:pStyle w:val="TableText0"/>
              <w:keepNext/>
              <w:keepLines/>
              <w:rPr>
                <w:lang w:val="es-ES_tradnl"/>
              </w:rPr>
            </w:pPr>
            <w:r w:rsidRPr="009960E1">
              <w:rPr>
                <w:lang w:val="es-ES_tradnl"/>
              </w:rPr>
              <w:t>En el taller se llegó a la conclusión de la necesidad de continuar la serie de talleres sobre participación de la industria, posiblemente en coordinación con las reuniones de CxO o del SMN.</w:t>
            </w:r>
          </w:p>
        </w:tc>
      </w:tr>
      <w:tr w:rsidR="00CF0CB0" w:rsidRPr="009960E1" w14:paraId="45F2FC94" w14:textId="77777777" w:rsidTr="00F27F0E">
        <w:tc>
          <w:tcPr>
            <w:tcW w:w="9629" w:type="dxa"/>
            <w:gridSpan w:val="4"/>
          </w:tcPr>
          <w:p w14:paraId="61C10BEA" w14:textId="77777777" w:rsidR="00CF0CB0" w:rsidRPr="009960E1" w:rsidRDefault="00CF0CB0" w:rsidP="00B97CA5">
            <w:pPr>
              <w:pStyle w:val="TableHead0"/>
              <w:keepLines/>
              <w:rPr>
                <w:lang w:val="es-ES_tradnl"/>
              </w:rPr>
            </w:pPr>
            <w:r w:rsidRPr="009960E1">
              <w:rPr>
                <w:lang w:val="es-ES_tradnl"/>
              </w:rPr>
              <w:t>Acciones propuestas</w:t>
            </w:r>
          </w:p>
        </w:tc>
      </w:tr>
      <w:tr w:rsidR="00CF0CB0" w:rsidRPr="009960E1" w14:paraId="7EDDC5EA" w14:textId="77777777" w:rsidTr="00F27F0E">
        <w:tc>
          <w:tcPr>
            <w:tcW w:w="9629" w:type="dxa"/>
            <w:gridSpan w:val="4"/>
          </w:tcPr>
          <w:p w14:paraId="15D09B2D" w14:textId="77777777" w:rsidR="00CF0CB0" w:rsidRPr="009960E1" w:rsidRDefault="00CF0CB0" w:rsidP="00F27F0E">
            <w:pPr>
              <w:rPr>
                <w:sz w:val="20"/>
                <w:lang w:val="es-ES_tradnl" w:eastAsia="zh-CN"/>
              </w:rPr>
            </w:pPr>
          </w:p>
        </w:tc>
      </w:tr>
    </w:tbl>
    <w:p w14:paraId="706DDA41" w14:textId="77777777" w:rsidR="00CF0CB0" w:rsidRPr="009960E1" w:rsidRDefault="00CF0CB0" w:rsidP="00CF0CB0">
      <w:pPr>
        <w:rPr>
          <w:lang w:val="es-ES_tradnl"/>
        </w:rPr>
      </w:pPr>
      <w:r w:rsidRPr="009960E1">
        <w:rPr>
          <w:lang w:val="es-ES_tradnl"/>
        </w:rPr>
        <w:br w:type="page"/>
      </w:r>
    </w:p>
    <w:p w14:paraId="415AE540" w14:textId="0779B0E3" w:rsidR="00CF0CB0" w:rsidRPr="009960E1" w:rsidRDefault="000E343A" w:rsidP="00CF0CB0">
      <w:pPr>
        <w:pStyle w:val="TableNotitle"/>
        <w:rPr>
          <w:lang w:val="es-ES_tradnl"/>
        </w:rPr>
      </w:pPr>
      <w:r w:rsidRPr="009960E1">
        <w:rPr>
          <w:b w:val="0"/>
          <w:lang w:val="es-ES_tradnl"/>
        </w:rPr>
        <w:lastRenderedPageBreak/>
        <w:t xml:space="preserve">CUADRO </w:t>
      </w:r>
      <w:r w:rsidR="00CF0CB0" w:rsidRPr="009960E1">
        <w:rPr>
          <w:b w:val="0"/>
          <w:lang w:val="es-ES_tradnl"/>
        </w:rPr>
        <w:t>3.10</w:t>
      </w:r>
      <w:r w:rsidRPr="009960E1">
        <w:rPr>
          <w:bCs/>
          <w:lang w:val="es-ES_tradnl"/>
        </w:rPr>
        <w:br/>
      </w:r>
      <w:r w:rsidR="00CF0CB0" w:rsidRPr="009960E1">
        <w:rPr>
          <w:bCs/>
          <w:lang w:val="es-ES_tradnl"/>
        </w:rPr>
        <w:t>Plan de acción sobre "la Resolución</w:t>
      </w:r>
      <w:r w:rsidR="00CF0CB0" w:rsidRPr="009960E1">
        <w:rPr>
          <w:lang w:val="es-ES_tradnl"/>
        </w:rPr>
        <w:t xml:space="preserve"> </w:t>
      </w:r>
      <w:r w:rsidR="00CF0CB0" w:rsidRPr="009960E1">
        <w:rPr>
          <w:bCs/>
          <w:lang w:val="es-ES_tradnl"/>
        </w:rPr>
        <w:t>68"</w:t>
      </w:r>
    </w:p>
    <w:tbl>
      <w:tblPr>
        <w:tblStyle w:val="TableGrid"/>
        <w:tblW w:w="0" w:type="auto"/>
        <w:tblInd w:w="0" w:type="dxa"/>
        <w:tblLayout w:type="fixed"/>
        <w:tblLook w:val="04A0" w:firstRow="1" w:lastRow="0" w:firstColumn="1" w:lastColumn="0" w:noHBand="0" w:noVBand="1"/>
      </w:tblPr>
      <w:tblGrid>
        <w:gridCol w:w="846"/>
        <w:gridCol w:w="2268"/>
        <w:gridCol w:w="3402"/>
        <w:gridCol w:w="3113"/>
      </w:tblGrid>
      <w:tr w:rsidR="00CF0CB0" w:rsidRPr="009960E1" w14:paraId="64A64A6C" w14:textId="77777777" w:rsidTr="000E343A">
        <w:tc>
          <w:tcPr>
            <w:tcW w:w="846" w:type="dxa"/>
          </w:tcPr>
          <w:p w14:paraId="5719A8FB" w14:textId="77777777" w:rsidR="00CF0CB0" w:rsidRPr="009960E1" w:rsidRDefault="00CF0CB0" w:rsidP="00EA0FDB">
            <w:pPr>
              <w:pStyle w:val="TableHead0"/>
              <w:rPr>
                <w:lang w:val="es-ES_tradnl"/>
              </w:rPr>
            </w:pPr>
            <w:r w:rsidRPr="009960E1">
              <w:rPr>
                <w:lang w:val="es-ES_tradnl"/>
              </w:rPr>
              <w:t>AP#</w:t>
            </w:r>
          </w:p>
        </w:tc>
        <w:tc>
          <w:tcPr>
            <w:tcW w:w="2268" w:type="dxa"/>
          </w:tcPr>
          <w:p w14:paraId="0E749222" w14:textId="77777777" w:rsidR="00CF0CB0" w:rsidRPr="009960E1" w:rsidRDefault="00CF0CB0" w:rsidP="00EA0FDB">
            <w:pPr>
              <w:pStyle w:val="TableHead0"/>
              <w:rPr>
                <w:b w:val="0"/>
                <w:bCs/>
                <w:lang w:val="es-ES_tradnl"/>
              </w:rPr>
            </w:pPr>
            <w:r w:rsidRPr="009960E1">
              <w:rPr>
                <w:b w:val="0"/>
                <w:bCs/>
                <w:lang w:val="es-ES_tradnl"/>
              </w:rPr>
              <w:t>AP3</w:t>
            </w:r>
          </w:p>
        </w:tc>
        <w:tc>
          <w:tcPr>
            <w:tcW w:w="3402" w:type="dxa"/>
          </w:tcPr>
          <w:p w14:paraId="2916D9E0" w14:textId="77777777" w:rsidR="00CF0CB0" w:rsidRPr="009960E1" w:rsidRDefault="00CF0CB0" w:rsidP="00EA0FDB">
            <w:pPr>
              <w:pStyle w:val="TableHead0"/>
              <w:rPr>
                <w:lang w:val="es-ES_tradnl"/>
              </w:rPr>
            </w:pPr>
            <w:r w:rsidRPr="009960E1">
              <w:rPr>
                <w:lang w:val="es-ES_tradnl"/>
              </w:rPr>
              <w:t>Nombre abreviado de AP</w:t>
            </w:r>
          </w:p>
        </w:tc>
        <w:tc>
          <w:tcPr>
            <w:tcW w:w="3113" w:type="dxa"/>
          </w:tcPr>
          <w:p w14:paraId="6CB130B4" w14:textId="77777777" w:rsidR="00CF0CB0" w:rsidRPr="009960E1" w:rsidRDefault="00CF0CB0" w:rsidP="00EA0FDB">
            <w:pPr>
              <w:pStyle w:val="TableHead0"/>
              <w:rPr>
                <w:b w:val="0"/>
                <w:bCs/>
                <w:lang w:val="es-ES_tradnl"/>
              </w:rPr>
            </w:pPr>
            <w:r w:rsidRPr="009960E1">
              <w:rPr>
                <w:b w:val="0"/>
                <w:bCs/>
                <w:lang w:val="es-ES_tradnl"/>
              </w:rPr>
              <w:t>"Res. 68"</w:t>
            </w:r>
          </w:p>
        </w:tc>
      </w:tr>
      <w:tr w:rsidR="00CF0CB0" w:rsidRPr="009960E1" w14:paraId="46717A93" w14:textId="77777777" w:rsidTr="00F27F0E">
        <w:tc>
          <w:tcPr>
            <w:tcW w:w="9629" w:type="dxa"/>
            <w:gridSpan w:val="4"/>
          </w:tcPr>
          <w:p w14:paraId="5A81F3C4" w14:textId="77777777" w:rsidR="00CF0CB0" w:rsidRPr="009960E1" w:rsidRDefault="00CF0CB0" w:rsidP="00EA0FDB">
            <w:pPr>
              <w:pStyle w:val="TableHead0"/>
              <w:rPr>
                <w:lang w:val="es-ES_tradnl"/>
              </w:rPr>
            </w:pPr>
            <w:r w:rsidRPr="009960E1">
              <w:rPr>
                <w:lang w:val="es-ES_tradnl"/>
              </w:rPr>
              <w:t>Objetivo/Prioridad temática</w:t>
            </w:r>
          </w:p>
        </w:tc>
      </w:tr>
      <w:tr w:rsidR="00CF0CB0" w:rsidRPr="00A7143D" w14:paraId="3D9B027E" w14:textId="77777777" w:rsidTr="00F27F0E">
        <w:tc>
          <w:tcPr>
            <w:tcW w:w="9629" w:type="dxa"/>
            <w:gridSpan w:val="4"/>
          </w:tcPr>
          <w:p w14:paraId="0A78211D" w14:textId="77777777" w:rsidR="00CF0CB0" w:rsidRPr="009960E1" w:rsidRDefault="00CF0CB0" w:rsidP="00EA0FDB">
            <w:pPr>
              <w:pStyle w:val="TableText0"/>
              <w:rPr>
                <w:lang w:val="es-ES_tradnl"/>
              </w:rPr>
            </w:pPr>
            <w:r w:rsidRPr="009960E1">
              <w:rPr>
                <w:lang w:val="es-ES_tradnl"/>
              </w:rPr>
              <w:t>Estas acciones complementarían las actividades actuales que se están llevando a cabo como parte del proceso de CTO/CxO descrito en la (Resolución 68, Rev. Hammamet, 2016), aunque parte del Plan de Acción se centraría en determinar si se han alcanzado los objetivos originales de la Resolución 68. Sobre la base de la evaluación, realizar una revisión del proceso CTO/CxO según sea necesario.</w:t>
            </w:r>
          </w:p>
        </w:tc>
      </w:tr>
      <w:tr w:rsidR="00CF0CB0" w:rsidRPr="009960E1" w14:paraId="7884DABD" w14:textId="77777777" w:rsidTr="00F27F0E">
        <w:tc>
          <w:tcPr>
            <w:tcW w:w="9629" w:type="dxa"/>
            <w:gridSpan w:val="4"/>
          </w:tcPr>
          <w:p w14:paraId="7EBB7502" w14:textId="77777777" w:rsidR="00CF0CB0" w:rsidRPr="009960E1" w:rsidRDefault="00CF0CB0" w:rsidP="00EA0FDB">
            <w:pPr>
              <w:pStyle w:val="TableHead0"/>
              <w:rPr>
                <w:lang w:val="es-ES_tradnl"/>
              </w:rPr>
            </w:pPr>
            <w:r w:rsidRPr="009960E1">
              <w:rPr>
                <w:lang w:val="es-ES_tradnl"/>
              </w:rPr>
              <w:t>Realización(es) clave(s)</w:t>
            </w:r>
          </w:p>
        </w:tc>
      </w:tr>
      <w:tr w:rsidR="00CF0CB0" w:rsidRPr="00A7143D" w14:paraId="5AAA168C" w14:textId="77777777" w:rsidTr="00F27F0E">
        <w:tc>
          <w:tcPr>
            <w:tcW w:w="9629" w:type="dxa"/>
            <w:gridSpan w:val="4"/>
          </w:tcPr>
          <w:p w14:paraId="1BC87F2C" w14:textId="77777777" w:rsidR="00CF0CB0" w:rsidRPr="009960E1" w:rsidRDefault="00CF0CB0" w:rsidP="00EA0FDB">
            <w:pPr>
              <w:pStyle w:val="TableText0"/>
              <w:rPr>
                <w:lang w:val="es-ES_tradnl"/>
              </w:rPr>
            </w:pPr>
            <w:r w:rsidRPr="009960E1">
              <w:rPr>
                <w:lang w:val="es-ES_tradnl"/>
              </w:rPr>
              <w:t>Aclaración de la evolución del papel de la industria en la elaboración de programas y normas del UIT-T.</w:t>
            </w:r>
          </w:p>
          <w:p w14:paraId="75C36DDC" w14:textId="7F93D89E" w:rsidR="00CF0CB0" w:rsidRPr="009960E1" w:rsidRDefault="00CF0CB0" w:rsidP="00EA0FDB">
            <w:pPr>
              <w:pStyle w:val="TableText0"/>
              <w:rPr>
                <w:lang w:val="es-ES_tradnl"/>
              </w:rPr>
            </w:pPr>
            <w:r w:rsidRPr="009960E1">
              <w:rPr>
                <w:lang w:val="es-ES_tradnl"/>
              </w:rPr>
              <w:t>Determinación de si se han alcanzado los objetivos del proceso de consulta CTO de conformidad con la Resolución</w:t>
            </w:r>
            <w:r w:rsidR="000E343A" w:rsidRPr="009960E1">
              <w:rPr>
                <w:lang w:val="es-ES_tradnl"/>
              </w:rPr>
              <w:t> </w:t>
            </w:r>
            <w:r w:rsidRPr="009960E1">
              <w:rPr>
                <w:lang w:val="es-ES_tradnl"/>
              </w:rPr>
              <w:t>68 de la AMNT.</w:t>
            </w:r>
          </w:p>
          <w:p w14:paraId="655A7792" w14:textId="77777777" w:rsidR="00CF0CB0" w:rsidRPr="009960E1" w:rsidRDefault="00CF0CB0" w:rsidP="00EA0FDB">
            <w:pPr>
              <w:pStyle w:val="TableText0"/>
              <w:rPr>
                <w:lang w:val="es-ES_tradnl"/>
              </w:rPr>
            </w:pPr>
            <w:r w:rsidRPr="009960E1">
              <w:rPr>
                <w:lang w:val="es-ES_tradnl"/>
              </w:rPr>
              <w:t>Reformulación de los objetivos para la consulta a nivel ejecutivo de la industria en beneficio mutuo de la industria, la TSB y los Miembros del UIT-T.</w:t>
            </w:r>
          </w:p>
        </w:tc>
      </w:tr>
      <w:tr w:rsidR="00CF0CB0" w:rsidRPr="00A7143D" w14:paraId="27990FDD" w14:textId="77777777" w:rsidTr="00F27F0E">
        <w:tc>
          <w:tcPr>
            <w:tcW w:w="9629" w:type="dxa"/>
            <w:gridSpan w:val="4"/>
          </w:tcPr>
          <w:p w14:paraId="4A2FD206" w14:textId="77777777" w:rsidR="00CF0CB0" w:rsidRPr="009960E1" w:rsidRDefault="00CF0CB0" w:rsidP="00EA0FDB">
            <w:pPr>
              <w:pStyle w:val="TableHead0"/>
              <w:rPr>
                <w:lang w:val="es-ES_tradnl"/>
              </w:rPr>
            </w:pPr>
            <w:r w:rsidRPr="009960E1">
              <w:rPr>
                <w:lang w:val="es-ES_tradnl"/>
              </w:rPr>
              <w:t>Indicador(es) de realizaciones clave</w:t>
            </w:r>
          </w:p>
        </w:tc>
      </w:tr>
      <w:tr w:rsidR="00CF0CB0" w:rsidRPr="00A7143D" w14:paraId="15925F46" w14:textId="77777777" w:rsidTr="00F27F0E">
        <w:tc>
          <w:tcPr>
            <w:tcW w:w="9629" w:type="dxa"/>
            <w:gridSpan w:val="4"/>
          </w:tcPr>
          <w:p w14:paraId="36026967" w14:textId="77777777" w:rsidR="00CF0CB0" w:rsidRPr="009960E1" w:rsidRDefault="00CF0CB0" w:rsidP="00EA0FDB">
            <w:pPr>
              <w:pStyle w:val="TableText0"/>
              <w:rPr>
                <w:lang w:val="es-ES_tradnl"/>
              </w:rPr>
            </w:pPr>
            <w:r w:rsidRPr="009960E1">
              <w:rPr>
                <w:lang w:val="es-ES_tradnl"/>
              </w:rPr>
              <w:t>Un compromiso más ejecutivo, coherente y sostenible por parte de los ejecutivos de la industria con el trabajo y los resultados de las actividades de normalización del UIT-T.</w:t>
            </w:r>
          </w:p>
        </w:tc>
      </w:tr>
      <w:tr w:rsidR="00CF0CB0" w:rsidRPr="009960E1" w14:paraId="476F1E90" w14:textId="77777777" w:rsidTr="00F27F0E">
        <w:tc>
          <w:tcPr>
            <w:tcW w:w="9629" w:type="dxa"/>
            <w:gridSpan w:val="4"/>
          </w:tcPr>
          <w:p w14:paraId="2B5DC584" w14:textId="77777777" w:rsidR="00CF0CB0" w:rsidRPr="009960E1" w:rsidRDefault="00CF0CB0" w:rsidP="00EA0FDB">
            <w:pPr>
              <w:pStyle w:val="TableHead0"/>
              <w:rPr>
                <w:lang w:val="es-ES_tradnl"/>
              </w:rPr>
            </w:pPr>
            <w:r w:rsidRPr="009960E1">
              <w:rPr>
                <w:lang w:val="es-ES_tradnl"/>
              </w:rPr>
              <w:t>Estrategias de aplicación</w:t>
            </w:r>
          </w:p>
        </w:tc>
      </w:tr>
      <w:tr w:rsidR="00CF0CB0" w:rsidRPr="00A7143D" w14:paraId="12D49EC9" w14:textId="77777777" w:rsidTr="00F27F0E">
        <w:tc>
          <w:tcPr>
            <w:tcW w:w="9629" w:type="dxa"/>
            <w:gridSpan w:val="4"/>
          </w:tcPr>
          <w:p w14:paraId="0CF44A57" w14:textId="77777777" w:rsidR="00CF0CB0" w:rsidRPr="009960E1" w:rsidRDefault="00CF0CB0" w:rsidP="00EA0FDB">
            <w:pPr>
              <w:pStyle w:val="TableText0"/>
              <w:rPr>
                <w:lang w:val="es-ES_tradnl"/>
              </w:rPr>
            </w:pPr>
            <w:r w:rsidRPr="009960E1">
              <w:rPr>
                <w:lang w:val="es-ES_tradnl"/>
              </w:rPr>
              <w:t>Determinar un conjunto de opciones, por ejemplo, a través de encuestas y talleres, sobre cómo optimizar las consultas entre la TSB y los líderes superiores de la industria.</w:t>
            </w:r>
          </w:p>
        </w:tc>
      </w:tr>
      <w:tr w:rsidR="00CF0CB0" w:rsidRPr="009960E1" w14:paraId="78C94DCC" w14:textId="77777777" w:rsidTr="00F27F0E">
        <w:tc>
          <w:tcPr>
            <w:tcW w:w="9629" w:type="dxa"/>
            <w:gridSpan w:val="4"/>
          </w:tcPr>
          <w:p w14:paraId="01DC3AD2" w14:textId="77777777" w:rsidR="00CF0CB0" w:rsidRPr="009960E1" w:rsidRDefault="00CF0CB0" w:rsidP="00EA0FDB">
            <w:pPr>
              <w:pStyle w:val="TableHead0"/>
              <w:rPr>
                <w:lang w:val="es-ES_tradnl"/>
              </w:rPr>
            </w:pPr>
            <w:r w:rsidRPr="009960E1">
              <w:rPr>
                <w:lang w:val="es-ES_tradnl"/>
              </w:rPr>
              <w:t>Factores habilitadores</w:t>
            </w:r>
          </w:p>
        </w:tc>
      </w:tr>
      <w:tr w:rsidR="00CF0CB0" w:rsidRPr="009960E1" w14:paraId="56885B71" w14:textId="77777777" w:rsidTr="00F27F0E">
        <w:tc>
          <w:tcPr>
            <w:tcW w:w="9629" w:type="dxa"/>
            <w:gridSpan w:val="4"/>
          </w:tcPr>
          <w:p w14:paraId="5DBA7E33" w14:textId="77777777" w:rsidR="00CF0CB0" w:rsidRPr="009960E1" w:rsidRDefault="00CF0CB0" w:rsidP="00F27F0E">
            <w:pPr>
              <w:rPr>
                <w:sz w:val="20"/>
                <w:lang w:val="es-ES_tradnl"/>
              </w:rPr>
            </w:pPr>
          </w:p>
        </w:tc>
      </w:tr>
      <w:tr w:rsidR="00CF0CB0" w:rsidRPr="009960E1" w14:paraId="66250700" w14:textId="77777777" w:rsidTr="00F27F0E">
        <w:tc>
          <w:tcPr>
            <w:tcW w:w="9629" w:type="dxa"/>
            <w:gridSpan w:val="4"/>
          </w:tcPr>
          <w:p w14:paraId="4828F3FD" w14:textId="77777777" w:rsidR="00CF0CB0" w:rsidRPr="009960E1" w:rsidRDefault="00CF0CB0" w:rsidP="00EA0FDB">
            <w:pPr>
              <w:pStyle w:val="TableHead0"/>
              <w:rPr>
                <w:lang w:val="es-ES_tradnl"/>
              </w:rPr>
            </w:pPr>
            <w:r w:rsidRPr="009960E1">
              <w:rPr>
                <w:lang w:val="es-ES_tradnl"/>
              </w:rPr>
              <w:t>Servicios de la UIT</w:t>
            </w:r>
          </w:p>
        </w:tc>
      </w:tr>
      <w:tr w:rsidR="00CF0CB0" w:rsidRPr="009960E1" w14:paraId="1D590F18" w14:textId="77777777" w:rsidTr="00F27F0E">
        <w:tc>
          <w:tcPr>
            <w:tcW w:w="9629" w:type="dxa"/>
            <w:gridSpan w:val="4"/>
          </w:tcPr>
          <w:p w14:paraId="358A7FE4" w14:textId="77777777" w:rsidR="00CF0CB0" w:rsidRPr="009960E1" w:rsidRDefault="00CF0CB0" w:rsidP="00F27F0E">
            <w:pPr>
              <w:rPr>
                <w:sz w:val="20"/>
                <w:lang w:val="es-ES_tradnl"/>
              </w:rPr>
            </w:pPr>
          </w:p>
        </w:tc>
      </w:tr>
      <w:tr w:rsidR="00CF0CB0" w:rsidRPr="009960E1" w14:paraId="587B44FF" w14:textId="77777777" w:rsidTr="00F27F0E">
        <w:tc>
          <w:tcPr>
            <w:tcW w:w="9629" w:type="dxa"/>
            <w:gridSpan w:val="4"/>
          </w:tcPr>
          <w:p w14:paraId="7CA4C735" w14:textId="77777777" w:rsidR="00CF0CB0" w:rsidRPr="009960E1" w:rsidRDefault="00CF0CB0" w:rsidP="00EA0FDB">
            <w:pPr>
              <w:pStyle w:val="TableHead0"/>
              <w:rPr>
                <w:lang w:val="es-ES_tradnl"/>
              </w:rPr>
            </w:pPr>
            <w:r w:rsidRPr="009960E1">
              <w:rPr>
                <w:lang w:val="es-ES_tradnl"/>
              </w:rPr>
              <w:t>Aprendizaje y retroalimentación</w:t>
            </w:r>
          </w:p>
        </w:tc>
      </w:tr>
      <w:tr w:rsidR="00CF0CB0" w:rsidRPr="00A7143D" w14:paraId="0E81F2E5" w14:textId="77777777" w:rsidTr="00F27F0E">
        <w:tc>
          <w:tcPr>
            <w:tcW w:w="9629" w:type="dxa"/>
            <w:gridSpan w:val="4"/>
          </w:tcPr>
          <w:p w14:paraId="752E33B0" w14:textId="77777777" w:rsidR="000E343A" w:rsidRPr="009960E1" w:rsidRDefault="00CF0CB0" w:rsidP="000E343A">
            <w:pPr>
              <w:pStyle w:val="TableText0"/>
              <w:rPr>
                <w:lang w:val="es-ES_tradnl"/>
              </w:rPr>
            </w:pPr>
            <w:r w:rsidRPr="009960E1">
              <w:rPr>
                <w:lang w:val="es-ES_tradnl"/>
              </w:rPr>
              <w:t>La 1ª IEW proporcionó la siguiente información relacionada con la "Res. 68":</w:t>
            </w:r>
          </w:p>
          <w:p w14:paraId="49E26D25" w14:textId="3521D099" w:rsidR="00CF0CB0" w:rsidRPr="009960E1" w:rsidRDefault="000E343A" w:rsidP="0039798E">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lang w:val="es-ES_tradnl"/>
              </w:rPr>
            </w:pPr>
            <w:r w:rsidRPr="009960E1">
              <w:rPr>
                <w:lang w:val="es-ES_tradnl"/>
              </w:rPr>
              <w:t>•</w:t>
            </w:r>
            <w:r w:rsidR="0039798E">
              <w:rPr>
                <w:lang w:val="es-ES_tradnl"/>
              </w:rPr>
              <w:tab/>
            </w:r>
            <w:r w:rsidR="00CF0CB0" w:rsidRPr="009960E1">
              <w:rPr>
                <w:rStyle w:val="enumlev1Char"/>
                <w:sz w:val="22"/>
                <w:szCs w:val="22"/>
                <w:lang w:val="es-ES_tradnl"/>
              </w:rPr>
              <w:t>La evaluación del valor de la participación de la industria y nuestros esfuerzos para mejorar el valor para la industria es un proceso complementario de CTO/CxO. Se apoyó el proceso, pero debería reflejarse una mayor contribución de la industria al debate sobre la nueva barra de temas de trabajo en el GANT. En consecuencia, convendría reflejar esta circunstancia en la AMNT, tal vez en una nueva Resolución o en una Resolución 68 modificada.</w:t>
            </w:r>
          </w:p>
        </w:tc>
      </w:tr>
      <w:tr w:rsidR="00CF0CB0" w:rsidRPr="009960E1" w14:paraId="58897C06" w14:textId="77777777" w:rsidTr="00F27F0E">
        <w:tc>
          <w:tcPr>
            <w:tcW w:w="9629" w:type="dxa"/>
            <w:gridSpan w:val="4"/>
          </w:tcPr>
          <w:p w14:paraId="2A4FF57D" w14:textId="77777777" w:rsidR="00CF0CB0" w:rsidRPr="009960E1" w:rsidRDefault="00CF0CB0" w:rsidP="00EA0FDB">
            <w:pPr>
              <w:pStyle w:val="TableHead0"/>
              <w:rPr>
                <w:lang w:val="es-ES_tradnl"/>
              </w:rPr>
            </w:pPr>
            <w:r w:rsidRPr="009960E1">
              <w:rPr>
                <w:lang w:val="es-ES_tradnl"/>
              </w:rPr>
              <w:t>Acciones propuestas</w:t>
            </w:r>
          </w:p>
        </w:tc>
      </w:tr>
      <w:tr w:rsidR="00CF0CB0" w:rsidRPr="00A7143D" w14:paraId="0343FF65" w14:textId="77777777" w:rsidTr="00F27F0E">
        <w:tc>
          <w:tcPr>
            <w:tcW w:w="9629" w:type="dxa"/>
            <w:gridSpan w:val="4"/>
          </w:tcPr>
          <w:p w14:paraId="2D67D430" w14:textId="77777777" w:rsidR="00CF0CB0" w:rsidRPr="009960E1" w:rsidRDefault="00CF0CB0" w:rsidP="00EA0FDB">
            <w:pPr>
              <w:pStyle w:val="TableText0"/>
              <w:rPr>
                <w:lang w:val="es-ES_tradnl"/>
              </w:rPr>
            </w:pPr>
            <w:r w:rsidRPr="009960E1">
              <w:rPr>
                <w:lang w:val="es-ES_tradnl"/>
              </w:rPr>
              <w:t>IWX-12 – Junto con IWX-04 e IWX-05, una nueva Resolución o modificaciones a la Resolución 68 deben reflejar que el compromiso para mejorar el valor para la industria es complementario de las reuniones de CTO/CxO, pero debe reflejarse una mayor contribución de la industria al debate sobre la barra de nuevos temas de trabajo en el GANT.</w:t>
            </w:r>
          </w:p>
        </w:tc>
      </w:tr>
    </w:tbl>
    <w:p w14:paraId="1C3545CE" w14:textId="77777777" w:rsidR="00CF0CB0" w:rsidRPr="009960E1" w:rsidRDefault="00CF0CB0" w:rsidP="00CF0CB0">
      <w:pPr>
        <w:rPr>
          <w:lang w:val="es-ES_tradnl"/>
        </w:rPr>
      </w:pPr>
      <w:r w:rsidRPr="009960E1">
        <w:rPr>
          <w:lang w:val="es-ES_tradnl"/>
        </w:rPr>
        <w:br w:type="page"/>
      </w:r>
    </w:p>
    <w:p w14:paraId="42C3AC01" w14:textId="4DBB7DE0" w:rsidR="00CF0CB0" w:rsidRPr="009960E1" w:rsidRDefault="000E343A" w:rsidP="00CF0CB0">
      <w:pPr>
        <w:pStyle w:val="TableNotitle"/>
        <w:rPr>
          <w:lang w:val="es-ES_tradnl"/>
        </w:rPr>
      </w:pPr>
      <w:r w:rsidRPr="009960E1">
        <w:rPr>
          <w:b w:val="0"/>
          <w:lang w:val="es-ES_tradnl"/>
        </w:rPr>
        <w:lastRenderedPageBreak/>
        <w:t xml:space="preserve">CUADRO </w:t>
      </w:r>
      <w:r w:rsidR="00CF0CB0" w:rsidRPr="009960E1">
        <w:rPr>
          <w:b w:val="0"/>
          <w:lang w:val="es-ES_tradnl"/>
        </w:rPr>
        <w:t>3.11</w:t>
      </w:r>
      <w:r w:rsidRPr="009960E1">
        <w:rPr>
          <w:bCs/>
          <w:lang w:val="es-ES_tradnl"/>
        </w:rPr>
        <w:br/>
      </w:r>
      <w:r w:rsidR="00CF0CB0" w:rsidRPr="009960E1">
        <w:rPr>
          <w:bCs/>
          <w:lang w:val="es-ES_tradnl"/>
        </w:rPr>
        <w:t>Plan de acción sobre "Formato del Plan Estratégico de la UIT"</w:t>
      </w:r>
    </w:p>
    <w:tbl>
      <w:tblPr>
        <w:tblStyle w:val="TableGrid"/>
        <w:tblW w:w="0" w:type="auto"/>
        <w:tblInd w:w="0" w:type="dxa"/>
        <w:tblLayout w:type="fixed"/>
        <w:tblLook w:val="04A0" w:firstRow="1" w:lastRow="0" w:firstColumn="1" w:lastColumn="0" w:noHBand="0" w:noVBand="1"/>
      </w:tblPr>
      <w:tblGrid>
        <w:gridCol w:w="846"/>
        <w:gridCol w:w="2268"/>
        <w:gridCol w:w="3685"/>
        <w:gridCol w:w="2830"/>
      </w:tblGrid>
      <w:tr w:rsidR="00CF0CB0" w:rsidRPr="00A7143D" w14:paraId="771F3736" w14:textId="77777777" w:rsidTr="000D771F">
        <w:tc>
          <w:tcPr>
            <w:tcW w:w="846" w:type="dxa"/>
          </w:tcPr>
          <w:p w14:paraId="67AA76BB" w14:textId="77777777" w:rsidR="00CF0CB0" w:rsidRPr="009960E1" w:rsidRDefault="00CF0CB0" w:rsidP="000E343A">
            <w:pPr>
              <w:pStyle w:val="TableHead0"/>
              <w:rPr>
                <w:lang w:val="es-ES_tradnl"/>
              </w:rPr>
            </w:pPr>
            <w:r w:rsidRPr="009960E1">
              <w:rPr>
                <w:lang w:val="es-ES_tradnl"/>
              </w:rPr>
              <w:t>AP#</w:t>
            </w:r>
          </w:p>
        </w:tc>
        <w:tc>
          <w:tcPr>
            <w:tcW w:w="2268" w:type="dxa"/>
          </w:tcPr>
          <w:p w14:paraId="1199D202" w14:textId="77777777" w:rsidR="00CF0CB0" w:rsidRPr="009960E1" w:rsidRDefault="00CF0CB0" w:rsidP="000E343A">
            <w:pPr>
              <w:pStyle w:val="TableHead0"/>
              <w:rPr>
                <w:b w:val="0"/>
                <w:bCs/>
                <w:lang w:val="es-ES_tradnl"/>
              </w:rPr>
            </w:pPr>
            <w:r w:rsidRPr="009960E1">
              <w:rPr>
                <w:b w:val="0"/>
                <w:bCs/>
                <w:lang w:val="es-ES_tradnl"/>
              </w:rPr>
              <w:t>AP4</w:t>
            </w:r>
          </w:p>
        </w:tc>
        <w:tc>
          <w:tcPr>
            <w:tcW w:w="3685" w:type="dxa"/>
          </w:tcPr>
          <w:p w14:paraId="551A43AF" w14:textId="77777777" w:rsidR="00CF0CB0" w:rsidRPr="009960E1" w:rsidRDefault="00CF0CB0" w:rsidP="000E343A">
            <w:pPr>
              <w:pStyle w:val="TableHead0"/>
              <w:rPr>
                <w:lang w:val="es-ES_tradnl"/>
              </w:rPr>
            </w:pPr>
            <w:r w:rsidRPr="009960E1">
              <w:rPr>
                <w:lang w:val="es-ES_tradnl"/>
              </w:rPr>
              <w:t>Nombre abreviado de AP</w:t>
            </w:r>
          </w:p>
        </w:tc>
        <w:tc>
          <w:tcPr>
            <w:tcW w:w="2830" w:type="dxa"/>
          </w:tcPr>
          <w:p w14:paraId="6BA369D0" w14:textId="77777777" w:rsidR="00CF0CB0" w:rsidRPr="009960E1" w:rsidRDefault="00CF0CB0" w:rsidP="000E343A">
            <w:pPr>
              <w:pStyle w:val="TableHead0"/>
              <w:rPr>
                <w:b w:val="0"/>
                <w:bCs/>
                <w:lang w:val="es-ES_tradnl"/>
              </w:rPr>
            </w:pPr>
            <w:r w:rsidRPr="009960E1">
              <w:rPr>
                <w:b w:val="0"/>
                <w:bCs/>
                <w:lang w:val="es-ES_tradnl"/>
              </w:rPr>
              <w:t>"Formato del Plan Estratégico de la UIT"</w:t>
            </w:r>
          </w:p>
        </w:tc>
      </w:tr>
      <w:tr w:rsidR="00CF0CB0" w:rsidRPr="009960E1" w14:paraId="2E825DDE" w14:textId="77777777" w:rsidTr="00F27F0E">
        <w:tc>
          <w:tcPr>
            <w:tcW w:w="9629" w:type="dxa"/>
            <w:gridSpan w:val="4"/>
          </w:tcPr>
          <w:p w14:paraId="03960D21" w14:textId="77777777" w:rsidR="00CF0CB0" w:rsidRPr="009960E1" w:rsidRDefault="00CF0CB0" w:rsidP="000E343A">
            <w:pPr>
              <w:pStyle w:val="TableHead0"/>
              <w:rPr>
                <w:lang w:val="es-ES_tradnl"/>
              </w:rPr>
            </w:pPr>
            <w:r w:rsidRPr="009960E1">
              <w:rPr>
                <w:lang w:val="es-ES_tradnl"/>
              </w:rPr>
              <w:t>Objetivo/Prioridad temática</w:t>
            </w:r>
          </w:p>
        </w:tc>
      </w:tr>
      <w:tr w:rsidR="00CF0CB0" w:rsidRPr="00A7143D" w14:paraId="7584442E" w14:textId="77777777" w:rsidTr="00F27F0E">
        <w:tc>
          <w:tcPr>
            <w:tcW w:w="9629" w:type="dxa"/>
            <w:gridSpan w:val="4"/>
          </w:tcPr>
          <w:p w14:paraId="5A57CDF0" w14:textId="77777777" w:rsidR="00CF0CB0" w:rsidRPr="009960E1" w:rsidRDefault="00CF0CB0" w:rsidP="000E343A">
            <w:pPr>
              <w:pStyle w:val="TableText0"/>
              <w:rPr>
                <w:lang w:val="es-ES_tradnl"/>
              </w:rPr>
            </w:pPr>
            <w:r w:rsidRPr="009960E1">
              <w:rPr>
                <w:lang w:val="es-ES_tradnl"/>
              </w:rPr>
              <w:t>Estructurar el plan de acción sobre la base de la estructura basada en resultados del Plan Estratégico de la UIT, incluidas las realizaciones clave y los indicadores de realizaciones clave.</w:t>
            </w:r>
          </w:p>
        </w:tc>
      </w:tr>
      <w:tr w:rsidR="00CF0CB0" w:rsidRPr="009960E1" w14:paraId="0A1E93E7" w14:textId="77777777" w:rsidTr="00F27F0E">
        <w:tc>
          <w:tcPr>
            <w:tcW w:w="9629" w:type="dxa"/>
            <w:gridSpan w:val="4"/>
          </w:tcPr>
          <w:p w14:paraId="6E388A4D" w14:textId="77777777" w:rsidR="00CF0CB0" w:rsidRPr="009960E1" w:rsidRDefault="00CF0CB0" w:rsidP="000E343A">
            <w:pPr>
              <w:pStyle w:val="TableHead0"/>
              <w:rPr>
                <w:lang w:val="es-ES_tradnl"/>
              </w:rPr>
            </w:pPr>
            <w:r w:rsidRPr="009960E1">
              <w:rPr>
                <w:lang w:val="es-ES_tradnl"/>
              </w:rPr>
              <w:t>Realización(es) clave(s)</w:t>
            </w:r>
          </w:p>
        </w:tc>
      </w:tr>
      <w:tr w:rsidR="00CF0CB0" w:rsidRPr="00A7143D" w14:paraId="327ED081" w14:textId="77777777" w:rsidTr="00F27F0E">
        <w:tc>
          <w:tcPr>
            <w:tcW w:w="9629" w:type="dxa"/>
            <w:gridSpan w:val="4"/>
          </w:tcPr>
          <w:p w14:paraId="521CB5FF" w14:textId="77777777" w:rsidR="00CF0CB0" w:rsidRPr="009960E1" w:rsidRDefault="00CF0CB0" w:rsidP="000E343A">
            <w:pPr>
              <w:pStyle w:val="TableText0"/>
              <w:rPr>
                <w:lang w:val="es-ES_tradnl"/>
              </w:rPr>
            </w:pPr>
            <w:r w:rsidRPr="009960E1">
              <w:rPr>
                <w:lang w:val="es-ES_tradnl"/>
              </w:rPr>
              <w:t>Este Plan de Acción es un buen apoyo, ya que su formato está armonizado con el Plan Estratégico de la UIT [b-Plan Estratégico de la UIT].</w:t>
            </w:r>
          </w:p>
        </w:tc>
      </w:tr>
      <w:tr w:rsidR="00CF0CB0" w:rsidRPr="00A7143D" w14:paraId="2E80B716" w14:textId="77777777" w:rsidTr="00F27F0E">
        <w:tc>
          <w:tcPr>
            <w:tcW w:w="9629" w:type="dxa"/>
            <w:gridSpan w:val="4"/>
          </w:tcPr>
          <w:p w14:paraId="4611A8AC" w14:textId="77777777" w:rsidR="00CF0CB0" w:rsidRPr="009960E1" w:rsidRDefault="00CF0CB0" w:rsidP="000E343A">
            <w:pPr>
              <w:pStyle w:val="TableHead0"/>
              <w:rPr>
                <w:lang w:val="es-ES_tradnl"/>
              </w:rPr>
            </w:pPr>
            <w:r w:rsidRPr="009960E1">
              <w:rPr>
                <w:lang w:val="es-ES_tradnl"/>
              </w:rPr>
              <w:t>Indicador(es) de realizaciones clave</w:t>
            </w:r>
          </w:p>
        </w:tc>
      </w:tr>
      <w:tr w:rsidR="00CF0CB0" w:rsidRPr="00A7143D" w14:paraId="70BCDB26" w14:textId="77777777" w:rsidTr="00F27F0E">
        <w:tc>
          <w:tcPr>
            <w:tcW w:w="9629" w:type="dxa"/>
            <w:gridSpan w:val="4"/>
          </w:tcPr>
          <w:p w14:paraId="1AFC9059" w14:textId="70BBF7C2" w:rsidR="00CF0CB0" w:rsidRPr="009960E1" w:rsidRDefault="000D771F" w:rsidP="0039798E">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Style w:val="enumlev1Char"/>
                <w:sz w:val="22"/>
                <w:szCs w:val="22"/>
                <w:lang w:val="es-ES_tradnl"/>
              </w:rPr>
            </w:pPr>
            <w:r w:rsidRPr="009960E1">
              <w:rPr>
                <w:rStyle w:val="enumlev1Char"/>
                <w:sz w:val="22"/>
                <w:szCs w:val="22"/>
                <w:lang w:val="es-ES_tradnl"/>
              </w:rPr>
              <w:t>–</w:t>
            </w:r>
            <w:r w:rsidRPr="009960E1">
              <w:rPr>
                <w:rStyle w:val="enumlev1Char"/>
                <w:sz w:val="22"/>
                <w:szCs w:val="22"/>
                <w:lang w:val="es-ES_tradnl"/>
              </w:rPr>
              <w:tab/>
            </w:r>
            <w:r w:rsidR="00CF0CB0" w:rsidRPr="009960E1">
              <w:rPr>
                <w:rStyle w:val="enumlev1Char"/>
                <w:sz w:val="22"/>
                <w:szCs w:val="22"/>
                <w:lang w:val="es-ES_tradnl"/>
              </w:rPr>
              <w:t>El plan de acción es claro y está acordado.</w:t>
            </w:r>
          </w:p>
          <w:p w14:paraId="663A7980" w14:textId="48EBEAE4" w:rsidR="00CF0CB0" w:rsidRPr="009960E1" w:rsidRDefault="000D771F" w:rsidP="0039798E">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Style w:val="enumlev1Char"/>
                <w:sz w:val="22"/>
                <w:szCs w:val="22"/>
                <w:lang w:val="es-ES_tradnl"/>
              </w:rPr>
            </w:pPr>
            <w:r w:rsidRPr="009960E1">
              <w:rPr>
                <w:rStyle w:val="enumlev1Char"/>
                <w:sz w:val="22"/>
                <w:szCs w:val="22"/>
                <w:lang w:val="es-ES_tradnl"/>
              </w:rPr>
              <w:t>–</w:t>
            </w:r>
            <w:r w:rsidRPr="009960E1">
              <w:rPr>
                <w:rStyle w:val="enumlev1Char"/>
                <w:sz w:val="22"/>
                <w:szCs w:val="22"/>
                <w:lang w:val="es-ES_tradnl"/>
              </w:rPr>
              <w:tab/>
            </w:r>
            <w:r w:rsidR="00CF0CB0" w:rsidRPr="009960E1">
              <w:rPr>
                <w:rStyle w:val="enumlev1Char"/>
                <w:sz w:val="22"/>
                <w:szCs w:val="22"/>
                <w:lang w:val="es-ES_tradnl"/>
              </w:rPr>
              <w:t>Cada punto del plan de acción se ejecuta con un número suficiente de miembros para apoyarlo.</w:t>
            </w:r>
          </w:p>
          <w:p w14:paraId="6C54152A" w14:textId="7851257B" w:rsidR="00CF0CB0" w:rsidRPr="009960E1" w:rsidRDefault="000D771F" w:rsidP="0039798E">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Style w:val="enumlev1Char"/>
                <w:sz w:val="22"/>
                <w:szCs w:val="22"/>
                <w:lang w:val="es-ES_tradnl"/>
              </w:rPr>
            </w:pPr>
            <w:r w:rsidRPr="009960E1">
              <w:rPr>
                <w:rStyle w:val="enumlev1Char"/>
                <w:sz w:val="22"/>
                <w:szCs w:val="22"/>
                <w:lang w:val="es-ES_tradnl"/>
              </w:rPr>
              <w:t>–</w:t>
            </w:r>
            <w:r w:rsidRPr="009960E1">
              <w:rPr>
                <w:rStyle w:val="enumlev1Char"/>
                <w:sz w:val="22"/>
                <w:szCs w:val="22"/>
                <w:lang w:val="es-ES_tradnl"/>
              </w:rPr>
              <w:tab/>
            </w:r>
            <w:r w:rsidR="00CF0CB0" w:rsidRPr="009960E1">
              <w:rPr>
                <w:rStyle w:val="enumlev1Char"/>
                <w:sz w:val="22"/>
                <w:szCs w:val="22"/>
                <w:lang w:val="es-ES_tradnl"/>
              </w:rPr>
              <w:t>Cada elemento del plan de acción se ejecuta con éxito.</w:t>
            </w:r>
          </w:p>
        </w:tc>
      </w:tr>
      <w:tr w:rsidR="00CF0CB0" w:rsidRPr="009960E1" w14:paraId="0D3DC6DC" w14:textId="77777777" w:rsidTr="00F27F0E">
        <w:tc>
          <w:tcPr>
            <w:tcW w:w="9629" w:type="dxa"/>
            <w:gridSpan w:val="4"/>
          </w:tcPr>
          <w:p w14:paraId="18303A6B" w14:textId="77777777" w:rsidR="00CF0CB0" w:rsidRPr="009960E1" w:rsidRDefault="00CF0CB0" w:rsidP="000E343A">
            <w:pPr>
              <w:pStyle w:val="TableHead0"/>
              <w:rPr>
                <w:lang w:val="es-ES_tradnl"/>
              </w:rPr>
            </w:pPr>
            <w:r w:rsidRPr="009960E1">
              <w:rPr>
                <w:lang w:val="es-ES_tradnl"/>
              </w:rPr>
              <w:t>Estrategias de aplicación</w:t>
            </w:r>
          </w:p>
        </w:tc>
      </w:tr>
      <w:tr w:rsidR="00CF0CB0" w:rsidRPr="00A7143D" w14:paraId="57237710" w14:textId="77777777" w:rsidTr="00F27F0E">
        <w:tc>
          <w:tcPr>
            <w:tcW w:w="9629" w:type="dxa"/>
            <w:gridSpan w:val="4"/>
          </w:tcPr>
          <w:p w14:paraId="16028AF0" w14:textId="19512C19" w:rsidR="00CF0CB0" w:rsidRPr="009960E1" w:rsidRDefault="000D771F" w:rsidP="0039798E">
            <w:pPr>
              <w:pStyle w:val="enumlev1"/>
              <w:keepNext/>
              <w:keepLines/>
              <w:tabs>
                <w:tab w:val="clear" w:pos="1134"/>
                <w:tab w:val="clear" w:pos="1871"/>
                <w:tab w:val="clear" w:pos="2608"/>
                <w:tab w:val="clear" w:pos="3345"/>
                <w:tab w:val="left" w:pos="794"/>
                <w:tab w:val="left" w:pos="1191"/>
                <w:tab w:val="left" w:pos="1588"/>
                <w:tab w:val="left" w:pos="1985"/>
              </w:tabs>
              <w:ind w:left="794" w:hanging="794"/>
              <w:rPr>
                <w:rStyle w:val="enumlev1Char"/>
                <w:sz w:val="22"/>
                <w:szCs w:val="22"/>
                <w:lang w:val="es-ES_tradnl"/>
              </w:rPr>
            </w:pPr>
            <w:r w:rsidRPr="009960E1">
              <w:rPr>
                <w:rStyle w:val="enumlev1Char"/>
                <w:sz w:val="22"/>
                <w:szCs w:val="22"/>
                <w:lang w:val="es-ES_tradnl"/>
              </w:rPr>
              <w:t>–</w:t>
            </w:r>
            <w:r w:rsidRPr="009960E1">
              <w:rPr>
                <w:rStyle w:val="enumlev1Char"/>
                <w:sz w:val="22"/>
                <w:szCs w:val="22"/>
                <w:lang w:val="es-ES_tradnl"/>
              </w:rPr>
              <w:tab/>
            </w:r>
            <w:r w:rsidR="00CF0CB0" w:rsidRPr="009960E1">
              <w:rPr>
                <w:rStyle w:val="enumlev1Char"/>
                <w:sz w:val="22"/>
                <w:szCs w:val="22"/>
                <w:lang w:val="es-ES_tradnl"/>
              </w:rPr>
              <w:t>Ceñirse al máximo a la terminología, los conceptos y los diagramas del Plan Estratégico de la UIT [b-Plan Estratégico de la UIT].</w:t>
            </w:r>
          </w:p>
          <w:p w14:paraId="7A98E8AF" w14:textId="3E64DE51" w:rsidR="00CF0CB0" w:rsidRPr="009960E1" w:rsidRDefault="000D771F" w:rsidP="000D771F">
            <w:pPr>
              <w:pStyle w:val="Note"/>
              <w:rPr>
                <w:sz w:val="22"/>
                <w:szCs w:val="22"/>
                <w:lang w:val="es-ES_tradnl"/>
              </w:rPr>
            </w:pPr>
            <w:r w:rsidRPr="009960E1">
              <w:rPr>
                <w:sz w:val="22"/>
                <w:szCs w:val="22"/>
                <w:lang w:val="es-ES_tradnl"/>
              </w:rPr>
              <w:t>NOTA –</w:t>
            </w:r>
            <w:r w:rsidR="00CF0CB0" w:rsidRPr="009960E1">
              <w:rPr>
                <w:sz w:val="22"/>
                <w:szCs w:val="22"/>
                <w:lang w:val="es-ES_tradnl"/>
              </w:rPr>
              <w:t xml:space="preserve"> De eso trata este plan de acción.</w:t>
            </w:r>
          </w:p>
        </w:tc>
      </w:tr>
      <w:tr w:rsidR="00CF0CB0" w:rsidRPr="009960E1" w14:paraId="14A936C2" w14:textId="77777777" w:rsidTr="00F27F0E">
        <w:tc>
          <w:tcPr>
            <w:tcW w:w="9629" w:type="dxa"/>
            <w:gridSpan w:val="4"/>
          </w:tcPr>
          <w:p w14:paraId="069B7376" w14:textId="77777777" w:rsidR="00CF0CB0" w:rsidRPr="009960E1" w:rsidRDefault="00CF0CB0" w:rsidP="000E343A">
            <w:pPr>
              <w:pStyle w:val="TableHead0"/>
              <w:rPr>
                <w:lang w:val="es-ES_tradnl"/>
              </w:rPr>
            </w:pPr>
            <w:r w:rsidRPr="009960E1">
              <w:rPr>
                <w:lang w:val="es-ES_tradnl"/>
              </w:rPr>
              <w:t>Factores habilitadores</w:t>
            </w:r>
          </w:p>
        </w:tc>
      </w:tr>
      <w:tr w:rsidR="00CF0CB0" w:rsidRPr="009960E1" w14:paraId="1E100566" w14:textId="77777777" w:rsidTr="00F27F0E">
        <w:tc>
          <w:tcPr>
            <w:tcW w:w="9629" w:type="dxa"/>
            <w:gridSpan w:val="4"/>
          </w:tcPr>
          <w:p w14:paraId="3AA66F7E" w14:textId="77777777" w:rsidR="00CF0CB0" w:rsidRPr="009960E1" w:rsidRDefault="00CF0CB0" w:rsidP="00F27F0E">
            <w:pPr>
              <w:rPr>
                <w:sz w:val="20"/>
                <w:lang w:val="es-ES_tradnl"/>
              </w:rPr>
            </w:pPr>
          </w:p>
        </w:tc>
      </w:tr>
      <w:tr w:rsidR="00CF0CB0" w:rsidRPr="009960E1" w14:paraId="47880E97" w14:textId="77777777" w:rsidTr="00F27F0E">
        <w:tc>
          <w:tcPr>
            <w:tcW w:w="9629" w:type="dxa"/>
            <w:gridSpan w:val="4"/>
          </w:tcPr>
          <w:p w14:paraId="67ABDE9D" w14:textId="77777777" w:rsidR="00CF0CB0" w:rsidRPr="009960E1" w:rsidRDefault="00CF0CB0" w:rsidP="000E343A">
            <w:pPr>
              <w:pStyle w:val="TableHead0"/>
              <w:rPr>
                <w:lang w:val="es-ES_tradnl"/>
              </w:rPr>
            </w:pPr>
            <w:r w:rsidRPr="009960E1">
              <w:rPr>
                <w:lang w:val="es-ES_tradnl"/>
              </w:rPr>
              <w:t>Servicios de la UIT</w:t>
            </w:r>
          </w:p>
        </w:tc>
      </w:tr>
      <w:tr w:rsidR="00CF0CB0" w:rsidRPr="009960E1" w14:paraId="4C29ED7D" w14:textId="77777777" w:rsidTr="00F27F0E">
        <w:tc>
          <w:tcPr>
            <w:tcW w:w="9629" w:type="dxa"/>
            <w:gridSpan w:val="4"/>
          </w:tcPr>
          <w:p w14:paraId="49A4A3BA" w14:textId="77777777" w:rsidR="00CF0CB0" w:rsidRPr="009960E1" w:rsidRDefault="00CF0CB0" w:rsidP="00F27F0E">
            <w:pPr>
              <w:rPr>
                <w:sz w:val="20"/>
                <w:lang w:val="es-ES_tradnl"/>
              </w:rPr>
            </w:pPr>
          </w:p>
        </w:tc>
      </w:tr>
      <w:tr w:rsidR="00CF0CB0" w:rsidRPr="009960E1" w14:paraId="37DCB295" w14:textId="77777777" w:rsidTr="00F27F0E">
        <w:tc>
          <w:tcPr>
            <w:tcW w:w="9629" w:type="dxa"/>
            <w:gridSpan w:val="4"/>
          </w:tcPr>
          <w:p w14:paraId="7F88A2DB" w14:textId="77777777" w:rsidR="00CF0CB0" w:rsidRPr="009960E1" w:rsidRDefault="00CF0CB0" w:rsidP="000E343A">
            <w:pPr>
              <w:pStyle w:val="TableHead0"/>
              <w:rPr>
                <w:lang w:val="es-ES_tradnl"/>
              </w:rPr>
            </w:pPr>
            <w:r w:rsidRPr="009960E1">
              <w:rPr>
                <w:lang w:val="es-ES_tradnl"/>
              </w:rPr>
              <w:t>Aprendizaje y retroalimentación</w:t>
            </w:r>
          </w:p>
        </w:tc>
      </w:tr>
      <w:tr w:rsidR="00CF0CB0" w:rsidRPr="00A7143D" w14:paraId="083D2CE3" w14:textId="77777777" w:rsidTr="00F27F0E">
        <w:tc>
          <w:tcPr>
            <w:tcW w:w="9629" w:type="dxa"/>
            <w:gridSpan w:val="4"/>
          </w:tcPr>
          <w:p w14:paraId="28BBBDE5" w14:textId="77777777" w:rsidR="00CF0CB0" w:rsidRPr="009960E1" w:rsidRDefault="00CF0CB0" w:rsidP="000D771F">
            <w:pPr>
              <w:pStyle w:val="TableText0"/>
              <w:rPr>
                <w:lang w:val="es-ES_tradnl"/>
              </w:rPr>
            </w:pPr>
            <w:r w:rsidRPr="009960E1">
              <w:rPr>
                <w:lang w:val="es-ES_tradnl"/>
              </w:rPr>
              <w:t>La 1ª IEW formuló las siguientes observaciones en relación con el "Formato del Plan Estratégico de la UIT":</w:t>
            </w:r>
          </w:p>
          <w:p w14:paraId="337FB333" w14:textId="77777777" w:rsidR="006E5314" w:rsidRDefault="000D771F" w:rsidP="006E5314">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rStyle w:val="enumlev1Char"/>
                <w:sz w:val="22"/>
                <w:szCs w:val="22"/>
                <w:lang w:val="es-ES_tradnl"/>
              </w:rPr>
            </w:pPr>
            <w:r w:rsidRPr="009960E1">
              <w:rPr>
                <w:lang w:val="es-ES_tradnl"/>
              </w:rPr>
              <w:t>•</w:t>
            </w:r>
            <w:r w:rsidRPr="009960E1">
              <w:rPr>
                <w:lang w:val="es-ES_tradnl"/>
              </w:rPr>
              <w:tab/>
            </w:r>
            <w:r w:rsidR="00CF0CB0" w:rsidRPr="009960E1">
              <w:rPr>
                <w:rStyle w:val="enumlev1Char"/>
                <w:sz w:val="22"/>
                <w:szCs w:val="22"/>
                <w:lang w:val="es-ES_tradnl"/>
              </w:rPr>
              <w:t>Sin embargo, los resultados y la retroalimentación del primer taller indican un deseo de comunicar el plan de acción, aprovechando las realizaciones clave y los indicadores de realizaciones clave.</w:t>
            </w:r>
          </w:p>
          <w:p w14:paraId="121344A5" w14:textId="3DCE8669" w:rsidR="00CF0CB0" w:rsidRPr="006E5314" w:rsidRDefault="006E5314" w:rsidP="006E5314">
            <w:pPr>
              <w:pStyle w:val="enumlev1"/>
              <w:keepNext/>
              <w:keepLines/>
              <w:tabs>
                <w:tab w:val="clear" w:pos="1134"/>
                <w:tab w:val="clear" w:pos="1871"/>
                <w:tab w:val="clear" w:pos="2608"/>
                <w:tab w:val="clear" w:pos="3345"/>
                <w:tab w:val="left" w:pos="794"/>
                <w:tab w:val="left" w:pos="1191"/>
                <w:tab w:val="left" w:pos="1588"/>
                <w:tab w:val="left" w:pos="1985"/>
              </w:tabs>
              <w:spacing w:after="40"/>
              <w:ind w:left="794" w:hanging="794"/>
              <w:rPr>
                <w:sz w:val="22"/>
                <w:szCs w:val="22"/>
                <w:lang w:val="es-ES_tradnl"/>
              </w:rPr>
            </w:pPr>
            <w:r w:rsidRPr="009960E1">
              <w:rPr>
                <w:lang w:val="es-ES_tradnl"/>
              </w:rPr>
              <w:t>•</w:t>
            </w:r>
            <w:r>
              <w:rPr>
                <w:rStyle w:val="enumlev1Char"/>
                <w:sz w:val="22"/>
                <w:szCs w:val="22"/>
                <w:lang w:val="es-ES_tradnl"/>
              </w:rPr>
              <w:tab/>
            </w:r>
            <w:r w:rsidR="000D771F" w:rsidRPr="006E5314">
              <w:rPr>
                <w:sz w:val="22"/>
                <w:szCs w:val="18"/>
                <w:lang w:val="es-ES_tradnl"/>
              </w:rPr>
              <w:t xml:space="preserve">NOTA </w:t>
            </w:r>
            <w:r w:rsidR="00CF0CB0" w:rsidRPr="006E5314">
              <w:rPr>
                <w:sz w:val="22"/>
                <w:szCs w:val="18"/>
                <w:lang w:val="es-ES_tradnl"/>
              </w:rPr>
              <w:t>– El RG-SOP está estudiando el formato óptimo para la elaboración del proyecto de Plan Estratégico 2028-2031 aplicable al UIT-T.</w:t>
            </w:r>
          </w:p>
        </w:tc>
      </w:tr>
      <w:tr w:rsidR="00CF0CB0" w:rsidRPr="009960E1" w14:paraId="5D6A1228" w14:textId="77777777" w:rsidTr="00F27F0E">
        <w:tc>
          <w:tcPr>
            <w:tcW w:w="9629" w:type="dxa"/>
            <w:gridSpan w:val="4"/>
          </w:tcPr>
          <w:p w14:paraId="2DEFA3C2" w14:textId="77777777" w:rsidR="00CF0CB0" w:rsidRPr="009960E1" w:rsidRDefault="00CF0CB0" w:rsidP="000E343A">
            <w:pPr>
              <w:pStyle w:val="TableHead0"/>
              <w:rPr>
                <w:lang w:val="es-ES_tradnl"/>
              </w:rPr>
            </w:pPr>
            <w:r w:rsidRPr="009960E1">
              <w:rPr>
                <w:lang w:val="es-ES_tradnl"/>
              </w:rPr>
              <w:t>Acciones propuestas</w:t>
            </w:r>
          </w:p>
        </w:tc>
      </w:tr>
      <w:tr w:rsidR="00CF0CB0" w:rsidRPr="009960E1" w14:paraId="53AF5B82" w14:textId="77777777" w:rsidTr="00F27F0E">
        <w:tc>
          <w:tcPr>
            <w:tcW w:w="9629" w:type="dxa"/>
            <w:gridSpan w:val="4"/>
          </w:tcPr>
          <w:p w14:paraId="494769B7" w14:textId="77777777" w:rsidR="00CF0CB0" w:rsidRPr="009960E1" w:rsidRDefault="00CF0CB0" w:rsidP="00F27F0E">
            <w:pPr>
              <w:rPr>
                <w:sz w:val="20"/>
                <w:lang w:val="es-ES_tradnl" w:eastAsia="zh-CN"/>
              </w:rPr>
            </w:pPr>
          </w:p>
        </w:tc>
      </w:tr>
    </w:tbl>
    <w:p w14:paraId="54F01353" w14:textId="77777777" w:rsidR="00CF0CB0" w:rsidRPr="009960E1" w:rsidRDefault="00CF0CB0" w:rsidP="00CF0CB0">
      <w:pPr>
        <w:rPr>
          <w:lang w:val="es-ES_tradnl"/>
        </w:rPr>
      </w:pPr>
      <w:r w:rsidRPr="009960E1">
        <w:rPr>
          <w:lang w:val="es-ES_tradnl"/>
        </w:rPr>
        <w:br w:type="page"/>
      </w:r>
    </w:p>
    <w:p w14:paraId="1922496C" w14:textId="46D8E7C6" w:rsidR="00CF0CB0" w:rsidRPr="009960E1" w:rsidRDefault="00CF0CB0" w:rsidP="00CF0CB0">
      <w:pPr>
        <w:pStyle w:val="TableNotitle"/>
        <w:rPr>
          <w:lang w:val="es-ES_tradnl"/>
        </w:rPr>
      </w:pPr>
      <w:r w:rsidRPr="009960E1">
        <w:rPr>
          <w:b w:val="0"/>
          <w:lang w:val="es-ES_tradnl"/>
        </w:rPr>
        <w:lastRenderedPageBreak/>
        <w:t>Cuadro 3.12</w:t>
      </w:r>
      <w:r w:rsidR="000D771F" w:rsidRPr="009960E1">
        <w:rPr>
          <w:bCs/>
          <w:lang w:val="es-ES_tradnl"/>
        </w:rPr>
        <w:br/>
      </w:r>
      <w:r w:rsidRPr="009960E1">
        <w:rPr>
          <w:bCs/>
          <w:lang w:val="es-ES_tradnl"/>
        </w:rPr>
        <w:t>Plan de acción sobre la "Circular"</w:t>
      </w:r>
    </w:p>
    <w:tbl>
      <w:tblPr>
        <w:tblStyle w:val="TableGrid"/>
        <w:tblW w:w="0" w:type="auto"/>
        <w:tblInd w:w="0" w:type="dxa"/>
        <w:tblLayout w:type="fixed"/>
        <w:tblLook w:val="04A0" w:firstRow="1" w:lastRow="0" w:firstColumn="1" w:lastColumn="0" w:noHBand="0" w:noVBand="1"/>
      </w:tblPr>
      <w:tblGrid>
        <w:gridCol w:w="846"/>
        <w:gridCol w:w="2551"/>
        <w:gridCol w:w="2835"/>
        <w:gridCol w:w="3397"/>
      </w:tblGrid>
      <w:tr w:rsidR="00CF0CB0" w:rsidRPr="009960E1" w14:paraId="3ADB0BA7" w14:textId="77777777" w:rsidTr="000D771F">
        <w:tc>
          <w:tcPr>
            <w:tcW w:w="846" w:type="dxa"/>
          </w:tcPr>
          <w:p w14:paraId="536767C9" w14:textId="77777777" w:rsidR="00CF0CB0" w:rsidRPr="009960E1" w:rsidRDefault="00CF0CB0" w:rsidP="000E343A">
            <w:pPr>
              <w:pStyle w:val="TableHead0"/>
              <w:rPr>
                <w:lang w:val="es-ES_tradnl"/>
              </w:rPr>
            </w:pPr>
            <w:r w:rsidRPr="009960E1">
              <w:rPr>
                <w:lang w:val="es-ES_tradnl"/>
              </w:rPr>
              <w:t>AP#</w:t>
            </w:r>
          </w:p>
        </w:tc>
        <w:tc>
          <w:tcPr>
            <w:tcW w:w="2551" w:type="dxa"/>
          </w:tcPr>
          <w:p w14:paraId="410562A9" w14:textId="77777777" w:rsidR="00CF0CB0" w:rsidRPr="009960E1" w:rsidRDefault="00CF0CB0" w:rsidP="000E343A">
            <w:pPr>
              <w:pStyle w:val="TableHead0"/>
              <w:rPr>
                <w:b w:val="0"/>
                <w:bCs/>
                <w:lang w:val="es-ES_tradnl"/>
              </w:rPr>
            </w:pPr>
            <w:r w:rsidRPr="009960E1">
              <w:rPr>
                <w:b w:val="0"/>
                <w:bCs/>
                <w:lang w:val="es-ES_tradnl"/>
              </w:rPr>
              <w:t>AP5</w:t>
            </w:r>
          </w:p>
        </w:tc>
        <w:tc>
          <w:tcPr>
            <w:tcW w:w="2835" w:type="dxa"/>
          </w:tcPr>
          <w:p w14:paraId="06A6C2AB" w14:textId="77777777" w:rsidR="00CF0CB0" w:rsidRPr="009960E1" w:rsidRDefault="00CF0CB0" w:rsidP="000E343A">
            <w:pPr>
              <w:pStyle w:val="TableHead0"/>
              <w:rPr>
                <w:lang w:val="es-ES_tradnl"/>
              </w:rPr>
            </w:pPr>
            <w:r w:rsidRPr="009960E1">
              <w:rPr>
                <w:lang w:val="es-ES_tradnl"/>
              </w:rPr>
              <w:t>Nombre abreviado de AP</w:t>
            </w:r>
          </w:p>
        </w:tc>
        <w:tc>
          <w:tcPr>
            <w:tcW w:w="3397" w:type="dxa"/>
          </w:tcPr>
          <w:p w14:paraId="4686C25C" w14:textId="77777777" w:rsidR="00CF0CB0" w:rsidRPr="009960E1" w:rsidRDefault="00CF0CB0" w:rsidP="000E343A">
            <w:pPr>
              <w:pStyle w:val="TableHead0"/>
              <w:rPr>
                <w:b w:val="0"/>
                <w:bCs/>
                <w:lang w:val="es-ES_tradnl"/>
              </w:rPr>
            </w:pPr>
            <w:r w:rsidRPr="009960E1">
              <w:rPr>
                <w:b w:val="0"/>
                <w:bCs/>
                <w:lang w:val="es-ES_tradnl"/>
              </w:rPr>
              <w:t>"Circular"</w:t>
            </w:r>
          </w:p>
        </w:tc>
      </w:tr>
      <w:tr w:rsidR="00CF0CB0" w:rsidRPr="009960E1" w14:paraId="39D2C92D" w14:textId="77777777" w:rsidTr="00F27F0E">
        <w:tc>
          <w:tcPr>
            <w:tcW w:w="9629" w:type="dxa"/>
            <w:gridSpan w:val="4"/>
          </w:tcPr>
          <w:p w14:paraId="005AE368" w14:textId="77777777" w:rsidR="00CF0CB0" w:rsidRPr="009960E1" w:rsidRDefault="00CF0CB0" w:rsidP="000E343A">
            <w:pPr>
              <w:pStyle w:val="TableHead0"/>
              <w:rPr>
                <w:lang w:val="es-ES_tradnl"/>
              </w:rPr>
            </w:pPr>
            <w:r w:rsidRPr="009960E1">
              <w:rPr>
                <w:lang w:val="es-ES_tradnl"/>
              </w:rPr>
              <w:t>Objetivo/Prioridad temática</w:t>
            </w:r>
          </w:p>
        </w:tc>
      </w:tr>
      <w:tr w:rsidR="00CF0CB0" w:rsidRPr="00A7143D" w14:paraId="52378212" w14:textId="77777777" w:rsidTr="00F27F0E">
        <w:tc>
          <w:tcPr>
            <w:tcW w:w="9629" w:type="dxa"/>
            <w:gridSpan w:val="4"/>
          </w:tcPr>
          <w:p w14:paraId="667C8642" w14:textId="77777777" w:rsidR="00CF0CB0" w:rsidRPr="009960E1" w:rsidRDefault="00CF0CB0" w:rsidP="000D771F">
            <w:pPr>
              <w:pStyle w:val="TableText0"/>
              <w:rPr>
                <w:lang w:val="es-ES_tradnl"/>
              </w:rPr>
            </w:pPr>
            <w:r w:rsidRPr="009960E1">
              <w:rPr>
                <w:lang w:val="es-ES_tradnl"/>
              </w:rPr>
              <w:t xml:space="preserve">Enviar una circular informando a los Miembros sobre los debates en curso en el GANT para fomentar la participación de la industria, por ejemplo, basándose en el texto del Documento TSAG-C15R1. </w:t>
            </w:r>
          </w:p>
        </w:tc>
      </w:tr>
      <w:tr w:rsidR="00CF0CB0" w:rsidRPr="009960E1" w14:paraId="43915A80" w14:textId="77777777" w:rsidTr="00F27F0E">
        <w:tc>
          <w:tcPr>
            <w:tcW w:w="9629" w:type="dxa"/>
            <w:gridSpan w:val="4"/>
          </w:tcPr>
          <w:p w14:paraId="3685BC30" w14:textId="77777777" w:rsidR="00CF0CB0" w:rsidRPr="009960E1" w:rsidRDefault="00CF0CB0" w:rsidP="000E343A">
            <w:pPr>
              <w:pStyle w:val="TableHead0"/>
              <w:rPr>
                <w:lang w:val="es-ES_tradnl"/>
              </w:rPr>
            </w:pPr>
            <w:r w:rsidRPr="009960E1">
              <w:rPr>
                <w:lang w:val="es-ES_tradnl"/>
              </w:rPr>
              <w:t>Realización(es) clave(s)</w:t>
            </w:r>
          </w:p>
        </w:tc>
      </w:tr>
      <w:tr w:rsidR="00CF0CB0" w:rsidRPr="00A7143D" w14:paraId="0589E0B6" w14:textId="77777777" w:rsidTr="00F27F0E">
        <w:tc>
          <w:tcPr>
            <w:tcW w:w="9629" w:type="dxa"/>
            <w:gridSpan w:val="4"/>
          </w:tcPr>
          <w:p w14:paraId="3A49AAE8" w14:textId="77777777" w:rsidR="00CF0CB0" w:rsidRPr="009960E1" w:rsidRDefault="00CF0CB0" w:rsidP="000D771F">
            <w:pPr>
              <w:pStyle w:val="TableText0"/>
              <w:rPr>
                <w:lang w:val="es-ES_tradnl"/>
              </w:rPr>
            </w:pPr>
            <w:r w:rsidRPr="009960E1">
              <w:rPr>
                <w:lang w:val="es-ES_tradnl"/>
              </w:rPr>
              <w:t>Una circular en la que se informa a los Grupos Regionales de que el GANT ha empezado a examinar diversas medidas para fomentar la participación de la industria.</w:t>
            </w:r>
          </w:p>
          <w:p w14:paraId="372E47EB" w14:textId="77777777" w:rsidR="00CF0CB0" w:rsidRPr="009960E1" w:rsidRDefault="00CF0CB0" w:rsidP="000D771F">
            <w:pPr>
              <w:pStyle w:val="TableText0"/>
              <w:rPr>
                <w:lang w:val="es-ES_tradnl"/>
              </w:rPr>
            </w:pPr>
            <w:r w:rsidRPr="009960E1">
              <w:rPr>
                <w:lang w:val="es-ES_tradnl"/>
              </w:rPr>
              <w:t>Y al menos una circular con información actualizada sobre el estado de los debates en el GANT.</w:t>
            </w:r>
          </w:p>
        </w:tc>
      </w:tr>
      <w:tr w:rsidR="00CF0CB0" w:rsidRPr="00A7143D" w14:paraId="297122B7" w14:textId="77777777" w:rsidTr="00F27F0E">
        <w:tc>
          <w:tcPr>
            <w:tcW w:w="9629" w:type="dxa"/>
            <w:gridSpan w:val="4"/>
          </w:tcPr>
          <w:p w14:paraId="157E4D88" w14:textId="77777777" w:rsidR="00CF0CB0" w:rsidRPr="009960E1" w:rsidRDefault="00CF0CB0" w:rsidP="000E343A">
            <w:pPr>
              <w:pStyle w:val="TableHead0"/>
              <w:rPr>
                <w:lang w:val="es-ES_tradnl"/>
              </w:rPr>
            </w:pPr>
            <w:r w:rsidRPr="009960E1">
              <w:rPr>
                <w:lang w:val="es-ES_tradnl"/>
              </w:rPr>
              <w:t>Indicador(es) de realizaciones clave</w:t>
            </w:r>
          </w:p>
        </w:tc>
      </w:tr>
      <w:tr w:rsidR="00CF0CB0" w:rsidRPr="00A7143D" w14:paraId="5CED4AEC" w14:textId="77777777" w:rsidTr="00F27F0E">
        <w:tc>
          <w:tcPr>
            <w:tcW w:w="9629" w:type="dxa"/>
            <w:gridSpan w:val="4"/>
          </w:tcPr>
          <w:p w14:paraId="744D84D1" w14:textId="77777777" w:rsidR="00CF0CB0" w:rsidRPr="009960E1" w:rsidRDefault="00CF0CB0" w:rsidP="000D771F">
            <w:pPr>
              <w:pStyle w:val="TableText0"/>
              <w:rPr>
                <w:lang w:val="es-ES_tradnl"/>
              </w:rPr>
            </w:pPr>
            <w:r w:rsidRPr="009960E1">
              <w:rPr>
                <w:lang w:val="es-ES_tradnl"/>
              </w:rPr>
              <w:t>Comentarios recibidos de los grupos regionales y de los miembros actuales y especialmente nuevos de la industria.</w:t>
            </w:r>
          </w:p>
        </w:tc>
      </w:tr>
      <w:tr w:rsidR="00CF0CB0" w:rsidRPr="009960E1" w14:paraId="022352A9" w14:textId="77777777" w:rsidTr="00F27F0E">
        <w:tc>
          <w:tcPr>
            <w:tcW w:w="9629" w:type="dxa"/>
            <w:gridSpan w:val="4"/>
          </w:tcPr>
          <w:p w14:paraId="16602976" w14:textId="77777777" w:rsidR="00CF0CB0" w:rsidRPr="009960E1" w:rsidRDefault="00CF0CB0" w:rsidP="000E343A">
            <w:pPr>
              <w:pStyle w:val="TableHead0"/>
              <w:rPr>
                <w:lang w:val="es-ES_tradnl"/>
              </w:rPr>
            </w:pPr>
            <w:r w:rsidRPr="009960E1">
              <w:rPr>
                <w:lang w:val="es-ES_tradnl"/>
              </w:rPr>
              <w:t>Estrategias de aplicación</w:t>
            </w:r>
          </w:p>
        </w:tc>
      </w:tr>
      <w:tr w:rsidR="00CF0CB0" w:rsidRPr="00A7143D" w14:paraId="5025C5F0" w14:textId="77777777" w:rsidTr="00F27F0E">
        <w:tc>
          <w:tcPr>
            <w:tcW w:w="9629" w:type="dxa"/>
            <w:gridSpan w:val="4"/>
          </w:tcPr>
          <w:p w14:paraId="2026D91D" w14:textId="77777777" w:rsidR="00CF0CB0" w:rsidRPr="009960E1" w:rsidRDefault="00CF0CB0" w:rsidP="000D771F">
            <w:pPr>
              <w:pStyle w:val="TableText0"/>
              <w:rPr>
                <w:lang w:val="es-ES_tradnl"/>
              </w:rPr>
            </w:pPr>
            <w:r w:rsidRPr="009960E1">
              <w:rPr>
                <w:lang w:val="es-ES_tradnl"/>
              </w:rPr>
              <w:t>Solicitud de contribuciones sobre circulares.</w:t>
            </w:r>
          </w:p>
          <w:p w14:paraId="0D63FE77" w14:textId="77777777" w:rsidR="00CF0CB0" w:rsidRPr="009960E1" w:rsidRDefault="00CF0CB0" w:rsidP="000D771F">
            <w:pPr>
              <w:pStyle w:val="TableText0"/>
              <w:rPr>
                <w:lang w:val="es-ES_tradnl"/>
              </w:rPr>
            </w:pPr>
            <w:r w:rsidRPr="009960E1">
              <w:rPr>
                <w:lang w:val="es-ES_tradnl"/>
              </w:rPr>
              <w:t>Al menos dos circulares con el contenido descrito anteriormente.</w:t>
            </w:r>
          </w:p>
        </w:tc>
      </w:tr>
      <w:tr w:rsidR="00CF0CB0" w:rsidRPr="009960E1" w14:paraId="08FC14C9" w14:textId="77777777" w:rsidTr="00F27F0E">
        <w:tc>
          <w:tcPr>
            <w:tcW w:w="9629" w:type="dxa"/>
            <w:gridSpan w:val="4"/>
          </w:tcPr>
          <w:p w14:paraId="5427768E" w14:textId="77777777" w:rsidR="00CF0CB0" w:rsidRPr="009960E1" w:rsidRDefault="00CF0CB0" w:rsidP="000E343A">
            <w:pPr>
              <w:pStyle w:val="TableHead0"/>
              <w:rPr>
                <w:lang w:val="es-ES_tradnl"/>
              </w:rPr>
            </w:pPr>
            <w:r w:rsidRPr="009960E1">
              <w:rPr>
                <w:lang w:val="es-ES_tradnl"/>
              </w:rPr>
              <w:t>Factores habilitadores</w:t>
            </w:r>
          </w:p>
        </w:tc>
      </w:tr>
      <w:tr w:rsidR="00CF0CB0" w:rsidRPr="009960E1" w14:paraId="66FA754B" w14:textId="77777777" w:rsidTr="00F27F0E">
        <w:tc>
          <w:tcPr>
            <w:tcW w:w="9629" w:type="dxa"/>
            <w:gridSpan w:val="4"/>
          </w:tcPr>
          <w:p w14:paraId="49B60569" w14:textId="77777777" w:rsidR="00CF0CB0" w:rsidRPr="009960E1" w:rsidRDefault="00CF0CB0" w:rsidP="00F27F0E">
            <w:pPr>
              <w:rPr>
                <w:sz w:val="20"/>
                <w:lang w:val="es-ES_tradnl"/>
              </w:rPr>
            </w:pPr>
          </w:p>
        </w:tc>
      </w:tr>
      <w:tr w:rsidR="00CF0CB0" w:rsidRPr="009960E1" w14:paraId="170475DA" w14:textId="77777777" w:rsidTr="00F27F0E">
        <w:tc>
          <w:tcPr>
            <w:tcW w:w="9629" w:type="dxa"/>
            <w:gridSpan w:val="4"/>
          </w:tcPr>
          <w:p w14:paraId="3172AA85" w14:textId="77777777" w:rsidR="00CF0CB0" w:rsidRPr="009960E1" w:rsidRDefault="00CF0CB0" w:rsidP="000E343A">
            <w:pPr>
              <w:pStyle w:val="TableHead0"/>
              <w:rPr>
                <w:lang w:val="es-ES_tradnl"/>
              </w:rPr>
            </w:pPr>
            <w:r w:rsidRPr="009960E1">
              <w:rPr>
                <w:lang w:val="es-ES_tradnl"/>
              </w:rPr>
              <w:t>Servicios de la UIT</w:t>
            </w:r>
          </w:p>
        </w:tc>
      </w:tr>
      <w:tr w:rsidR="00CF0CB0" w:rsidRPr="00A7143D" w14:paraId="61B275E9" w14:textId="77777777" w:rsidTr="00F27F0E">
        <w:tc>
          <w:tcPr>
            <w:tcW w:w="9629" w:type="dxa"/>
            <w:gridSpan w:val="4"/>
          </w:tcPr>
          <w:p w14:paraId="2129F541" w14:textId="77777777" w:rsidR="00CF0CB0" w:rsidRPr="009960E1" w:rsidRDefault="00CF0CB0" w:rsidP="000D771F">
            <w:pPr>
              <w:pStyle w:val="TableText0"/>
              <w:rPr>
                <w:lang w:val="es-ES_tradnl"/>
              </w:rPr>
            </w:pPr>
            <w:r w:rsidRPr="009960E1">
              <w:rPr>
                <w:lang w:val="es-ES_tradnl"/>
              </w:rPr>
              <w:t>Procedimientos de la Circular de la TSB.</w:t>
            </w:r>
          </w:p>
        </w:tc>
      </w:tr>
      <w:tr w:rsidR="00CF0CB0" w:rsidRPr="009960E1" w14:paraId="535B345B" w14:textId="77777777" w:rsidTr="00F27F0E">
        <w:tc>
          <w:tcPr>
            <w:tcW w:w="9629" w:type="dxa"/>
            <w:gridSpan w:val="4"/>
          </w:tcPr>
          <w:p w14:paraId="1662476F" w14:textId="77777777" w:rsidR="00CF0CB0" w:rsidRPr="009960E1" w:rsidRDefault="00CF0CB0" w:rsidP="000E343A">
            <w:pPr>
              <w:pStyle w:val="TableHead0"/>
              <w:rPr>
                <w:lang w:val="es-ES_tradnl"/>
              </w:rPr>
            </w:pPr>
            <w:r w:rsidRPr="009960E1">
              <w:rPr>
                <w:lang w:val="es-ES_tradnl"/>
              </w:rPr>
              <w:t>Aprendizaje y retroalimentación</w:t>
            </w:r>
          </w:p>
        </w:tc>
      </w:tr>
      <w:tr w:rsidR="00CF0CB0" w:rsidRPr="00A7143D" w14:paraId="79F7C905" w14:textId="77777777" w:rsidTr="00F27F0E">
        <w:tc>
          <w:tcPr>
            <w:tcW w:w="9629" w:type="dxa"/>
            <w:gridSpan w:val="4"/>
          </w:tcPr>
          <w:p w14:paraId="6CF46863" w14:textId="77777777" w:rsidR="00CF0CB0" w:rsidRPr="009960E1" w:rsidRDefault="00CF0CB0" w:rsidP="000D771F">
            <w:pPr>
              <w:pStyle w:val="TableText0"/>
              <w:rPr>
                <w:lang w:val="es-ES_tradnl"/>
              </w:rPr>
            </w:pPr>
            <w:r w:rsidRPr="009960E1">
              <w:rPr>
                <w:lang w:val="es-ES_tradnl"/>
              </w:rPr>
              <w:t>La 1ª IEW proporcionó la siguiente información relacionada con la "Circular":</w:t>
            </w:r>
          </w:p>
          <w:p w14:paraId="77559C4A" w14:textId="692F75B9" w:rsidR="00CF0CB0" w:rsidRPr="009960E1" w:rsidRDefault="000D771F" w:rsidP="000D771F">
            <w:pPr>
              <w:pStyle w:val="enumlev1"/>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No hay comentarios específicos, pero la comunicación es clave.</w:t>
            </w:r>
          </w:p>
          <w:p w14:paraId="520DE42F" w14:textId="119BCDD4" w:rsidR="00CF0CB0" w:rsidRPr="0039798E" w:rsidRDefault="000D771F" w:rsidP="0039798E">
            <w:pPr>
              <w:pStyle w:val="enumlev1"/>
              <w:rPr>
                <w:sz w:val="22"/>
                <w:szCs w:val="22"/>
                <w:lang w:val="es-ES_tradnl"/>
              </w:rPr>
            </w:pPr>
            <w:r w:rsidRPr="009960E1">
              <w:rPr>
                <w:sz w:val="22"/>
                <w:szCs w:val="22"/>
                <w:lang w:val="es-ES_tradnl"/>
              </w:rPr>
              <w:t>•</w:t>
            </w:r>
            <w:r w:rsidRPr="009960E1">
              <w:rPr>
                <w:sz w:val="22"/>
                <w:szCs w:val="22"/>
                <w:lang w:val="es-ES_tradnl"/>
              </w:rPr>
              <w:tab/>
            </w:r>
            <w:r w:rsidR="00CF0CB0" w:rsidRPr="009960E1">
              <w:rPr>
                <w:sz w:val="22"/>
                <w:szCs w:val="22"/>
                <w:lang w:val="es-ES_tradnl"/>
              </w:rPr>
              <w:t>Es fundamental que otros talleres brinden oportunidades de participación para garantizar la pertinencia del UIT-T en el ecosistema a medida que evolucionan las tecnologías para una conectividad generalizada y continua.</w:t>
            </w:r>
          </w:p>
        </w:tc>
      </w:tr>
      <w:tr w:rsidR="00CF0CB0" w:rsidRPr="009960E1" w14:paraId="22926D2C" w14:textId="77777777" w:rsidTr="00F27F0E">
        <w:tc>
          <w:tcPr>
            <w:tcW w:w="9629" w:type="dxa"/>
            <w:gridSpan w:val="4"/>
          </w:tcPr>
          <w:p w14:paraId="31E7BEE0" w14:textId="77777777" w:rsidR="00CF0CB0" w:rsidRPr="009960E1" w:rsidRDefault="00CF0CB0" w:rsidP="000E343A">
            <w:pPr>
              <w:pStyle w:val="TableHead0"/>
              <w:rPr>
                <w:lang w:val="es-ES_tradnl"/>
              </w:rPr>
            </w:pPr>
            <w:r w:rsidRPr="009960E1">
              <w:rPr>
                <w:lang w:val="es-ES_tradnl"/>
              </w:rPr>
              <w:t>Acciones propuestas</w:t>
            </w:r>
          </w:p>
        </w:tc>
      </w:tr>
      <w:tr w:rsidR="00CF0CB0" w:rsidRPr="009960E1" w14:paraId="6093B5F6" w14:textId="77777777" w:rsidTr="00F27F0E">
        <w:tc>
          <w:tcPr>
            <w:tcW w:w="9629" w:type="dxa"/>
            <w:gridSpan w:val="4"/>
          </w:tcPr>
          <w:p w14:paraId="6672E3A2" w14:textId="77777777" w:rsidR="00CF0CB0" w:rsidRPr="009960E1" w:rsidRDefault="00CF0CB0" w:rsidP="00F27F0E">
            <w:pPr>
              <w:rPr>
                <w:sz w:val="20"/>
                <w:lang w:val="es-ES_tradnl" w:eastAsia="zh-CN"/>
              </w:rPr>
            </w:pPr>
          </w:p>
        </w:tc>
      </w:tr>
    </w:tbl>
    <w:p w14:paraId="49E26FAD" w14:textId="77777777" w:rsidR="00CF0CB0" w:rsidRPr="009960E1" w:rsidRDefault="00CF0CB0" w:rsidP="00CF0CB0">
      <w:pPr>
        <w:rPr>
          <w:lang w:val="es-ES_tradnl"/>
        </w:rPr>
      </w:pPr>
      <w:r w:rsidRPr="009960E1">
        <w:rPr>
          <w:lang w:val="es-ES_tradnl"/>
        </w:rPr>
        <w:br w:type="page"/>
      </w:r>
    </w:p>
    <w:p w14:paraId="2CDD05B4" w14:textId="18D0F7B9" w:rsidR="0039798E" w:rsidRPr="009960E1" w:rsidRDefault="0039798E" w:rsidP="0039798E">
      <w:pPr>
        <w:pStyle w:val="TableNotitle"/>
        <w:rPr>
          <w:lang w:val="es-ES_tradnl"/>
        </w:rPr>
      </w:pPr>
      <w:r w:rsidRPr="009960E1">
        <w:rPr>
          <w:b w:val="0"/>
          <w:lang w:val="es-ES_tradnl"/>
        </w:rPr>
        <w:lastRenderedPageBreak/>
        <w:t>Cuadro 3.1</w:t>
      </w:r>
      <w:r>
        <w:rPr>
          <w:b w:val="0"/>
          <w:lang w:val="es-ES_tradnl"/>
        </w:rPr>
        <w:t>3</w:t>
      </w:r>
      <w:r w:rsidRPr="009960E1">
        <w:rPr>
          <w:bCs/>
          <w:lang w:val="es-ES_tradnl"/>
        </w:rPr>
        <w:br/>
      </w:r>
      <w:r w:rsidRPr="0039798E">
        <w:rPr>
          <w:bCs/>
          <w:lang w:val="es-ES_tradnl"/>
        </w:rPr>
        <w:t>Plan de acción sobre "Coordinación con otros Grupos de Relator"</w:t>
      </w:r>
    </w:p>
    <w:tbl>
      <w:tblPr>
        <w:tblStyle w:val="TableGrid"/>
        <w:tblW w:w="0" w:type="auto"/>
        <w:tblInd w:w="0" w:type="dxa"/>
        <w:tblLayout w:type="fixed"/>
        <w:tblLook w:val="04A0" w:firstRow="1" w:lastRow="0" w:firstColumn="1" w:lastColumn="0" w:noHBand="0" w:noVBand="1"/>
      </w:tblPr>
      <w:tblGrid>
        <w:gridCol w:w="846"/>
        <w:gridCol w:w="2551"/>
        <w:gridCol w:w="2977"/>
        <w:gridCol w:w="3255"/>
      </w:tblGrid>
      <w:tr w:rsidR="00CF0CB0" w:rsidRPr="009960E1" w14:paraId="510108EF" w14:textId="77777777" w:rsidTr="000D771F">
        <w:tc>
          <w:tcPr>
            <w:tcW w:w="846" w:type="dxa"/>
          </w:tcPr>
          <w:p w14:paraId="374F3E47" w14:textId="77777777" w:rsidR="00CF0CB0" w:rsidRPr="009960E1" w:rsidRDefault="00CF0CB0" w:rsidP="000E343A">
            <w:pPr>
              <w:pStyle w:val="TableHead0"/>
              <w:rPr>
                <w:lang w:val="es-ES_tradnl"/>
              </w:rPr>
            </w:pPr>
            <w:r w:rsidRPr="009960E1">
              <w:rPr>
                <w:lang w:val="es-ES_tradnl"/>
              </w:rPr>
              <w:t>AP#</w:t>
            </w:r>
          </w:p>
        </w:tc>
        <w:tc>
          <w:tcPr>
            <w:tcW w:w="2551" w:type="dxa"/>
          </w:tcPr>
          <w:p w14:paraId="7614F611" w14:textId="77777777" w:rsidR="00CF0CB0" w:rsidRPr="009960E1" w:rsidRDefault="00CF0CB0" w:rsidP="000E343A">
            <w:pPr>
              <w:pStyle w:val="TableHead0"/>
              <w:rPr>
                <w:b w:val="0"/>
                <w:bCs/>
                <w:lang w:val="es-ES_tradnl"/>
              </w:rPr>
            </w:pPr>
            <w:r w:rsidRPr="009960E1">
              <w:rPr>
                <w:b w:val="0"/>
                <w:bCs/>
                <w:lang w:val="es-ES_tradnl"/>
              </w:rPr>
              <w:t>AP6</w:t>
            </w:r>
          </w:p>
        </w:tc>
        <w:tc>
          <w:tcPr>
            <w:tcW w:w="2977" w:type="dxa"/>
          </w:tcPr>
          <w:p w14:paraId="1D30E6EF" w14:textId="77777777" w:rsidR="00CF0CB0" w:rsidRPr="009960E1" w:rsidRDefault="00CF0CB0" w:rsidP="000E343A">
            <w:pPr>
              <w:pStyle w:val="TableHead0"/>
              <w:rPr>
                <w:lang w:val="es-ES_tradnl"/>
              </w:rPr>
            </w:pPr>
            <w:r w:rsidRPr="009960E1">
              <w:rPr>
                <w:lang w:val="es-ES_tradnl"/>
              </w:rPr>
              <w:t>Nombre abreviado de AP</w:t>
            </w:r>
          </w:p>
        </w:tc>
        <w:tc>
          <w:tcPr>
            <w:tcW w:w="3255" w:type="dxa"/>
          </w:tcPr>
          <w:p w14:paraId="781822EE" w14:textId="77777777" w:rsidR="00CF0CB0" w:rsidRPr="009960E1" w:rsidRDefault="00CF0CB0" w:rsidP="000E343A">
            <w:pPr>
              <w:pStyle w:val="TableHead0"/>
              <w:rPr>
                <w:b w:val="0"/>
                <w:bCs/>
                <w:lang w:val="es-ES_tradnl"/>
              </w:rPr>
            </w:pPr>
            <w:r w:rsidRPr="009960E1">
              <w:rPr>
                <w:b w:val="0"/>
                <w:bCs/>
                <w:lang w:val="es-ES_tradnl"/>
              </w:rPr>
              <w:t>"Coordinación con otros GR"</w:t>
            </w:r>
          </w:p>
        </w:tc>
      </w:tr>
      <w:tr w:rsidR="00CF0CB0" w:rsidRPr="009960E1" w14:paraId="0A964C1F" w14:textId="77777777" w:rsidTr="00F27F0E">
        <w:tc>
          <w:tcPr>
            <w:tcW w:w="9629" w:type="dxa"/>
            <w:gridSpan w:val="4"/>
          </w:tcPr>
          <w:p w14:paraId="2FC0980F" w14:textId="77777777" w:rsidR="00CF0CB0" w:rsidRPr="009960E1" w:rsidRDefault="00CF0CB0" w:rsidP="000E343A">
            <w:pPr>
              <w:pStyle w:val="TableHead0"/>
              <w:rPr>
                <w:lang w:val="es-ES_tradnl"/>
              </w:rPr>
            </w:pPr>
            <w:r w:rsidRPr="009960E1">
              <w:rPr>
                <w:lang w:val="es-ES_tradnl"/>
              </w:rPr>
              <w:t>Objetivo/Prioridad temática</w:t>
            </w:r>
          </w:p>
        </w:tc>
      </w:tr>
      <w:tr w:rsidR="00CF0CB0" w:rsidRPr="00A7143D" w14:paraId="7F197784" w14:textId="77777777" w:rsidTr="00F27F0E">
        <w:tc>
          <w:tcPr>
            <w:tcW w:w="9629" w:type="dxa"/>
            <w:gridSpan w:val="4"/>
          </w:tcPr>
          <w:p w14:paraId="42F2FE7A" w14:textId="77777777" w:rsidR="00CF0CB0" w:rsidRPr="009960E1" w:rsidRDefault="00CF0CB0" w:rsidP="000D771F">
            <w:pPr>
              <w:pStyle w:val="TableText0"/>
              <w:rPr>
                <w:lang w:val="es-ES_tradnl"/>
              </w:rPr>
            </w:pPr>
            <w:r w:rsidRPr="009960E1">
              <w:rPr>
                <w:lang w:val="es-ES_tradnl"/>
              </w:rPr>
              <w:t>Dado que existen interdependencias entre los Grupos de Relator, los descubrimientos y progresos logrados en este plan de acción podrían ser pertinentes para otros Grupos de Relator del GANT, por lo que la coordinación con el RG-IEM debe garantizar la coherencia.</w:t>
            </w:r>
          </w:p>
        </w:tc>
      </w:tr>
      <w:tr w:rsidR="00CF0CB0" w:rsidRPr="009960E1" w14:paraId="34A765BA" w14:textId="77777777" w:rsidTr="00F27F0E">
        <w:tc>
          <w:tcPr>
            <w:tcW w:w="9629" w:type="dxa"/>
            <w:gridSpan w:val="4"/>
          </w:tcPr>
          <w:p w14:paraId="0F0B040F" w14:textId="77777777" w:rsidR="00CF0CB0" w:rsidRPr="009960E1" w:rsidRDefault="00CF0CB0" w:rsidP="000E343A">
            <w:pPr>
              <w:pStyle w:val="TableHead0"/>
              <w:rPr>
                <w:lang w:val="es-ES_tradnl"/>
              </w:rPr>
            </w:pPr>
            <w:r w:rsidRPr="009960E1">
              <w:rPr>
                <w:lang w:val="es-ES_tradnl"/>
              </w:rPr>
              <w:t>Realización(es) clave(s)</w:t>
            </w:r>
          </w:p>
        </w:tc>
      </w:tr>
      <w:tr w:rsidR="00CF0CB0" w:rsidRPr="009960E1" w14:paraId="4BADB7B4" w14:textId="77777777" w:rsidTr="00F27F0E">
        <w:tc>
          <w:tcPr>
            <w:tcW w:w="9629" w:type="dxa"/>
            <w:gridSpan w:val="4"/>
          </w:tcPr>
          <w:p w14:paraId="14F665D7" w14:textId="77777777" w:rsidR="00CF0CB0" w:rsidRPr="009960E1" w:rsidRDefault="00CF0CB0" w:rsidP="00F27F0E">
            <w:pPr>
              <w:rPr>
                <w:sz w:val="20"/>
                <w:lang w:val="es-ES_tradnl"/>
              </w:rPr>
            </w:pPr>
          </w:p>
        </w:tc>
      </w:tr>
      <w:tr w:rsidR="00CF0CB0" w:rsidRPr="00A7143D" w14:paraId="197B3B49" w14:textId="77777777" w:rsidTr="00F27F0E">
        <w:tc>
          <w:tcPr>
            <w:tcW w:w="9629" w:type="dxa"/>
            <w:gridSpan w:val="4"/>
          </w:tcPr>
          <w:p w14:paraId="626D62FC" w14:textId="77777777" w:rsidR="00CF0CB0" w:rsidRPr="009960E1" w:rsidRDefault="00CF0CB0" w:rsidP="000E343A">
            <w:pPr>
              <w:pStyle w:val="TableHead0"/>
              <w:rPr>
                <w:lang w:val="es-ES_tradnl"/>
              </w:rPr>
            </w:pPr>
            <w:r w:rsidRPr="009960E1">
              <w:rPr>
                <w:lang w:val="es-ES_tradnl"/>
              </w:rPr>
              <w:t>Indicador(es) de realizaciones clave</w:t>
            </w:r>
          </w:p>
        </w:tc>
      </w:tr>
      <w:tr w:rsidR="00CF0CB0" w:rsidRPr="00A7143D" w14:paraId="77A1A2EA" w14:textId="77777777" w:rsidTr="00F27F0E">
        <w:tc>
          <w:tcPr>
            <w:tcW w:w="9629" w:type="dxa"/>
            <w:gridSpan w:val="4"/>
          </w:tcPr>
          <w:p w14:paraId="279E1BEA" w14:textId="77777777" w:rsidR="00CF0CB0" w:rsidRPr="009960E1" w:rsidRDefault="00CF0CB0" w:rsidP="00F27F0E">
            <w:pPr>
              <w:rPr>
                <w:sz w:val="20"/>
                <w:lang w:val="es-ES_tradnl"/>
              </w:rPr>
            </w:pPr>
          </w:p>
        </w:tc>
      </w:tr>
      <w:tr w:rsidR="00CF0CB0" w:rsidRPr="009960E1" w14:paraId="3FC11AB6" w14:textId="77777777" w:rsidTr="00F27F0E">
        <w:tc>
          <w:tcPr>
            <w:tcW w:w="9629" w:type="dxa"/>
            <w:gridSpan w:val="4"/>
          </w:tcPr>
          <w:p w14:paraId="0EF3F315" w14:textId="77777777" w:rsidR="00CF0CB0" w:rsidRPr="009960E1" w:rsidRDefault="00CF0CB0" w:rsidP="000E343A">
            <w:pPr>
              <w:pStyle w:val="TableHead0"/>
              <w:rPr>
                <w:lang w:val="es-ES_tradnl"/>
              </w:rPr>
            </w:pPr>
            <w:r w:rsidRPr="009960E1">
              <w:rPr>
                <w:lang w:val="es-ES_tradnl"/>
              </w:rPr>
              <w:t>Estrategias de aplicación</w:t>
            </w:r>
          </w:p>
        </w:tc>
      </w:tr>
      <w:tr w:rsidR="00CF0CB0" w:rsidRPr="009960E1" w14:paraId="7081E8F1" w14:textId="77777777" w:rsidTr="00F27F0E">
        <w:tc>
          <w:tcPr>
            <w:tcW w:w="9629" w:type="dxa"/>
            <w:gridSpan w:val="4"/>
          </w:tcPr>
          <w:p w14:paraId="6E2A86CA" w14:textId="77777777" w:rsidR="00CF0CB0" w:rsidRPr="009960E1" w:rsidRDefault="00CF0CB0" w:rsidP="00F27F0E">
            <w:pPr>
              <w:rPr>
                <w:sz w:val="20"/>
                <w:lang w:val="es-ES_tradnl"/>
              </w:rPr>
            </w:pPr>
          </w:p>
        </w:tc>
      </w:tr>
      <w:tr w:rsidR="00CF0CB0" w:rsidRPr="009960E1" w14:paraId="1C90AF1F" w14:textId="77777777" w:rsidTr="00F27F0E">
        <w:tc>
          <w:tcPr>
            <w:tcW w:w="9629" w:type="dxa"/>
            <w:gridSpan w:val="4"/>
          </w:tcPr>
          <w:p w14:paraId="42D2659A" w14:textId="77777777" w:rsidR="00CF0CB0" w:rsidRPr="009960E1" w:rsidRDefault="00CF0CB0" w:rsidP="000E343A">
            <w:pPr>
              <w:pStyle w:val="TableHead0"/>
              <w:rPr>
                <w:lang w:val="es-ES_tradnl"/>
              </w:rPr>
            </w:pPr>
            <w:r w:rsidRPr="009960E1">
              <w:rPr>
                <w:lang w:val="es-ES_tradnl"/>
              </w:rPr>
              <w:t>Factores habilitadores</w:t>
            </w:r>
          </w:p>
        </w:tc>
      </w:tr>
      <w:tr w:rsidR="00CF0CB0" w:rsidRPr="009960E1" w14:paraId="5588C9DB" w14:textId="77777777" w:rsidTr="00F27F0E">
        <w:tc>
          <w:tcPr>
            <w:tcW w:w="9629" w:type="dxa"/>
            <w:gridSpan w:val="4"/>
          </w:tcPr>
          <w:p w14:paraId="759AFA7F" w14:textId="77777777" w:rsidR="00CF0CB0" w:rsidRPr="009960E1" w:rsidRDefault="00CF0CB0" w:rsidP="00F27F0E">
            <w:pPr>
              <w:rPr>
                <w:sz w:val="20"/>
                <w:lang w:val="es-ES_tradnl"/>
              </w:rPr>
            </w:pPr>
          </w:p>
        </w:tc>
      </w:tr>
      <w:tr w:rsidR="00CF0CB0" w:rsidRPr="009960E1" w14:paraId="5CE3161B" w14:textId="77777777" w:rsidTr="00F27F0E">
        <w:tc>
          <w:tcPr>
            <w:tcW w:w="9629" w:type="dxa"/>
            <w:gridSpan w:val="4"/>
          </w:tcPr>
          <w:p w14:paraId="7BB4A9CD" w14:textId="77777777" w:rsidR="00CF0CB0" w:rsidRPr="009960E1" w:rsidRDefault="00CF0CB0" w:rsidP="000E343A">
            <w:pPr>
              <w:pStyle w:val="TableHead0"/>
              <w:rPr>
                <w:lang w:val="es-ES_tradnl"/>
              </w:rPr>
            </w:pPr>
            <w:r w:rsidRPr="009960E1">
              <w:rPr>
                <w:lang w:val="es-ES_tradnl"/>
              </w:rPr>
              <w:t>Servicios de la UIT</w:t>
            </w:r>
          </w:p>
        </w:tc>
      </w:tr>
      <w:tr w:rsidR="00CF0CB0" w:rsidRPr="009960E1" w14:paraId="74608B7D" w14:textId="77777777" w:rsidTr="00F27F0E">
        <w:tc>
          <w:tcPr>
            <w:tcW w:w="9629" w:type="dxa"/>
            <w:gridSpan w:val="4"/>
          </w:tcPr>
          <w:p w14:paraId="0ED3F4BC" w14:textId="77777777" w:rsidR="00CF0CB0" w:rsidRPr="009960E1" w:rsidRDefault="00CF0CB0" w:rsidP="00F27F0E">
            <w:pPr>
              <w:rPr>
                <w:sz w:val="20"/>
                <w:lang w:val="es-ES_tradnl"/>
              </w:rPr>
            </w:pPr>
          </w:p>
        </w:tc>
      </w:tr>
      <w:tr w:rsidR="00CF0CB0" w:rsidRPr="009960E1" w14:paraId="03F3CC27" w14:textId="77777777" w:rsidTr="00F27F0E">
        <w:tc>
          <w:tcPr>
            <w:tcW w:w="9629" w:type="dxa"/>
            <w:gridSpan w:val="4"/>
          </w:tcPr>
          <w:p w14:paraId="36D42748" w14:textId="77777777" w:rsidR="00CF0CB0" w:rsidRPr="009960E1" w:rsidRDefault="00CF0CB0" w:rsidP="000E343A">
            <w:pPr>
              <w:pStyle w:val="TableHead0"/>
              <w:rPr>
                <w:lang w:val="es-ES_tradnl"/>
              </w:rPr>
            </w:pPr>
            <w:r w:rsidRPr="009960E1">
              <w:rPr>
                <w:lang w:val="es-ES_tradnl"/>
              </w:rPr>
              <w:t>Aprendizaje y retroalimentación</w:t>
            </w:r>
          </w:p>
        </w:tc>
      </w:tr>
      <w:tr w:rsidR="00CF0CB0" w:rsidRPr="009960E1" w14:paraId="7CE19E3D" w14:textId="77777777" w:rsidTr="00F27F0E">
        <w:tc>
          <w:tcPr>
            <w:tcW w:w="9629" w:type="dxa"/>
            <w:gridSpan w:val="4"/>
          </w:tcPr>
          <w:p w14:paraId="3AEBA339" w14:textId="77777777" w:rsidR="00CF0CB0" w:rsidRPr="009960E1" w:rsidRDefault="00CF0CB0" w:rsidP="00F27F0E">
            <w:pPr>
              <w:rPr>
                <w:sz w:val="20"/>
                <w:lang w:val="es-ES_tradnl"/>
              </w:rPr>
            </w:pPr>
          </w:p>
        </w:tc>
      </w:tr>
      <w:tr w:rsidR="00CF0CB0" w:rsidRPr="009960E1" w14:paraId="3E28EE03" w14:textId="77777777" w:rsidTr="00F27F0E">
        <w:tc>
          <w:tcPr>
            <w:tcW w:w="9629" w:type="dxa"/>
            <w:gridSpan w:val="4"/>
          </w:tcPr>
          <w:p w14:paraId="768096DF" w14:textId="77777777" w:rsidR="00CF0CB0" w:rsidRPr="009960E1" w:rsidRDefault="00CF0CB0" w:rsidP="000E343A">
            <w:pPr>
              <w:pStyle w:val="TableHead0"/>
              <w:rPr>
                <w:lang w:val="es-ES_tradnl"/>
              </w:rPr>
            </w:pPr>
            <w:r w:rsidRPr="009960E1">
              <w:rPr>
                <w:lang w:val="es-ES_tradnl"/>
              </w:rPr>
              <w:t>Acciones propuestas</w:t>
            </w:r>
          </w:p>
        </w:tc>
      </w:tr>
      <w:tr w:rsidR="00CF0CB0" w:rsidRPr="00A7143D" w14:paraId="10DC388C" w14:textId="77777777" w:rsidTr="00F27F0E">
        <w:tc>
          <w:tcPr>
            <w:tcW w:w="9629" w:type="dxa"/>
            <w:gridSpan w:val="4"/>
          </w:tcPr>
          <w:p w14:paraId="433FAC73" w14:textId="77777777" w:rsidR="00CF0CB0" w:rsidRPr="009960E1" w:rsidRDefault="00CF0CB0" w:rsidP="000D771F">
            <w:pPr>
              <w:pStyle w:val="TableText0"/>
              <w:rPr>
                <w:lang w:val="es-ES_tradnl"/>
              </w:rPr>
            </w:pPr>
            <w:r w:rsidRPr="009960E1">
              <w:rPr>
                <w:lang w:val="es-ES_tradnl"/>
              </w:rPr>
              <w:t>IWX-16ii) – El RG-SOP tomará el relevo cuando se acuerde la propuesta de valor, ya que es una contribución directa al ejercicio del Plan Estratégico de la UIT de 2026.</w:t>
            </w:r>
          </w:p>
          <w:p w14:paraId="7CC79CED" w14:textId="0CE35158" w:rsidR="00CF0CB0" w:rsidRPr="009960E1" w:rsidRDefault="00CF0CB0" w:rsidP="000D771F">
            <w:pPr>
              <w:pStyle w:val="TableText0"/>
              <w:rPr>
                <w:lang w:val="es-ES_tradnl"/>
              </w:rPr>
            </w:pPr>
            <w:r w:rsidRPr="009960E1">
              <w:rPr>
                <w:lang w:val="es-ES_tradnl"/>
              </w:rPr>
              <w:t xml:space="preserve">IWX-16iii) </w:t>
            </w:r>
            <w:r w:rsidR="000D771F" w:rsidRPr="009960E1">
              <w:rPr>
                <w:lang w:val="es-ES_tradnl"/>
              </w:rPr>
              <w:t>–</w:t>
            </w:r>
            <w:r w:rsidRPr="009960E1">
              <w:rPr>
                <w:lang w:val="es-ES_tradnl"/>
              </w:rPr>
              <w:t xml:space="preserve"> Investigar con el RG-WTSA si una Resolución de la AMNT podría respaldar esta acción mediante una resolución más prescriptiva.</w:t>
            </w:r>
          </w:p>
        </w:tc>
      </w:tr>
    </w:tbl>
    <w:p w14:paraId="6B71FD7E" w14:textId="77777777" w:rsidR="00CF0CB0" w:rsidRPr="009960E1" w:rsidRDefault="00CF0CB0" w:rsidP="00CF0CB0">
      <w:pPr>
        <w:rPr>
          <w:lang w:val="es-ES_tradnl"/>
        </w:rPr>
      </w:pPr>
      <w:r w:rsidRPr="009960E1">
        <w:rPr>
          <w:lang w:val="es-ES_tradnl"/>
        </w:rPr>
        <w:br w:type="page"/>
      </w:r>
    </w:p>
    <w:p w14:paraId="0F16B22E" w14:textId="77777777" w:rsidR="00CF0CB0" w:rsidRPr="009960E1" w:rsidRDefault="00CF0CB0" w:rsidP="000D771F">
      <w:pPr>
        <w:pStyle w:val="Heading1"/>
        <w:rPr>
          <w:lang w:val="es-ES_tradnl"/>
        </w:rPr>
      </w:pPr>
      <w:bookmarkStart w:id="93" w:name="_Toc179189984"/>
      <w:r w:rsidRPr="009960E1">
        <w:rPr>
          <w:lang w:val="es-ES_tradnl"/>
        </w:rPr>
        <w:lastRenderedPageBreak/>
        <w:t>8</w:t>
      </w:r>
      <w:r w:rsidRPr="009960E1">
        <w:rPr>
          <w:lang w:val="es-ES_tradnl"/>
        </w:rPr>
        <w:tab/>
        <w:t>Identificación de posibles medidas y consideraciones</w:t>
      </w:r>
      <w:bookmarkEnd w:id="93"/>
    </w:p>
    <w:p w14:paraId="74BE354C" w14:textId="77777777" w:rsidR="00CF0CB0" w:rsidRPr="009960E1" w:rsidRDefault="00CF0CB0" w:rsidP="000D771F">
      <w:pPr>
        <w:rPr>
          <w:lang w:val="es-ES_tradnl"/>
        </w:rPr>
      </w:pPr>
      <w:r w:rsidRPr="009960E1">
        <w:rPr>
          <w:lang w:val="es-ES_tradnl"/>
        </w:rPr>
        <w:t>Cuadro 3.14 siguiente:</w:t>
      </w:r>
    </w:p>
    <w:p w14:paraId="400F935B" w14:textId="77777777" w:rsidR="00CF0CB0" w:rsidRPr="009960E1" w:rsidRDefault="00CF0CB0" w:rsidP="000D771F">
      <w:pPr>
        <w:pStyle w:val="enumlev1"/>
        <w:rPr>
          <w:lang w:val="es-ES_tradnl"/>
        </w:rPr>
      </w:pPr>
      <w:r w:rsidRPr="009960E1">
        <w:rPr>
          <w:lang w:val="es-ES_tradnl"/>
        </w:rPr>
        <w:t>–</w:t>
      </w:r>
      <w:r w:rsidRPr="009960E1">
        <w:rPr>
          <w:lang w:val="es-ES_tradnl"/>
        </w:rPr>
        <w:tab/>
        <w:t>identifica los puntos de consideración extraídos de las diversas sesiones del Taller de Participación de la Industria o de su informe,</w:t>
      </w:r>
    </w:p>
    <w:p w14:paraId="3094CF85" w14:textId="77777777" w:rsidR="00CF0CB0" w:rsidRPr="009960E1" w:rsidRDefault="00CF0CB0" w:rsidP="000D771F">
      <w:pPr>
        <w:pStyle w:val="enumlev1"/>
        <w:rPr>
          <w:lang w:val="es-ES_tradnl"/>
        </w:rPr>
      </w:pPr>
      <w:r w:rsidRPr="009960E1">
        <w:rPr>
          <w:lang w:val="es-ES_tradnl"/>
        </w:rPr>
        <w:t>–</w:t>
      </w:r>
      <w:r w:rsidRPr="009960E1">
        <w:rPr>
          <w:lang w:val="es-ES_tradnl"/>
        </w:rPr>
        <w:tab/>
        <w:t>traduce cada punto de consideración en una o más acciones propuestas,</w:t>
      </w:r>
    </w:p>
    <w:p w14:paraId="57E9E367" w14:textId="3C3E2E83" w:rsidR="00CF0CB0" w:rsidRPr="009960E1" w:rsidRDefault="00CF0CB0" w:rsidP="000D771F">
      <w:pPr>
        <w:pStyle w:val="enumlev1"/>
        <w:rPr>
          <w:lang w:val="es-ES_tradnl"/>
        </w:rPr>
      </w:pPr>
      <w:r w:rsidRPr="009960E1">
        <w:rPr>
          <w:lang w:val="es-ES_tradnl"/>
        </w:rPr>
        <w:t>–</w:t>
      </w:r>
      <w:r w:rsidRPr="009960E1">
        <w:rPr>
          <w:lang w:val="es-ES_tradnl"/>
        </w:rPr>
        <w:tab/>
        <w:t xml:space="preserve">identifica cómo y dónde modificar el documento objetivo y, en particular, el Plan de Acción para la Participación de la Industria actualmente aprobado en el Documento </w:t>
      </w:r>
      <w:hyperlink r:id="rId141" w:history="1">
        <w:r w:rsidRPr="009960E1">
          <w:rPr>
            <w:rStyle w:val="Hyperlink"/>
            <w:lang w:val="es-ES_tradnl"/>
          </w:rPr>
          <w:t>TSAG-TD256</w:t>
        </w:r>
      </w:hyperlink>
      <w:r w:rsidRPr="009960E1">
        <w:rPr>
          <w:lang w:val="es-ES_tradnl"/>
        </w:rPr>
        <w:t>.</w:t>
      </w:r>
    </w:p>
    <w:p w14:paraId="42C5C833" w14:textId="77777777" w:rsidR="00CF0CB0" w:rsidRPr="009960E1" w:rsidRDefault="00CF0CB0" w:rsidP="00CF0CB0">
      <w:pPr>
        <w:rPr>
          <w:lang w:val="es-ES_tradnl"/>
        </w:rPr>
      </w:pPr>
      <w:r w:rsidRPr="009960E1">
        <w:rPr>
          <w:lang w:val="es-ES_tradnl"/>
        </w:rPr>
        <w:t>Leyenda del cuadro</w:t>
      </w:r>
    </w:p>
    <w:p w14:paraId="389E27F1" w14:textId="77777777" w:rsidR="00CF0CB0" w:rsidRPr="009960E1" w:rsidRDefault="00CF0CB0" w:rsidP="00FC6688">
      <w:pPr>
        <w:rPr>
          <w:lang w:val="es-ES_tradnl"/>
        </w:rPr>
      </w:pPr>
      <w:r w:rsidRPr="009960E1">
        <w:rPr>
          <w:lang w:val="es-ES_tradnl"/>
        </w:rPr>
        <w:t>En la columna "Origen de la sesión":</w:t>
      </w:r>
    </w:p>
    <w:p w14:paraId="266F131B" w14:textId="75DDB011" w:rsidR="00CF0CB0" w:rsidRPr="009960E1" w:rsidRDefault="00CF0CB0" w:rsidP="00FC6688">
      <w:pPr>
        <w:pStyle w:val="enumlev1"/>
        <w:rPr>
          <w:lang w:val="es-ES_tradnl"/>
        </w:rPr>
      </w:pPr>
      <w:r w:rsidRPr="009960E1">
        <w:rPr>
          <w:lang w:val="es-ES_tradnl"/>
        </w:rPr>
        <w:t>–</w:t>
      </w:r>
      <w:r w:rsidRPr="009960E1">
        <w:rPr>
          <w:lang w:val="es-ES_tradnl"/>
        </w:rPr>
        <w:tab/>
        <w:t>K</w:t>
      </w:r>
      <w:r w:rsidRPr="009960E1">
        <w:rPr>
          <w:lang w:val="es-ES_tradnl"/>
        </w:rPr>
        <w:tab/>
        <w:t xml:space="preserve">Taller de participación de la industria </w:t>
      </w:r>
      <w:r w:rsidR="006E5314" w:rsidRPr="009960E1">
        <w:rPr>
          <w:lang w:val="es-ES_tradnl"/>
        </w:rPr>
        <w:t>–</w:t>
      </w:r>
      <w:r w:rsidRPr="009960E1">
        <w:rPr>
          <w:lang w:val="es-ES_tradnl"/>
        </w:rPr>
        <w:t xml:space="preserve"> Sesión magistral</w:t>
      </w:r>
    </w:p>
    <w:p w14:paraId="0E3CC263" w14:textId="4437EA9B" w:rsidR="00CF0CB0" w:rsidRPr="009960E1" w:rsidRDefault="00CF0CB0" w:rsidP="00FC6688">
      <w:pPr>
        <w:pStyle w:val="enumlev1"/>
        <w:rPr>
          <w:lang w:val="es-ES_tradnl"/>
        </w:rPr>
      </w:pPr>
      <w:r w:rsidRPr="009960E1">
        <w:rPr>
          <w:lang w:val="es-ES_tradnl"/>
        </w:rPr>
        <w:t>–</w:t>
      </w:r>
      <w:r w:rsidRPr="009960E1">
        <w:rPr>
          <w:lang w:val="es-ES_tradnl"/>
        </w:rPr>
        <w:tab/>
        <w:t>1</w:t>
      </w:r>
      <w:r w:rsidRPr="009960E1">
        <w:rPr>
          <w:lang w:val="es-ES_tradnl"/>
        </w:rPr>
        <w:tab/>
        <w:t xml:space="preserve">Taller de participación de la industria </w:t>
      </w:r>
      <w:r w:rsidR="006E5314" w:rsidRPr="009960E1">
        <w:rPr>
          <w:lang w:val="es-ES_tradnl"/>
        </w:rPr>
        <w:t>–</w:t>
      </w:r>
      <w:r w:rsidRPr="009960E1">
        <w:rPr>
          <w:lang w:val="es-ES_tradnl"/>
        </w:rPr>
        <w:t xml:space="preserve"> Sesión 1</w:t>
      </w:r>
    </w:p>
    <w:p w14:paraId="4BF9FFB2" w14:textId="40D415B5" w:rsidR="00CF0CB0" w:rsidRPr="009960E1" w:rsidRDefault="00CF0CB0" w:rsidP="00FC6688">
      <w:pPr>
        <w:pStyle w:val="enumlev1"/>
        <w:rPr>
          <w:lang w:val="es-ES_tradnl"/>
        </w:rPr>
      </w:pPr>
      <w:r w:rsidRPr="009960E1">
        <w:rPr>
          <w:lang w:val="es-ES_tradnl"/>
        </w:rPr>
        <w:t>–</w:t>
      </w:r>
      <w:r w:rsidRPr="009960E1">
        <w:rPr>
          <w:lang w:val="es-ES_tradnl"/>
        </w:rPr>
        <w:tab/>
        <w:t>2</w:t>
      </w:r>
      <w:r w:rsidRPr="009960E1">
        <w:rPr>
          <w:lang w:val="es-ES_tradnl"/>
        </w:rPr>
        <w:tab/>
        <w:t xml:space="preserve">Taller de participación de la industria </w:t>
      </w:r>
      <w:r w:rsidR="006E5314" w:rsidRPr="009960E1">
        <w:rPr>
          <w:lang w:val="es-ES_tradnl"/>
        </w:rPr>
        <w:t>–</w:t>
      </w:r>
      <w:r w:rsidRPr="009960E1">
        <w:rPr>
          <w:lang w:val="es-ES_tradnl"/>
        </w:rPr>
        <w:t xml:space="preserve"> Sesión 2</w:t>
      </w:r>
    </w:p>
    <w:p w14:paraId="50D31E30" w14:textId="0DDDDCCC" w:rsidR="00CF0CB0" w:rsidRPr="009960E1" w:rsidRDefault="00CF0CB0" w:rsidP="00FC6688">
      <w:pPr>
        <w:pStyle w:val="enumlev1"/>
        <w:rPr>
          <w:lang w:val="es-ES_tradnl"/>
        </w:rPr>
      </w:pPr>
      <w:r w:rsidRPr="009960E1">
        <w:rPr>
          <w:lang w:val="es-ES_tradnl"/>
        </w:rPr>
        <w:t>–</w:t>
      </w:r>
      <w:r w:rsidRPr="009960E1">
        <w:rPr>
          <w:lang w:val="es-ES_tradnl"/>
        </w:rPr>
        <w:tab/>
        <w:t>3</w:t>
      </w:r>
      <w:r w:rsidRPr="009960E1">
        <w:rPr>
          <w:lang w:val="es-ES_tradnl"/>
        </w:rPr>
        <w:tab/>
        <w:t xml:space="preserve">Taller de participación de la industria </w:t>
      </w:r>
      <w:r w:rsidR="006E5314" w:rsidRPr="009960E1">
        <w:rPr>
          <w:lang w:val="es-ES_tradnl"/>
        </w:rPr>
        <w:t>–</w:t>
      </w:r>
      <w:r w:rsidRPr="009960E1">
        <w:rPr>
          <w:lang w:val="es-ES_tradnl"/>
        </w:rPr>
        <w:t xml:space="preserve"> Sesión 3</w:t>
      </w:r>
    </w:p>
    <w:p w14:paraId="4E39FF10" w14:textId="3A5226AC" w:rsidR="00CF0CB0" w:rsidRPr="009960E1" w:rsidRDefault="00CF0CB0" w:rsidP="00FC6688">
      <w:pPr>
        <w:pStyle w:val="enumlev1"/>
        <w:rPr>
          <w:lang w:val="es-ES_tradnl"/>
        </w:rPr>
      </w:pPr>
      <w:r w:rsidRPr="009960E1">
        <w:rPr>
          <w:lang w:val="es-ES_tradnl"/>
        </w:rPr>
        <w:t>–</w:t>
      </w:r>
      <w:r w:rsidRPr="009960E1">
        <w:rPr>
          <w:lang w:val="es-ES_tradnl"/>
        </w:rPr>
        <w:tab/>
        <w:t>4</w:t>
      </w:r>
      <w:r w:rsidRPr="009960E1">
        <w:rPr>
          <w:lang w:val="es-ES_tradnl"/>
        </w:rPr>
        <w:tab/>
        <w:t xml:space="preserve">Taller de participación de la industria </w:t>
      </w:r>
      <w:r w:rsidR="006E5314" w:rsidRPr="009960E1">
        <w:rPr>
          <w:lang w:val="es-ES_tradnl"/>
        </w:rPr>
        <w:t>–</w:t>
      </w:r>
      <w:r w:rsidRPr="009960E1">
        <w:rPr>
          <w:lang w:val="es-ES_tradnl"/>
        </w:rPr>
        <w:t xml:space="preserve"> Sesión 4</w:t>
      </w:r>
    </w:p>
    <w:p w14:paraId="21FAEAAC" w14:textId="7C4A3086" w:rsidR="00CF0CB0" w:rsidRPr="009960E1" w:rsidRDefault="00CF0CB0" w:rsidP="00FC6688">
      <w:pPr>
        <w:pStyle w:val="enumlev1"/>
        <w:rPr>
          <w:lang w:val="es-ES_tradnl"/>
        </w:rPr>
      </w:pPr>
      <w:r w:rsidRPr="009960E1">
        <w:rPr>
          <w:lang w:val="es-ES_tradnl"/>
        </w:rPr>
        <w:t>–</w:t>
      </w:r>
      <w:r w:rsidRPr="009960E1">
        <w:rPr>
          <w:lang w:val="es-ES_tradnl"/>
        </w:rPr>
        <w:tab/>
        <w:t>E</w:t>
      </w:r>
      <w:r w:rsidRPr="009960E1">
        <w:rPr>
          <w:lang w:val="es-ES_tradnl"/>
        </w:rPr>
        <w:tab/>
        <w:t xml:space="preserve">Taller de participación de la industria </w:t>
      </w:r>
      <w:r w:rsidR="006E5314" w:rsidRPr="009960E1">
        <w:rPr>
          <w:lang w:val="es-ES_tradnl"/>
        </w:rPr>
        <w:t>–</w:t>
      </w:r>
      <w:r w:rsidRPr="009960E1">
        <w:rPr>
          <w:lang w:val="es-ES_tradnl"/>
        </w:rPr>
        <w:t xml:space="preserve"> Sesión de clausura</w:t>
      </w:r>
    </w:p>
    <w:p w14:paraId="32098481" w14:textId="08064471" w:rsidR="00CF0CB0" w:rsidRPr="009960E1" w:rsidRDefault="00CF0CB0" w:rsidP="00FC6688">
      <w:pPr>
        <w:pStyle w:val="enumlev1"/>
        <w:rPr>
          <w:lang w:val="es-ES_tradnl"/>
        </w:rPr>
      </w:pPr>
      <w:r w:rsidRPr="009960E1">
        <w:rPr>
          <w:lang w:val="es-ES_tradnl"/>
        </w:rPr>
        <w:t>–</w:t>
      </w:r>
      <w:r w:rsidRPr="009960E1">
        <w:rPr>
          <w:lang w:val="es-ES_tradnl"/>
        </w:rPr>
        <w:tab/>
        <w:t>R</w:t>
      </w:r>
      <w:r w:rsidRPr="009960E1">
        <w:rPr>
          <w:lang w:val="es-ES_tradnl"/>
        </w:rPr>
        <w:tab/>
        <w:t xml:space="preserve">Taller de participación de la industria </w:t>
      </w:r>
      <w:r w:rsidR="006E5314" w:rsidRPr="009960E1">
        <w:rPr>
          <w:lang w:val="es-ES_tradnl"/>
        </w:rPr>
        <w:t>–</w:t>
      </w:r>
      <w:r w:rsidRPr="009960E1">
        <w:rPr>
          <w:lang w:val="es-ES_tradnl"/>
        </w:rPr>
        <w:t xml:space="preserve"> Informe</w:t>
      </w:r>
    </w:p>
    <w:p w14:paraId="322D0F4C" w14:textId="77777777" w:rsidR="00CF0CB0" w:rsidRPr="009960E1" w:rsidRDefault="00CF0CB0" w:rsidP="0039798E">
      <w:pPr>
        <w:rPr>
          <w:lang w:val="es-ES_tradnl"/>
        </w:rPr>
      </w:pPr>
      <w:r w:rsidRPr="009960E1">
        <w:rPr>
          <w:lang w:val="es-ES_tradnl"/>
        </w:rPr>
        <w:t>En la columna "Entidad de destino":</w:t>
      </w:r>
    </w:p>
    <w:p w14:paraId="05B0A690" w14:textId="77777777" w:rsidR="00CF0CB0" w:rsidRPr="009960E1" w:rsidRDefault="00CF0CB0" w:rsidP="00FC6688">
      <w:pPr>
        <w:pStyle w:val="enumlev1"/>
        <w:rPr>
          <w:lang w:val="es-ES_tradnl"/>
        </w:rPr>
      </w:pPr>
      <w:r w:rsidRPr="009960E1">
        <w:rPr>
          <w:lang w:val="es-ES_tradnl"/>
        </w:rPr>
        <w:t>–</w:t>
      </w:r>
      <w:r w:rsidRPr="009960E1">
        <w:rPr>
          <w:lang w:val="es-ES_tradnl"/>
        </w:rPr>
        <w:tab/>
        <w:t>La columna "Destino" identifica la entidad que el Comité Directivo del Taller de participación de la industria (IEWSC) podría considerar para actuar sobre la acción propuesta.</w:t>
      </w:r>
    </w:p>
    <w:p w14:paraId="64F28E85" w14:textId="77777777" w:rsidR="00CF0CB0" w:rsidRPr="009960E1" w:rsidRDefault="00CF0CB0" w:rsidP="0039798E">
      <w:pPr>
        <w:rPr>
          <w:lang w:val="es-ES_tradnl"/>
        </w:rPr>
      </w:pPr>
      <w:r w:rsidRPr="009960E1">
        <w:rPr>
          <w:lang w:val="es-ES_tradnl"/>
        </w:rPr>
        <w:t>En la columna "Documento de destino":</w:t>
      </w:r>
    </w:p>
    <w:p w14:paraId="48526499" w14:textId="77777777" w:rsidR="00CF0CB0" w:rsidRPr="009960E1" w:rsidRDefault="00CF0CB0" w:rsidP="00FC6688">
      <w:pPr>
        <w:pStyle w:val="enumlev1"/>
        <w:rPr>
          <w:lang w:val="es-ES_tradnl"/>
        </w:rPr>
      </w:pPr>
      <w:r w:rsidRPr="009960E1">
        <w:rPr>
          <w:lang w:val="es-ES_tradnl"/>
        </w:rPr>
        <w:t>–</w:t>
      </w:r>
      <w:r w:rsidRPr="009960E1">
        <w:rPr>
          <w:lang w:val="es-ES_tradnl"/>
        </w:rPr>
        <w:tab/>
        <w:t>En esta columna se identifica el documento y qué parte del documento debe modificarse mediante la acción propuesta.</w:t>
      </w:r>
    </w:p>
    <w:p w14:paraId="1BEA2B15" w14:textId="19FDBB71" w:rsidR="00CF0CB0" w:rsidRPr="009960E1" w:rsidRDefault="00CF0CB0" w:rsidP="00FC6688">
      <w:pPr>
        <w:pStyle w:val="enumlev1"/>
        <w:rPr>
          <w:lang w:val="es-ES_tradnl"/>
        </w:rPr>
      </w:pPr>
      <w:r w:rsidRPr="009960E1">
        <w:rPr>
          <w:lang w:val="es-ES_tradnl"/>
        </w:rPr>
        <w:t>–</w:t>
      </w:r>
      <w:r w:rsidRPr="009960E1">
        <w:rPr>
          <w:lang w:val="es-ES_tradnl"/>
        </w:rPr>
        <w:tab/>
        <w:t xml:space="preserve">La </w:t>
      </w:r>
      <w:r w:rsidR="00B26D7D">
        <w:rPr>
          <w:lang w:val="es-ES_tradnl"/>
        </w:rPr>
        <w:t>"</w:t>
      </w:r>
      <w:r w:rsidRPr="009960E1">
        <w:rPr>
          <w:lang w:val="es-ES_tradnl"/>
        </w:rPr>
        <w:t>etiqueta</w:t>
      </w:r>
      <w:r w:rsidR="00B26D7D">
        <w:rPr>
          <w:lang w:val="es-ES_tradnl"/>
        </w:rPr>
        <w:t>"</w:t>
      </w:r>
      <w:r w:rsidRPr="009960E1">
        <w:rPr>
          <w:lang w:val="es-ES_tradnl"/>
        </w:rPr>
        <w:t xml:space="preserve"> de la forma APx.yy se refiere a un identificador de punto de acción en la cláusula 4 del Plan de Acción para la Participación de la Industria en el Documento</w:t>
      </w:r>
      <w:r w:rsidR="00FC6688" w:rsidRPr="009960E1">
        <w:rPr>
          <w:lang w:val="es-ES_tradnl"/>
        </w:rPr>
        <w:t> </w:t>
      </w:r>
      <w:hyperlink r:id="rId142" w:history="1">
        <w:r w:rsidRPr="009960E1">
          <w:rPr>
            <w:rStyle w:val="Hyperlink"/>
            <w:lang w:val="es-ES_tradnl"/>
          </w:rPr>
          <w:t>TSAG-TD256</w:t>
        </w:r>
      </w:hyperlink>
      <w:r w:rsidRPr="009960E1">
        <w:rPr>
          <w:lang w:val="es-ES_tradnl"/>
        </w:rPr>
        <w:t>.</w:t>
      </w:r>
    </w:p>
    <w:p w14:paraId="37C85239" w14:textId="7B107F5E" w:rsidR="000F2B2B" w:rsidRPr="009960E1" w:rsidRDefault="000F2B2B" w:rsidP="00FC6688">
      <w:pPr>
        <w:pStyle w:val="enumlev1"/>
        <w:rPr>
          <w:lang w:val="es-ES_tradnl"/>
        </w:rPr>
      </w:pPr>
      <w:r w:rsidRPr="009960E1">
        <w:rPr>
          <w:lang w:val="es-ES_tradnl"/>
        </w:rPr>
        <w:br w:type="page"/>
      </w:r>
    </w:p>
    <w:p w14:paraId="018394E2" w14:textId="714B04EE" w:rsidR="00CF0CB0" w:rsidRPr="009960E1" w:rsidRDefault="00DE5034" w:rsidP="00CF0CB0">
      <w:pPr>
        <w:pStyle w:val="TableNotitle"/>
        <w:rPr>
          <w:lang w:val="es-ES_tradnl"/>
        </w:rPr>
      </w:pPr>
      <w:r w:rsidRPr="009960E1">
        <w:rPr>
          <w:b w:val="0"/>
          <w:lang w:val="es-ES_tradnl"/>
        </w:rPr>
        <w:lastRenderedPageBreak/>
        <w:t xml:space="preserve">CUADRO </w:t>
      </w:r>
      <w:r w:rsidR="00CF0CB0" w:rsidRPr="009960E1">
        <w:rPr>
          <w:b w:val="0"/>
          <w:lang w:val="es-ES_tradnl"/>
        </w:rPr>
        <w:t>3.14</w:t>
      </w:r>
      <w:r w:rsidR="000F2B2B" w:rsidRPr="009960E1">
        <w:rPr>
          <w:bCs/>
          <w:lang w:val="es-ES_tradnl"/>
        </w:rPr>
        <w:br/>
      </w:r>
      <w:r w:rsidR="00CF0CB0" w:rsidRPr="009960E1">
        <w:rPr>
          <w:bCs/>
          <w:lang w:val="es-ES_tradnl"/>
        </w:rPr>
        <w:t>Posibles medidas y consideraciones</w:t>
      </w:r>
    </w:p>
    <w:tbl>
      <w:tblPr>
        <w:tblStyle w:val="TableGrid"/>
        <w:tblW w:w="0" w:type="auto"/>
        <w:tblInd w:w="0" w:type="dxa"/>
        <w:tblLayout w:type="fixed"/>
        <w:tblLook w:val="04A0" w:firstRow="1" w:lastRow="0" w:firstColumn="1" w:lastColumn="0" w:noHBand="0" w:noVBand="1"/>
      </w:tblPr>
      <w:tblGrid>
        <w:gridCol w:w="421"/>
        <w:gridCol w:w="1645"/>
        <w:gridCol w:w="294"/>
        <w:gridCol w:w="266"/>
        <w:gridCol w:w="266"/>
        <w:gridCol w:w="289"/>
        <w:gridCol w:w="266"/>
        <w:gridCol w:w="283"/>
        <w:gridCol w:w="332"/>
        <w:gridCol w:w="2029"/>
        <w:gridCol w:w="992"/>
        <w:gridCol w:w="1183"/>
        <w:gridCol w:w="1363"/>
      </w:tblGrid>
      <w:tr w:rsidR="00DE5034" w:rsidRPr="009960E1" w14:paraId="0BC30E04" w14:textId="77777777" w:rsidTr="00D2751D">
        <w:tc>
          <w:tcPr>
            <w:tcW w:w="421" w:type="dxa"/>
            <w:vMerge w:val="restart"/>
            <w:tcBorders>
              <w:top w:val="single" w:sz="4" w:space="0" w:color="auto"/>
              <w:left w:val="single" w:sz="4" w:space="0" w:color="auto"/>
              <w:right w:val="single" w:sz="4" w:space="0" w:color="auto"/>
            </w:tcBorders>
            <w:hideMark/>
          </w:tcPr>
          <w:p w14:paraId="2FF343D2" w14:textId="7AC81D3E" w:rsidR="00DE5034" w:rsidRPr="009960E1" w:rsidRDefault="00DE5034" w:rsidP="000F2B2B">
            <w:pPr>
              <w:pStyle w:val="Tablehead"/>
              <w:rPr>
                <w:sz w:val="16"/>
                <w:szCs w:val="16"/>
                <w:lang w:val="es-ES_tradnl"/>
              </w:rPr>
            </w:pPr>
            <w:r w:rsidRPr="009960E1">
              <w:rPr>
                <w:sz w:val="16"/>
                <w:szCs w:val="16"/>
                <w:lang w:val="es-ES_tradnl"/>
              </w:rPr>
              <w:t>Nº</w:t>
            </w:r>
          </w:p>
        </w:tc>
        <w:tc>
          <w:tcPr>
            <w:tcW w:w="1645" w:type="dxa"/>
            <w:vMerge w:val="restart"/>
            <w:tcBorders>
              <w:top w:val="single" w:sz="4" w:space="0" w:color="auto"/>
              <w:left w:val="single" w:sz="4" w:space="0" w:color="auto"/>
              <w:right w:val="single" w:sz="4" w:space="0" w:color="auto"/>
            </w:tcBorders>
            <w:hideMark/>
          </w:tcPr>
          <w:p w14:paraId="227D9F17" w14:textId="77777777" w:rsidR="00DE5034" w:rsidRPr="009960E1" w:rsidRDefault="00DE5034" w:rsidP="000F2B2B">
            <w:pPr>
              <w:pStyle w:val="Tablehead"/>
              <w:rPr>
                <w:sz w:val="16"/>
                <w:szCs w:val="16"/>
                <w:lang w:val="es-ES_tradnl"/>
              </w:rPr>
            </w:pPr>
            <w:r w:rsidRPr="009960E1">
              <w:rPr>
                <w:sz w:val="16"/>
                <w:szCs w:val="16"/>
                <w:lang w:val="es-ES_tradnl"/>
              </w:rPr>
              <w:t>Punto que debe considerarse</w:t>
            </w:r>
          </w:p>
        </w:tc>
        <w:tc>
          <w:tcPr>
            <w:tcW w:w="1996" w:type="dxa"/>
            <w:gridSpan w:val="7"/>
            <w:tcBorders>
              <w:top w:val="single" w:sz="4" w:space="0" w:color="auto"/>
              <w:left w:val="single" w:sz="4" w:space="0" w:color="auto"/>
              <w:bottom w:val="single" w:sz="4" w:space="0" w:color="auto"/>
              <w:right w:val="single" w:sz="4" w:space="0" w:color="auto"/>
            </w:tcBorders>
            <w:hideMark/>
          </w:tcPr>
          <w:p w14:paraId="484D057E" w14:textId="77777777" w:rsidR="00DE5034" w:rsidRPr="009960E1" w:rsidRDefault="00DE5034" w:rsidP="000F2B2B">
            <w:pPr>
              <w:pStyle w:val="Tablehead"/>
              <w:rPr>
                <w:sz w:val="16"/>
                <w:szCs w:val="16"/>
                <w:lang w:val="es-ES_tradnl"/>
              </w:rPr>
            </w:pPr>
            <w:r w:rsidRPr="009960E1">
              <w:rPr>
                <w:sz w:val="16"/>
                <w:szCs w:val="16"/>
                <w:lang w:val="es-ES_tradnl"/>
              </w:rPr>
              <w:t>Origen de la sesión</w:t>
            </w:r>
          </w:p>
        </w:tc>
        <w:tc>
          <w:tcPr>
            <w:tcW w:w="2029" w:type="dxa"/>
            <w:vMerge w:val="restart"/>
            <w:tcBorders>
              <w:top w:val="single" w:sz="4" w:space="0" w:color="auto"/>
              <w:left w:val="single" w:sz="4" w:space="0" w:color="auto"/>
              <w:right w:val="single" w:sz="4" w:space="0" w:color="auto"/>
            </w:tcBorders>
            <w:hideMark/>
          </w:tcPr>
          <w:p w14:paraId="4DD88395" w14:textId="77777777" w:rsidR="00DE5034" w:rsidRPr="009960E1" w:rsidRDefault="00DE5034" w:rsidP="000F2B2B">
            <w:pPr>
              <w:pStyle w:val="Tablehead"/>
              <w:rPr>
                <w:sz w:val="16"/>
                <w:szCs w:val="16"/>
                <w:lang w:val="es-ES_tradnl"/>
              </w:rPr>
            </w:pPr>
            <w:r w:rsidRPr="009960E1">
              <w:rPr>
                <w:sz w:val="16"/>
                <w:szCs w:val="16"/>
                <w:lang w:val="es-ES_tradnl"/>
              </w:rPr>
              <w:t>Acción propuesta</w:t>
            </w:r>
          </w:p>
        </w:tc>
        <w:tc>
          <w:tcPr>
            <w:tcW w:w="992" w:type="dxa"/>
            <w:vMerge w:val="restart"/>
            <w:tcBorders>
              <w:top w:val="single" w:sz="4" w:space="0" w:color="auto"/>
              <w:left w:val="single" w:sz="4" w:space="0" w:color="auto"/>
              <w:right w:val="single" w:sz="4" w:space="0" w:color="auto"/>
            </w:tcBorders>
            <w:hideMark/>
          </w:tcPr>
          <w:p w14:paraId="063CD455" w14:textId="3FD102A7" w:rsidR="00DE5034" w:rsidRPr="009960E1" w:rsidRDefault="00DE5034" w:rsidP="000F2B2B">
            <w:pPr>
              <w:pStyle w:val="Tablehead"/>
              <w:rPr>
                <w:sz w:val="16"/>
                <w:szCs w:val="16"/>
                <w:lang w:val="es-ES_tradnl"/>
              </w:rPr>
            </w:pPr>
            <w:r w:rsidRPr="009960E1">
              <w:rPr>
                <w:sz w:val="16"/>
                <w:szCs w:val="16"/>
                <w:lang w:val="es-ES_tradnl"/>
              </w:rPr>
              <w:t>Entidad de destino</w:t>
            </w:r>
          </w:p>
        </w:tc>
        <w:tc>
          <w:tcPr>
            <w:tcW w:w="1183" w:type="dxa"/>
            <w:vMerge w:val="restart"/>
            <w:tcBorders>
              <w:top w:val="single" w:sz="4" w:space="0" w:color="auto"/>
              <w:left w:val="single" w:sz="4" w:space="0" w:color="auto"/>
              <w:right w:val="single" w:sz="4" w:space="0" w:color="auto"/>
            </w:tcBorders>
            <w:hideMark/>
          </w:tcPr>
          <w:p w14:paraId="66AA7540" w14:textId="77777777" w:rsidR="00DE5034" w:rsidRPr="009960E1" w:rsidRDefault="00DE5034" w:rsidP="000F2B2B">
            <w:pPr>
              <w:pStyle w:val="Tablehead"/>
              <w:rPr>
                <w:sz w:val="16"/>
                <w:szCs w:val="16"/>
                <w:lang w:val="es-ES_tradnl"/>
              </w:rPr>
            </w:pPr>
            <w:r w:rsidRPr="009960E1">
              <w:rPr>
                <w:sz w:val="16"/>
                <w:szCs w:val="16"/>
                <w:lang w:val="es-ES_tradnl"/>
              </w:rPr>
              <w:t>Documento de destino</w:t>
            </w:r>
          </w:p>
        </w:tc>
        <w:tc>
          <w:tcPr>
            <w:tcW w:w="1363" w:type="dxa"/>
            <w:vMerge w:val="restart"/>
            <w:tcBorders>
              <w:top w:val="single" w:sz="4" w:space="0" w:color="auto"/>
              <w:left w:val="single" w:sz="4" w:space="0" w:color="auto"/>
              <w:right w:val="single" w:sz="4" w:space="0" w:color="auto"/>
            </w:tcBorders>
            <w:hideMark/>
          </w:tcPr>
          <w:p w14:paraId="3461172E" w14:textId="77777777" w:rsidR="00DE5034" w:rsidRPr="009960E1" w:rsidRDefault="00DE5034" w:rsidP="000F2B2B">
            <w:pPr>
              <w:pStyle w:val="Tablehead"/>
              <w:rPr>
                <w:sz w:val="16"/>
                <w:szCs w:val="16"/>
                <w:lang w:val="es-ES_tradnl"/>
              </w:rPr>
            </w:pPr>
            <w:r w:rsidRPr="009960E1">
              <w:rPr>
                <w:sz w:val="16"/>
                <w:szCs w:val="16"/>
                <w:lang w:val="es-ES_tradnl"/>
              </w:rPr>
              <w:t>Comentarios</w:t>
            </w:r>
          </w:p>
        </w:tc>
      </w:tr>
      <w:tr w:rsidR="00DE5034" w:rsidRPr="009960E1" w14:paraId="04314E87" w14:textId="77777777" w:rsidTr="00D2751D">
        <w:tc>
          <w:tcPr>
            <w:tcW w:w="421" w:type="dxa"/>
            <w:vMerge/>
            <w:tcBorders>
              <w:left w:val="single" w:sz="4" w:space="0" w:color="auto"/>
              <w:bottom w:val="single" w:sz="4" w:space="0" w:color="auto"/>
              <w:right w:val="single" w:sz="4" w:space="0" w:color="auto"/>
            </w:tcBorders>
          </w:tcPr>
          <w:p w14:paraId="54FD5BCF" w14:textId="77777777" w:rsidR="00DE5034" w:rsidRPr="009960E1" w:rsidRDefault="00DE5034" w:rsidP="00F27F0E">
            <w:pPr>
              <w:spacing w:before="40" w:after="40"/>
              <w:rPr>
                <w:b/>
                <w:bCs/>
                <w:sz w:val="16"/>
                <w:szCs w:val="16"/>
                <w:lang w:val="es-ES_tradnl"/>
              </w:rPr>
            </w:pPr>
          </w:p>
        </w:tc>
        <w:tc>
          <w:tcPr>
            <w:tcW w:w="1645" w:type="dxa"/>
            <w:vMerge/>
            <w:tcBorders>
              <w:left w:val="single" w:sz="4" w:space="0" w:color="auto"/>
              <w:bottom w:val="single" w:sz="4" w:space="0" w:color="auto"/>
              <w:right w:val="single" w:sz="4" w:space="0" w:color="auto"/>
            </w:tcBorders>
          </w:tcPr>
          <w:p w14:paraId="16B8026C" w14:textId="77777777" w:rsidR="00DE5034" w:rsidRPr="009960E1" w:rsidRDefault="00DE5034" w:rsidP="00F27F0E">
            <w:pPr>
              <w:spacing w:before="40" w:after="40"/>
              <w:rPr>
                <w:b/>
                <w:bCs/>
                <w:sz w:val="16"/>
                <w:szCs w:val="16"/>
                <w:lang w:val="es-ES_tradnl"/>
              </w:rPr>
            </w:pPr>
          </w:p>
        </w:tc>
        <w:tc>
          <w:tcPr>
            <w:tcW w:w="294" w:type="dxa"/>
            <w:tcBorders>
              <w:top w:val="single" w:sz="4" w:space="0" w:color="auto"/>
              <w:left w:val="single" w:sz="4" w:space="0" w:color="auto"/>
              <w:bottom w:val="single" w:sz="4" w:space="0" w:color="auto"/>
              <w:right w:val="single" w:sz="4" w:space="0" w:color="auto"/>
            </w:tcBorders>
            <w:hideMark/>
          </w:tcPr>
          <w:p w14:paraId="2C41A421" w14:textId="77777777" w:rsidR="00DE5034" w:rsidRPr="009960E1" w:rsidRDefault="00DE5034" w:rsidP="000F2B2B">
            <w:pPr>
              <w:pStyle w:val="Tablehead"/>
              <w:rPr>
                <w:sz w:val="16"/>
                <w:szCs w:val="16"/>
                <w:lang w:val="es-ES_tradnl"/>
              </w:rPr>
            </w:pPr>
            <w:r w:rsidRPr="009960E1">
              <w:rPr>
                <w:sz w:val="16"/>
                <w:szCs w:val="16"/>
                <w:lang w:val="es-ES_tradnl"/>
              </w:rPr>
              <w:t>K</w:t>
            </w:r>
          </w:p>
        </w:tc>
        <w:tc>
          <w:tcPr>
            <w:tcW w:w="266" w:type="dxa"/>
            <w:tcBorders>
              <w:top w:val="single" w:sz="4" w:space="0" w:color="auto"/>
              <w:left w:val="single" w:sz="4" w:space="0" w:color="auto"/>
              <w:bottom w:val="single" w:sz="4" w:space="0" w:color="auto"/>
              <w:right w:val="single" w:sz="4" w:space="0" w:color="auto"/>
            </w:tcBorders>
            <w:hideMark/>
          </w:tcPr>
          <w:p w14:paraId="6D4256FC" w14:textId="77777777" w:rsidR="00DE5034" w:rsidRPr="009960E1" w:rsidRDefault="00DE5034" w:rsidP="000F2B2B">
            <w:pPr>
              <w:pStyle w:val="Tablehead"/>
              <w:rPr>
                <w:sz w:val="16"/>
                <w:szCs w:val="16"/>
                <w:lang w:val="es-ES_tradnl"/>
              </w:rPr>
            </w:pPr>
            <w:r w:rsidRPr="009960E1">
              <w:rPr>
                <w:sz w:val="16"/>
                <w:szCs w:val="16"/>
                <w:lang w:val="es-ES_tradnl"/>
              </w:rPr>
              <w:t>1</w:t>
            </w:r>
          </w:p>
        </w:tc>
        <w:tc>
          <w:tcPr>
            <w:tcW w:w="266" w:type="dxa"/>
            <w:tcBorders>
              <w:top w:val="single" w:sz="4" w:space="0" w:color="auto"/>
              <w:left w:val="single" w:sz="4" w:space="0" w:color="auto"/>
              <w:bottom w:val="single" w:sz="4" w:space="0" w:color="auto"/>
              <w:right w:val="single" w:sz="4" w:space="0" w:color="auto"/>
            </w:tcBorders>
            <w:hideMark/>
          </w:tcPr>
          <w:p w14:paraId="250FE8F3" w14:textId="77777777" w:rsidR="00DE5034" w:rsidRPr="009960E1" w:rsidRDefault="00DE5034" w:rsidP="000F2B2B">
            <w:pPr>
              <w:pStyle w:val="Tablehead"/>
              <w:rPr>
                <w:sz w:val="16"/>
                <w:szCs w:val="16"/>
                <w:lang w:val="es-ES_tradnl"/>
              </w:rPr>
            </w:pPr>
            <w:r w:rsidRPr="009960E1">
              <w:rPr>
                <w:sz w:val="16"/>
                <w:szCs w:val="16"/>
                <w:lang w:val="es-ES_tradnl"/>
              </w:rPr>
              <w:t>2</w:t>
            </w:r>
          </w:p>
        </w:tc>
        <w:tc>
          <w:tcPr>
            <w:tcW w:w="289" w:type="dxa"/>
            <w:tcBorders>
              <w:top w:val="single" w:sz="4" w:space="0" w:color="auto"/>
              <w:left w:val="single" w:sz="4" w:space="0" w:color="auto"/>
              <w:bottom w:val="single" w:sz="4" w:space="0" w:color="auto"/>
              <w:right w:val="single" w:sz="4" w:space="0" w:color="auto"/>
            </w:tcBorders>
            <w:hideMark/>
          </w:tcPr>
          <w:p w14:paraId="6E687F3A" w14:textId="77777777" w:rsidR="00DE5034" w:rsidRPr="009960E1" w:rsidRDefault="00DE5034" w:rsidP="000F2B2B">
            <w:pPr>
              <w:pStyle w:val="Tablehead"/>
              <w:rPr>
                <w:sz w:val="16"/>
                <w:szCs w:val="16"/>
                <w:lang w:val="es-ES_tradnl"/>
              </w:rPr>
            </w:pPr>
            <w:r w:rsidRPr="009960E1">
              <w:rPr>
                <w:sz w:val="16"/>
                <w:szCs w:val="16"/>
                <w:lang w:val="es-ES_tradnl"/>
              </w:rPr>
              <w:t>3</w:t>
            </w:r>
          </w:p>
        </w:tc>
        <w:tc>
          <w:tcPr>
            <w:tcW w:w="266" w:type="dxa"/>
            <w:tcBorders>
              <w:top w:val="single" w:sz="4" w:space="0" w:color="auto"/>
              <w:left w:val="single" w:sz="4" w:space="0" w:color="auto"/>
              <w:bottom w:val="single" w:sz="4" w:space="0" w:color="auto"/>
              <w:right w:val="single" w:sz="4" w:space="0" w:color="auto"/>
            </w:tcBorders>
            <w:hideMark/>
          </w:tcPr>
          <w:p w14:paraId="39E5C2D1" w14:textId="77777777" w:rsidR="00DE5034" w:rsidRPr="009960E1" w:rsidRDefault="00DE5034" w:rsidP="000F2B2B">
            <w:pPr>
              <w:pStyle w:val="Tablehead"/>
              <w:rPr>
                <w:sz w:val="16"/>
                <w:szCs w:val="16"/>
                <w:lang w:val="es-ES_tradnl"/>
              </w:rPr>
            </w:pPr>
            <w:r w:rsidRPr="009960E1">
              <w:rPr>
                <w:sz w:val="16"/>
                <w:szCs w:val="16"/>
                <w:lang w:val="es-ES_tradnl"/>
              </w:rPr>
              <w:t>4</w:t>
            </w:r>
          </w:p>
        </w:tc>
        <w:tc>
          <w:tcPr>
            <w:tcW w:w="283" w:type="dxa"/>
            <w:tcBorders>
              <w:top w:val="single" w:sz="4" w:space="0" w:color="auto"/>
              <w:left w:val="single" w:sz="4" w:space="0" w:color="auto"/>
              <w:bottom w:val="single" w:sz="4" w:space="0" w:color="auto"/>
              <w:right w:val="single" w:sz="4" w:space="0" w:color="auto"/>
            </w:tcBorders>
            <w:hideMark/>
          </w:tcPr>
          <w:p w14:paraId="3E6F9162" w14:textId="77777777" w:rsidR="00DE5034" w:rsidRPr="009960E1" w:rsidRDefault="00DE5034" w:rsidP="000F2B2B">
            <w:pPr>
              <w:pStyle w:val="Tablehead"/>
              <w:rPr>
                <w:sz w:val="16"/>
                <w:szCs w:val="16"/>
                <w:lang w:val="es-ES_tradnl"/>
              </w:rPr>
            </w:pPr>
            <w:r w:rsidRPr="009960E1">
              <w:rPr>
                <w:sz w:val="16"/>
                <w:szCs w:val="16"/>
                <w:lang w:val="es-ES_tradnl"/>
              </w:rPr>
              <w:t>E</w:t>
            </w:r>
          </w:p>
        </w:tc>
        <w:tc>
          <w:tcPr>
            <w:tcW w:w="332" w:type="dxa"/>
            <w:tcBorders>
              <w:top w:val="single" w:sz="4" w:space="0" w:color="auto"/>
              <w:left w:val="single" w:sz="4" w:space="0" w:color="auto"/>
              <w:bottom w:val="single" w:sz="4" w:space="0" w:color="auto"/>
              <w:right w:val="single" w:sz="4" w:space="0" w:color="auto"/>
            </w:tcBorders>
            <w:hideMark/>
          </w:tcPr>
          <w:p w14:paraId="5929450D" w14:textId="77777777" w:rsidR="00DE5034" w:rsidRPr="009960E1" w:rsidRDefault="00DE5034" w:rsidP="000F2B2B">
            <w:pPr>
              <w:pStyle w:val="Tablehead"/>
              <w:rPr>
                <w:sz w:val="16"/>
                <w:szCs w:val="16"/>
                <w:lang w:val="es-ES_tradnl"/>
              </w:rPr>
            </w:pPr>
            <w:r w:rsidRPr="009960E1">
              <w:rPr>
                <w:sz w:val="16"/>
                <w:szCs w:val="16"/>
                <w:lang w:val="es-ES_tradnl"/>
              </w:rPr>
              <w:t>R</w:t>
            </w:r>
          </w:p>
        </w:tc>
        <w:tc>
          <w:tcPr>
            <w:tcW w:w="2029" w:type="dxa"/>
            <w:vMerge/>
            <w:tcBorders>
              <w:left w:val="single" w:sz="4" w:space="0" w:color="auto"/>
              <w:bottom w:val="single" w:sz="4" w:space="0" w:color="auto"/>
              <w:right w:val="single" w:sz="4" w:space="0" w:color="auto"/>
            </w:tcBorders>
          </w:tcPr>
          <w:p w14:paraId="1F4AE582" w14:textId="77777777" w:rsidR="00DE5034" w:rsidRPr="009960E1" w:rsidRDefault="00DE5034" w:rsidP="00F27F0E">
            <w:pPr>
              <w:spacing w:before="40" w:after="40"/>
              <w:rPr>
                <w:b/>
                <w:bCs/>
                <w:sz w:val="16"/>
                <w:szCs w:val="16"/>
                <w:lang w:val="es-ES_tradnl"/>
              </w:rPr>
            </w:pPr>
          </w:p>
        </w:tc>
        <w:tc>
          <w:tcPr>
            <w:tcW w:w="992" w:type="dxa"/>
            <w:vMerge/>
            <w:tcBorders>
              <w:left w:val="single" w:sz="4" w:space="0" w:color="auto"/>
              <w:bottom w:val="single" w:sz="4" w:space="0" w:color="auto"/>
              <w:right w:val="single" w:sz="4" w:space="0" w:color="auto"/>
            </w:tcBorders>
          </w:tcPr>
          <w:p w14:paraId="17536147" w14:textId="77777777" w:rsidR="00DE5034" w:rsidRPr="009960E1" w:rsidRDefault="00DE5034" w:rsidP="00F27F0E">
            <w:pPr>
              <w:spacing w:before="40" w:after="40"/>
              <w:rPr>
                <w:b/>
                <w:bCs/>
                <w:sz w:val="16"/>
                <w:szCs w:val="16"/>
                <w:lang w:val="es-ES_tradnl"/>
              </w:rPr>
            </w:pPr>
          </w:p>
        </w:tc>
        <w:tc>
          <w:tcPr>
            <w:tcW w:w="1183" w:type="dxa"/>
            <w:vMerge/>
            <w:tcBorders>
              <w:left w:val="single" w:sz="4" w:space="0" w:color="auto"/>
              <w:bottom w:val="single" w:sz="4" w:space="0" w:color="auto"/>
              <w:right w:val="single" w:sz="4" w:space="0" w:color="auto"/>
            </w:tcBorders>
          </w:tcPr>
          <w:p w14:paraId="74C7AB58" w14:textId="77777777" w:rsidR="00DE5034" w:rsidRPr="009960E1" w:rsidRDefault="00DE5034" w:rsidP="00F27F0E">
            <w:pPr>
              <w:spacing w:before="40" w:after="40"/>
              <w:rPr>
                <w:b/>
                <w:bCs/>
                <w:sz w:val="16"/>
                <w:szCs w:val="16"/>
                <w:lang w:val="es-ES_tradnl"/>
              </w:rPr>
            </w:pPr>
          </w:p>
        </w:tc>
        <w:tc>
          <w:tcPr>
            <w:tcW w:w="1363" w:type="dxa"/>
            <w:vMerge/>
            <w:tcBorders>
              <w:left w:val="single" w:sz="4" w:space="0" w:color="auto"/>
              <w:bottom w:val="single" w:sz="4" w:space="0" w:color="auto"/>
              <w:right w:val="single" w:sz="4" w:space="0" w:color="auto"/>
            </w:tcBorders>
          </w:tcPr>
          <w:p w14:paraId="2B0544E8" w14:textId="77777777" w:rsidR="00DE5034" w:rsidRPr="009960E1" w:rsidRDefault="00DE5034" w:rsidP="00F27F0E">
            <w:pPr>
              <w:spacing w:before="40" w:after="40"/>
              <w:rPr>
                <w:b/>
                <w:bCs/>
                <w:sz w:val="16"/>
                <w:szCs w:val="16"/>
                <w:lang w:val="es-ES_tradnl"/>
              </w:rPr>
            </w:pPr>
          </w:p>
        </w:tc>
      </w:tr>
      <w:tr w:rsidR="00CF0CB0" w:rsidRPr="00A7143D" w14:paraId="04753BBE"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729E4723" w14:textId="77777777" w:rsidR="00CF0CB0" w:rsidRPr="009960E1" w:rsidRDefault="00CF0CB0" w:rsidP="000F2B2B">
            <w:pPr>
              <w:pStyle w:val="Tabletext"/>
              <w:rPr>
                <w:sz w:val="16"/>
                <w:szCs w:val="16"/>
                <w:lang w:val="es-ES_tradnl"/>
              </w:rPr>
            </w:pPr>
            <w:r w:rsidRPr="009960E1">
              <w:rPr>
                <w:sz w:val="16"/>
                <w:szCs w:val="16"/>
                <w:lang w:val="es-ES_tradnl"/>
              </w:rPr>
              <w:t>01</w:t>
            </w:r>
          </w:p>
        </w:tc>
        <w:tc>
          <w:tcPr>
            <w:tcW w:w="1645" w:type="dxa"/>
            <w:tcBorders>
              <w:top w:val="single" w:sz="4" w:space="0" w:color="auto"/>
              <w:left w:val="single" w:sz="4" w:space="0" w:color="auto"/>
              <w:bottom w:val="single" w:sz="4" w:space="0" w:color="auto"/>
              <w:right w:val="single" w:sz="4" w:space="0" w:color="auto"/>
            </w:tcBorders>
            <w:hideMark/>
          </w:tcPr>
          <w:p w14:paraId="3D1C0F76" w14:textId="0FB44292" w:rsidR="00CF0CB0" w:rsidRPr="009960E1" w:rsidRDefault="00CF0CB0" w:rsidP="000F2B2B">
            <w:pPr>
              <w:pStyle w:val="Tabletext"/>
              <w:rPr>
                <w:sz w:val="16"/>
                <w:szCs w:val="16"/>
                <w:lang w:val="es-ES_tradnl"/>
              </w:rPr>
            </w:pPr>
            <w:r w:rsidRPr="009960E1">
              <w:rPr>
                <w:sz w:val="16"/>
                <w:szCs w:val="16"/>
                <w:lang w:val="es-ES_tradnl"/>
              </w:rPr>
              <w:t xml:space="preserve">El proceso del UIT-T puede ser demasiado lento y estar desalineado con las nuevas metodologías ágiles más allá de las aplicaciones de </w:t>
            </w:r>
            <w:r w:rsidRPr="00D15FEC">
              <w:rPr>
                <w:i/>
                <w:iCs/>
                <w:sz w:val="16"/>
                <w:szCs w:val="16"/>
                <w:lang w:val="es-ES_tradnl"/>
              </w:rPr>
              <w:t>software</w:t>
            </w:r>
            <w:r w:rsidRPr="009960E1">
              <w:rPr>
                <w:sz w:val="16"/>
                <w:szCs w:val="16"/>
                <w:lang w:val="es-ES_tradnl"/>
              </w:rPr>
              <w:t>, lo que puede suponer un obstáculo para atraer a la próxima generación.</w:t>
            </w:r>
          </w:p>
        </w:tc>
        <w:tc>
          <w:tcPr>
            <w:tcW w:w="294" w:type="dxa"/>
            <w:tcBorders>
              <w:top w:val="single" w:sz="4" w:space="0" w:color="auto"/>
              <w:left w:val="single" w:sz="4" w:space="0" w:color="auto"/>
              <w:bottom w:val="single" w:sz="4" w:space="0" w:color="auto"/>
              <w:right w:val="single" w:sz="4" w:space="0" w:color="auto"/>
            </w:tcBorders>
          </w:tcPr>
          <w:p w14:paraId="788A048B"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hideMark/>
          </w:tcPr>
          <w:p w14:paraId="61DD512A" w14:textId="75DA4BF8" w:rsidR="00CF0CB0" w:rsidRPr="009960E1" w:rsidRDefault="0018267A" w:rsidP="000F2B2B">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027F9E17" w14:textId="77777777" w:rsidR="00CF0CB0" w:rsidRPr="009960E1" w:rsidRDefault="00CF0CB0" w:rsidP="000F2B2B">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74E0860F" w14:textId="134911D8" w:rsidR="00CF0CB0" w:rsidRPr="009960E1" w:rsidRDefault="0018267A" w:rsidP="000F2B2B">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6483E602" w14:textId="77777777" w:rsidR="00CF0CB0" w:rsidRPr="009960E1" w:rsidRDefault="00CF0CB0" w:rsidP="000F2B2B">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331BD589" w14:textId="77777777" w:rsidR="00CF0CB0" w:rsidRPr="009960E1" w:rsidRDefault="00CF0CB0" w:rsidP="000F2B2B">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4DDBB772" w14:textId="6ED3C92A" w:rsidR="00CF0CB0" w:rsidRPr="009960E1" w:rsidRDefault="0018267A" w:rsidP="000F2B2B">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01195F9E" w14:textId="77777777" w:rsidR="00CF0CB0" w:rsidRPr="009960E1" w:rsidRDefault="00CF0CB0" w:rsidP="000F2B2B">
            <w:pPr>
              <w:pStyle w:val="Tabletext"/>
              <w:rPr>
                <w:sz w:val="16"/>
                <w:szCs w:val="16"/>
                <w:lang w:val="es-ES_tradnl"/>
              </w:rPr>
            </w:pPr>
            <w:r w:rsidRPr="009960E1">
              <w:rPr>
                <w:sz w:val="16"/>
                <w:szCs w:val="16"/>
                <w:lang w:val="es-ES_tradnl"/>
              </w:rPr>
              <w:t>Investigar nuevas metodologías, por ejemplo, metodologías ágiles, y evaluar si pueden ser un factor de éxito para atraer a la próxima generación y mejorar la eficiencia.</w:t>
            </w:r>
          </w:p>
        </w:tc>
        <w:tc>
          <w:tcPr>
            <w:tcW w:w="992" w:type="dxa"/>
            <w:tcBorders>
              <w:top w:val="single" w:sz="4" w:space="0" w:color="auto"/>
              <w:left w:val="single" w:sz="4" w:space="0" w:color="auto"/>
              <w:bottom w:val="single" w:sz="4" w:space="0" w:color="auto"/>
              <w:right w:val="single" w:sz="4" w:space="0" w:color="auto"/>
            </w:tcBorders>
            <w:hideMark/>
          </w:tcPr>
          <w:p w14:paraId="4575E3A6" w14:textId="77777777" w:rsidR="00CF0CB0" w:rsidRPr="001D1703" w:rsidRDefault="00CF0CB0" w:rsidP="000F2B2B">
            <w:pPr>
              <w:pStyle w:val="Tabletext"/>
              <w:rPr>
                <w:sz w:val="16"/>
                <w:szCs w:val="16"/>
                <w:lang w:val="en-US"/>
              </w:rPr>
            </w:pPr>
            <w:r w:rsidRPr="001D1703">
              <w:rPr>
                <w:sz w:val="16"/>
                <w:szCs w:val="16"/>
                <w:lang w:val="en-US"/>
              </w:rPr>
              <w:t>RG-IEM, RG-WM, TSB</w:t>
            </w:r>
          </w:p>
        </w:tc>
        <w:tc>
          <w:tcPr>
            <w:tcW w:w="1183" w:type="dxa"/>
            <w:tcBorders>
              <w:top w:val="single" w:sz="4" w:space="0" w:color="auto"/>
              <w:left w:val="single" w:sz="4" w:space="0" w:color="auto"/>
              <w:bottom w:val="single" w:sz="4" w:space="0" w:color="auto"/>
              <w:right w:val="single" w:sz="4" w:space="0" w:color="auto"/>
            </w:tcBorders>
          </w:tcPr>
          <w:p w14:paraId="01EDA58C" w14:textId="52FA46C7" w:rsidR="00CF0CB0" w:rsidRPr="009960E1" w:rsidRDefault="00CF0CB0" w:rsidP="000F2B2B">
            <w:pPr>
              <w:pStyle w:val="Tabletext"/>
              <w:rPr>
                <w:sz w:val="16"/>
                <w:szCs w:val="16"/>
                <w:lang w:val="es-ES_tradnl"/>
              </w:rPr>
            </w:pPr>
            <w:r w:rsidRPr="009960E1">
              <w:rPr>
                <w:sz w:val="16"/>
                <w:szCs w:val="16"/>
                <w:lang w:val="es-ES_tradnl"/>
              </w:rPr>
              <w:t>AP1.4</w:t>
            </w:r>
          </w:p>
        </w:tc>
        <w:tc>
          <w:tcPr>
            <w:tcW w:w="1363" w:type="dxa"/>
            <w:tcBorders>
              <w:top w:val="single" w:sz="4" w:space="0" w:color="auto"/>
              <w:left w:val="single" w:sz="4" w:space="0" w:color="auto"/>
              <w:bottom w:val="single" w:sz="4" w:space="0" w:color="auto"/>
              <w:right w:val="single" w:sz="4" w:space="0" w:color="auto"/>
            </w:tcBorders>
            <w:hideMark/>
          </w:tcPr>
          <w:p w14:paraId="14F48A95" w14:textId="77777777" w:rsidR="00CF0CB0" w:rsidRPr="009960E1" w:rsidRDefault="00CF0CB0" w:rsidP="000F2B2B">
            <w:pPr>
              <w:pStyle w:val="Tabletext"/>
              <w:rPr>
                <w:sz w:val="16"/>
                <w:szCs w:val="16"/>
                <w:lang w:val="es-ES_tradnl"/>
              </w:rPr>
            </w:pPr>
            <w:r w:rsidRPr="009960E1">
              <w:rPr>
                <w:sz w:val="16"/>
                <w:szCs w:val="16"/>
                <w:lang w:val="es-ES_tradnl"/>
              </w:rPr>
              <w:t>No se menciona la "próxima generación" en ninguno de los puntos del plan de acción actual relativos a la propuesta de modificación del descriptor de AP1.4.</w:t>
            </w:r>
          </w:p>
        </w:tc>
      </w:tr>
      <w:tr w:rsidR="00CF0CB0" w:rsidRPr="009960E1" w14:paraId="60634DDC"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2081A8B0" w14:textId="77777777" w:rsidR="00CF0CB0" w:rsidRPr="009960E1" w:rsidRDefault="00CF0CB0" w:rsidP="000F2B2B">
            <w:pPr>
              <w:pStyle w:val="Tabletext"/>
              <w:rPr>
                <w:sz w:val="16"/>
                <w:szCs w:val="16"/>
                <w:lang w:val="es-ES_tradnl"/>
              </w:rPr>
            </w:pPr>
            <w:r w:rsidRPr="009960E1">
              <w:rPr>
                <w:sz w:val="16"/>
                <w:szCs w:val="16"/>
                <w:lang w:val="es-ES_tradnl"/>
              </w:rPr>
              <w:t>02</w:t>
            </w:r>
          </w:p>
        </w:tc>
        <w:tc>
          <w:tcPr>
            <w:tcW w:w="1645" w:type="dxa"/>
            <w:tcBorders>
              <w:top w:val="single" w:sz="4" w:space="0" w:color="auto"/>
              <w:left w:val="single" w:sz="4" w:space="0" w:color="auto"/>
              <w:bottom w:val="single" w:sz="4" w:space="0" w:color="auto"/>
              <w:right w:val="single" w:sz="4" w:space="0" w:color="auto"/>
            </w:tcBorders>
            <w:hideMark/>
          </w:tcPr>
          <w:p w14:paraId="2931386A" w14:textId="77777777" w:rsidR="00CF0CB0" w:rsidRPr="009960E1" w:rsidRDefault="00CF0CB0" w:rsidP="000F2B2B">
            <w:pPr>
              <w:pStyle w:val="Tabletext"/>
              <w:rPr>
                <w:sz w:val="16"/>
                <w:szCs w:val="16"/>
                <w:lang w:val="es-ES_tradnl"/>
              </w:rPr>
            </w:pPr>
            <w:r w:rsidRPr="009960E1">
              <w:rPr>
                <w:sz w:val="16"/>
                <w:szCs w:val="16"/>
                <w:lang w:val="es-ES_tradnl"/>
              </w:rPr>
              <w:t>Los expertos y la competencia en la materia se obtienen en asociaciones y foros que a menudo se dedican a un tema específico.</w:t>
            </w:r>
          </w:p>
        </w:tc>
        <w:tc>
          <w:tcPr>
            <w:tcW w:w="294" w:type="dxa"/>
            <w:tcBorders>
              <w:top w:val="single" w:sz="4" w:space="0" w:color="auto"/>
              <w:left w:val="single" w:sz="4" w:space="0" w:color="auto"/>
              <w:bottom w:val="single" w:sz="4" w:space="0" w:color="auto"/>
              <w:right w:val="single" w:sz="4" w:space="0" w:color="auto"/>
            </w:tcBorders>
          </w:tcPr>
          <w:p w14:paraId="604DF121"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292868CA"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0E48D325" w14:textId="77777777" w:rsidR="00CF0CB0" w:rsidRPr="009960E1" w:rsidRDefault="00CF0CB0" w:rsidP="000F2B2B">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1AD8EA0A" w14:textId="20BD80FC" w:rsidR="00CF0CB0" w:rsidRPr="009960E1" w:rsidRDefault="0018267A" w:rsidP="000F2B2B">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0E9752EF" w14:textId="77777777" w:rsidR="00CF0CB0" w:rsidRPr="009960E1" w:rsidRDefault="00CF0CB0" w:rsidP="000F2B2B">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5E55515F" w14:textId="77777777" w:rsidR="00CF0CB0" w:rsidRPr="009960E1" w:rsidRDefault="00CF0CB0" w:rsidP="000F2B2B">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0A1F8C59" w14:textId="18533BF7" w:rsidR="00CF0CB0" w:rsidRPr="009960E1" w:rsidRDefault="0018267A" w:rsidP="000F2B2B">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7757D5D8" w14:textId="77777777" w:rsidR="00CF0CB0" w:rsidRPr="009960E1" w:rsidRDefault="00CF0CB0" w:rsidP="000F2B2B">
            <w:pPr>
              <w:pStyle w:val="Tabletext"/>
              <w:rPr>
                <w:sz w:val="16"/>
                <w:szCs w:val="16"/>
                <w:lang w:val="es-ES_tradnl"/>
              </w:rPr>
            </w:pPr>
            <w:r w:rsidRPr="009960E1">
              <w:rPr>
                <w:sz w:val="16"/>
                <w:szCs w:val="16"/>
                <w:lang w:val="es-ES_tradnl"/>
              </w:rPr>
              <w:t>Investigar cómo mejorar la coordinación con otros foros a fin de garantizar una buena experiencia para los expertos y que los conocimientos especializados del UIT-T se mantengan estables.</w:t>
            </w:r>
          </w:p>
        </w:tc>
        <w:tc>
          <w:tcPr>
            <w:tcW w:w="992" w:type="dxa"/>
            <w:tcBorders>
              <w:top w:val="single" w:sz="4" w:space="0" w:color="auto"/>
              <w:left w:val="single" w:sz="4" w:space="0" w:color="auto"/>
              <w:bottom w:val="single" w:sz="4" w:space="0" w:color="auto"/>
              <w:right w:val="single" w:sz="4" w:space="0" w:color="auto"/>
            </w:tcBorders>
            <w:hideMark/>
          </w:tcPr>
          <w:p w14:paraId="7FB3C36A" w14:textId="77777777" w:rsidR="00CF0CB0" w:rsidRPr="009960E1" w:rsidRDefault="00CF0CB0" w:rsidP="000F2B2B">
            <w:pPr>
              <w:pStyle w:val="Tabletext"/>
              <w:rPr>
                <w:sz w:val="16"/>
                <w:szCs w:val="16"/>
                <w:lang w:val="es-ES_tradnl"/>
              </w:rPr>
            </w:pPr>
            <w:r w:rsidRPr="009960E1">
              <w:rPr>
                <w:sz w:val="16"/>
                <w:szCs w:val="16"/>
                <w:lang w:val="es-ES_tradnl"/>
              </w:rPr>
              <w:t>RG-IEM, RG-SOP</w:t>
            </w:r>
          </w:p>
        </w:tc>
        <w:tc>
          <w:tcPr>
            <w:tcW w:w="1183" w:type="dxa"/>
            <w:tcBorders>
              <w:top w:val="single" w:sz="4" w:space="0" w:color="auto"/>
              <w:left w:val="single" w:sz="4" w:space="0" w:color="auto"/>
              <w:bottom w:val="single" w:sz="4" w:space="0" w:color="auto"/>
              <w:right w:val="single" w:sz="4" w:space="0" w:color="auto"/>
            </w:tcBorders>
            <w:hideMark/>
          </w:tcPr>
          <w:p w14:paraId="2E5CB4C4" w14:textId="77777777" w:rsidR="00CF0CB0" w:rsidRPr="009960E1" w:rsidRDefault="00CF0CB0" w:rsidP="000F2B2B">
            <w:pPr>
              <w:pStyle w:val="Tabletext"/>
              <w:rPr>
                <w:sz w:val="16"/>
                <w:szCs w:val="16"/>
                <w:lang w:val="es-ES_tradnl"/>
              </w:rPr>
            </w:pPr>
            <w:r w:rsidRPr="009960E1">
              <w:rPr>
                <w:sz w:val="16"/>
                <w:szCs w:val="16"/>
                <w:lang w:val="es-ES_tradnl"/>
              </w:rPr>
              <w:t>AP1.7</w:t>
            </w:r>
          </w:p>
        </w:tc>
        <w:tc>
          <w:tcPr>
            <w:tcW w:w="1363" w:type="dxa"/>
            <w:tcBorders>
              <w:top w:val="single" w:sz="4" w:space="0" w:color="auto"/>
              <w:left w:val="single" w:sz="4" w:space="0" w:color="auto"/>
              <w:bottom w:val="single" w:sz="4" w:space="0" w:color="auto"/>
              <w:right w:val="single" w:sz="4" w:space="0" w:color="auto"/>
            </w:tcBorders>
          </w:tcPr>
          <w:p w14:paraId="358F9567" w14:textId="77777777" w:rsidR="00CF0CB0" w:rsidRPr="009960E1" w:rsidRDefault="00CF0CB0" w:rsidP="000F2B2B">
            <w:pPr>
              <w:pStyle w:val="Tabletext"/>
              <w:rPr>
                <w:sz w:val="16"/>
                <w:szCs w:val="16"/>
                <w:lang w:val="es-ES_tradnl"/>
              </w:rPr>
            </w:pPr>
          </w:p>
        </w:tc>
      </w:tr>
      <w:tr w:rsidR="00CF0CB0" w:rsidRPr="00A7143D" w14:paraId="2ADBA520"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5CAEC8A9" w14:textId="77777777" w:rsidR="00CF0CB0" w:rsidRPr="009960E1" w:rsidRDefault="00CF0CB0" w:rsidP="000F2B2B">
            <w:pPr>
              <w:pStyle w:val="Tabletext"/>
              <w:rPr>
                <w:sz w:val="16"/>
                <w:szCs w:val="16"/>
                <w:lang w:val="es-ES_tradnl"/>
              </w:rPr>
            </w:pPr>
            <w:r w:rsidRPr="009960E1">
              <w:rPr>
                <w:sz w:val="16"/>
                <w:szCs w:val="16"/>
                <w:lang w:val="es-ES_tradnl"/>
              </w:rPr>
              <w:t>03</w:t>
            </w:r>
          </w:p>
        </w:tc>
        <w:tc>
          <w:tcPr>
            <w:tcW w:w="1645" w:type="dxa"/>
            <w:tcBorders>
              <w:top w:val="single" w:sz="4" w:space="0" w:color="auto"/>
              <w:left w:val="single" w:sz="4" w:space="0" w:color="auto"/>
              <w:bottom w:val="single" w:sz="4" w:space="0" w:color="auto"/>
              <w:right w:val="single" w:sz="4" w:space="0" w:color="auto"/>
            </w:tcBorders>
            <w:hideMark/>
          </w:tcPr>
          <w:p w14:paraId="3854F022" w14:textId="77777777" w:rsidR="00CF0CB0" w:rsidRPr="009960E1" w:rsidRDefault="00CF0CB0" w:rsidP="000F2B2B">
            <w:pPr>
              <w:pStyle w:val="Tabletext"/>
              <w:rPr>
                <w:sz w:val="16"/>
                <w:szCs w:val="16"/>
                <w:lang w:val="es-ES_tradnl"/>
              </w:rPr>
            </w:pPr>
            <w:r w:rsidRPr="009960E1">
              <w:rPr>
                <w:sz w:val="16"/>
                <w:szCs w:val="16"/>
                <w:lang w:val="es-ES_tradnl"/>
              </w:rPr>
              <w:t>La naturaleza de extremo a extremo del UIT-T debería aprovecharse mejor para ayudar a la industria a identificar soluciones.</w:t>
            </w:r>
          </w:p>
        </w:tc>
        <w:tc>
          <w:tcPr>
            <w:tcW w:w="294" w:type="dxa"/>
            <w:tcBorders>
              <w:top w:val="single" w:sz="4" w:space="0" w:color="auto"/>
              <w:left w:val="single" w:sz="4" w:space="0" w:color="auto"/>
              <w:bottom w:val="single" w:sz="4" w:space="0" w:color="auto"/>
              <w:right w:val="single" w:sz="4" w:space="0" w:color="auto"/>
            </w:tcBorders>
          </w:tcPr>
          <w:p w14:paraId="2D8D220B"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1A5FC3BC"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66E4BE90" w14:textId="77777777" w:rsidR="00CF0CB0" w:rsidRPr="009960E1" w:rsidRDefault="00CF0CB0" w:rsidP="000F2B2B">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706F8E26" w14:textId="6E11329B" w:rsidR="00CF0CB0" w:rsidRPr="009960E1" w:rsidRDefault="0018267A" w:rsidP="000F2B2B">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02AD40F8" w14:textId="77777777" w:rsidR="00CF0CB0" w:rsidRPr="009960E1" w:rsidRDefault="00CF0CB0" w:rsidP="000F2B2B">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4BA212A1" w14:textId="77777777" w:rsidR="00CF0CB0" w:rsidRPr="009960E1" w:rsidRDefault="00CF0CB0" w:rsidP="000F2B2B">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23B18E99" w14:textId="3FC65000" w:rsidR="00CF0CB0" w:rsidRPr="009960E1" w:rsidRDefault="0018267A" w:rsidP="000F2B2B">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6DB84178" w14:textId="77777777" w:rsidR="00CF0CB0" w:rsidRPr="009960E1" w:rsidRDefault="00CF0CB0" w:rsidP="0018267A">
            <w:pPr>
              <w:pStyle w:val="Tabletext"/>
              <w:rPr>
                <w:sz w:val="16"/>
                <w:szCs w:val="16"/>
                <w:lang w:val="es-ES_tradnl"/>
              </w:rPr>
            </w:pPr>
            <w:r w:rsidRPr="009960E1">
              <w:rPr>
                <w:sz w:val="16"/>
                <w:szCs w:val="16"/>
                <w:lang w:val="es-ES_tradnl"/>
              </w:rPr>
              <w:t>Aclarar dónde puede la industria identificar soluciones y participar.</w:t>
            </w:r>
          </w:p>
        </w:tc>
        <w:tc>
          <w:tcPr>
            <w:tcW w:w="992" w:type="dxa"/>
            <w:tcBorders>
              <w:top w:val="single" w:sz="4" w:space="0" w:color="auto"/>
              <w:left w:val="single" w:sz="4" w:space="0" w:color="auto"/>
              <w:bottom w:val="single" w:sz="4" w:space="0" w:color="auto"/>
              <w:right w:val="single" w:sz="4" w:space="0" w:color="auto"/>
            </w:tcBorders>
            <w:hideMark/>
          </w:tcPr>
          <w:p w14:paraId="50B49A25" w14:textId="77777777" w:rsidR="00CF0CB0" w:rsidRPr="009960E1" w:rsidRDefault="00CF0CB0" w:rsidP="000F2B2B">
            <w:pPr>
              <w:pStyle w:val="Tabletext"/>
              <w:rPr>
                <w:sz w:val="16"/>
                <w:szCs w:val="16"/>
                <w:lang w:val="es-ES_tradnl"/>
              </w:rPr>
            </w:pPr>
            <w:r w:rsidRPr="009960E1">
              <w:rPr>
                <w:sz w:val="16"/>
                <w:szCs w:val="16"/>
                <w:lang w:val="es-ES_tradnl"/>
              </w:rPr>
              <w:t>RG-IEM, TSB</w:t>
            </w:r>
          </w:p>
        </w:tc>
        <w:tc>
          <w:tcPr>
            <w:tcW w:w="1183" w:type="dxa"/>
            <w:tcBorders>
              <w:top w:val="single" w:sz="4" w:space="0" w:color="auto"/>
              <w:left w:val="single" w:sz="4" w:space="0" w:color="auto"/>
              <w:bottom w:val="single" w:sz="4" w:space="0" w:color="auto"/>
              <w:right w:val="single" w:sz="4" w:space="0" w:color="auto"/>
            </w:tcBorders>
            <w:hideMark/>
          </w:tcPr>
          <w:p w14:paraId="3B8A5987" w14:textId="77777777" w:rsidR="00CF0CB0" w:rsidRPr="009960E1" w:rsidRDefault="00CF0CB0" w:rsidP="000F2B2B">
            <w:pPr>
              <w:pStyle w:val="Tabletext"/>
              <w:rPr>
                <w:sz w:val="16"/>
                <w:szCs w:val="16"/>
                <w:lang w:val="es-ES_tradnl"/>
              </w:rPr>
            </w:pPr>
            <w:r w:rsidRPr="009960E1">
              <w:rPr>
                <w:sz w:val="16"/>
                <w:szCs w:val="16"/>
                <w:lang w:val="es-ES_tradnl"/>
              </w:rPr>
              <w:t>AP1.3</w:t>
            </w:r>
          </w:p>
        </w:tc>
        <w:tc>
          <w:tcPr>
            <w:tcW w:w="1363" w:type="dxa"/>
            <w:tcBorders>
              <w:top w:val="single" w:sz="4" w:space="0" w:color="auto"/>
              <w:left w:val="single" w:sz="4" w:space="0" w:color="auto"/>
              <w:bottom w:val="single" w:sz="4" w:space="0" w:color="auto"/>
              <w:right w:val="single" w:sz="4" w:space="0" w:color="auto"/>
            </w:tcBorders>
            <w:hideMark/>
          </w:tcPr>
          <w:p w14:paraId="459972F3" w14:textId="77777777" w:rsidR="00CF0CB0" w:rsidRPr="009960E1" w:rsidRDefault="00CF0CB0" w:rsidP="000F2B2B">
            <w:pPr>
              <w:pStyle w:val="Tabletext"/>
              <w:rPr>
                <w:sz w:val="16"/>
                <w:szCs w:val="16"/>
                <w:lang w:val="es-ES_tradnl"/>
              </w:rPr>
            </w:pPr>
            <w:r w:rsidRPr="009960E1">
              <w:rPr>
                <w:sz w:val="16"/>
                <w:szCs w:val="16"/>
                <w:lang w:val="es-ES_tradnl"/>
              </w:rPr>
              <w:t>Vacilación de segundo nivel para añadir la acción propuesta en AP1.1 y/o AP1.4.</w:t>
            </w:r>
          </w:p>
        </w:tc>
      </w:tr>
      <w:tr w:rsidR="00CF0CB0" w:rsidRPr="009960E1" w14:paraId="65334409"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475A9617" w14:textId="77777777" w:rsidR="00CF0CB0" w:rsidRPr="009960E1" w:rsidRDefault="00CF0CB0" w:rsidP="000F2B2B">
            <w:pPr>
              <w:pStyle w:val="Tabletext"/>
              <w:rPr>
                <w:sz w:val="16"/>
                <w:szCs w:val="16"/>
                <w:lang w:val="es-ES_tradnl"/>
              </w:rPr>
            </w:pPr>
            <w:r w:rsidRPr="009960E1">
              <w:rPr>
                <w:sz w:val="16"/>
                <w:szCs w:val="16"/>
                <w:lang w:val="es-ES_tradnl"/>
              </w:rPr>
              <w:t>04</w:t>
            </w:r>
          </w:p>
        </w:tc>
        <w:tc>
          <w:tcPr>
            <w:tcW w:w="1645" w:type="dxa"/>
            <w:tcBorders>
              <w:top w:val="single" w:sz="4" w:space="0" w:color="auto"/>
              <w:left w:val="single" w:sz="4" w:space="0" w:color="auto"/>
              <w:bottom w:val="single" w:sz="4" w:space="0" w:color="auto"/>
              <w:right w:val="single" w:sz="4" w:space="0" w:color="auto"/>
            </w:tcBorders>
            <w:hideMark/>
          </w:tcPr>
          <w:p w14:paraId="793CC58C" w14:textId="77777777" w:rsidR="00CF0CB0" w:rsidRPr="009960E1" w:rsidRDefault="00CF0CB0" w:rsidP="000F2B2B">
            <w:pPr>
              <w:pStyle w:val="Tabletext"/>
              <w:rPr>
                <w:sz w:val="16"/>
                <w:szCs w:val="16"/>
                <w:lang w:val="es-ES_tradnl"/>
              </w:rPr>
            </w:pPr>
            <w:r w:rsidRPr="009960E1">
              <w:rPr>
                <w:sz w:val="16"/>
                <w:szCs w:val="16"/>
                <w:lang w:val="es-ES_tradnl"/>
              </w:rPr>
              <w:t>Los temas de trabajo deben basarse en los requisitos de los clientes y el UIT-T debe proporcionar también un lugar para que los encargados de la gestión de productos de la industria discutan estos requisitos.</w:t>
            </w:r>
          </w:p>
        </w:tc>
        <w:tc>
          <w:tcPr>
            <w:tcW w:w="294" w:type="dxa"/>
            <w:tcBorders>
              <w:top w:val="single" w:sz="4" w:space="0" w:color="auto"/>
              <w:left w:val="single" w:sz="4" w:space="0" w:color="auto"/>
              <w:bottom w:val="single" w:sz="4" w:space="0" w:color="auto"/>
              <w:right w:val="single" w:sz="4" w:space="0" w:color="auto"/>
            </w:tcBorders>
          </w:tcPr>
          <w:p w14:paraId="2B7379DB"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hideMark/>
          </w:tcPr>
          <w:p w14:paraId="081692EA" w14:textId="01D2DA4B" w:rsidR="00CF0CB0" w:rsidRPr="009960E1" w:rsidRDefault="0018267A" w:rsidP="000F2B2B">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650ED201" w14:textId="77777777" w:rsidR="00CF0CB0" w:rsidRPr="009960E1" w:rsidRDefault="00CF0CB0" w:rsidP="000F2B2B">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tcPr>
          <w:p w14:paraId="049B56A5"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5657A918" w14:textId="77777777" w:rsidR="00CF0CB0" w:rsidRPr="009960E1" w:rsidRDefault="00CF0CB0" w:rsidP="000F2B2B">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7BFEDD8C" w14:textId="77777777" w:rsidR="00CF0CB0" w:rsidRPr="009960E1" w:rsidRDefault="00CF0CB0" w:rsidP="000F2B2B">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7B865046" w14:textId="3D61E2C2" w:rsidR="00CF0CB0" w:rsidRPr="009960E1" w:rsidRDefault="0018267A" w:rsidP="000F2B2B">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6AC2768D" w14:textId="77777777" w:rsidR="00CF0CB0" w:rsidRPr="009960E1" w:rsidRDefault="00CF0CB0" w:rsidP="0018267A">
            <w:pPr>
              <w:pStyle w:val="Tabletext"/>
              <w:ind w:left="284" w:hanging="284"/>
              <w:rPr>
                <w:sz w:val="16"/>
                <w:szCs w:val="16"/>
                <w:lang w:val="es-ES_tradnl"/>
              </w:rPr>
            </w:pPr>
            <w:r w:rsidRPr="009960E1">
              <w:rPr>
                <w:sz w:val="16"/>
                <w:szCs w:val="16"/>
                <w:lang w:val="es-ES_tradnl"/>
              </w:rPr>
              <w:t>a)</w:t>
            </w:r>
            <w:r w:rsidRPr="009960E1">
              <w:rPr>
                <w:sz w:val="16"/>
                <w:szCs w:val="16"/>
                <w:lang w:val="es-ES_tradnl"/>
              </w:rPr>
              <w:tab/>
              <w:t>(Mercado de CSP restringido) Investigar las mejores formas de reenfocar los elementos de trabajo en los requisitos del cliente.</w:t>
            </w:r>
          </w:p>
          <w:p w14:paraId="414AF96E" w14:textId="77777777" w:rsidR="00CF0CB0" w:rsidRPr="009960E1" w:rsidRDefault="00CF0CB0" w:rsidP="0018267A">
            <w:pPr>
              <w:pStyle w:val="Tabletext"/>
              <w:ind w:left="284" w:hanging="284"/>
              <w:rPr>
                <w:sz w:val="16"/>
                <w:szCs w:val="16"/>
                <w:lang w:val="es-ES_tradnl"/>
              </w:rPr>
            </w:pPr>
            <w:r w:rsidRPr="009960E1">
              <w:rPr>
                <w:sz w:val="16"/>
                <w:szCs w:val="16"/>
                <w:lang w:val="es-ES_tradnl"/>
              </w:rPr>
              <w:t>b)</w:t>
            </w:r>
            <w:r w:rsidRPr="009960E1">
              <w:rPr>
                <w:sz w:val="16"/>
                <w:szCs w:val="16"/>
                <w:lang w:val="es-ES_tradnl"/>
              </w:rPr>
              <w:tab/>
              <w:t>Investigar la mejor manera de atraer a los gestores de productos pertinentes al mercado de los CSP para que participen en los trabajos del UIT-T.</w:t>
            </w:r>
          </w:p>
        </w:tc>
        <w:tc>
          <w:tcPr>
            <w:tcW w:w="992" w:type="dxa"/>
            <w:tcBorders>
              <w:top w:val="single" w:sz="4" w:space="0" w:color="auto"/>
              <w:left w:val="single" w:sz="4" w:space="0" w:color="auto"/>
              <w:bottom w:val="single" w:sz="4" w:space="0" w:color="auto"/>
              <w:right w:val="single" w:sz="4" w:space="0" w:color="auto"/>
            </w:tcBorders>
            <w:hideMark/>
          </w:tcPr>
          <w:p w14:paraId="744FD49D" w14:textId="77777777" w:rsidR="00CF0CB0" w:rsidRPr="00386BC0" w:rsidRDefault="00CF0CB0" w:rsidP="000F2B2B">
            <w:pPr>
              <w:pStyle w:val="Tabletext"/>
              <w:rPr>
                <w:sz w:val="16"/>
                <w:szCs w:val="16"/>
                <w:lang w:val="en-US"/>
              </w:rPr>
            </w:pPr>
            <w:r w:rsidRPr="00386BC0">
              <w:rPr>
                <w:sz w:val="16"/>
                <w:szCs w:val="16"/>
                <w:lang w:val="en-US"/>
              </w:rPr>
              <w:t>RG-IEM, RG-SOP, TSB</w:t>
            </w:r>
          </w:p>
        </w:tc>
        <w:tc>
          <w:tcPr>
            <w:tcW w:w="1183" w:type="dxa"/>
            <w:tcBorders>
              <w:top w:val="single" w:sz="4" w:space="0" w:color="auto"/>
              <w:left w:val="single" w:sz="4" w:space="0" w:color="auto"/>
              <w:bottom w:val="single" w:sz="4" w:space="0" w:color="auto"/>
              <w:right w:val="single" w:sz="4" w:space="0" w:color="auto"/>
            </w:tcBorders>
            <w:hideMark/>
          </w:tcPr>
          <w:p w14:paraId="359C7B34" w14:textId="77777777" w:rsidR="00CF0CB0" w:rsidRPr="009960E1" w:rsidRDefault="00CF0CB0" w:rsidP="000F2B2B">
            <w:pPr>
              <w:pStyle w:val="Tabletext"/>
              <w:rPr>
                <w:sz w:val="16"/>
                <w:szCs w:val="16"/>
                <w:lang w:val="es-ES_tradnl"/>
              </w:rPr>
            </w:pPr>
            <w:r w:rsidRPr="009960E1">
              <w:rPr>
                <w:sz w:val="16"/>
                <w:szCs w:val="16"/>
                <w:lang w:val="es-ES_tradnl"/>
              </w:rPr>
              <w:t>AP1.4</w:t>
            </w:r>
          </w:p>
        </w:tc>
        <w:tc>
          <w:tcPr>
            <w:tcW w:w="1363" w:type="dxa"/>
            <w:tcBorders>
              <w:top w:val="single" w:sz="4" w:space="0" w:color="auto"/>
              <w:left w:val="single" w:sz="4" w:space="0" w:color="auto"/>
              <w:bottom w:val="single" w:sz="4" w:space="0" w:color="auto"/>
              <w:right w:val="single" w:sz="4" w:space="0" w:color="auto"/>
            </w:tcBorders>
            <w:hideMark/>
          </w:tcPr>
          <w:p w14:paraId="4F2F5095" w14:textId="77777777" w:rsidR="00CF0CB0" w:rsidRPr="009960E1" w:rsidRDefault="00CF0CB0" w:rsidP="000F2B2B">
            <w:pPr>
              <w:pStyle w:val="Tabletext"/>
              <w:rPr>
                <w:sz w:val="16"/>
                <w:szCs w:val="16"/>
                <w:lang w:val="es-ES_tradnl"/>
              </w:rPr>
            </w:pPr>
            <w:r w:rsidRPr="009960E1">
              <w:rPr>
                <w:sz w:val="16"/>
                <w:szCs w:val="16"/>
                <w:lang w:val="es-ES_tradnl"/>
              </w:rPr>
              <w:t>Ambos puntos</w:t>
            </w:r>
          </w:p>
        </w:tc>
      </w:tr>
      <w:tr w:rsidR="00CF0CB0" w:rsidRPr="00A7143D" w14:paraId="17CB46E1"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7AC5FA49" w14:textId="77777777" w:rsidR="00CF0CB0" w:rsidRPr="009960E1" w:rsidRDefault="00CF0CB0" w:rsidP="000F2B2B">
            <w:pPr>
              <w:pStyle w:val="Tabletext"/>
              <w:rPr>
                <w:sz w:val="16"/>
                <w:szCs w:val="16"/>
                <w:lang w:val="es-ES_tradnl"/>
              </w:rPr>
            </w:pPr>
            <w:r w:rsidRPr="009960E1">
              <w:rPr>
                <w:sz w:val="16"/>
                <w:szCs w:val="16"/>
                <w:lang w:val="es-ES_tradnl"/>
              </w:rPr>
              <w:t>05</w:t>
            </w:r>
          </w:p>
        </w:tc>
        <w:tc>
          <w:tcPr>
            <w:tcW w:w="1645" w:type="dxa"/>
            <w:tcBorders>
              <w:top w:val="single" w:sz="4" w:space="0" w:color="auto"/>
              <w:left w:val="single" w:sz="4" w:space="0" w:color="auto"/>
              <w:bottom w:val="single" w:sz="4" w:space="0" w:color="auto"/>
              <w:right w:val="single" w:sz="4" w:space="0" w:color="auto"/>
            </w:tcBorders>
            <w:hideMark/>
          </w:tcPr>
          <w:p w14:paraId="181FCDBD" w14:textId="77777777" w:rsidR="00CF0CB0" w:rsidRPr="009960E1" w:rsidRDefault="00CF0CB0" w:rsidP="000F2B2B">
            <w:pPr>
              <w:pStyle w:val="Tabletext"/>
              <w:rPr>
                <w:sz w:val="16"/>
                <w:szCs w:val="16"/>
                <w:lang w:val="es-ES_tradnl"/>
              </w:rPr>
            </w:pPr>
            <w:r w:rsidRPr="009960E1">
              <w:rPr>
                <w:sz w:val="16"/>
                <w:szCs w:val="16"/>
                <w:lang w:val="es-ES_tradnl"/>
              </w:rPr>
              <w:t>A menudo es demasiado fácil iniciar nuevos temas de trabajo.</w:t>
            </w:r>
          </w:p>
        </w:tc>
        <w:tc>
          <w:tcPr>
            <w:tcW w:w="294" w:type="dxa"/>
            <w:tcBorders>
              <w:top w:val="single" w:sz="4" w:space="0" w:color="auto"/>
              <w:left w:val="single" w:sz="4" w:space="0" w:color="auto"/>
              <w:bottom w:val="single" w:sz="4" w:space="0" w:color="auto"/>
              <w:right w:val="single" w:sz="4" w:space="0" w:color="auto"/>
            </w:tcBorders>
          </w:tcPr>
          <w:p w14:paraId="17249205"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10292CB"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0AC672CE" w14:textId="77777777" w:rsidR="00CF0CB0" w:rsidRPr="009960E1" w:rsidRDefault="00CF0CB0" w:rsidP="000F2B2B">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7A2F0274" w14:textId="42A08AAC" w:rsidR="00CF0CB0" w:rsidRPr="009960E1" w:rsidRDefault="0018267A" w:rsidP="000F2B2B">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hideMark/>
          </w:tcPr>
          <w:p w14:paraId="787E1020" w14:textId="7F00C522" w:rsidR="00CF0CB0" w:rsidRPr="009960E1" w:rsidRDefault="0018267A" w:rsidP="000F2B2B">
            <w:pPr>
              <w:pStyle w:val="Tabletext"/>
              <w:rPr>
                <w:sz w:val="16"/>
                <w:szCs w:val="16"/>
                <w:lang w:val="es-ES_tradnl"/>
              </w:rPr>
            </w:pPr>
            <w:r w:rsidRPr="009960E1">
              <w:rPr>
                <w:sz w:val="16"/>
                <w:szCs w:val="16"/>
                <w:lang w:val="es-ES_tradnl"/>
              </w:rPr>
              <w:t>x</w:t>
            </w:r>
          </w:p>
        </w:tc>
        <w:tc>
          <w:tcPr>
            <w:tcW w:w="283" w:type="dxa"/>
            <w:tcBorders>
              <w:top w:val="single" w:sz="4" w:space="0" w:color="auto"/>
              <w:left w:val="single" w:sz="4" w:space="0" w:color="auto"/>
              <w:bottom w:val="single" w:sz="4" w:space="0" w:color="auto"/>
              <w:right w:val="single" w:sz="4" w:space="0" w:color="auto"/>
            </w:tcBorders>
          </w:tcPr>
          <w:p w14:paraId="173DA2B9" w14:textId="77777777" w:rsidR="00CF0CB0" w:rsidRPr="009960E1" w:rsidRDefault="00CF0CB0" w:rsidP="000F2B2B">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329859DE" w14:textId="62B850B2" w:rsidR="00CF0CB0" w:rsidRPr="009960E1" w:rsidRDefault="0018267A" w:rsidP="000F2B2B">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19BC5824" w14:textId="77777777" w:rsidR="00CF0CB0" w:rsidRPr="009960E1" w:rsidRDefault="00CF0CB0" w:rsidP="000F2B2B">
            <w:pPr>
              <w:pStyle w:val="Tabletext"/>
              <w:rPr>
                <w:sz w:val="16"/>
                <w:szCs w:val="16"/>
                <w:lang w:val="es-ES_tradnl"/>
              </w:rPr>
            </w:pPr>
            <w:r w:rsidRPr="009960E1">
              <w:rPr>
                <w:sz w:val="16"/>
                <w:szCs w:val="16"/>
                <w:lang w:val="es-ES_tradnl"/>
              </w:rPr>
              <w:t>Investigar la mejor manera de aumentar el valor de los resultados del UIT-T garantizando las condiciones adecuadas para las contribuciones como nuevos temas de trabajo, en particular optimizando la aplicabilidad mundial frente a los requisitos de diversidad regional.</w:t>
            </w:r>
          </w:p>
        </w:tc>
        <w:tc>
          <w:tcPr>
            <w:tcW w:w="992" w:type="dxa"/>
            <w:tcBorders>
              <w:top w:val="single" w:sz="4" w:space="0" w:color="auto"/>
              <w:left w:val="single" w:sz="4" w:space="0" w:color="auto"/>
              <w:bottom w:val="single" w:sz="4" w:space="0" w:color="auto"/>
              <w:right w:val="single" w:sz="4" w:space="0" w:color="auto"/>
            </w:tcBorders>
            <w:hideMark/>
          </w:tcPr>
          <w:p w14:paraId="698E2349" w14:textId="77777777" w:rsidR="00CF0CB0" w:rsidRPr="009960E1" w:rsidRDefault="00CF0CB0" w:rsidP="000F2B2B">
            <w:pPr>
              <w:pStyle w:val="Tabletext"/>
              <w:rPr>
                <w:sz w:val="16"/>
                <w:szCs w:val="16"/>
                <w:lang w:val="es-ES_tradnl"/>
              </w:rPr>
            </w:pPr>
            <w:r w:rsidRPr="009960E1">
              <w:rPr>
                <w:sz w:val="16"/>
                <w:szCs w:val="16"/>
                <w:lang w:val="es-ES_tradnl"/>
              </w:rPr>
              <w:t>RG-IEM, RG-WM</w:t>
            </w:r>
          </w:p>
        </w:tc>
        <w:tc>
          <w:tcPr>
            <w:tcW w:w="1183" w:type="dxa"/>
            <w:tcBorders>
              <w:top w:val="single" w:sz="4" w:space="0" w:color="auto"/>
              <w:left w:val="single" w:sz="4" w:space="0" w:color="auto"/>
              <w:bottom w:val="single" w:sz="4" w:space="0" w:color="auto"/>
              <w:right w:val="single" w:sz="4" w:space="0" w:color="auto"/>
            </w:tcBorders>
            <w:hideMark/>
          </w:tcPr>
          <w:p w14:paraId="0CEC88EE" w14:textId="77777777" w:rsidR="00CF0CB0" w:rsidRPr="009960E1" w:rsidRDefault="00CF0CB0" w:rsidP="000F2B2B">
            <w:pPr>
              <w:pStyle w:val="Tabletext"/>
              <w:rPr>
                <w:sz w:val="16"/>
                <w:szCs w:val="16"/>
                <w:lang w:val="es-ES_tradnl"/>
              </w:rPr>
            </w:pPr>
            <w:r w:rsidRPr="009960E1">
              <w:rPr>
                <w:sz w:val="16"/>
                <w:szCs w:val="16"/>
                <w:lang w:val="es-ES_tradnl"/>
              </w:rPr>
              <w:t>AP1.2 o AP1.4</w:t>
            </w:r>
          </w:p>
        </w:tc>
        <w:tc>
          <w:tcPr>
            <w:tcW w:w="1363" w:type="dxa"/>
            <w:tcBorders>
              <w:top w:val="single" w:sz="4" w:space="0" w:color="auto"/>
              <w:left w:val="single" w:sz="4" w:space="0" w:color="auto"/>
              <w:bottom w:val="single" w:sz="4" w:space="0" w:color="auto"/>
              <w:right w:val="single" w:sz="4" w:space="0" w:color="auto"/>
            </w:tcBorders>
            <w:hideMark/>
          </w:tcPr>
          <w:p w14:paraId="694DCB08" w14:textId="77777777" w:rsidR="00CF0CB0" w:rsidRPr="009960E1" w:rsidRDefault="00CF0CB0" w:rsidP="000F2B2B">
            <w:pPr>
              <w:pStyle w:val="Tabletext"/>
              <w:rPr>
                <w:sz w:val="16"/>
                <w:szCs w:val="16"/>
                <w:lang w:val="es-ES_tradnl"/>
              </w:rPr>
            </w:pPr>
            <w:r w:rsidRPr="009960E1">
              <w:rPr>
                <w:sz w:val="16"/>
                <w:szCs w:val="16"/>
                <w:lang w:val="es-ES_tradnl"/>
              </w:rPr>
              <w:t>AP1.2 por "su credibilidad internacional"</w:t>
            </w:r>
          </w:p>
          <w:p w14:paraId="6872D110" w14:textId="77777777" w:rsidR="00CF0CB0" w:rsidRPr="009960E1" w:rsidRDefault="00CF0CB0" w:rsidP="000F2B2B">
            <w:pPr>
              <w:pStyle w:val="Tabletext"/>
              <w:rPr>
                <w:sz w:val="16"/>
                <w:szCs w:val="16"/>
                <w:lang w:val="es-ES_tradnl"/>
              </w:rPr>
            </w:pPr>
            <w:r w:rsidRPr="009960E1">
              <w:rPr>
                <w:sz w:val="16"/>
                <w:szCs w:val="16"/>
                <w:lang w:val="es-ES_tradnl"/>
              </w:rPr>
              <w:t>AP1.4 porque es una condición para retener e incluso atraer a la industria</w:t>
            </w:r>
          </w:p>
        </w:tc>
      </w:tr>
      <w:tr w:rsidR="00CF0CB0" w:rsidRPr="00A7143D" w14:paraId="37B9BB5C"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6C6AE713" w14:textId="77777777" w:rsidR="00CF0CB0" w:rsidRPr="009960E1" w:rsidRDefault="00CF0CB0" w:rsidP="000F2B2B">
            <w:pPr>
              <w:pStyle w:val="Tabletext"/>
              <w:rPr>
                <w:sz w:val="16"/>
                <w:szCs w:val="16"/>
                <w:lang w:val="es-ES_tradnl"/>
              </w:rPr>
            </w:pPr>
            <w:r w:rsidRPr="009960E1">
              <w:rPr>
                <w:sz w:val="16"/>
                <w:szCs w:val="16"/>
                <w:lang w:val="es-ES_tradnl"/>
              </w:rPr>
              <w:t>06</w:t>
            </w:r>
          </w:p>
        </w:tc>
        <w:tc>
          <w:tcPr>
            <w:tcW w:w="1645" w:type="dxa"/>
            <w:tcBorders>
              <w:top w:val="single" w:sz="4" w:space="0" w:color="auto"/>
              <w:left w:val="single" w:sz="4" w:space="0" w:color="auto"/>
              <w:bottom w:val="single" w:sz="4" w:space="0" w:color="auto"/>
              <w:right w:val="single" w:sz="4" w:space="0" w:color="auto"/>
            </w:tcBorders>
            <w:hideMark/>
          </w:tcPr>
          <w:p w14:paraId="5C2FACBA" w14:textId="77777777" w:rsidR="00CF0CB0" w:rsidRPr="009960E1" w:rsidRDefault="00CF0CB0" w:rsidP="000F2B2B">
            <w:pPr>
              <w:pStyle w:val="Tabletext"/>
              <w:rPr>
                <w:sz w:val="16"/>
                <w:szCs w:val="16"/>
                <w:lang w:val="es-ES_tradnl"/>
              </w:rPr>
            </w:pPr>
            <w:r w:rsidRPr="009960E1">
              <w:rPr>
                <w:sz w:val="16"/>
                <w:szCs w:val="16"/>
                <w:lang w:val="es-ES_tradnl"/>
              </w:rPr>
              <w:t>Los nuevos temas de trabajo establecidos como Informes Técnicos o Directrices deberían reconocerse mejor en el contexto del proceso de normalización</w:t>
            </w:r>
          </w:p>
        </w:tc>
        <w:tc>
          <w:tcPr>
            <w:tcW w:w="294" w:type="dxa"/>
            <w:tcBorders>
              <w:top w:val="single" w:sz="4" w:space="0" w:color="auto"/>
              <w:left w:val="single" w:sz="4" w:space="0" w:color="auto"/>
              <w:bottom w:val="single" w:sz="4" w:space="0" w:color="auto"/>
              <w:right w:val="single" w:sz="4" w:space="0" w:color="auto"/>
            </w:tcBorders>
          </w:tcPr>
          <w:p w14:paraId="2C0239E8"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6C74470E"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hideMark/>
          </w:tcPr>
          <w:p w14:paraId="43D6D2C1" w14:textId="1E966879" w:rsidR="00CF0CB0" w:rsidRPr="009960E1" w:rsidRDefault="0018267A" w:rsidP="000F2B2B">
            <w:pPr>
              <w:pStyle w:val="Tabletext"/>
              <w:rPr>
                <w:sz w:val="16"/>
                <w:szCs w:val="16"/>
                <w:lang w:val="es-ES_tradnl"/>
              </w:rPr>
            </w:pPr>
            <w:r w:rsidRPr="009960E1">
              <w:rPr>
                <w:sz w:val="16"/>
                <w:szCs w:val="16"/>
                <w:lang w:val="es-ES_tradnl"/>
              </w:rPr>
              <w:t>x</w:t>
            </w:r>
          </w:p>
        </w:tc>
        <w:tc>
          <w:tcPr>
            <w:tcW w:w="289" w:type="dxa"/>
            <w:tcBorders>
              <w:top w:val="single" w:sz="4" w:space="0" w:color="auto"/>
              <w:left w:val="single" w:sz="4" w:space="0" w:color="auto"/>
              <w:bottom w:val="single" w:sz="4" w:space="0" w:color="auto"/>
              <w:right w:val="single" w:sz="4" w:space="0" w:color="auto"/>
            </w:tcBorders>
            <w:hideMark/>
          </w:tcPr>
          <w:p w14:paraId="23601AE5" w14:textId="33B3F01F" w:rsidR="00CF0CB0" w:rsidRPr="009960E1" w:rsidRDefault="0018267A" w:rsidP="000F2B2B">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38F4826F" w14:textId="77777777" w:rsidR="00CF0CB0" w:rsidRPr="009960E1" w:rsidRDefault="00CF0CB0" w:rsidP="000F2B2B">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173C9B7E" w14:textId="77777777" w:rsidR="00CF0CB0" w:rsidRPr="009960E1" w:rsidRDefault="00CF0CB0" w:rsidP="000F2B2B">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0B25E8F9" w14:textId="77777777" w:rsidR="00CF0CB0" w:rsidRPr="009960E1" w:rsidRDefault="00CF0CB0" w:rsidP="000F2B2B">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486754C6" w14:textId="77777777" w:rsidR="00CF0CB0" w:rsidRPr="009960E1" w:rsidRDefault="00CF0CB0" w:rsidP="000F2B2B">
            <w:pPr>
              <w:pStyle w:val="Tabletext"/>
              <w:rPr>
                <w:sz w:val="16"/>
                <w:szCs w:val="16"/>
                <w:lang w:val="es-ES_tradnl"/>
              </w:rPr>
            </w:pPr>
            <w:r w:rsidRPr="009960E1">
              <w:rPr>
                <w:sz w:val="16"/>
                <w:szCs w:val="16"/>
                <w:lang w:val="es-ES_tradnl"/>
              </w:rPr>
              <w:t>Investigar el problema de que los nuevos temas de trabajo establecidos como Informes Técnicos o Directrices se reconozcan mejor en el contexto del proceso de normalización (A.1 y A.13).</w:t>
            </w:r>
          </w:p>
        </w:tc>
        <w:tc>
          <w:tcPr>
            <w:tcW w:w="992" w:type="dxa"/>
            <w:tcBorders>
              <w:top w:val="single" w:sz="4" w:space="0" w:color="auto"/>
              <w:left w:val="single" w:sz="4" w:space="0" w:color="auto"/>
              <w:bottom w:val="single" w:sz="4" w:space="0" w:color="auto"/>
              <w:right w:val="single" w:sz="4" w:space="0" w:color="auto"/>
            </w:tcBorders>
            <w:hideMark/>
          </w:tcPr>
          <w:p w14:paraId="3F2C123C" w14:textId="77777777" w:rsidR="00CF0CB0" w:rsidRPr="009960E1" w:rsidRDefault="00CF0CB0" w:rsidP="000F2B2B">
            <w:pPr>
              <w:pStyle w:val="Tabletext"/>
              <w:rPr>
                <w:sz w:val="16"/>
                <w:szCs w:val="16"/>
                <w:lang w:val="es-ES_tradnl"/>
              </w:rPr>
            </w:pPr>
            <w:r w:rsidRPr="009960E1">
              <w:rPr>
                <w:sz w:val="16"/>
                <w:szCs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18C46DA1" w14:textId="77777777" w:rsidR="00CF0CB0" w:rsidRPr="009960E1" w:rsidRDefault="00CF0CB0" w:rsidP="000F2B2B">
            <w:pPr>
              <w:pStyle w:val="Tabletext"/>
              <w:rPr>
                <w:sz w:val="16"/>
                <w:szCs w:val="16"/>
                <w:lang w:val="es-ES_tradnl"/>
              </w:rPr>
            </w:pPr>
            <w:r w:rsidRPr="009960E1">
              <w:rPr>
                <w:sz w:val="16"/>
                <w:szCs w:val="16"/>
                <w:lang w:val="es-ES_tradnl"/>
              </w:rPr>
              <w:t>AP1.1.3, AP1.4</w:t>
            </w:r>
          </w:p>
        </w:tc>
        <w:tc>
          <w:tcPr>
            <w:tcW w:w="1363" w:type="dxa"/>
            <w:tcBorders>
              <w:top w:val="single" w:sz="4" w:space="0" w:color="auto"/>
              <w:left w:val="single" w:sz="4" w:space="0" w:color="auto"/>
              <w:bottom w:val="single" w:sz="4" w:space="0" w:color="auto"/>
              <w:right w:val="single" w:sz="4" w:space="0" w:color="auto"/>
            </w:tcBorders>
            <w:hideMark/>
          </w:tcPr>
          <w:p w14:paraId="42AE6732" w14:textId="77777777" w:rsidR="00CF0CB0" w:rsidRPr="009960E1" w:rsidRDefault="00CF0CB0" w:rsidP="000F2B2B">
            <w:pPr>
              <w:pStyle w:val="Tabletext"/>
              <w:rPr>
                <w:sz w:val="16"/>
                <w:szCs w:val="16"/>
                <w:lang w:val="es-ES_tradnl"/>
              </w:rPr>
            </w:pPr>
            <w:r w:rsidRPr="009960E1">
              <w:rPr>
                <w:sz w:val="16"/>
                <w:szCs w:val="16"/>
                <w:lang w:val="es-ES_tradnl"/>
              </w:rPr>
              <w:t>En consonancia con el punto 05 anterior, se trata de un punto del AP1.4, pero además apela a la falta general de "educación" de los líderes de la industria sobre las atribuciones y la mejor manera de participar en la normalización.</w:t>
            </w:r>
          </w:p>
        </w:tc>
      </w:tr>
      <w:tr w:rsidR="00CF0CB0" w:rsidRPr="009960E1" w14:paraId="7BC50FF1"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6B559C39" w14:textId="77777777" w:rsidR="00CF0CB0" w:rsidRPr="009960E1" w:rsidRDefault="00CF0CB0" w:rsidP="000C2430">
            <w:pPr>
              <w:pStyle w:val="Tabletext"/>
              <w:keepNext/>
              <w:keepLines/>
              <w:rPr>
                <w:sz w:val="16"/>
                <w:lang w:val="es-ES_tradnl"/>
              </w:rPr>
            </w:pPr>
            <w:r w:rsidRPr="009960E1">
              <w:rPr>
                <w:sz w:val="16"/>
                <w:lang w:val="es-ES_tradnl"/>
              </w:rPr>
              <w:lastRenderedPageBreak/>
              <w:t>07</w:t>
            </w:r>
          </w:p>
        </w:tc>
        <w:tc>
          <w:tcPr>
            <w:tcW w:w="1645" w:type="dxa"/>
            <w:tcBorders>
              <w:top w:val="single" w:sz="4" w:space="0" w:color="auto"/>
              <w:left w:val="single" w:sz="4" w:space="0" w:color="auto"/>
              <w:bottom w:val="single" w:sz="4" w:space="0" w:color="auto"/>
              <w:right w:val="single" w:sz="4" w:space="0" w:color="auto"/>
            </w:tcBorders>
            <w:hideMark/>
          </w:tcPr>
          <w:p w14:paraId="4E5734D0" w14:textId="45EE6727" w:rsidR="00CF0CB0" w:rsidRPr="009960E1" w:rsidRDefault="00CF0CB0" w:rsidP="000C2430">
            <w:pPr>
              <w:pStyle w:val="Tabletext"/>
              <w:keepNext/>
              <w:keepLines/>
              <w:rPr>
                <w:sz w:val="16"/>
                <w:lang w:val="es-ES_tradnl"/>
              </w:rPr>
            </w:pPr>
            <w:r w:rsidRPr="009960E1">
              <w:rPr>
                <w:sz w:val="16"/>
                <w:lang w:val="es-ES_tradnl"/>
              </w:rPr>
              <w:t>Desarrollo de una "historia del UIT</w:t>
            </w:r>
            <w:r w:rsidR="000379DD">
              <w:rPr>
                <w:sz w:val="16"/>
                <w:lang w:val="es-ES_tradnl"/>
              </w:rPr>
              <w:noBreakHyphen/>
            </w:r>
            <w:r w:rsidRPr="009960E1">
              <w:rPr>
                <w:sz w:val="16"/>
                <w:lang w:val="es-ES_tradnl"/>
              </w:rPr>
              <w:t>T"/propuesta de valor, junto con comercialización y promoción de lo que tiene el UIT-T.</w:t>
            </w:r>
          </w:p>
        </w:tc>
        <w:tc>
          <w:tcPr>
            <w:tcW w:w="294" w:type="dxa"/>
            <w:tcBorders>
              <w:top w:val="single" w:sz="4" w:space="0" w:color="auto"/>
              <w:left w:val="single" w:sz="4" w:space="0" w:color="auto"/>
              <w:bottom w:val="single" w:sz="4" w:space="0" w:color="auto"/>
              <w:right w:val="single" w:sz="4" w:space="0" w:color="auto"/>
            </w:tcBorders>
          </w:tcPr>
          <w:p w14:paraId="0291DE04" w14:textId="77777777" w:rsidR="00CF0CB0" w:rsidRPr="009960E1" w:rsidRDefault="00CF0CB0" w:rsidP="000C2430">
            <w:pPr>
              <w:pStyle w:val="Tabletext"/>
              <w:keepNext/>
              <w:keepLines/>
              <w:rPr>
                <w:sz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30FEF9C0" w14:textId="77777777" w:rsidR="00CF0CB0" w:rsidRPr="009960E1" w:rsidRDefault="00CF0CB0" w:rsidP="000C2430">
            <w:pPr>
              <w:pStyle w:val="Tabletext"/>
              <w:keepNext/>
              <w:keepLines/>
              <w:rPr>
                <w:sz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40BFFA5E" w14:textId="77777777" w:rsidR="00CF0CB0" w:rsidRPr="009960E1" w:rsidRDefault="00CF0CB0" w:rsidP="000C2430">
            <w:pPr>
              <w:pStyle w:val="Tabletext"/>
              <w:keepNext/>
              <w:keepLines/>
              <w:rPr>
                <w:sz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1FF4BACC" w14:textId="0816BD22" w:rsidR="00CF0CB0" w:rsidRPr="009960E1" w:rsidRDefault="0018267A" w:rsidP="000C2430">
            <w:pPr>
              <w:pStyle w:val="Tabletext"/>
              <w:keepNext/>
              <w:keepLines/>
              <w:rPr>
                <w:sz w:val="16"/>
                <w:lang w:val="es-ES_tradnl"/>
              </w:rPr>
            </w:pPr>
            <w:r w:rsidRPr="009960E1">
              <w:rPr>
                <w:sz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0AAEE500" w14:textId="77777777" w:rsidR="00CF0CB0" w:rsidRPr="009960E1" w:rsidRDefault="00CF0CB0" w:rsidP="000C2430">
            <w:pPr>
              <w:pStyle w:val="Tabletext"/>
              <w:keepNext/>
              <w:keepLines/>
              <w:rPr>
                <w:sz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7293F003" w14:textId="77777777" w:rsidR="00CF0CB0" w:rsidRPr="009960E1" w:rsidRDefault="00CF0CB0" w:rsidP="000C2430">
            <w:pPr>
              <w:pStyle w:val="Tabletext"/>
              <w:keepNext/>
              <w:keepLines/>
              <w:rPr>
                <w:sz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306B9A14" w14:textId="39E3E94D" w:rsidR="00CF0CB0" w:rsidRPr="009960E1" w:rsidRDefault="0018267A" w:rsidP="000C2430">
            <w:pPr>
              <w:pStyle w:val="TableText0"/>
              <w:keepNext/>
              <w:keepLines/>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2B02B5D4" w14:textId="7BBD5165" w:rsidR="00CF0CB0" w:rsidRPr="009960E1" w:rsidRDefault="00CF0CB0" w:rsidP="000C2430">
            <w:pPr>
              <w:pStyle w:val="Tabletext"/>
              <w:keepNext/>
              <w:keepLines/>
              <w:rPr>
                <w:sz w:val="16"/>
                <w:lang w:val="es-ES_tradnl"/>
              </w:rPr>
            </w:pPr>
            <w:r w:rsidRPr="009960E1">
              <w:rPr>
                <w:sz w:val="16"/>
                <w:lang w:val="es-ES_tradnl"/>
              </w:rPr>
              <w:t>Investigar las mejores maneras de ofrecer una "historia del UIT</w:t>
            </w:r>
            <w:r w:rsidR="000379DD">
              <w:rPr>
                <w:sz w:val="16"/>
                <w:lang w:val="es-ES_tradnl"/>
              </w:rPr>
              <w:noBreakHyphen/>
            </w:r>
            <w:r w:rsidRPr="009960E1">
              <w:rPr>
                <w:sz w:val="16"/>
                <w:lang w:val="es-ES_tradnl"/>
              </w:rPr>
              <w:t>T"/propuesta de valor y promover lo que el UIT-T tiene.</w:t>
            </w:r>
          </w:p>
        </w:tc>
        <w:tc>
          <w:tcPr>
            <w:tcW w:w="992" w:type="dxa"/>
            <w:tcBorders>
              <w:top w:val="single" w:sz="4" w:space="0" w:color="auto"/>
              <w:left w:val="single" w:sz="4" w:space="0" w:color="auto"/>
              <w:bottom w:val="single" w:sz="4" w:space="0" w:color="auto"/>
              <w:right w:val="single" w:sz="4" w:space="0" w:color="auto"/>
            </w:tcBorders>
            <w:hideMark/>
          </w:tcPr>
          <w:p w14:paraId="22064136" w14:textId="77777777" w:rsidR="00CF0CB0" w:rsidRPr="009960E1" w:rsidRDefault="00CF0CB0" w:rsidP="000C2430">
            <w:pPr>
              <w:pStyle w:val="Tabletext"/>
              <w:keepNext/>
              <w:keepLines/>
              <w:rPr>
                <w:sz w:val="16"/>
                <w:lang w:val="es-ES_tradnl"/>
              </w:rPr>
            </w:pPr>
            <w:r w:rsidRPr="009960E1">
              <w:rPr>
                <w:sz w:val="16"/>
                <w:lang w:val="es-ES_tradnl"/>
              </w:rPr>
              <w:t>RG-IEM, TSB</w:t>
            </w:r>
          </w:p>
        </w:tc>
        <w:tc>
          <w:tcPr>
            <w:tcW w:w="1183" w:type="dxa"/>
            <w:tcBorders>
              <w:top w:val="single" w:sz="4" w:space="0" w:color="auto"/>
              <w:left w:val="single" w:sz="4" w:space="0" w:color="auto"/>
              <w:bottom w:val="single" w:sz="4" w:space="0" w:color="auto"/>
              <w:right w:val="single" w:sz="4" w:space="0" w:color="auto"/>
            </w:tcBorders>
            <w:hideMark/>
          </w:tcPr>
          <w:p w14:paraId="65007B1F" w14:textId="77777777" w:rsidR="00CF0CB0" w:rsidRPr="009960E1" w:rsidRDefault="00CF0CB0" w:rsidP="000C2430">
            <w:pPr>
              <w:pStyle w:val="Tabletext"/>
              <w:keepNext/>
              <w:keepLines/>
              <w:rPr>
                <w:sz w:val="16"/>
                <w:lang w:val="es-ES_tradnl"/>
              </w:rPr>
            </w:pPr>
            <w:r w:rsidRPr="009960E1">
              <w:rPr>
                <w:sz w:val="16"/>
                <w:lang w:val="es-ES_tradnl"/>
              </w:rPr>
              <w:t>AP1.3</w:t>
            </w:r>
          </w:p>
        </w:tc>
        <w:tc>
          <w:tcPr>
            <w:tcW w:w="1363" w:type="dxa"/>
            <w:tcBorders>
              <w:top w:val="single" w:sz="4" w:space="0" w:color="auto"/>
              <w:left w:val="single" w:sz="4" w:space="0" w:color="auto"/>
              <w:bottom w:val="single" w:sz="4" w:space="0" w:color="auto"/>
              <w:right w:val="single" w:sz="4" w:space="0" w:color="auto"/>
            </w:tcBorders>
          </w:tcPr>
          <w:p w14:paraId="5E80518A" w14:textId="77777777" w:rsidR="00CF0CB0" w:rsidRPr="009960E1" w:rsidRDefault="00CF0CB0" w:rsidP="000C2430">
            <w:pPr>
              <w:pStyle w:val="Tabletext"/>
              <w:keepNext/>
              <w:keepLines/>
              <w:rPr>
                <w:sz w:val="16"/>
                <w:lang w:val="es-ES_tradnl"/>
              </w:rPr>
            </w:pPr>
          </w:p>
        </w:tc>
      </w:tr>
      <w:tr w:rsidR="00CF0CB0" w:rsidRPr="009960E1" w14:paraId="224E718F"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52019792" w14:textId="77777777" w:rsidR="00CF0CB0" w:rsidRPr="009960E1" w:rsidRDefault="00CF0CB0" w:rsidP="000F2B2B">
            <w:pPr>
              <w:pStyle w:val="Tabletext"/>
              <w:rPr>
                <w:sz w:val="16"/>
                <w:lang w:val="es-ES_tradnl"/>
              </w:rPr>
            </w:pPr>
            <w:r w:rsidRPr="009960E1">
              <w:rPr>
                <w:sz w:val="16"/>
                <w:lang w:val="es-ES_tradnl"/>
              </w:rPr>
              <w:t>08</w:t>
            </w:r>
          </w:p>
        </w:tc>
        <w:tc>
          <w:tcPr>
            <w:tcW w:w="1645" w:type="dxa"/>
            <w:tcBorders>
              <w:top w:val="single" w:sz="4" w:space="0" w:color="auto"/>
              <w:left w:val="single" w:sz="4" w:space="0" w:color="auto"/>
              <w:bottom w:val="single" w:sz="4" w:space="0" w:color="auto"/>
              <w:right w:val="single" w:sz="4" w:space="0" w:color="auto"/>
            </w:tcBorders>
            <w:hideMark/>
          </w:tcPr>
          <w:p w14:paraId="2220A22B" w14:textId="77777777" w:rsidR="00CF0CB0" w:rsidRPr="009960E1" w:rsidRDefault="00CF0CB0" w:rsidP="000F2B2B">
            <w:pPr>
              <w:pStyle w:val="Tabletext"/>
              <w:rPr>
                <w:sz w:val="16"/>
                <w:lang w:val="es-ES_tradnl"/>
              </w:rPr>
            </w:pPr>
            <w:r w:rsidRPr="009960E1">
              <w:rPr>
                <w:sz w:val="16"/>
                <w:lang w:val="es-ES_tradnl"/>
              </w:rPr>
              <w:t>¿Es realista tener una sola "historia del UIT-T" o propuesta de valor o debemos desarrollar varias para diferentes contextos?</w:t>
            </w:r>
          </w:p>
        </w:tc>
        <w:tc>
          <w:tcPr>
            <w:tcW w:w="294" w:type="dxa"/>
            <w:tcBorders>
              <w:top w:val="single" w:sz="4" w:space="0" w:color="auto"/>
              <w:left w:val="single" w:sz="4" w:space="0" w:color="auto"/>
              <w:bottom w:val="single" w:sz="4" w:space="0" w:color="auto"/>
              <w:right w:val="single" w:sz="4" w:space="0" w:color="auto"/>
            </w:tcBorders>
          </w:tcPr>
          <w:p w14:paraId="58FA1533" w14:textId="77777777" w:rsidR="00CF0CB0" w:rsidRPr="009960E1" w:rsidRDefault="00CF0CB0" w:rsidP="000F2B2B">
            <w:pPr>
              <w:pStyle w:val="Tabletext"/>
              <w:rPr>
                <w:sz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0D0C2D9B" w14:textId="77777777" w:rsidR="00CF0CB0" w:rsidRPr="009960E1" w:rsidRDefault="00CF0CB0" w:rsidP="000F2B2B">
            <w:pPr>
              <w:pStyle w:val="Tabletext"/>
              <w:rPr>
                <w:sz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273E5240" w14:textId="77777777" w:rsidR="00CF0CB0" w:rsidRPr="009960E1" w:rsidRDefault="00CF0CB0" w:rsidP="000F2B2B">
            <w:pPr>
              <w:pStyle w:val="Tabletext"/>
              <w:rPr>
                <w:sz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1CE62AE8" w14:textId="206E9CB3" w:rsidR="00CF0CB0" w:rsidRPr="009960E1" w:rsidRDefault="0018267A" w:rsidP="000F2B2B">
            <w:pPr>
              <w:pStyle w:val="Tabletext"/>
              <w:rPr>
                <w:sz w:val="16"/>
                <w:lang w:val="es-ES_tradnl"/>
              </w:rPr>
            </w:pPr>
            <w:r w:rsidRPr="009960E1">
              <w:rPr>
                <w:sz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4508CEF6" w14:textId="77777777" w:rsidR="00CF0CB0" w:rsidRPr="009960E1" w:rsidRDefault="00CF0CB0" w:rsidP="000F2B2B">
            <w:pPr>
              <w:pStyle w:val="Tabletext"/>
              <w:rPr>
                <w:sz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7DF8948C" w14:textId="77777777" w:rsidR="00CF0CB0" w:rsidRPr="009960E1" w:rsidRDefault="00CF0CB0" w:rsidP="000F2B2B">
            <w:pPr>
              <w:pStyle w:val="Tabletext"/>
              <w:rPr>
                <w:sz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4467AF40" w14:textId="77777777" w:rsidR="00CF0CB0" w:rsidRPr="009960E1" w:rsidRDefault="00CF0CB0" w:rsidP="000F2B2B">
            <w:pPr>
              <w:pStyle w:val="Tabletext"/>
              <w:rPr>
                <w:sz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58BB15C5" w14:textId="73F9A451" w:rsidR="00CF0CB0" w:rsidRPr="009960E1" w:rsidRDefault="00CF0CB0" w:rsidP="000F2B2B">
            <w:pPr>
              <w:pStyle w:val="Tabletext"/>
              <w:rPr>
                <w:sz w:val="16"/>
                <w:lang w:val="es-ES_tradnl"/>
              </w:rPr>
            </w:pPr>
            <w:r w:rsidRPr="009960E1">
              <w:rPr>
                <w:sz w:val="16"/>
                <w:lang w:val="es-ES_tradnl"/>
              </w:rPr>
              <w:t>Investigar si es realista tener una "historia del UIT</w:t>
            </w:r>
            <w:r w:rsidR="007947C3" w:rsidRPr="009960E1">
              <w:rPr>
                <w:sz w:val="16"/>
                <w:lang w:val="es-ES_tradnl"/>
              </w:rPr>
              <w:noBreakHyphen/>
            </w:r>
            <w:r w:rsidRPr="009960E1">
              <w:rPr>
                <w:sz w:val="16"/>
                <w:lang w:val="es-ES_tradnl"/>
              </w:rPr>
              <w:t>T" o una propuesta de valor o si se necesitan varias para diferentes contextos (Comisión de Estudio, temas, audiencias, etc.).</w:t>
            </w:r>
          </w:p>
        </w:tc>
        <w:tc>
          <w:tcPr>
            <w:tcW w:w="992" w:type="dxa"/>
            <w:tcBorders>
              <w:top w:val="single" w:sz="4" w:space="0" w:color="auto"/>
              <w:left w:val="single" w:sz="4" w:space="0" w:color="auto"/>
              <w:bottom w:val="single" w:sz="4" w:space="0" w:color="auto"/>
              <w:right w:val="single" w:sz="4" w:space="0" w:color="auto"/>
            </w:tcBorders>
            <w:hideMark/>
          </w:tcPr>
          <w:p w14:paraId="1C3F1982" w14:textId="77777777" w:rsidR="00CF0CB0" w:rsidRPr="00386BC0" w:rsidRDefault="00CF0CB0" w:rsidP="000F2B2B">
            <w:pPr>
              <w:pStyle w:val="Tabletext"/>
              <w:rPr>
                <w:sz w:val="16"/>
                <w:lang w:val="en-US"/>
              </w:rPr>
            </w:pPr>
            <w:r w:rsidRPr="00386BC0">
              <w:rPr>
                <w:sz w:val="16"/>
                <w:lang w:val="en-US"/>
              </w:rPr>
              <w:t>RG-IEM, RG-SOP, TSB</w:t>
            </w:r>
          </w:p>
        </w:tc>
        <w:tc>
          <w:tcPr>
            <w:tcW w:w="1183" w:type="dxa"/>
            <w:tcBorders>
              <w:top w:val="single" w:sz="4" w:space="0" w:color="auto"/>
              <w:left w:val="single" w:sz="4" w:space="0" w:color="auto"/>
              <w:bottom w:val="single" w:sz="4" w:space="0" w:color="auto"/>
              <w:right w:val="single" w:sz="4" w:space="0" w:color="auto"/>
            </w:tcBorders>
            <w:hideMark/>
          </w:tcPr>
          <w:p w14:paraId="3BC25C21" w14:textId="77777777" w:rsidR="00CF0CB0" w:rsidRPr="009960E1" w:rsidRDefault="00CF0CB0" w:rsidP="000F2B2B">
            <w:pPr>
              <w:pStyle w:val="Tabletext"/>
              <w:rPr>
                <w:sz w:val="16"/>
                <w:lang w:val="es-ES_tradnl"/>
              </w:rPr>
            </w:pPr>
            <w:r w:rsidRPr="009960E1">
              <w:rPr>
                <w:sz w:val="16"/>
                <w:lang w:val="es-ES_tradnl"/>
              </w:rPr>
              <w:t>AP1.3</w:t>
            </w:r>
          </w:p>
        </w:tc>
        <w:tc>
          <w:tcPr>
            <w:tcW w:w="1363" w:type="dxa"/>
            <w:tcBorders>
              <w:top w:val="single" w:sz="4" w:space="0" w:color="auto"/>
              <w:left w:val="single" w:sz="4" w:space="0" w:color="auto"/>
              <w:bottom w:val="single" w:sz="4" w:space="0" w:color="auto"/>
              <w:right w:val="single" w:sz="4" w:space="0" w:color="auto"/>
            </w:tcBorders>
          </w:tcPr>
          <w:p w14:paraId="2A5537E7" w14:textId="77777777" w:rsidR="00CF0CB0" w:rsidRPr="009960E1" w:rsidRDefault="00CF0CB0" w:rsidP="000F2B2B">
            <w:pPr>
              <w:pStyle w:val="Tabletext"/>
              <w:rPr>
                <w:sz w:val="16"/>
                <w:lang w:val="es-ES_tradnl"/>
              </w:rPr>
            </w:pPr>
          </w:p>
        </w:tc>
      </w:tr>
      <w:tr w:rsidR="00CF0CB0" w:rsidRPr="00A7143D" w14:paraId="55D8CC9C"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36675038" w14:textId="77777777" w:rsidR="00CF0CB0" w:rsidRPr="009960E1" w:rsidRDefault="00CF0CB0" w:rsidP="000F2B2B">
            <w:pPr>
              <w:pStyle w:val="Tabletext"/>
              <w:rPr>
                <w:sz w:val="16"/>
                <w:lang w:val="es-ES_tradnl"/>
              </w:rPr>
            </w:pPr>
            <w:r w:rsidRPr="009960E1">
              <w:rPr>
                <w:sz w:val="16"/>
                <w:lang w:val="es-ES_tradnl"/>
              </w:rPr>
              <w:t>09</w:t>
            </w:r>
          </w:p>
        </w:tc>
        <w:tc>
          <w:tcPr>
            <w:tcW w:w="1645" w:type="dxa"/>
            <w:tcBorders>
              <w:top w:val="single" w:sz="4" w:space="0" w:color="auto"/>
              <w:left w:val="single" w:sz="4" w:space="0" w:color="auto"/>
              <w:bottom w:val="single" w:sz="4" w:space="0" w:color="auto"/>
              <w:right w:val="single" w:sz="4" w:space="0" w:color="auto"/>
            </w:tcBorders>
            <w:hideMark/>
          </w:tcPr>
          <w:p w14:paraId="347D42F2" w14:textId="77777777" w:rsidR="00CF0CB0" w:rsidRPr="009960E1" w:rsidRDefault="00CF0CB0" w:rsidP="000F2B2B">
            <w:pPr>
              <w:pStyle w:val="Tabletext"/>
              <w:rPr>
                <w:sz w:val="16"/>
                <w:lang w:val="es-ES_tradnl"/>
              </w:rPr>
            </w:pPr>
            <w:r w:rsidRPr="009960E1">
              <w:rPr>
                <w:sz w:val="16"/>
                <w:lang w:val="es-ES_tradnl"/>
              </w:rPr>
              <w:t>Faltan algunas métricas cuantitativas que son necesarias en comparación con las métricas cuantitativas y cualitativas existentes.</w:t>
            </w:r>
          </w:p>
        </w:tc>
        <w:tc>
          <w:tcPr>
            <w:tcW w:w="294" w:type="dxa"/>
            <w:tcBorders>
              <w:top w:val="single" w:sz="4" w:space="0" w:color="auto"/>
              <w:left w:val="single" w:sz="4" w:space="0" w:color="auto"/>
              <w:bottom w:val="single" w:sz="4" w:space="0" w:color="auto"/>
              <w:right w:val="single" w:sz="4" w:space="0" w:color="auto"/>
            </w:tcBorders>
          </w:tcPr>
          <w:p w14:paraId="447E0625" w14:textId="77777777" w:rsidR="00CF0CB0" w:rsidRPr="009960E1" w:rsidRDefault="00CF0CB0" w:rsidP="000F2B2B">
            <w:pPr>
              <w:pStyle w:val="Tabletext"/>
              <w:rPr>
                <w:sz w:val="16"/>
                <w:lang w:val="es-ES_tradnl"/>
              </w:rPr>
            </w:pPr>
          </w:p>
        </w:tc>
        <w:tc>
          <w:tcPr>
            <w:tcW w:w="266" w:type="dxa"/>
            <w:tcBorders>
              <w:top w:val="single" w:sz="4" w:space="0" w:color="auto"/>
              <w:left w:val="single" w:sz="4" w:space="0" w:color="auto"/>
              <w:bottom w:val="single" w:sz="4" w:space="0" w:color="auto"/>
              <w:right w:val="single" w:sz="4" w:space="0" w:color="auto"/>
            </w:tcBorders>
            <w:hideMark/>
          </w:tcPr>
          <w:p w14:paraId="31BE972E" w14:textId="5F8E950B" w:rsidR="00CF0CB0" w:rsidRPr="009960E1" w:rsidRDefault="0018267A" w:rsidP="000F2B2B">
            <w:pPr>
              <w:pStyle w:val="Tabletext"/>
              <w:rPr>
                <w:sz w:val="16"/>
                <w:lang w:val="es-ES_tradnl"/>
              </w:rPr>
            </w:pPr>
            <w:r w:rsidRPr="009960E1">
              <w:rPr>
                <w:sz w:val="16"/>
                <w:lang w:val="es-ES_tradnl"/>
              </w:rPr>
              <w:t>x</w:t>
            </w:r>
          </w:p>
        </w:tc>
        <w:tc>
          <w:tcPr>
            <w:tcW w:w="266" w:type="dxa"/>
            <w:tcBorders>
              <w:top w:val="single" w:sz="4" w:space="0" w:color="auto"/>
              <w:left w:val="single" w:sz="4" w:space="0" w:color="auto"/>
              <w:bottom w:val="single" w:sz="4" w:space="0" w:color="auto"/>
              <w:right w:val="single" w:sz="4" w:space="0" w:color="auto"/>
            </w:tcBorders>
            <w:hideMark/>
          </w:tcPr>
          <w:p w14:paraId="77BA7C1A" w14:textId="0F8C1D65" w:rsidR="00CF0CB0" w:rsidRPr="009960E1" w:rsidRDefault="0018267A" w:rsidP="000F2B2B">
            <w:pPr>
              <w:pStyle w:val="Tabletext"/>
              <w:rPr>
                <w:sz w:val="16"/>
                <w:lang w:val="es-ES_tradnl"/>
              </w:rPr>
            </w:pPr>
            <w:r w:rsidRPr="009960E1">
              <w:rPr>
                <w:sz w:val="16"/>
                <w:lang w:val="es-ES_tradnl"/>
              </w:rPr>
              <w:t>x</w:t>
            </w:r>
          </w:p>
        </w:tc>
        <w:tc>
          <w:tcPr>
            <w:tcW w:w="289" w:type="dxa"/>
            <w:tcBorders>
              <w:top w:val="single" w:sz="4" w:space="0" w:color="auto"/>
              <w:left w:val="single" w:sz="4" w:space="0" w:color="auto"/>
              <w:bottom w:val="single" w:sz="4" w:space="0" w:color="auto"/>
              <w:right w:val="single" w:sz="4" w:space="0" w:color="auto"/>
            </w:tcBorders>
          </w:tcPr>
          <w:p w14:paraId="4837DAB8" w14:textId="77777777" w:rsidR="00CF0CB0" w:rsidRPr="009960E1" w:rsidRDefault="00CF0CB0" w:rsidP="000F2B2B">
            <w:pPr>
              <w:pStyle w:val="Tabletext"/>
              <w:rPr>
                <w:sz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21CEA6A1" w14:textId="77777777" w:rsidR="00CF0CB0" w:rsidRPr="009960E1" w:rsidRDefault="00CF0CB0" w:rsidP="000F2B2B">
            <w:pPr>
              <w:pStyle w:val="Tabletext"/>
              <w:rPr>
                <w:sz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0FDB238A" w14:textId="77777777" w:rsidR="00CF0CB0" w:rsidRPr="009960E1" w:rsidRDefault="00CF0CB0" w:rsidP="000F2B2B">
            <w:pPr>
              <w:pStyle w:val="Tabletext"/>
              <w:rPr>
                <w:sz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64EF2FAF" w14:textId="61B5AB64" w:rsidR="00CF0CB0" w:rsidRPr="009960E1" w:rsidRDefault="0018267A" w:rsidP="000F2B2B">
            <w:pPr>
              <w:pStyle w:val="Tabletext"/>
              <w:rPr>
                <w:sz w:val="16"/>
                <w:lang w:val="es-ES_tradnl"/>
              </w:rPr>
            </w:pPr>
            <w:r w:rsidRPr="009960E1">
              <w:rPr>
                <w:sz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47054283" w14:textId="77777777" w:rsidR="00CF0CB0" w:rsidRPr="009960E1" w:rsidRDefault="00CF0CB0" w:rsidP="0018267A">
            <w:pPr>
              <w:pStyle w:val="Tabletext"/>
              <w:rPr>
                <w:sz w:val="16"/>
                <w:szCs w:val="16"/>
                <w:lang w:val="es-ES_tradnl"/>
              </w:rPr>
            </w:pPr>
            <w:r w:rsidRPr="009960E1">
              <w:rPr>
                <w:sz w:val="16"/>
                <w:szCs w:val="16"/>
                <w:lang w:val="es-ES_tradnl"/>
              </w:rPr>
              <w:t>Investigar las mejores formas de mejorar las métricas cuantitativas para completar las existentes y las cualitativas.</w:t>
            </w:r>
          </w:p>
        </w:tc>
        <w:tc>
          <w:tcPr>
            <w:tcW w:w="992" w:type="dxa"/>
            <w:tcBorders>
              <w:top w:val="single" w:sz="4" w:space="0" w:color="auto"/>
              <w:left w:val="single" w:sz="4" w:space="0" w:color="auto"/>
              <w:bottom w:val="single" w:sz="4" w:space="0" w:color="auto"/>
              <w:right w:val="single" w:sz="4" w:space="0" w:color="auto"/>
            </w:tcBorders>
            <w:hideMark/>
          </w:tcPr>
          <w:p w14:paraId="2FD571AF" w14:textId="77777777" w:rsidR="00CF0CB0" w:rsidRPr="009960E1" w:rsidRDefault="00CF0CB0" w:rsidP="000F2B2B">
            <w:pPr>
              <w:pStyle w:val="Tabletext"/>
              <w:rPr>
                <w:sz w:val="16"/>
                <w:lang w:val="es-ES_tradnl"/>
              </w:rPr>
            </w:pPr>
            <w:r w:rsidRPr="009960E1">
              <w:rPr>
                <w:sz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2A77151A" w14:textId="77777777" w:rsidR="00CF0CB0" w:rsidRPr="009960E1" w:rsidRDefault="00CF0CB0" w:rsidP="000F2B2B">
            <w:pPr>
              <w:pStyle w:val="Tabletext"/>
              <w:rPr>
                <w:sz w:val="16"/>
                <w:lang w:val="es-ES_tradnl"/>
              </w:rPr>
            </w:pPr>
            <w:r w:rsidRPr="009960E1">
              <w:rPr>
                <w:sz w:val="16"/>
                <w:lang w:val="es-ES_tradnl"/>
              </w:rPr>
              <w:t>AP1.4 o AP1.1.2</w:t>
            </w:r>
          </w:p>
        </w:tc>
        <w:tc>
          <w:tcPr>
            <w:tcW w:w="1363" w:type="dxa"/>
            <w:tcBorders>
              <w:top w:val="single" w:sz="4" w:space="0" w:color="auto"/>
              <w:left w:val="single" w:sz="4" w:space="0" w:color="auto"/>
              <w:bottom w:val="single" w:sz="4" w:space="0" w:color="auto"/>
              <w:right w:val="single" w:sz="4" w:space="0" w:color="auto"/>
            </w:tcBorders>
            <w:hideMark/>
          </w:tcPr>
          <w:p w14:paraId="357147B5" w14:textId="17B9EB3E" w:rsidR="00CF0CB0" w:rsidRPr="009960E1" w:rsidRDefault="00CF0CB0" w:rsidP="000F2B2B">
            <w:pPr>
              <w:pStyle w:val="Tabletext"/>
              <w:rPr>
                <w:sz w:val="16"/>
                <w:lang w:val="es-ES_tradnl"/>
              </w:rPr>
            </w:pPr>
            <w:r w:rsidRPr="009960E1">
              <w:rPr>
                <w:sz w:val="16"/>
                <w:lang w:val="es-ES_tradnl"/>
              </w:rPr>
              <w:t>Parece que un punto clave del AP1.4 es utilizar herramientas y métricas para atraer a la industria y, por lo tanto, estos conceptos probablemente deberían elevarse en el punto AP1.4, ya que incluso aquí se puede pensar para apuntar al AP1.4, ya que esto es demasiado implícito. Véanse otros puntos 14</w:t>
            </w:r>
            <w:r w:rsidR="000379DD">
              <w:rPr>
                <w:sz w:val="16"/>
                <w:lang w:val="es-ES_tradnl"/>
              </w:rPr>
              <w:t> </w:t>
            </w:r>
            <w:r w:rsidRPr="009960E1">
              <w:rPr>
                <w:sz w:val="16"/>
                <w:lang w:val="es-ES_tradnl"/>
              </w:rPr>
              <w:t>y</w:t>
            </w:r>
            <w:r w:rsidR="007947C3" w:rsidRPr="009960E1">
              <w:rPr>
                <w:sz w:val="16"/>
                <w:lang w:val="es-ES_tradnl"/>
              </w:rPr>
              <w:t> </w:t>
            </w:r>
            <w:r w:rsidRPr="009960E1">
              <w:rPr>
                <w:sz w:val="16"/>
                <w:lang w:val="es-ES_tradnl"/>
              </w:rPr>
              <w:t>15, una alternativa probablemente mejor sería modificar el AP1.1.2 para abarcar las métricas debido a la palabra "medios".</w:t>
            </w:r>
          </w:p>
        </w:tc>
      </w:tr>
      <w:tr w:rsidR="00CF0CB0" w:rsidRPr="009960E1" w14:paraId="0146D8CA"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792E5F0D" w14:textId="77777777" w:rsidR="00CF0CB0" w:rsidRPr="009960E1" w:rsidRDefault="00CF0CB0" w:rsidP="000F2B2B">
            <w:pPr>
              <w:pStyle w:val="Tabletext"/>
              <w:rPr>
                <w:sz w:val="16"/>
                <w:lang w:val="es-ES_tradnl"/>
              </w:rPr>
            </w:pPr>
            <w:r w:rsidRPr="009960E1">
              <w:rPr>
                <w:sz w:val="16"/>
                <w:lang w:val="es-ES_tradnl"/>
              </w:rPr>
              <w:t>10</w:t>
            </w:r>
          </w:p>
        </w:tc>
        <w:tc>
          <w:tcPr>
            <w:tcW w:w="1645" w:type="dxa"/>
            <w:tcBorders>
              <w:top w:val="single" w:sz="4" w:space="0" w:color="auto"/>
              <w:left w:val="single" w:sz="4" w:space="0" w:color="auto"/>
              <w:bottom w:val="single" w:sz="4" w:space="0" w:color="auto"/>
              <w:right w:val="single" w:sz="4" w:space="0" w:color="auto"/>
            </w:tcBorders>
          </w:tcPr>
          <w:p w14:paraId="03016286" w14:textId="77777777" w:rsidR="00CF0CB0" w:rsidRPr="009960E1" w:rsidRDefault="00CF0CB0" w:rsidP="000F2B2B">
            <w:pPr>
              <w:pStyle w:val="Tabletext"/>
              <w:rPr>
                <w:sz w:val="16"/>
                <w:lang w:val="es-ES_tradnl"/>
              </w:rPr>
            </w:pPr>
            <w:r w:rsidRPr="009960E1">
              <w:rPr>
                <w:sz w:val="16"/>
                <w:lang w:val="es-ES_tradnl"/>
              </w:rPr>
              <w:t>Se sugirió una mayor y mejor coordinación con otras organizaciones de normalización y comunidades de código abierto para evitar duplicaciones y que la UIT pueda ser la coordinadora en beneficio de la industria.</w:t>
            </w:r>
          </w:p>
        </w:tc>
        <w:tc>
          <w:tcPr>
            <w:tcW w:w="294" w:type="dxa"/>
            <w:tcBorders>
              <w:top w:val="single" w:sz="4" w:space="0" w:color="auto"/>
              <w:left w:val="single" w:sz="4" w:space="0" w:color="auto"/>
              <w:bottom w:val="single" w:sz="4" w:space="0" w:color="auto"/>
              <w:right w:val="single" w:sz="4" w:space="0" w:color="auto"/>
            </w:tcBorders>
          </w:tcPr>
          <w:p w14:paraId="672D5843" w14:textId="77777777" w:rsidR="00CF0CB0" w:rsidRPr="009960E1" w:rsidRDefault="00CF0CB0" w:rsidP="000F2B2B">
            <w:pPr>
              <w:pStyle w:val="Tabletext"/>
              <w:rPr>
                <w:sz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519FFB47" w14:textId="77777777" w:rsidR="00CF0CB0" w:rsidRPr="009960E1" w:rsidRDefault="00CF0CB0" w:rsidP="000F2B2B">
            <w:pPr>
              <w:pStyle w:val="Tabletext"/>
              <w:rPr>
                <w:sz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0177A3B8" w14:textId="77777777" w:rsidR="00CF0CB0" w:rsidRPr="009960E1" w:rsidRDefault="00CF0CB0" w:rsidP="000F2B2B">
            <w:pPr>
              <w:pStyle w:val="Tabletext"/>
              <w:rPr>
                <w:sz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65D083E9" w14:textId="058AD99F" w:rsidR="00CF0CB0" w:rsidRPr="009960E1" w:rsidRDefault="0018267A" w:rsidP="000F2B2B">
            <w:pPr>
              <w:pStyle w:val="Tabletext"/>
              <w:rPr>
                <w:sz w:val="16"/>
                <w:lang w:val="es-ES_tradnl"/>
              </w:rPr>
            </w:pPr>
            <w:r w:rsidRPr="009960E1">
              <w:rPr>
                <w:sz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0B617916" w14:textId="77777777" w:rsidR="00CF0CB0" w:rsidRPr="009960E1" w:rsidRDefault="00CF0CB0" w:rsidP="000F2B2B">
            <w:pPr>
              <w:pStyle w:val="Tabletext"/>
              <w:rPr>
                <w:sz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356EEE1A" w14:textId="77777777" w:rsidR="00CF0CB0" w:rsidRPr="009960E1" w:rsidRDefault="00CF0CB0" w:rsidP="000F2B2B">
            <w:pPr>
              <w:pStyle w:val="Tabletext"/>
              <w:rPr>
                <w:sz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7BB11C41" w14:textId="23F8005B" w:rsidR="00CF0CB0" w:rsidRPr="009960E1" w:rsidRDefault="0018267A" w:rsidP="000F2B2B">
            <w:pPr>
              <w:pStyle w:val="Tabletext"/>
              <w:rPr>
                <w:sz w:val="16"/>
                <w:lang w:val="es-ES_tradnl"/>
              </w:rPr>
            </w:pPr>
            <w:r w:rsidRPr="009960E1">
              <w:rPr>
                <w:sz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5495EE63" w14:textId="2A2ABA4D" w:rsidR="00CF0CB0" w:rsidRPr="009960E1" w:rsidRDefault="00CF0CB0" w:rsidP="000F2B2B">
            <w:pPr>
              <w:pStyle w:val="Tabletext"/>
              <w:ind w:left="284" w:hanging="284"/>
              <w:rPr>
                <w:sz w:val="16"/>
                <w:lang w:val="es-ES_tradnl"/>
              </w:rPr>
            </w:pPr>
            <w:r w:rsidRPr="009960E1">
              <w:rPr>
                <w:sz w:val="16"/>
                <w:lang w:val="es-ES_tradnl"/>
              </w:rPr>
              <w:t>a)</w:t>
            </w:r>
            <w:r w:rsidRPr="009960E1">
              <w:rPr>
                <w:sz w:val="16"/>
                <w:lang w:val="es-ES_tradnl"/>
              </w:rPr>
              <w:tab/>
              <w:t>Investigar las formas de mejorar la coordinación con otras organizaciones de normalización y comunidades de código abierto para evitar duplicaciones</w:t>
            </w:r>
          </w:p>
          <w:p w14:paraId="16E720B6" w14:textId="77777777" w:rsidR="00CF0CB0" w:rsidRPr="009960E1" w:rsidRDefault="00CF0CB0" w:rsidP="000F2B2B">
            <w:pPr>
              <w:pStyle w:val="Tabletext"/>
              <w:ind w:left="284" w:hanging="284"/>
              <w:rPr>
                <w:sz w:val="16"/>
                <w:lang w:val="es-ES_tradnl"/>
              </w:rPr>
            </w:pPr>
            <w:r w:rsidRPr="009960E1">
              <w:rPr>
                <w:sz w:val="16"/>
                <w:lang w:val="es-ES_tradnl"/>
              </w:rPr>
              <w:t>b)</w:t>
            </w:r>
            <w:r w:rsidRPr="009960E1">
              <w:rPr>
                <w:sz w:val="16"/>
                <w:lang w:val="es-ES_tradnl"/>
              </w:rPr>
              <w:tab/>
              <w:t>y para que la UIT pueda ser la coordinadora en beneficio de la industria.</w:t>
            </w:r>
          </w:p>
        </w:tc>
        <w:tc>
          <w:tcPr>
            <w:tcW w:w="992" w:type="dxa"/>
            <w:tcBorders>
              <w:top w:val="single" w:sz="4" w:space="0" w:color="auto"/>
              <w:left w:val="single" w:sz="4" w:space="0" w:color="auto"/>
              <w:bottom w:val="single" w:sz="4" w:space="0" w:color="auto"/>
              <w:right w:val="single" w:sz="4" w:space="0" w:color="auto"/>
            </w:tcBorders>
            <w:hideMark/>
          </w:tcPr>
          <w:p w14:paraId="3BDEAA4D" w14:textId="77777777" w:rsidR="00CF0CB0" w:rsidRPr="009960E1" w:rsidRDefault="00CF0CB0" w:rsidP="000F2B2B">
            <w:pPr>
              <w:pStyle w:val="Tabletext"/>
              <w:rPr>
                <w:sz w:val="16"/>
                <w:lang w:val="es-ES_tradnl"/>
              </w:rPr>
            </w:pPr>
            <w:r w:rsidRPr="009960E1">
              <w:rPr>
                <w:sz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6838310C" w14:textId="77777777" w:rsidR="00CF0CB0" w:rsidRPr="009960E1" w:rsidRDefault="00CF0CB0" w:rsidP="000F2B2B">
            <w:pPr>
              <w:pStyle w:val="Tabletext"/>
              <w:rPr>
                <w:sz w:val="16"/>
                <w:lang w:val="es-ES_tradnl"/>
              </w:rPr>
            </w:pPr>
            <w:r w:rsidRPr="009960E1">
              <w:rPr>
                <w:sz w:val="16"/>
                <w:lang w:val="es-ES_tradnl"/>
              </w:rPr>
              <w:t>AP1.7</w:t>
            </w:r>
          </w:p>
        </w:tc>
        <w:tc>
          <w:tcPr>
            <w:tcW w:w="1363" w:type="dxa"/>
            <w:tcBorders>
              <w:top w:val="single" w:sz="4" w:space="0" w:color="auto"/>
              <w:left w:val="single" w:sz="4" w:space="0" w:color="auto"/>
              <w:bottom w:val="single" w:sz="4" w:space="0" w:color="auto"/>
              <w:right w:val="single" w:sz="4" w:space="0" w:color="auto"/>
            </w:tcBorders>
          </w:tcPr>
          <w:p w14:paraId="4EBE9AD6" w14:textId="77777777" w:rsidR="00CF0CB0" w:rsidRPr="009960E1" w:rsidRDefault="00CF0CB0" w:rsidP="000F2B2B">
            <w:pPr>
              <w:pStyle w:val="Tabletext"/>
              <w:rPr>
                <w:sz w:val="16"/>
                <w:lang w:val="es-ES_tradnl"/>
              </w:rPr>
            </w:pPr>
          </w:p>
        </w:tc>
      </w:tr>
      <w:tr w:rsidR="00CF0CB0" w:rsidRPr="009960E1" w14:paraId="4B90C4F9"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15F77715" w14:textId="77777777" w:rsidR="00CF0CB0" w:rsidRPr="009960E1" w:rsidRDefault="00CF0CB0" w:rsidP="000F2B2B">
            <w:pPr>
              <w:pStyle w:val="Tabletext"/>
              <w:rPr>
                <w:sz w:val="16"/>
                <w:lang w:val="es-ES_tradnl"/>
              </w:rPr>
            </w:pPr>
            <w:r w:rsidRPr="009960E1">
              <w:rPr>
                <w:sz w:val="16"/>
                <w:lang w:val="es-ES_tradnl"/>
              </w:rPr>
              <w:t>11</w:t>
            </w:r>
          </w:p>
        </w:tc>
        <w:tc>
          <w:tcPr>
            <w:tcW w:w="1645" w:type="dxa"/>
            <w:tcBorders>
              <w:top w:val="single" w:sz="4" w:space="0" w:color="auto"/>
              <w:left w:val="single" w:sz="4" w:space="0" w:color="auto"/>
              <w:bottom w:val="single" w:sz="4" w:space="0" w:color="auto"/>
              <w:right w:val="single" w:sz="4" w:space="0" w:color="auto"/>
            </w:tcBorders>
            <w:hideMark/>
          </w:tcPr>
          <w:p w14:paraId="51A00EDC" w14:textId="77777777" w:rsidR="00CF0CB0" w:rsidRPr="009960E1" w:rsidRDefault="00CF0CB0" w:rsidP="000F2B2B">
            <w:pPr>
              <w:pStyle w:val="Tabletext"/>
              <w:rPr>
                <w:sz w:val="16"/>
                <w:szCs w:val="16"/>
                <w:lang w:val="es-ES_tradnl"/>
              </w:rPr>
            </w:pPr>
            <w:r w:rsidRPr="009960E1">
              <w:rPr>
                <w:sz w:val="16"/>
                <w:szCs w:val="16"/>
                <w:lang w:val="es-ES_tradnl"/>
              </w:rPr>
              <w:t>El UIT-T debería identificar los temas en los que el puente entre tecnología, política y estrategia es una fortaleza para la UIT.</w:t>
            </w:r>
          </w:p>
        </w:tc>
        <w:tc>
          <w:tcPr>
            <w:tcW w:w="294" w:type="dxa"/>
            <w:tcBorders>
              <w:top w:val="single" w:sz="4" w:space="0" w:color="auto"/>
              <w:left w:val="single" w:sz="4" w:space="0" w:color="auto"/>
              <w:bottom w:val="single" w:sz="4" w:space="0" w:color="auto"/>
              <w:right w:val="single" w:sz="4" w:space="0" w:color="auto"/>
            </w:tcBorders>
          </w:tcPr>
          <w:p w14:paraId="0466F60A"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CF98CD6" w14:textId="77777777" w:rsidR="00CF0CB0" w:rsidRPr="009960E1" w:rsidRDefault="00CF0CB0" w:rsidP="000F2B2B">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0C9CD838" w14:textId="77777777" w:rsidR="00CF0CB0" w:rsidRPr="009960E1" w:rsidRDefault="00CF0CB0" w:rsidP="000F2B2B">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781F942A" w14:textId="3422C0F1" w:rsidR="00CF0CB0" w:rsidRPr="009960E1" w:rsidRDefault="0018267A" w:rsidP="000F2B2B">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6E83F575" w14:textId="77777777" w:rsidR="00CF0CB0" w:rsidRPr="009960E1" w:rsidRDefault="00CF0CB0" w:rsidP="000F2B2B">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576C806A" w14:textId="77777777" w:rsidR="00CF0CB0" w:rsidRPr="009960E1" w:rsidRDefault="00CF0CB0" w:rsidP="000F2B2B">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78874689" w14:textId="138D778F" w:rsidR="00CF0CB0" w:rsidRPr="009960E1" w:rsidRDefault="0018267A" w:rsidP="000F2B2B">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78A9E26A" w14:textId="77777777" w:rsidR="00CF0CB0" w:rsidRPr="009960E1" w:rsidRDefault="00CF0CB0" w:rsidP="000F2B2B">
            <w:pPr>
              <w:pStyle w:val="Tabletext"/>
              <w:rPr>
                <w:sz w:val="16"/>
                <w:szCs w:val="16"/>
                <w:lang w:val="es-ES_tradnl"/>
              </w:rPr>
            </w:pPr>
            <w:r w:rsidRPr="009960E1">
              <w:rPr>
                <w:sz w:val="16"/>
                <w:szCs w:val="16"/>
                <w:lang w:val="es-ES_tradnl"/>
              </w:rPr>
              <w:t>Investigar la mejor manera de que el UIT-T identifique temas que maximicen su fortaleza como puente entre la tecnología, la política y la estrategia.</w:t>
            </w:r>
          </w:p>
        </w:tc>
        <w:tc>
          <w:tcPr>
            <w:tcW w:w="992" w:type="dxa"/>
            <w:tcBorders>
              <w:top w:val="single" w:sz="4" w:space="0" w:color="auto"/>
              <w:left w:val="single" w:sz="4" w:space="0" w:color="auto"/>
              <w:bottom w:val="single" w:sz="4" w:space="0" w:color="auto"/>
              <w:right w:val="single" w:sz="4" w:space="0" w:color="auto"/>
            </w:tcBorders>
            <w:hideMark/>
          </w:tcPr>
          <w:p w14:paraId="285FE509" w14:textId="77777777" w:rsidR="00CF0CB0" w:rsidRPr="009960E1" w:rsidRDefault="00CF0CB0" w:rsidP="000F2B2B">
            <w:pPr>
              <w:pStyle w:val="Tabletext"/>
              <w:rPr>
                <w:sz w:val="16"/>
                <w:szCs w:val="16"/>
                <w:lang w:val="es-ES_tradnl"/>
              </w:rPr>
            </w:pPr>
            <w:r w:rsidRPr="009960E1">
              <w:rPr>
                <w:sz w:val="16"/>
                <w:szCs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01E24CBC" w14:textId="77777777" w:rsidR="00CF0CB0" w:rsidRPr="009960E1" w:rsidRDefault="00CF0CB0" w:rsidP="000F2B2B">
            <w:pPr>
              <w:pStyle w:val="Tabletext"/>
              <w:rPr>
                <w:sz w:val="16"/>
                <w:szCs w:val="16"/>
                <w:lang w:val="es-ES_tradnl"/>
              </w:rPr>
            </w:pPr>
            <w:r w:rsidRPr="009960E1">
              <w:rPr>
                <w:sz w:val="16"/>
                <w:szCs w:val="16"/>
                <w:lang w:val="es-ES_tradnl"/>
              </w:rPr>
              <w:t>AP1.5</w:t>
            </w:r>
          </w:p>
        </w:tc>
        <w:tc>
          <w:tcPr>
            <w:tcW w:w="1363" w:type="dxa"/>
            <w:tcBorders>
              <w:top w:val="single" w:sz="4" w:space="0" w:color="auto"/>
              <w:left w:val="single" w:sz="4" w:space="0" w:color="auto"/>
              <w:bottom w:val="single" w:sz="4" w:space="0" w:color="auto"/>
              <w:right w:val="single" w:sz="4" w:space="0" w:color="auto"/>
            </w:tcBorders>
          </w:tcPr>
          <w:p w14:paraId="61A68031" w14:textId="77777777" w:rsidR="00CF0CB0" w:rsidRPr="009960E1" w:rsidRDefault="00CF0CB0" w:rsidP="000F2B2B">
            <w:pPr>
              <w:pStyle w:val="Tabletext"/>
              <w:rPr>
                <w:sz w:val="16"/>
                <w:szCs w:val="16"/>
                <w:lang w:val="es-ES_tradnl"/>
              </w:rPr>
            </w:pPr>
          </w:p>
        </w:tc>
      </w:tr>
      <w:tr w:rsidR="00CF0CB0" w:rsidRPr="00A7143D" w14:paraId="547E40C0"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0BE167E4" w14:textId="77777777" w:rsidR="00CF0CB0" w:rsidRPr="009960E1" w:rsidRDefault="00CF0CB0" w:rsidP="0018267A">
            <w:pPr>
              <w:pStyle w:val="Tabletext"/>
              <w:rPr>
                <w:sz w:val="16"/>
                <w:szCs w:val="16"/>
                <w:lang w:val="es-ES_tradnl"/>
              </w:rPr>
            </w:pPr>
            <w:r w:rsidRPr="009960E1">
              <w:rPr>
                <w:sz w:val="16"/>
                <w:szCs w:val="16"/>
                <w:lang w:val="es-ES_tradnl"/>
              </w:rPr>
              <w:t>12</w:t>
            </w:r>
          </w:p>
        </w:tc>
        <w:tc>
          <w:tcPr>
            <w:tcW w:w="1645" w:type="dxa"/>
            <w:tcBorders>
              <w:top w:val="single" w:sz="4" w:space="0" w:color="auto"/>
              <w:left w:val="single" w:sz="4" w:space="0" w:color="auto"/>
              <w:bottom w:val="single" w:sz="4" w:space="0" w:color="auto"/>
              <w:right w:val="single" w:sz="4" w:space="0" w:color="auto"/>
            </w:tcBorders>
            <w:hideMark/>
          </w:tcPr>
          <w:p w14:paraId="615B4ABA" w14:textId="12018179" w:rsidR="00CF0CB0" w:rsidRPr="009960E1" w:rsidRDefault="00CF0CB0" w:rsidP="0018267A">
            <w:pPr>
              <w:pStyle w:val="Tabletext"/>
              <w:rPr>
                <w:sz w:val="16"/>
                <w:szCs w:val="16"/>
                <w:lang w:val="es-ES_tradnl"/>
              </w:rPr>
            </w:pPr>
            <w:r w:rsidRPr="009960E1">
              <w:rPr>
                <w:sz w:val="16"/>
                <w:szCs w:val="16"/>
                <w:lang w:val="es-ES_tradnl"/>
              </w:rPr>
              <w:t xml:space="preserve">Como parte del apoyo a la reunión de CTO/CxO, deberían reflejarse más contribuciones de la industria al debate sobre la nueva barra de temas de trabajo en el GANT, incluso en una nueva </w:t>
            </w:r>
            <w:r w:rsidRPr="009960E1">
              <w:rPr>
                <w:sz w:val="16"/>
                <w:szCs w:val="16"/>
                <w:lang w:val="es-ES_tradnl"/>
              </w:rPr>
              <w:lastRenderedPageBreak/>
              <w:t>Resolución o en una Resolución</w:t>
            </w:r>
            <w:r w:rsidR="000C2430" w:rsidRPr="009960E1">
              <w:rPr>
                <w:sz w:val="16"/>
                <w:szCs w:val="16"/>
                <w:lang w:val="es-ES_tradnl"/>
              </w:rPr>
              <w:t> </w:t>
            </w:r>
            <w:r w:rsidRPr="009960E1">
              <w:rPr>
                <w:sz w:val="16"/>
                <w:szCs w:val="16"/>
                <w:lang w:val="es-ES_tradnl"/>
              </w:rPr>
              <w:t>68 modificada.</w:t>
            </w:r>
          </w:p>
          <w:p w14:paraId="120B8D0B" w14:textId="4EB07B78" w:rsidR="00CF0CB0" w:rsidRPr="009960E1" w:rsidRDefault="00CF0CB0" w:rsidP="0018267A">
            <w:pPr>
              <w:pStyle w:val="Tabletext"/>
              <w:rPr>
                <w:sz w:val="16"/>
                <w:szCs w:val="16"/>
                <w:lang w:val="es-ES_tradnl"/>
              </w:rPr>
            </w:pPr>
            <w:r w:rsidRPr="009960E1">
              <w:rPr>
                <w:sz w:val="16"/>
                <w:szCs w:val="16"/>
                <w:lang w:val="es-ES_tradnl"/>
              </w:rPr>
              <w:t>[¿Deberíamos conservar este punto?]</w:t>
            </w:r>
          </w:p>
        </w:tc>
        <w:tc>
          <w:tcPr>
            <w:tcW w:w="294" w:type="dxa"/>
            <w:tcBorders>
              <w:top w:val="single" w:sz="4" w:space="0" w:color="auto"/>
              <w:left w:val="single" w:sz="4" w:space="0" w:color="auto"/>
              <w:bottom w:val="single" w:sz="4" w:space="0" w:color="auto"/>
              <w:right w:val="single" w:sz="4" w:space="0" w:color="auto"/>
            </w:tcBorders>
          </w:tcPr>
          <w:p w14:paraId="602E8DF9"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5098563"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094F1171"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tcPr>
          <w:p w14:paraId="395CD3E0"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3938F837"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59972687"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16ADED00" w14:textId="1F22278F" w:rsidR="00CF0CB0" w:rsidRPr="009960E1" w:rsidRDefault="0018267A" w:rsidP="0018267A">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2969D851" w14:textId="62AB8BF0" w:rsidR="00CF0CB0" w:rsidRPr="009960E1" w:rsidRDefault="00CF0CB0" w:rsidP="0018267A">
            <w:pPr>
              <w:pStyle w:val="Tabletext"/>
              <w:rPr>
                <w:sz w:val="16"/>
                <w:szCs w:val="16"/>
                <w:lang w:val="es-ES_tradnl"/>
              </w:rPr>
            </w:pPr>
            <w:r w:rsidRPr="009960E1">
              <w:rPr>
                <w:sz w:val="16"/>
                <w:szCs w:val="16"/>
                <w:lang w:val="es-ES_tradnl"/>
              </w:rPr>
              <w:t>Junto con los números 4 y</w:t>
            </w:r>
            <w:r w:rsidR="000C2430" w:rsidRPr="009960E1">
              <w:rPr>
                <w:sz w:val="16"/>
                <w:szCs w:val="16"/>
                <w:lang w:val="es-ES_tradnl"/>
              </w:rPr>
              <w:t> </w:t>
            </w:r>
            <w:r w:rsidRPr="009960E1">
              <w:rPr>
                <w:sz w:val="16"/>
                <w:szCs w:val="16"/>
                <w:lang w:val="es-ES_tradnl"/>
              </w:rPr>
              <w:t>5, una nueva Resolución o modificaciones a la Resolución</w:t>
            </w:r>
            <w:r w:rsidR="000C2430" w:rsidRPr="009960E1">
              <w:rPr>
                <w:sz w:val="16"/>
                <w:szCs w:val="16"/>
                <w:lang w:val="es-ES_tradnl"/>
              </w:rPr>
              <w:t> </w:t>
            </w:r>
            <w:r w:rsidRPr="009960E1">
              <w:rPr>
                <w:sz w:val="16"/>
                <w:szCs w:val="16"/>
                <w:lang w:val="es-ES_tradnl"/>
              </w:rPr>
              <w:t xml:space="preserve">68 deberían reflejar que el compromiso para mejorar el valor para la industria es complementario de las reuniones de CTO/CxO, pero que debería reflejarse una mayor </w:t>
            </w:r>
            <w:r w:rsidRPr="009960E1">
              <w:rPr>
                <w:sz w:val="16"/>
                <w:szCs w:val="16"/>
                <w:lang w:val="es-ES_tradnl"/>
              </w:rPr>
              <w:lastRenderedPageBreak/>
              <w:t>contribución de la industria al debate sobre la barra de nuevos temas de trabajo en el GANT.</w:t>
            </w:r>
          </w:p>
        </w:tc>
        <w:tc>
          <w:tcPr>
            <w:tcW w:w="992" w:type="dxa"/>
            <w:tcBorders>
              <w:top w:val="single" w:sz="4" w:space="0" w:color="auto"/>
              <w:left w:val="single" w:sz="4" w:space="0" w:color="auto"/>
              <w:bottom w:val="single" w:sz="4" w:space="0" w:color="auto"/>
              <w:right w:val="single" w:sz="4" w:space="0" w:color="auto"/>
            </w:tcBorders>
            <w:hideMark/>
          </w:tcPr>
          <w:p w14:paraId="5C9C618F" w14:textId="77777777" w:rsidR="00CF0CB0" w:rsidRPr="009960E1" w:rsidRDefault="00CF0CB0" w:rsidP="0018267A">
            <w:pPr>
              <w:pStyle w:val="Tabletext"/>
              <w:rPr>
                <w:sz w:val="16"/>
                <w:szCs w:val="16"/>
                <w:lang w:val="es-ES_tradnl"/>
              </w:rPr>
            </w:pPr>
            <w:r w:rsidRPr="009960E1">
              <w:rPr>
                <w:sz w:val="16"/>
                <w:szCs w:val="16"/>
                <w:lang w:val="es-ES_tradnl"/>
              </w:rPr>
              <w:lastRenderedPageBreak/>
              <w:t>RG-IEM, RG-WM</w:t>
            </w:r>
          </w:p>
        </w:tc>
        <w:tc>
          <w:tcPr>
            <w:tcW w:w="1183" w:type="dxa"/>
            <w:tcBorders>
              <w:top w:val="single" w:sz="4" w:space="0" w:color="auto"/>
              <w:left w:val="single" w:sz="4" w:space="0" w:color="auto"/>
              <w:bottom w:val="single" w:sz="4" w:space="0" w:color="auto"/>
              <w:right w:val="single" w:sz="4" w:space="0" w:color="auto"/>
            </w:tcBorders>
            <w:hideMark/>
          </w:tcPr>
          <w:p w14:paraId="76578562" w14:textId="77777777" w:rsidR="00CF0CB0" w:rsidRPr="009960E1" w:rsidRDefault="00CF0CB0" w:rsidP="0018267A">
            <w:pPr>
              <w:pStyle w:val="Tabletext"/>
              <w:rPr>
                <w:sz w:val="16"/>
                <w:szCs w:val="16"/>
                <w:lang w:val="es-ES_tradnl"/>
              </w:rPr>
            </w:pPr>
            <w:r w:rsidRPr="009960E1">
              <w:rPr>
                <w:sz w:val="16"/>
                <w:szCs w:val="16"/>
                <w:lang w:val="es-ES_tradnl"/>
              </w:rPr>
              <w:t>AP3</w:t>
            </w:r>
          </w:p>
        </w:tc>
        <w:tc>
          <w:tcPr>
            <w:tcW w:w="1363" w:type="dxa"/>
            <w:tcBorders>
              <w:top w:val="single" w:sz="4" w:space="0" w:color="auto"/>
              <w:left w:val="single" w:sz="4" w:space="0" w:color="auto"/>
              <w:bottom w:val="single" w:sz="4" w:space="0" w:color="auto"/>
              <w:right w:val="single" w:sz="4" w:space="0" w:color="auto"/>
            </w:tcBorders>
            <w:hideMark/>
          </w:tcPr>
          <w:p w14:paraId="16A50A06" w14:textId="77777777" w:rsidR="00CF0CB0" w:rsidRPr="009960E1" w:rsidRDefault="00CF0CB0" w:rsidP="0018267A">
            <w:pPr>
              <w:pStyle w:val="Tabletext"/>
              <w:rPr>
                <w:sz w:val="16"/>
                <w:szCs w:val="16"/>
                <w:lang w:val="es-ES_tradnl"/>
              </w:rPr>
            </w:pPr>
            <w:r w:rsidRPr="009960E1">
              <w:rPr>
                <w:sz w:val="16"/>
                <w:szCs w:val="16"/>
                <w:lang w:val="es-ES_tradnl"/>
              </w:rPr>
              <w:t>Este elemento requiere un poco más de claridad.</w:t>
            </w:r>
          </w:p>
        </w:tc>
      </w:tr>
      <w:tr w:rsidR="00CF0CB0" w:rsidRPr="009960E1" w14:paraId="58C57B1D"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0A86E4EA" w14:textId="77777777" w:rsidR="00CF0CB0" w:rsidRPr="009960E1" w:rsidRDefault="00CF0CB0" w:rsidP="0018267A">
            <w:pPr>
              <w:pStyle w:val="Tabletext"/>
              <w:rPr>
                <w:sz w:val="16"/>
                <w:szCs w:val="16"/>
                <w:lang w:val="es-ES_tradnl"/>
              </w:rPr>
            </w:pPr>
            <w:r w:rsidRPr="009960E1">
              <w:rPr>
                <w:sz w:val="16"/>
                <w:szCs w:val="16"/>
                <w:lang w:val="es-ES_tradnl"/>
              </w:rPr>
              <w:t>13</w:t>
            </w:r>
          </w:p>
        </w:tc>
        <w:tc>
          <w:tcPr>
            <w:tcW w:w="1645" w:type="dxa"/>
            <w:tcBorders>
              <w:top w:val="single" w:sz="4" w:space="0" w:color="auto"/>
              <w:left w:val="single" w:sz="4" w:space="0" w:color="auto"/>
              <w:bottom w:val="single" w:sz="4" w:space="0" w:color="auto"/>
              <w:right w:val="single" w:sz="4" w:space="0" w:color="auto"/>
            </w:tcBorders>
            <w:hideMark/>
          </w:tcPr>
          <w:p w14:paraId="74088C58" w14:textId="77777777" w:rsidR="00CF0CB0" w:rsidRPr="009960E1" w:rsidRDefault="00CF0CB0" w:rsidP="0018267A">
            <w:pPr>
              <w:pStyle w:val="Tabletext"/>
              <w:rPr>
                <w:sz w:val="16"/>
                <w:szCs w:val="16"/>
                <w:lang w:val="es-ES_tradnl"/>
              </w:rPr>
            </w:pPr>
            <w:r w:rsidRPr="009960E1">
              <w:rPr>
                <w:sz w:val="16"/>
                <w:szCs w:val="16"/>
                <w:lang w:val="es-ES_tradnl"/>
              </w:rPr>
              <w:t>Realizar un seguimiento de este primer Taller de Participación de la Industria.</w:t>
            </w:r>
          </w:p>
        </w:tc>
        <w:tc>
          <w:tcPr>
            <w:tcW w:w="294" w:type="dxa"/>
            <w:tcBorders>
              <w:top w:val="single" w:sz="4" w:space="0" w:color="auto"/>
              <w:left w:val="single" w:sz="4" w:space="0" w:color="auto"/>
              <w:bottom w:val="single" w:sz="4" w:space="0" w:color="auto"/>
              <w:right w:val="single" w:sz="4" w:space="0" w:color="auto"/>
            </w:tcBorders>
          </w:tcPr>
          <w:p w14:paraId="06FCF3AC"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311CCFF2"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3962552D"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tcPr>
          <w:p w14:paraId="0C6A6629"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68DDD8F5"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hideMark/>
          </w:tcPr>
          <w:p w14:paraId="21D91356" w14:textId="4CED1643" w:rsidR="00CF0CB0" w:rsidRPr="009960E1" w:rsidRDefault="0018267A" w:rsidP="0018267A">
            <w:pPr>
              <w:pStyle w:val="Tabletext"/>
              <w:rPr>
                <w:sz w:val="16"/>
                <w:szCs w:val="16"/>
                <w:lang w:val="es-ES_tradnl"/>
              </w:rPr>
            </w:pPr>
            <w:r w:rsidRPr="009960E1">
              <w:rPr>
                <w:sz w:val="16"/>
                <w:szCs w:val="16"/>
                <w:lang w:val="es-ES_tradnl"/>
              </w:rPr>
              <w:t>x</w:t>
            </w:r>
          </w:p>
        </w:tc>
        <w:tc>
          <w:tcPr>
            <w:tcW w:w="332" w:type="dxa"/>
            <w:tcBorders>
              <w:top w:val="single" w:sz="4" w:space="0" w:color="auto"/>
              <w:left w:val="single" w:sz="4" w:space="0" w:color="auto"/>
              <w:bottom w:val="single" w:sz="4" w:space="0" w:color="auto"/>
              <w:right w:val="single" w:sz="4" w:space="0" w:color="auto"/>
            </w:tcBorders>
            <w:hideMark/>
          </w:tcPr>
          <w:p w14:paraId="1FC7860A" w14:textId="3521A809" w:rsidR="00CF0CB0" w:rsidRPr="009960E1" w:rsidRDefault="0018267A" w:rsidP="0018267A">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446DDF29" w14:textId="77777777" w:rsidR="00CF0CB0" w:rsidRPr="009960E1" w:rsidRDefault="00CF0CB0" w:rsidP="0018267A">
            <w:pPr>
              <w:pStyle w:val="Tabletext"/>
              <w:rPr>
                <w:sz w:val="16"/>
                <w:szCs w:val="16"/>
                <w:lang w:val="es-ES_tradnl"/>
              </w:rPr>
            </w:pPr>
            <w:r w:rsidRPr="009960E1">
              <w:rPr>
                <w:sz w:val="16"/>
                <w:szCs w:val="16"/>
                <w:lang w:val="es-ES_tradnl"/>
              </w:rPr>
              <w:t>El GANT debe considerar la posibilidad de celebrar de nuevo un taller de este tipo como seguimiento, o incluso periódicamente, ya sea por separado o juntamente con las reuniones de CTO/CxO.</w:t>
            </w:r>
          </w:p>
        </w:tc>
        <w:tc>
          <w:tcPr>
            <w:tcW w:w="992" w:type="dxa"/>
            <w:tcBorders>
              <w:top w:val="single" w:sz="4" w:space="0" w:color="auto"/>
              <w:left w:val="single" w:sz="4" w:space="0" w:color="auto"/>
              <w:bottom w:val="single" w:sz="4" w:space="0" w:color="auto"/>
              <w:right w:val="single" w:sz="4" w:space="0" w:color="auto"/>
            </w:tcBorders>
            <w:hideMark/>
          </w:tcPr>
          <w:p w14:paraId="46170435" w14:textId="77777777" w:rsidR="00CF0CB0" w:rsidRPr="009960E1" w:rsidRDefault="00CF0CB0" w:rsidP="0018267A">
            <w:pPr>
              <w:pStyle w:val="Tabletext"/>
              <w:rPr>
                <w:sz w:val="16"/>
                <w:szCs w:val="16"/>
                <w:lang w:val="es-ES_tradnl"/>
              </w:rPr>
            </w:pPr>
            <w:r w:rsidRPr="009960E1">
              <w:rPr>
                <w:sz w:val="16"/>
                <w:szCs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7C0936B3" w14:textId="77777777" w:rsidR="00CF0CB0" w:rsidRPr="009960E1" w:rsidRDefault="00CF0CB0" w:rsidP="0018267A">
            <w:pPr>
              <w:pStyle w:val="Tabletext"/>
              <w:rPr>
                <w:sz w:val="16"/>
                <w:szCs w:val="16"/>
                <w:lang w:val="es-ES_tradnl"/>
              </w:rPr>
            </w:pPr>
            <w:r w:rsidRPr="009960E1">
              <w:rPr>
                <w:sz w:val="16"/>
                <w:szCs w:val="16"/>
                <w:lang w:val="es-ES_tradnl"/>
              </w:rPr>
              <w:t>AP2</w:t>
            </w:r>
          </w:p>
        </w:tc>
        <w:tc>
          <w:tcPr>
            <w:tcW w:w="1363" w:type="dxa"/>
            <w:tcBorders>
              <w:top w:val="single" w:sz="4" w:space="0" w:color="auto"/>
              <w:left w:val="single" w:sz="4" w:space="0" w:color="auto"/>
              <w:bottom w:val="single" w:sz="4" w:space="0" w:color="auto"/>
              <w:right w:val="single" w:sz="4" w:space="0" w:color="auto"/>
            </w:tcBorders>
          </w:tcPr>
          <w:p w14:paraId="08845BE1" w14:textId="77777777" w:rsidR="00CF0CB0" w:rsidRPr="009960E1" w:rsidRDefault="00CF0CB0" w:rsidP="0018267A">
            <w:pPr>
              <w:pStyle w:val="Tabletext"/>
              <w:rPr>
                <w:sz w:val="16"/>
                <w:szCs w:val="16"/>
                <w:lang w:val="es-ES_tradnl"/>
              </w:rPr>
            </w:pPr>
          </w:p>
        </w:tc>
      </w:tr>
      <w:tr w:rsidR="00CF0CB0" w:rsidRPr="00A7143D" w14:paraId="30554FAB"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2B10E01A" w14:textId="77777777" w:rsidR="00CF0CB0" w:rsidRPr="009960E1" w:rsidRDefault="00CF0CB0" w:rsidP="0018267A">
            <w:pPr>
              <w:pStyle w:val="Tabletext"/>
              <w:rPr>
                <w:sz w:val="16"/>
                <w:szCs w:val="16"/>
                <w:lang w:val="es-ES_tradnl"/>
              </w:rPr>
            </w:pPr>
            <w:r w:rsidRPr="009960E1">
              <w:rPr>
                <w:sz w:val="16"/>
                <w:szCs w:val="16"/>
                <w:lang w:val="es-ES_tradnl"/>
              </w:rPr>
              <w:t>14</w:t>
            </w:r>
          </w:p>
        </w:tc>
        <w:tc>
          <w:tcPr>
            <w:tcW w:w="1645" w:type="dxa"/>
            <w:tcBorders>
              <w:top w:val="single" w:sz="4" w:space="0" w:color="auto"/>
              <w:left w:val="single" w:sz="4" w:space="0" w:color="auto"/>
              <w:bottom w:val="single" w:sz="4" w:space="0" w:color="auto"/>
              <w:right w:val="single" w:sz="4" w:space="0" w:color="auto"/>
            </w:tcBorders>
            <w:hideMark/>
          </w:tcPr>
          <w:p w14:paraId="417213BF" w14:textId="77777777" w:rsidR="00CF0CB0" w:rsidRPr="009960E1" w:rsidRDefault="00CF0CB0" w:rsidP="0018267A">
            <w:pPr>
              <w:pStyle w:val="Tabletext"/>
              <w:rPr>
                <w:sz w:val="16"/>
                <w:szCs w:val="16"/>
                <w:lang w:val="es-ES_tradnl"/>
              </w:rPr>
            </w:pPr>
            <w:r w:rsidRPr="009960E1">
              <w:rPr>
                <w:sz w:val="16"/>
                <w:szCs w:val="16"/>
                <w:lang w:val="es-ES_tradnl"/>
              </w:rPr>
              <w:t xml:space="preserve">Algunas organizaciones incentivan a sus empleados con los IFR "equivocados" (por ejemplo, número de contribuciones, número de nuevos elementos de trabajo), lo que puede conducir a un comportamiento ineficiente. </w:t>
            </w:r>
          </w:p>
        </w:tc>
        <w:tc>
          <w:tcPr>
            <w:tcW w:w="294" w:type="dxa"/>
            <w:tcBorders>
              <w:top w:val="single" w:sz="4" w:space="0" w:color="auto"/>
              <w:left w:val="single" w:sz="4" w:space="0" w:color="auto"/>
              <w:bottom w:val="single" w:sz="4" w:space="0" w:color="auto"/>
              <w:right w:val="single" w:sz="4" w:space="0" w:color="auto"/>
            </w:tcBorders>
          </w:tcPr>
          <w:p w14:paraId="506C591B"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67A34F07"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F1BA0CC"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61F4A978" w14:textId="703855C2"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02164813"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2BD7AE76"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0C4CA922"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740133AC" w14:textId="77777777" w:rsidR="00CF0CB0" w:rsidRPr="009960E1" w:rsidRDefault="00CF0CB0" w:rsidP="0018267A">
            <w:pPr>
              <w:pStyle w:val="Tabletext"/>
              <w:rPr>
                <w:sz w:val="16"/>
                <w:szCs w:val="16"/>
                <w:lang w:val="es-ES_tradnl"/>
              </w:rPr>
            </w:pPr>
            <w:r w:rsidRPr="009960E1">
              <w:rPr>
                <w:sz w:val="16"/>
                <w:szCs w:val="16"/>
                <w:lang w:val="es-ES_tradnl"/>
              </w:rPr>
              <w:t xml:space="preserve">Organizar una reunión </w:t>
            </w:r>
            <w:r w:rsidRPr="009960E1">
              <w:rPr>
                <w:i/>
                <w:iCs/>
                <w:sz w:val="16"/>
                <w:szCs w:val="16"/>
                <w:lang w:val="es-ES_tradnl"/>
              </w:rPr>
              <w:t>ad hoc</w:t>
            </w:r>
            <w:r w:rsidRPr="009960E1">
              <w:rPr>
                <w:sz w:val="16"/>
                <w:szCs w:val="16"/>
                <w:lang w:val="es-ES_tradnl"/>
              </w:rPr>
              <w:t xml:space="preserve"> para abordar los pros y los contras de la incentivación y cómo mejores condiciones podrían conducir a un mejor comportamiento y mejores resultados.</w:t>
            </w:r>
          </w:p>
        </w:tc>
        <w:tc>
          <w:tcPr>
            <w:tcW w:w="992" w:type="dxa"/>
            <w:tcBorders>
              <w:top w:val="single" w:sz="4" w:space="0" w:color="auto"/>
              <w:left w:val="single" w:sz="4" w:space="0" w:color="auto"/>
              <w:bottom w:val="single" w:sz="4" w:space="0" w:color="auto"/>
              <w:right w:val="single" w:sz="4" w:space="0" w:color="auto"/>
            </w:tcBorders>
            <w:hideMark/>
          </w:tcPr>
          <w:p w14:paraId="6D2841C5" w14:textId="77777777" w:rsidR="00CF0CB0" w:rsidRPr="009960E1" w:rsidRDefault="00CF0CB0" w:rsidP="0018267A">
            <w:pPr>
              <w:pStyle w:val="Tabletext"/>
              <w:rPr>
                <w:sz w:val="16"/>
                <w:szCs w:val="16"/>
                <w:lang w:val="es-ES_tradnl"/>
              </w:rPr>
            </w:pPr>
            <w:r w:rsidRPr="009960E1">
              <w:rPr>
                <w:sz w:val="16"/>
                <w:szCs w:val="16"/>
                <w:lang w:val="es-ES_tradnl"/>
              </w:rPr>
              <w:t>RG-IEM, TSB y Miembros</w:t>
            </w:r>
          </w:p>
        </w:tc>
        <w:tc>
          <w:tcPr>
            <w:tcW w:w="1183" w:type="dxa"/>
            <w:tcBorders>
              <w:top w:val="single" w:sz="4" w:space="0" w:color="auto"/>
              <w:left w:val="single" w:sz="4" w:space="0" w:color="auto"/>
              <w:bottom w:val="single" w:sz="4" w:space="0" w:color="auto"/>
              <w:right w:val="single" w:sz="4" w:space="0" w:color="auto"/>
            </w:tcBorders>
            <w:hideMark/>
          </w:tcPr>
          <w:p w14:paraId="3C701F2C" w14:textId="77777777" w:rsidR="00CF0CB0" w:rsidRPr="009960E1" w:rsidRDefault="00CF0CB0" w:rsidP="0018267A">
            <w:pPr>
              <w:pStyle w:val="Tabletext"/>
              <w:rPr>
                <w:sz w:val="16"/>
                <w:szCs w:val="16"/>
                <w:lang w:val="es-ES_tradnl"/>
              </w:rPr>
            </w:pPr>
            <w:r w:rsidRPr="009960E1">
              <w:rPr>
                <w:sz w:val="16"/>
                <w:szCs w:val="16"/>
                <w:lang w:val="es-ES_tradnl"/>
              </w:rPr>
              <w:t>AP1.1.2</w:t>
            </w:r>
          </w:p>
        </w:tc>
        <w:tc>
          <w:tcPr>
            <w:tcW w:w="1363" w:type="dxa"/>
            <w:tcBorders>
              <w:top w:val="single" w:sz="4" w:space="0" w:color="auto"/>
              <w:left w:val="single" w:sz="4" w:space="0" w:color="auto"/>
              <w:bottom w:val="single" w:sz="4" w:space="0" w:color="auto"/>
              <w:right w:val="single" w:sz="4" w:space="0" w:color="auto"/>
            </w:tcBorders>
            <w:hideMark/>
          </w:tcPr>
          <w:p w14:paraId="3468B786" w14:textId="77777777" w:rsidR="00CF0CB0" w:rsidRPr="009960E1" w:rsidRDefault="00CF0CB0" w:rsidP="0018267A">
            <w:pPr>
              <w:pStyle w:val="Tabletext"/>
              <w:rPr>
                <w:sz w:val="16"/>
                <w:szCs w:val="16"/>
                <w:lang w:val="es-ES_tradnl"/>
              </w:rPr>
            </w:pPr>
            <w:r w:rsidRPr="009960E1">
              <w:rPr>
                <w:sz w:val="16"/>
                <w:szCs w:val="16"/>
                <w:lang w:val="es-ES_tradnl"/>
              </w:rPr>
              <w:t>Releyendo AP1.1.2 frente a AP1.4, ahora crea una alternativa, tal vez mover todos los problemas de métricas en AP1.1.2</w:t>
            </w:r>
          </w:p>
        </w:tc>
      </w:tr>
      <w:tr w:rsidR="00CF0CB0" w:rsidRPr="00A7143D" w14:paraId="39BAC702"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53DE319B" w14:textId="77777777" w:rsidR="00CF0CB0" w:rsidRPr="009960E1" w:rsidRDefault="00CF0CB0" w:rsidP="0018267A">
            <w:pPr>
              <w:pStyle w:val="Tabletext"/>
              <w:rPr>
                <w:sz w:val="16"/>
                <w:szCs w:val="16"/>
                <w:lang w:val="es-ES_tradnl"/>
              </w:rPr>
            </w:pPr>
            <w:r w:rsidRPr="009960E1">
              <w:rPr>
                <w:sz w:val="16"/>
                <w:szCs w:val="16"/>
                <w:lang w:val="es-ES_tradnl"/>
              </w:rPr>
              <w:t>15</w:t>
            </w:r>
          </w:p>
        </w:tc>
        <w:tc>
          <w:tcPr>
            <w:tcW w:w="1645" w:type="dxa"/>
            <w:tcBorders>
              <w:top w:val="single" w:sz="4" w:space="0" w:color="auto"/>
              <w:left w:val="single" w:sz="4" w:space="0" w:color="auto"/>
              <w:bottom w:val="single" w:sz="4" w:space="0" w:color="auto"/>
              <w:right w:val="single" w:sz="4" w:space="0" w:color="auto"/>
            </w:tcBorders>
            <w:hideMark/>
          </w:tcPr>
          <w:p w14:paraId="0E21E306" w14:textId="77777777" w:rsidR="00CF0CB0" w:rsidRPr="009960E1" w:rsidRDefault="00CF0CB0" w:rsidP="0018267A">
            <w:pPr>
              <w:pStyle w:val="Tabletext"/>
              <w:rPr>
                <w:sz w:val="16"/>
                <w:szCs w:val="16"/>
                <w:lang w:val="es-ES_tradnl"/>
              </w:rPr>
            </w:pPr>
            <w:r w:rsidRPr="009960E1">
              <w:rPr>
                <w:sz w:val="16"/>
                <w:szCs w:val="16"/>
                <w:lang w:val="es-ES_tradnl"/>
              </w:rPr>
              <w:t>No se reconocen los contribuyentes.</w:t>
            </w:r>
          </w:p>
        </w:tc>
        <w:tc>
          <w:tcPr>
            <w:tcW w:w="294" w:type="dxa"/>
            <w:tcBorders>
              <w:top w:val="single" w:sz="4" w:space="0" w:color="auto"/>
              <w:left w:val="single" w:sz="4" w:space="0" w:color="auto"/>
              <w:bottom w:val="single" w:sz="4" w:space="0" w:color="auto"/>
              <w:right w:val="single" w:sz="4" w:space="0" w:color="auto"/>
            </w:tcBorders>
          </w:tcPr>
          <w:p w14:paraId="450F1D3E"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6FE1B8F9"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41822669"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39087106" w14:textId="560BAC79"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13E4B5B8"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481C12B5"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780692CD"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2F3AB5A4" w14:textId="635E879F" w:rsidR="00CF0CB0" w:rsidRPr="009960E1" w:rsidRDefault="00CF0CB0" w:rsidP="0018267A">
            <w:pPr>
              <w:pStyle w:val="Tabletext"/>
              <w:rPr>
                <w:sz w:val="16"/>
                <w:szCs w:val="16"/>
                <w:lang w:val="es-ES_tradnl"/>
              </w:rPr>
            </w:pPr>
            <w:r w:rsidRPr="009960E1">
              <w:rPr>
                <w:sz w:val="16"/>
                <w:szCs w:val="16"/>
                <w:lang w:val="es-ES_tradnl"/>
              </w:rPr>
              <w:t>En el UIT-T, los cargos directivos y los editores se identifican públicamente. Sin embargo, los contribuyentes no lo son, lo que hace imposible que su línea de gestión/partes interesadas tengan algún tipo de IFR y, por lo tanto, los únicos roles que pueden ser recompensados son los roles que cotizan públicamente, como editores. Esto implica que no se miden las contribuciones, salvo en el caso de los nuevos temas de trabajo.</w:t>
            </w:r>
          </w:p>
        </w:tc>
        <w:tc>
          <w:tcPr>
            <w:tcW w:w="992" w:type="dxa"/>
            <w:tcBorders>
              <w:top w:val="single" w:sz="4" w:space="0" w:color="auto"/>
              <w:left w:val="single" w:sz="4" w:space="0" w:color="auto"/>
              <w:bottom w:val="single" w:sz="4" w:space="0" w:color="auto"/>
              <w:right w:val="single" w:sz="4" w:space="0" w:color="auto"/>
            </w:tcBorders>
            <w:hideMark/>
          </w:tcPr>
          <w:p w14:paraId="7A570F18" w14:textId="77777777" w:rsidR="00CF0CB0" w:rsidRPr="00386BC0" w:rsidRDefault="00CF0CB0" w:rsidP="0018267A">
            <w:pPr>
              <w:pStyle w:val="Tabletext"/>
              <w:rPr>
                <w:sz w:val="16"/>
                <w:szCs w:val="16"/>
                <w:lang w:val="en-US"/>
              </w:rPr>
            </w:pPr>
            <w:r w:rsidRPr="00386BC0">
              <w:rPr>
                <w:sz w:val="16"/>
                <w:szCs w:val="16"/>
                <w:lang w:val="en-US"/>
              </w:rPr>
              <w:t>RG-IEM, RG-WM, TSB</w:t>
            </w:r>
          </w:p>
        </w:tc>
        <w:tc>
          <w:tcPr>
            <w:tcW w:w="1183" w:type="dxa"/>
            <w:tcBorders>
              <w:top w:val="single" w:sz="4" w:space="0" w:color="auto"/>
              <w:left w:val="single" w:sz="4" w:space="0" w:color="auto"/>
              <w:bottom w:val="single" w:sz="4" w:space="0" w:color="auto"/>
              <w:right w:val="single" w:sz="4" w:space="0" w:color="auto"/>
            </w:tcBorders>
            <w:hideMark/>
          </w:tcPr>
          <w:p w14:paraId="78EB0699" w14:textId="77777777" w:rsidR="00CF0CB0" w:rsidRPr="009960E1" w:rsidRDefault="00CF0CB0" w:rsidP="0018267A">
            <w:pPr>
              <w:pStyle w:val="Tabletext"/>
              <w:rPr>
                <w:sz w:val="16"/>
                <w:szCs w:val="16"/>
                <w:lang w:val="es-ES_tradnl"/>
              </w:rPr>
            </w:pPr>
            <w:r w:rsidRPr="009960E1">
              <w:rPr>
                <w:sz w:val="16"/>
                <w:szCs w:val="16"/>
                <w:lang w:val="es-ES_tradnl"/>
              </w:rPr>
              <w:t>AP1.1.2</w:t>
            </w:r>
          </w:p>
        </w:tc>
        <w:tc>
          <w:tcPr>
            <w:tcW w:w="1363" w:type="dxa"/>
            <w:tcBorders>
              <w:top w:val="single" w:sz="4" w:space="0" w:color="auto"/>
              <w:left w:val="single" w:sz="4" w:space="0" w:color="auto"/>
              <w:bottom w:val="single" w:sz="4" w:space="0" w:color="auto"/>
              <w:right w:val="single" w:sz="4" w:space="0" w:color="auto"/>
            </w:tcBorders>
            <w:hideMark/>
          </w:tcPr>
          <w:p w14:paraId="6B691796" w14:textId="77777777" w:rsidR="00CF0CB0" w:rsidRPr="009960E1" w:rsidRDefault="00CF0CB0" w:rsidP="0018267A">
            <w:pPr>
              <w:pStyle w:val="Tabletext"/>
              <w:rPr>
                <w:sz w:val="16"/>
                <w:szCs w:val="16"/>
                <w:lang w:val="es-ES_tradnl"/>
              </w:rPr>
            </w:pPr>
            <w:r w:rsidRPr="009960E1">
              <w:rPr>
                <w:sz w:val="16"/>
                <w:szCs w:val="16"/>
                <w:lang w:val="es-ES_tradnl"/>
              </w:rPr>
              <w:t>La misma observación que antes.</w:t>
            </w:r>
          </w:p>
        </w:tc>
      </w:tr>
      <w:tr w:rsidR="00CF0CB0" w:rsidRPr="00A7143D" w14:paraId="6216504C"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4D7178C2" w14:textId="77777777" w:rsidR="00CF0CB0" w:rsidRPr="009960E1" w:rsidRDefault="00CF0CB0" w:rsidP="0018267A">
            <w:pPr>
              <w:pStyle w:val="Tabletext"/>
              <w:rPr>
                <w:sz w:val="16"/>
                <w:szCs w:val="16"/>
                <w:lang w:val="es-ES_tradnl"/>
              </w:rPr>
            </w:pPr>
            <w:r w:rsidRPr="009960E1">
              <w:rPr>
                <w:sz w:val="16"/>
                <w:szCs w:val="16"/>
                <w:lang w:val="es-ES_tradnl"/>
              </w:rPr>
              <w:t>16</w:t>
            </w:r>
          </w:p>
        </w:tc>
        <w:tc>
          <w:tcPr>
            <w:tcW w:w="1645" w:type="dxa"/>
            <w:tcBorders>
              <w:top w:val="single" w:sz="4" w:space="0" w:color="auto"/>
              <w:left w:val="single" w:sz="4" w:space="0" w:color="auto"/>
              <w:bottom w:val="single" w:sz="4" w:space="0" w:color="auto"/>
              <w:right w:val="single" w:sz="4" w:space="0" w:color="auto"/>
            </w:tcBorders>
            <w:hideMark/>
          </w:tcPr>
          <w:p w14:paraId="15328CEF" w14:textId="51B79D1D" w:rsidR="00CF0CB0" w:rsidRPr="009960E1" w:rsidRDefault="00CF0CB0" w:rsidP="0018267A">
            <w:pPr>
              <w:pStyle w:val="Tabletext"/>
              <w:rPr>
                <w:sz w:val="16"/>
                <w:szCs w:val="16"/>
                <w:lang w:val="es-ES_tradnl"/>
              </w:rPr>
            </w:pPr>
            <w:r w:rsidRPr="009960E1">
              <w:rPr>
                <w:sz w:val="16"/>
                <w:szCs w:val="16"/>
                <w:lang w:val="es-ES_tradnl"/>
              </w:rPr>
              <w:t>Es necesario medir y desarrollar los factores de éxito que subyacen a la repercusión del UIT</w:t>
            </w:r>
            <w:r w:rsidR="000C2430" w:rsidRPr="009960E1">
              <w:rPr>
                <w:sz w:val="16"/>
                <w:szCs w:val="16"/>
                <w:lang w:val="es-ES_tradnl"/>
              </w:rPr>
              <w:noBreakHyphen/>
            </w:r>
            <w:r w:rsidRPr="009960E1">
              <w:rPr>
                <w:sz w:val="16"/>
                <w:szCs w:val="16"/>
                <w:lang w:val="es-ES_tradnl"/>
              </w:rPr>
              <w:t>T.</w:t>
            </w:r>
          </w:p>
        </w:tc>
        <w:tc>
          <w:tcPr>
            <w:tcW w:w="294" w:type="dxa"/>
            <w:tcBorders>
              <w:top w:val="single" w:sz="4" w:space="0" w:color="auto"/>
              <w:left w:val="single" w:sz="4" w:space="0" w:color="auto"/>
              <w:bottom w:val="single" w:sz="4" w:space="0" w:color="auto"/>
              <w:right w:val="single" w:sz="4" w:space="0" w:color="auto"/>
            </w:tcBorders>
          </w:tcPr>
          <w:p w14:paraId="4F557A39"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1D3ECEE6"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0D942081"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06AFAB44" w14:textId="13471715"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1C49FE3C"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5DAB15EB"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0774B536"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23588E1E" w14:textId="2034C2A3" w:rsidR="00CF0CB0" w:rsidRPr="009960E1" w:rsidRDefault="00CF0CB0" w:rsidP="0018267A">
            <w:pPr>
              <w:pStyle w:val="Tabletext"/>
              <w:ind w:left="284" w:hanging="284"/>
              <w:rPr>
                <w:sz w:val="16"/>
                <w:szCs w:val="16"/>
                <w:lang w:val="es-ES_tradnl"/>
              </w:rPr>
            </w:pPr>
            <w:r w:rsidRPr="009960E1">
              <w:rPr>
                <w:sz w:val="16"/>
                <w:szCs w:val="16"/>
                <w:lang w:val="es-ES_tradnl"/>
              </w:rPr>
              <w:t>i)</w:t>
            </w:r>
            <w:r w:rsidRPr="009960E1">
              <w:rPr>
                <w:sz w:val="16"/>
                <w:szCs w:val="16"/>
                <w:lang w:val="es-ES_tradnl"/>
              </w:rPr>
              <w:tab/>
              <w:t>Evaluar, medir y explorar formas de mejorar/desarrollar los factores de éxito como impacto del UIT-T para apoyar sus propuestas de valor.</w:t>
            </w:r>
          </w:p>
          <w:p w14:paraId="1750E2E7" w14:textId="77777777" w:rsidR="00CF0CB0" w:rsidRPr="009960E1" w:rsidRDefault="00CF0CB0" w:rsidP="0018267A">
            <w:pPr>
              <w:pStyle w:val="Tabletext"/>
              <w:ind w:left="284" w:hanging="284"/>
              <w:rPr>
                <w:sz w:val="16"/>
                <w:szCs w:val="16"/>
                <w:lang w:val="es-ES_tradnl"/>
              </w:rPr>
            </w:pPr>
            <w:r w:rsidRPr="009960E1">
              <w:rPr>
                <w:sz w:val="16"/>
                <w:szCs w:val="16"/>
                <w:lang w:val="es-ES_tradnl"/>
              </w:rPr>
              <w:t>ii)</w:t>
            </w:r>
            <w:r w:rsidRPr="009960E1">
              <w:rPr>
                <w:sz w:val="16"/>
                <w:szCs w:val="16"/>
                <w:lang w:val="es-ES_tradnl"/>
              </w:rPr>
              <w:tab/>
              <w:t>El RG-SOP tomará el relevo cuando se acuerde la propuesta de valor, ya que es una contribución directa al ejercicio del Plan Estratégico de la UIT de 2026.</w:t>
            </w:r>
          </w:p>
          <w:p w14:paraId="151D6EC5" w14:textId="0651A9E6" w:rsidR="00CF0CB0" w:rsidRPr="009960E1" w:rsidRDefault="00CF0CB0" w:rsidP="0018267A">
            <w:pPr>
              <w:pStyle w:val="Tabletext"/>
              <w:ind w:left="284" w:hanging="284"/>
              <w:rPr>
                <w:sz w:val="16"/>
                <w:szCs w:val="16"/>
                <w:lang w:val="es-ES_tradnl"/>
              </w:rPr>
            </w:pPr>
            <w:r w:rsidRPr="009960E1">
              <w:rPr>
                <w:sz w:val="16"/>
                <w:szCs w:val="16"/>
                <w:lang w:val="es-ES_tradnl"/>
              </w:rPr>
              <w:t>iii)</w:t>
            </w:r>
            <w:r w:rsidRPr="009960E1">
              <w:rPr>
                <w:sz w:val="16"/>
                <w:szCs w:val="16"/>
                <w:lang w:val="es-ES_tradnl"/>
              </w:rPr>
              <w:tab/>
              <w:t>Investigar con el RG</w:t>
            </w:r>
            <w:r w:rsidR="000C2430" w:rsidRPr="009960E1">
              <w:rPr>
                <w:sz w:val="16"/>
                <w:szCs w:val="16"/>
                <w:lang w:val="es-ES_tradnl"/>
              </w:rPr>
              <w:noBreakHyphen/>
            </w:r>
            <w:r w:rsidRPr="009960E1">
              <w:rPr>
                <w:sz w:val="16"/>
                <w:szCs w:val="16"/>
                <w:lang w:val="es-ES_tradnl"/>
              </w:rPr>
              <w:t>WTSA si una Resolución de la AMNT podría respaldar esta acción mediante una resolución más prescriptiva.</w:t>
            </w:r>
          </w:p>
        </w:tc>
        <w:tc>
          <w:tcPr>
            <w:tcW w:w="992" w:type="dxa"/>
            <w:tcBorders>
              <w:top w:val="single" w:sz="4" w:space="0" w:color="auto"/>
              <w:left w:val="single" w:sz="4" w:space="0" w:color="auto"/>
              <w:bottom w:val="single" w:sz="4" w:space="0" w:color="auto"/>
              <w:right w:val="single" w:sz="4" w:space="0" w:color="auto"/>
            </w:tcBorders>
            <w:hideMark/>
          </w:tcPr>
          <w:p w14:paraId="252F2D8C" w14:textId="77777777" w:rsidR="00CF0CB0" w:rsidRPr="009960E1" w:rsidRDefault="00CF0CB0" w:rsidP="0018267A">
            <w:pPr>
              <w:pStyle w:val="Tabletext"/>
              <w:rPr>
                <w:sz w:val="16"/>
                <w:szCs w:val="16"/>
                <w:lang w:val="es-ES_tradnl"/>
              </w:rPr>
            </w:pPr>
            <w:r w:rsidRPr="009960E1">
              <w:rPr>
                <w:sz w:val="16"/>
                <w:szCs w:val="16"/>
                <w:lang w:val="es-ES_tradnl"/>
              </w:rPr>
              <w:t>RG-IEM, RG-SOP, RG-WTSA</w:t>
            </w:r>
          </w:p>
        </w:tc>
        <w:tc>
          <w:tcPr>
            <w:tcW w:w="1183" w:type="dxa"/>
            <w:tcBorders>
              <w:top w:val="single" w:sz="4" w:space="0" w:color="auto"/>
              <w:left w:val="single" w:sz="4" w:space="0" w:color="auto"/>
              <w:bottom w:val="single" w:sz="4" w:space="0" w:color="auto"/>
              <w:right w:val="single" w:sz="4" w:space="0" w:color="auto"/>
            </w:tcBorders>
            <w:hideMark/>
          </w:tcPr>
          <w:p w14:paraId="1DF30D42" w14:textId="77777777" w:rsidR="00CF0CB0" w:rsidRPr="009960E1" w:rsidRDefault="00CF0CB0" w:rsidP="0018267A">
            <w:pPr>
              <w:pStyle w:val="Tabletext"/>
              <w:rPr>
                <w:sz w:val="16"/>
                <w:szCs w:val="16"/>
                <w:lang w:val="es-ES_tradnl"/>
              </w:rPr>
            </w:pPr>
            <w:r w:rsidRPr="009960E1">
              <w:rPr>
                <w:sz w:val="16"/>
                <w:szCs w:val="16"/>
                <w:lang w:val="es-ES_tradnl"/>
              </w:rPr>
              <w:t>AP1.1.2 para el punto i)</w:t>
            </w:r>
          </w:p>
          <w:p w14:paraId="105055B3" w14:textId="77777777" w:rsidR="00CF0CB0" w:rsidRPr="009960E1" w:rsidRDefault="00CF0CB0" w:rsidP="0018267A">
            <w:pPr>
              <w:pStyle w:val="Tabletext"/>
              <w:rPr>
                <w:sz w:val="16"/>
                <w:szCs w:val="16"/>
                <w:lang w:val="es-ES_tradnl"/>
              </w:rPr>
            </w:pPr>
            <w:r w:rsidRPr="009960E1">
              <w:rPr>
                <w:sz w:val="16"/>
                <w:szCs w:val="16"/>
                <w:lang w:val="es-ES_tradnl"/>
              </w:rPr>
              <w:t>Nuevo AP para ii) y iii)</w:t>
            </w:r>
          </w:p>
        </w:tc>
        <w:tc>
          <w:tcPr>
            <w:tcW w:w="1363" w:type="dxa"/>
            <w:tcBorders>
              <w:top w:val="single" w:sz="4" w:space="0" w:color="auto"/>
              <w:left w:val="single" w:sz="4" w:space="0" w:color="auto"/>
              <w:bottom w:val="single" w:sz="4" w:space="0" w:color="auto"/>
              <w:right w:val="single" w:sz="4" w:space="0" w:color="auto"/>
            </w:tcBorders>
            <w:hideMark/>
          </w:tcPr>
          <w:p w14:paraId="74F47AC2" w14:textId="77777777" w:rsidR="00CF0CB0" w:rsidRPr="009960E1" w:rsidRDefault="00CF0CB0" w:rsidP="0018267A">
            <w:pPr>
              <w:pStyle w:val="Tabletext"/>
              <w:rPr>
                <w:sz w:val="16"/>
                <w:szCs w:val="16"/>
                <w:lang w:val="es-ES_tradnl"/>
              </w:rPr>
            </w:pPr>
            <w:r w:rsidRPr="009960E1">
              <w:rPr>
                <w:sz w:val="16"/>
                <w:szCs w:val="16"/>
                <w:lang w:val="es-ES_tradnl"/>
              </w:rPr>
              <w:t>Se necesita un NUEVO AP sobre el reconocimiento de que la participación de la industria se entrelaza con otros Grupos de Relator y que puede ser necesaria la coordinación.</w:t>
            </w:r>
          </w:p>
        </w:tc>
      </w:tr>
      <w:tr w:rsidR="00CF0CB0" w:rsidRPr="009960E1" w14:paraId="5503F48F"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0D135C23" w14:textId="77777777" w:rsidR="00CF0CB0" w:rsidRPr="009960E1" w:rsidRDefault="00CF0CB0" w:rsidP="0018267A">
            <w:pPr>
              <w:pStyle w:val="Tabletext"/>
              <w:rPr>
                <w:sz w:val="16"/>
                <w:szCs w:val="16"/>
                <w:lang w:val="es-ES_tradnl"/>
              </w:rPr>
            </w:pPr>
            <w:r w:rsidRPr="009960E1">
              <w:rPr>
                <w:sz w:val="16"/>
                <w:szCs w:val="16"/>
                <w:lang w:val="es-ES_tradnl"/>
              </w:rPr>
              <w:t>19</w:t>
            </w:r>
          </w:p>
        </w:tc>
        <w:tc>
          <w:tcPr>
            <w:tcW w:w="1645" w:type="dxa"/>
            <w:tcBorders>
              <w:top w:val="single" w:sz="4" w:space="0" w:color="auto"/>
              <w:left w:val="single" w:sz="4" w:space="0" w:color="auto"/>
              <w:bottom w:val="single" w:sz="4" w:space="0" w:color="auto"/>
              <w:right w:val="single" w:sz="4" w:space="0" w:color="auto"/>
            </w:tcBorders>
            <w:hideMark/>
          </w:tcPr>
          <w:p w14:paraId="3AC26D1A" w14:textId="77777777" w:rsidR="00CF0CB0" w:rsidRPr="009960E1" w:rsidRDefault="00CF0CB0" w:rsidP="007947C3">
            <w:pPr>
              <w:pStyle w:val="Tabletext"/>
              <w:rPr>
                <w:sz w:val="16"/>
                <w:szCs w:val="16"/>
                <w:lang w:val="es-ES_tradnl"/>
              </w:rPr>
            </w:pPr>
            <w:r w:rsidRPr="009960E1">
              <w:rPr>
                <w:sz w:val="16"/>
                <w:szCs w:val="16"/>
                <w:lang w:val="es-ES_tradnl"/>
              </w:rPr>
              <w:t>Identificar mejor la diferencia entre las principales SDO y los consorcios.</w:t>
            </w:r>
          </w:p>
        </w:tc>
        <w:tc>
          <w:tcPr>
            <w:tcW w:w="294" w:type="dxa"/>
            <w:tcBorders>
              <w:top w:val="single" w:sz="4" w:space="0" w:color="auto"/>
              <w:left w:val="single" w:sz="4" w:space="0" w:color="auto"/>
              <w:bottom w:val="single" w:sz="4" w:space="0" w:color="auto"/>
              <w:right w:val="single" w:sz="4" w:space="0" w:color="auto"/>
            </w:tcBorders>
          </w:tcPr>
          <w:p w14:paraId="4FE055BC" w14:textId="77777777" w:rsidR="00CF0CB0" w:rsidRPr="009960E1" w:rsidRDefault="00CF0CB0" w:rsidP="007947C3">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6C45FE96" w14:textId="77777777" w:rsidR="00CF0CB0" w:rsidRPr="009960E1" w:rsidRDefault="00CF0CB0" w:rsidP="007947C3">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5444B2E8" w14:textId="77777777" w:rsidR="00CF0CB0" w:rsidRPr="009960E1" w:rsidRDefault="00CF0CB0" w:rsidP="007947C3">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6A905634" w14:textId="11E320D6" w:rsidR="00CF0CB0" w:rsidRPr="009960E1" w:rsidRDefault="0018267A" w:rsidP="007947C3">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3E48069F" w14:textId="77777777" w:rsidR="00CF0CB0" w:rsidRPr="009960E1" w:rsidRDefault="00CF0CB0" w:rsidP="007947C3">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6C32D3A8" w14:textId="77777777" w:rsidR="00CF0CB0" w:rsidRPr="009960E1" w:rsidRDefault="00CF0CB0" w:rsidP="007947C3">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74EEC253" w14:textId="77777777" w:rsidR="00CF0CB0" w:rsidRPr="009960E1" w:rsidRDefault="00CF0CB0" w:rsidP="007947C3">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06A1D262" w14:textId="77777777" w:rsidR="00CF0CB0" w:rsidRPr="009960E1" w:rsidRDefault="00CF0CB0" w:rsidP="007947C3">
            <w:pPr>
              <w:pStyle w:val="Tabletext"/>
              <w:rPr>
                <w:sz w:val="16"/>
                <w:szCs w:val="16"/>
                <w:lang w:val="es-ES_tradnl"/>
              </w:rPr>
            </w:pPr>
            <w:r w:rsidRPr="009960E1">
              <w:rPr>
                <w:sz w:val="16"/>
                <w:szCs w:val="16"/>
                <w:lang w:val="es-ES_tradnl"/>
              </w:rPr>
              <w:t>Identificar mejor la diferencia entre las principales SDO y los consorcios.</w:t>
            </w:r>
          </w:p>
          <w:p w14:paraId="0910A031" w14:textId="77777777" w:rsidR="00CF0CB0" w:rsidRPr="009960E1" w:rsidRDefault="00CF0CB0" w:rsidP="007947C3">
            <w:pPr>
              <w:pStyle w:val="Tabletext"/>
              <w:rPr>
                <w:sz w:val="16"/>
                <w:szCs w:val="16"/>
                <w:lang w:val="es-ES_tradnl"/>
              </w:rPr>
            </w:pPr>
            <w:r w:rsidRPr="009960E1">
              <w:rPr>
                <w:sz w:val="16"/>
                <w:szCs w:val="16"/>
                <w:lang w:val="es-ES_tradnl"/>
              </w:rPr>
              <w:t xml:space="preserve">Reflejar las diferencias en la propuesta de valor y en la comunicación del UIT-T en </w:t>
            </w:r>
            <w:r w:rsidRPr="009960E1">
              <w:rPr>
                <w:sz w:val="16"/>
                <w:szCs w:val="16"/>
                <w:lang w:val="es-ES_tradnl"/>
              </w:rPr>
              <w:lastRenderedPageBreak/>
              <w:t>cuanto a la función del UIT-T y la coordinación.</w:t>
            </w:r>
          </w:p>
        </w:tc>
        <w:tc>
          <w:tcPr>
            <w:tcW w:w="992" w:type="dxa"/>
            <w:tcBorders>
              <w:top w:val="single" w:sz="4" w:space="0" w:color="auto"/>
              <w:left w:val="single" w:sz="4" w:space="0" w:color="auto"/>
              <w:bottom w:val="single" w:sz="4" w:space="0" w:color="auto"/>
              <w:right w:val="single" w:sz="4" w:space="0" w:color="auto"/>
            </w:tcBorders>
            <w:hideMark/>
          </w:tcPr>
          <w:p w14:paraId="5DDE402E" w14:textId="77777777" w:rsidR="00CF0CB0" w:rsidRPr="009960E1" w:rsidRDefault="00CF0CB0" w:rsidP="007947C3">
            <w:pPr>
              <w:pStyle w:val="Tabletext"/>
              <w:rPr>
                <w:sz w:val="16"/>
                <w:szCs w:val="16"/>
                <w:lang w:val="es-ES_tradnl"/>
              </w:rPr>
            </w:pPr>
            <w:r w:rsidRPr="009960E1">
              <w:rPr>
                <w:sz w:val="16"/>
                <w:szCs w:val="16"/>
                <w:lang w:val="es-ES_tradnl"/>
              </w:rPr>
              <w:lastRenderedPageBreak/>
              <w:t>RG-IEM</w:t>
            </w:r>
          </w:p>
        </w:tc>
        <w:tc>
          <w:tcPr>
            <w:tcW w:w="1183" w:type="dxa"/>
            <w:tcBorders>
              <w:top w:val="single" w:sz="4" w:space="0" w:color="auto"/>
              <w:left w:val="single" w:sz="4" w:space="0" w:color="auto"/>
              <w:bottom w:val="single" w:sz="4" w:space="0" w:color="auto"/>
              <w:right w:val="single" w:sz="4" w:space="0" w:color="auto"/>
            </w:tcBorders>
            <w:hideMark/>
          </w:tcPr>
          <w:p w14:paraId="32511062" w14:textId="77777777" w:rsidR="00CF0CB0" w:rsidRPr="009960E1" w:rsidRDefault="00CF0CB0" w:rsidP="007947C3">
            <w:pPr>
              <w:pStyle w:val="Tabletext"/>
              <w:rPr>
                <w:sz w:val="16"/>
                <w:szCs w:val="16"/>
                <w:lang w:val="es-ES_tradnl"/>
              </w:rPr>
            </w:pPr>
            <w:r w:rsidRPr="009960E1">
              <w:rPr>
                <w:sz w:val="16"/>
                <w:szCs w:val="16"/>
                <w:lang w:val="es-ES_tradnl"/>
              </w:rPr>
              <w:t>AP1.7</w:t>
            </w:r>
          </w:p>
        </w:tc>
        <w:tc>
          <w:tcPr>
            <w:tcW w:w="1363" w:type="dxa"/>
            <w:tcBorders>
              <w:top w:val="single" w:sz="4" w:space="0" w:color="auto"/>
              <w:left w:val="single" w:sz="4" w:space="0" w:color="auto"/>
              <w:bottom w:val="single" w:sz="4" w:space="0" w:color="auto"/>
              <w:right w:val="single" w:sz="4" w:space="0" w:color="auto"/>
            </w:tcBorders>
          </w:tcPr>
          <w:p w14:paraId="6AEE5A1D" w14:textId="77777777" w:rsidR="00CF0CB0" w:rsidRPr="009960E1" w:rsidRDefault="00CF0CB0" w:rsidP="007947C3">
            <w:pPr>
              <w:pStyle w:val="Tabletext"/>
              <w:rPr>
                <w:sz w:val="16"/>
                <w:szCs w:val="16"/>
                <w:lang w:val="es-ES_tradnl"/>
              </w:rPr>
            </w:pPr>
          </w:p>
        </w:tc>
      </w:tr>
      <w:tr w:rsidR="00CF0CB0" w:rsidRPr="009960E1" w14:paraId="069E314D"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13C9ECB1" w14:textId="77777777" w:rsidR="00CF0CB0" w:rsidRPr="009960E1" w:rsidRDefault="00CF0CB0" w:rsidP="0018267A">
            <w:pPr>
              <w:pStyle w:val="Tabletext"/>
              <w:rPr>
                <w:sz w:val="16"/>
                <w:szCs w:val="16"/>
                <w:lang w:val="es-ES_tradnl"/>
              </w:rPr>
            </w:pPr>
            <w:r w:rsidRPr="009960E1">
              <w:rPr>
                <w:sz w:val="16"/>
                <w:szCs w:val="16"/>
                <w:lang w:val="es-ES_tradnl"/>
              </w:rPr>
              <w:t>21</w:t>
            </w:r>
          </w:p>
        </w:tc>
        <w:tc>
          <w:tcPr>
            <w:tcW w:w="1645" w:type="dxa"/>
            <w:tcBorders>
              <w:top w:val="single" w:sz="4" w:space="0" w:color="auto"/>
              <w:left w:val="single" w:sz="4" w:space="0" w:color="auto"/>
              <w:bottom w:val="single" w:sz="4" w:space="0" w:color="auto"/>
              <w:right w:val="single" w:sz="4" w:space="0" w:color="auto"/>
            </w:tcBorders>
            <w:hideMark/>
          </w:tcPr>
          <w:p w14:paraId="4489F481" w14:textId="77777777" w:rsidR="00CF0CB0" w:rsidRPr="009960E1" w:rsidRDefault="00CF0CB0" w:rsidP="0018267A">
            <w:pPr>
              <w:pStyle w:val="Tabletext"/>
              <w:rPr>
                <w:sz w:val="16"/>
                <w:szCs w:val="16"/>
                <w:lang w:val="es-ES_tradnl"/>
              </w:rPr>
            </w:pPr>
            <w:r w:rsidRPr="009960E1">
              <w:rPr>
                <w:sz w:val="16"/>
                <w:szCs w:val="16"/>
                <w:lang w:val="es-ES_tradnl"/>
              </w:rPr>
              <w:t>Las herramientas de colaboración (por ejemplo, Github) deben revisarse.</w:t>
            </w:r>
          </w:p>
        </w:tc>
        <w:tc>
          <w:tcPr>
            <w:tcW w:w="294" w:type="dxa"/>
            <w:tcBorders>
              <w:top w:val="single" w:sz="4" w:space="0" w:color="auto"/>
              <w:left w:val="single" w:sz="4" w:space="0" w:color="auto"/>
              <w:bottom w:val="single" w:sz="4" w:space="0" w:color="auto"/>
              <w:right w:val="single" w:sz="4" w:space="0" w:color="auto"/>
            </w:tcBorders>
          </w:tcPr>
          <w:p w14:paraId="7B75C729"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06668FA"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hideMark/>
          </w:tcPr>
          <w:p w14:paraId="23D62D0B" w14:textId="3C22E924" w:rsidR="00CF0CB0" w:rsidRPr="009960E1" w:rsidRDefault="0018267A" w:rsidP="0018267A">
            <w:pPr>
              <w:pStyle w:val="Tabletext"/>
              <w:rPr>
                <w:sz w:val="16"/>
                <w:szCs w:val="16"/>
                <w:lang w:val="es-ES_tradnl"/>
              </w:rPr>
            </w:pPr>
            <w:r w:rsidRPr="009960E1">
              <w:rPr>
                <w:sz w:val="16"/>
                <w:szCs w:val="16"/>
                <w:lang w:val="es-ES_tradnl"/>
              </w:rPr>
              <w:t>x</w:t>
            </w:r>
          </w:p>
        </w:tc>
        <w:tc>
          <w:tcPr>
            <w:tcW w:w="289" w:type="dxa"/>
            <w:tcBorders>
              <w:top w:val="single" w:sz="4" w:space="0" w:color="auto"/>
              <w:left w:val="single" w:sz="4" w:space="0" w:color="auto"/>
              <w:bottom w:val="single" w:sz="4" w:space="0" w:color="auto"/>
              <w:right w:val="single" w:sz="4" w:space="0" w:color="auto"/>
            </w:tcBorders>
            <w:hideMark/>
          </w:tcPr>
          <w:p w14:paraId="6A8AB9F6" w14:textId="7B725488"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670D10B2"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hideMark/>
          </w:tcPr>
          <w:p w14:paraId="7B465FF1" w14:textId="68282962" w:rsidR="00CF0CB0" w:rsidRPr="009960E1" w:rsidRDefault="0018267A" w:rsidP="0018267A">
            <w:pPr>
              <w:pStyle w:val="Tabletext"/>
              <w:rPr>
                <w:sz w:val="16"/>
                <w:szCs w:val="16"/>
                <w:lang w:val="es-ES_tradnl"/>
              </w:rPr>
            </w:pPr>
            <w:r w:rsidRPr="009960E1">
              <w:rPr>
                <w:sz w:val="16"/>
                <w:szCs w:val="16"/>
                <w:lang w:val="es-ES_tradnl"/>
              </w:rPr>
              <w:t>x</w:t>
            </w:r>
          </w:p>
        </w:tc>
        <w:tc>
          <w:tcPr>
            <w:tcW w:w="332" w:type="dxa"/>
            <w:tcBorders>
              <w:top w:val="single" w:sz="4" w:space="0" w:color="auto"/>
              <w:left w:val="single" w:sz="4" w:space="0" w:color="auto"/>
              <w:bottom w:val="single" w:sz="4" w:space="0" w:color="auto"/>
              <w:right w:val="single" w:sz="4" w:space="0" w:color="auto"/>
            </w:tcBorders>
            <w:hideMark/>
          </w:tcPr>
          <w:p w14:paraId="55DB943D" w14:textId="14047FE4" w:rsidR="00CF0CB0" w:rsidRPr="009960E1" w:rsidRDefault="0018267A" w:rsidP="0018267A">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63D2D361" w14:textId="77777777" w:rsidR="00CF0CB0" w:rsidRPr="009960E1" w:rsidRDefault="00CF0CB0" w:rsidP="0018267A">
            <w:pPr>
              <w:pStyle w:val="Tabletext"/>
              <w:ind w:left="284" w:hanging="284"/>
              <w:rPr>
                <w:sz w:val="16"/>
                <w:szCs w:val="16"/>
                <w:lang w:val="es-ES_tradnl"/>
              </w:rPr>
            </w:pPr>
            <w:r w:rsidRPr="009960E1">
              <w:rPr>
                <w:sz w:val="16"/>
                <w:szCs w:val="16"/>
                <w:lang w:val="es-ES_tradnl"/>
              </w:rPr>
              <w:t>a)</w:t>
            </w:r>
            <w:r w:rsidRPr="009960E1">
              <w:rPr>
                <w:sz w:val="16"/>
                <w:szCs w:val="16"/>
                <w:lang w:val="es-ES_tradnl"/>
              </w:rPr>
              <w:tab/>
              <w:t>¿Qué herramientas pueden apoyar y mejorar la colaboración y el desarrollo de productos?</w:t>
            </w:r>
          </w:p>
          <w:p w14:paraId="2A042DAB" w14:textId="77777777" w:rsidR="00CF0CB0" w:rsidRPr="009960E1" w:rsidRDefault="00CF0CB0" w:rsidP="0018267A">
            <w:pPr>
              <w:pStyle w:val="Tabletext"/>
              <w:ind w:left="284" w:hanging="284"/>
              <w:rPr>
                <w:sz w:val="16"/>
                <w:szCs w:val="16"/>
                <w:lang w:val="es-ES_tradnl"/>
              </w:rPr>
            </w:pPr>
            <w:r w:rsidRPr="009960E1">
              <w:rPr>
                <w:sz w:val="16"/>
                <w:szCs w:val="16"/>
                <w:lang w:val="es-ES_tradnl"/>
              </w:rPr>
              <w:t>b)</w:t>
            </w:r>
            <w:r w:rsidRPr="009960E1">
              <w:rPr>
                <w:sz w:val="16"/>
                <w:szCs w:val="16"/>
                <w:lang w:val="es-ES_tradnl"/>
              </w:rPr>
              <w:tab/>
              <w:t>Invitar a posibles proveedores de productos candidatos a presentar sus soluciones al UIT-T.</w:t>
            </w:r>
          </w:p>
        </w:tc>
        <w:tc>
          <w:tcPr>
            <w:tcW w:w="992" w:type="dxa"/>
            <w:tcBorders>
              <w:top w:val="single" w:sz="4" w:space="0" w:color="auto"/>
              <w:left w:val="single" w:sz="4" w:space="0" w:color="auto"/>
              <w:bottom w:val="single" w:sz="4" w:space="0" w:color="auto"/>
              <w:right w:val="single" w:sz="4" w:space="0" w:color="auto"/>
            </w:tcBorders>
            <w:hideMark/>
          </w:tcPr>
          <w:p w14:paraId="7D58D581" w14:textId="77777777" w:rsidR="00CF0CB0" w:rsidRPr="009960E1" w:rsidRDefault="00CF0CB0" w:rsidP="0018267A">
            <w:pPr>
              <w:pStyle w:val="Tabletext"/>
              <w:rPr>
                <w:sz w:val="16"/>
                <w:szCs w:val="16"/>
                <w:lang w:val="es-ES_tradnl"/>
              </w:rPr>
            </w:pPr>
            <w:r w:rsidRPr="009960E1">
              <w:rPr>
                <w:sz w:val="16"/>
                <w:szCs w:val="16"/>
                <w:lang w:val="es-ES_tradnl"/>
              </w:rPr>
              <w:t>RG-IEM, RG-WM</w:t>
            </w:r>
          </w:p>
        </w:tc>
        <w:tc>
          <w:tcPr>
            <w:tcW w:w="1183" w:type="dxa"/>
            <w:tcBorders>
              <w:top w:val="single" w:sz="4" w:space="0" w:color="auto"/>
              <w:left w:val="single" w:sz="4" w:space="0" w:color="auto"/>
              <w:bottom w:val="single" w:sz="4" w:space="0" w:color="auto"/>
              <w:right w:val="single" w:sz="4" w:space="0" w:color="auto"/>
            </w:tcBorders>
            <w:hideMark/>
          </w:tcPr>
          <w:p w14:paraId="5403B4A4" w14:textId="77777777" w:rsidR="00CF0CB0" w:rsidRPr="009960E1" w:rsidRDefault="00CF0CB0" w:rsidP="0018267A">
            <w:pPr>
              <w:pStyle w:val="Tabletext"/>
              <w:rPr>
                <w:sz w:val="16"/>
                <w:szCs w:val="16"/>
                <w:lang w:val="es-ES_tradnl"/>
              </w:rPr>
            </w:pPr>
            <w:r w:rsidRPr="009960E1">
              <w:rPr>
                <w:sz w:val="16"/>
                <w:szCs w:val="16"/>
                <w:lang w:val="es-ES_tradnl"/>
              </w:rPr>
              <w:t>AP1.4</w:t>
            </w:r>
          </w:p>
        </w:tc>
        <w:tc>
          <w:tcPr>
            <w:tcW w:w="1363" w:type="dxa"/>
            <w:tcBorders>
              <w:top w:val="single" w:sz="4" w:space="0" w:color="auto"/>
              <w:left w:val="single" w:sz="4" w:space="0" w:color="auto"/>
              <w:bottom w:val="single" w:sz="4" w:space="0" w:color="auto"/>
              <w:right w:val="single" w:sz="4" w:space="0" w:color="auto"/>
            </w:tcBorders>
          </w:tcPr>
          <w:p w14:paraId="2D35DE4E" w14:textId="77777777" w:rsidR="00CF0CB0" w:rsidRPr="009960E1" w:rsidRDefault="00CF0CB0" w:rsidP="0018267A">
            <w:pPr>
              <w:pStyle w:val="Tabletext"/>
              <w:rPr>
                <w:sz w:val="16"/>
                <w:szCs w:val="16"/>
                <w:lang w:val="es-ES_tradnl"/>
              </w:rPr>
            </w:pPr>
          </w:p>
        </w:tc>
      </w:tr>
      <w:tr w:rsidR="00CF0CB0" w:rsidRPr="00A7143D" w14:paraId="1477AA34"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7DD61E13" w14:textId="77777777" w:rsidR="00CF0CB0" w:rsidRPr="009960E1" w:rsidRDefault="00CF0CB0" w:rsidP="0018267A">
            <w:pPr>
              <w:pStyle w:val="Tabletext"/>
              <w:rPr>
                <w:sz w:val="16"/>
                <w:szCs w:val="16"/>
                <w:lang w:val="es-ES_tradnl"/>
              </w:rPr>
            </w:pPr>
            <w:r w:rsidRPr="009960E1">
              <w:rPr>
                <w:sz w:val="16"/>
                <w:szCs w:val="16"/>
                <w:lang w:val="es-ES_tradnl"/>
              </w:rPr>
              <w:t>24</w:t>
            </w:r>
          </w:p>
        </w:tc>
        <w:tc>
          <w:tcPr>
            <w:tcW w:w="1645" w:type="dxa"/>
            <w:tcBorders>
              <w:top w:val="single" w:sz="4" w:space="0" w:color="auto"/>
              <w:left w:val="single" w:sz="4" w:space="0" w:color="auto"/>
              <w:bottom w:val="single" w:sz="4" w:space="0" w:color="auto"/>
              <w:right w:val="single" w:sz="4" w:space="0" w:color="auto"/>
            </w:tcBorders>
            <w:hideMark/>
          </w:tcPr>
          <w:p w14:paraId="1A4CCD92" w14:textId="77777777" w:rsidR="00CF0CB0" w:rsidRPr="009960E1" w:rsidRDefault="00CF0CB0" w:rsidP="0018267A">
            <w:pPr>
              <w:pStyle w:val="Tabletext"/>
              <w:rPr>
                <w:sz w:val="16"/>
                <w:szCs w:val="16"/>
                <w:lang w:val="es-ES_tradnl"/>
              </w:rPr>
            </w:pPr>
            <w:r w:rsidRPr="009960E1">
              <w:rPr>
                <w:sz w:val="16"/>
                <w:szCs w:val="16"/>
                <w:lang w:val="es-ES_tradnl"/>
              </w:rPr>
              <w:t>Cómo reconocer mejor que la escritura de código en las normas y la escritura de normas deben ser tratadas y reconocidas de la misma manera.</w:t>
            </w:r>
          </w:p>
        </w:tc>
        <w:tc>
          <w:tcPr>
            <w:tcW w:w="294" w:type="dxa"/>
            <w:tcBorders>
              <w:top w:val="single" w:sz="4" w:space="0" w:color="auto"/>
              <w:left w:val="single" w:sz="4" w:space="0" w:color="auto"/>
              <w:bottom w:val="single" w:sz="4" w:space="0" w:color="auto"/>
              <w:right w:val="single" w:sz="4" w:space="0" w:color="auto"/>
            </w:tcBorders>
          </w:tcPr>
          <w:p w14:paraId="0F770786"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64685CF8"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12C38644"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72028EF4" w14:textId="3CE781C8"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673325F1"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30437FC5"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28896DA7"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3B406547" w14:textId="77777777" w:rsidR="00CF0CB0" w:rsidRPr="009960E1" w:rsidRDefault="00CF0CB0" w:rsidP="0018267A">
            <w:pPr>
              <w:pStyle w:val="Tabletext"/>
              <w:rPr>
                <w:sz w:val="16"/>
                <w:szCs w:val="16"/>
                <w:lang w:val="es-ES_tradnl"/>
              </w:rPr>
            </w:pPr>
            <w:r w:rsidRPr="009960E1">
              <w:rPr>
                <w:sz w:val="16"/>
                <w:szCs w:val="16"/>
                <w:lang w:val="es-ES_tradnl"/>
              </w:rPr>
              <w:t xml:space="preserve">Investigar la suposición de que la escritura de código y los estándares de escritura son muy similares y, al mismo tiempo, resaltar las diferencias. Con el objetivo de poner a los desarrolladores de </w:t>
            </w:r>
            <w:r w:rsidRPr="00D15FEC">
              <w:rPr>
                <w:i/>
                <w:iCs/>
                <w:sz w:val="16"/>
                <w:szCs w:val="16"/>
                <w:lang w:val="es-ES_tradnl"/>
              </w:rPr>
              <w:t>software</w:t>
            </w:r>
            <w:r w:rsidRPr="009960E1">
              <w:rPr>
                <w:sz w:val="16"/>
                <w:szCs w:val="16"/>
                <w:lang w:val="es-ES_tradnl"/>
              </w:rPr>
              <w:t xml:space="preserve"> y a los desarrolladores de normas en pie de igualdad.</w:t>
            </w:r>
          </w:p>
        </w:tc>
        <w:tc>
          <w:tcPr>
            <w:tcW w:w="992" w:type="dxa"/>
            <w:tcBorders>
              <w:top w:val="single" w:sz="4" w:space="0" w:color="auto"/>
              <w:left w:val="single" w:sz="4" w:space="0" w:color="auto"/>
              <w:bottom w:val="single" w:sz="4" w:space="0" w:color="auto"/>
              <w:right w:val="single" w:sz="4" w:space="0" w:color="auto"/>
            </w:tcBorders>
            <w:hideMark/>
          </w:tcPr>
          <w:p w14:paraId="307A24D1" w14:textId="77777777" w:rsidR="00CF0CB0" w:rsidRPr="009960E1" w:rsidRDefault="00CF0CB0" w:rsidP="0018267A">
            <w:pPr>
              <w:pStyle w:val="Tabletext"/>
              <w:rPr>
                <w:sz w:val="16"/>
                <w:szCs w:val="16"/>
                <w:lang w:val="es-ES_tradnl"/>
              </w:rPr>
            </w:pPr>
            <w:r w:rsidRPr="009960E1">
              <w:rPr>
                <w:sz w:val="16"/>
                <w:szCs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58E33F77" w14:textId="77777777" w:rsidR="00CF0CB0" w:rsidRPr="009960E1" w:rsidRDefault="00CF0CB0" w:rsidP="0018267A">
            <w:pPr>
              <w:pStyle w:val="Tabletext"/>
              <w:rPr>
                <w:sz w:val="16"/>
                <w:szCs w:val="16"/>
                <w:lang w:val="es-ES_tradnl"/>
              </w:rPr>
            </w:pPr>
            <w:r w:rsidRPr="009960E1">
              <w:rPr>
                <w:sz w:val="16"/>
                <w:szCs w:val="16"/>
                <w:lang w:val="es-ES_tradnl"/>
              </w:rPr>
              <w:t>AP1.1.3</w:t>
            </w:r>
          </w:p>
        </w:tc>
        <w:tc>
          <w:tcPr>
            <w:tcW w:w="1363" w:type="dxa"/>
            <w:tcBorders>
              <w:top w:val="single" w:sz="4" w:space="0" w:color="auto"/>
              <w:left w:val="single" w:sz="4" w:space="0" w:color="auto"/>
              <w:bottom w:val="single" w:sz="4" w:space="0" w:color="auto"/>
              <w:right w:val="single" w:sz="4" w:space="0" w:color="auto"/>
            </w:tcBorders>
            <w:hideMark/>
          </w:tcPr>
          <w:p w14:paraId="21069465" w14:textId="6B65E217" w:rsidR="00CF0CB0" w:rsidRPr="009960E1" w:rsidRDefault="00CF0CB0" w:rsidP="0018267A">
            <w:pPr>
              <w:pStyle w:val="Tabletext"/>
              <w:rPr>
                <w:sz w:val="16"/>
                <w:szCs w:val="16"/>
                <w:lang w:val="es-ES_tradnl"/>
              </w:rPr>
            </w:pPr>
            <w:r w:rsidRPr="009960E1">
              <w:rPr>
                <w:sz w:val="16"/>
                <w:szCs w:val="16"/>
                <w:lang w:val="es-ES_tradnl"/>
              </w:rPr>
              <w:t>Se trata de una cultura clara y de cuestiones de cultura de liderazgo</w:t>
            </w:r>
            <w:r w:rsidR="00BA25D1">
              <w:rPr>
                <w:sz w:val="16"/>
                <w:szCs w:val="16"/>
                <w:lang w:val="es-ES_tradnl"/>
              </w:rPr>
              <w:br/>
            </w:r>
            <w:r w:rsidRPr="009960E1">
              <w:rPr>
                <w:sz w:val="16"/>
                <w:szCs w:val="16"/>
                <w:lang w:val="es-ES_tradnl"/>
              </w:rPr>
              <w:t>/educación de liderazgo que tal vez estén subrepresentadas en AP1.1.3.</w:t>
            </w:r>
          </w:p>
        </w:tc>
      </w:tr>
      <w:tr w:rsidR="00CF0CB0" w:rsidRPr="009960E1" w14:paraId="5A4015F8"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4DC9599E" w14:textId="77777777" w:rsidR="00CF0CB0" w:rsidRPr="009960E1" w:rsidRDefault="00CF0CB0" w:rsidP="0018267A">
            <w:pPr>
              <w:pStyle w:val="Tabletext"/>
              <w:rPr>
                <w:sz w:val="16"/>
                <w:szCs w:val="16"/>
                <w:lang w:val="es-ES_tradnl"/>
              </w:rPr>
            </w:pPr>
            <w:r w:rsidRPr="009960E1">
              <w:rPr>
                <w:sz w:val="16"/>
                <w:szCs w:val="16"/>
                <w:lang w:val="es-ES_tradnl"/>
              </w:rPr>
              <w:t>25</w:t>
            </w:r>
          </w:p>
        </w:tc>
        <w:tc>
          <w:tcPr>
            <w:tcW w:w="1645" w:type="dxa"/>
            <w:tcBorders>
              <w:top w:val="single" w:sz="4" w:space="0" w:color="auto"/>
              <w:left w:val="single" w:sz="4" w:space="0" w:color="auto"/>
              <w:bottom w:val="single" w:sz="4" w:space="0" w:color="auto"/>
              <w:right w:val="single" w:sz="4" w:space="0" w:color="auto"/>
            </w:tcBorders>
            <w:hideMark/>
          </w:tcPr>
          <w:p w14:paraId="407FDC3D" w14:textId="77777777" w:rsidR="00CF0CB0" w:rsidRPr="009960E1" w:rsidRDefault="00CF0CB0" w:rsidP="0018267A">
            <w:pPr>
              <w:pStyle w:val="Tabletext"/>
              <w:rPr>
                <w:sz w:val="16"/>
                <w:szCs w:val="16"/>
                <w:lang w:val="es-ES_tradnl"/>
              </w:rPr>
            </w:pPr>
            <w:r w:rsidRPr="009960E1">
              <w:rPr>
                <w:sz w:val="16"/>
                <w:szCs w:val="16"/>
                <w:lang w:val="es-ES_tradnl"/>
              </w:rPr>
              <w:t xml:space="preserve">La normalización no se considera una función reconocida en algunos entornos empresariales. </w:t>
            </w:r>
          </w:p>
        </w:tc>
        <w:tc>
          <w:tcPr>
            <w:tcW w:w="294" w:type="dxa"/>
            <w:tcBorders>
              <w:top w:val="single" w:sz="4" w:space="0" w:color="auto"/>
              <w:left w:val="single" w:sz="4" w:space="0" w:color="auto"/>
              <w:bottom w:val="single" w:sz="4" w:space="0" w:color="auto"/>
              <w:right w:val="single" w:sz="4" w:space="0" w:color="auto"/>
            </w:tcBorders>
          </w:tcPr>
          <w:p w14:paraId="0430E1D6"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625481C4"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5F0330CA"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1873A780" w14:textId="4E31FFF3"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27EDA57B"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62F21A33"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7CE41168"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tcPr>
          <w:p w14:paraId="547CBEC9" w14:textId="77777777" w:rsidR="00CF0CB0" w:rsidRPr="009960E1" w:rsidRDefault="00CF0CB0" w:rsidP="0018267A">
            <w:pPr>
              <w:pStyle w:val="Tabletext"/>
              <w:rPr>
                <w:sz w:val="16"/>
                <w:szCs w:val="16"/>
                <w:lang w:val="es-ES_tradnl"/>
              </w:rPr>
            </w:pPr>
            <w:r w:rsidRPr="009960E1">
              <w:rPr>
                <w:sz w:val="16"/>
                <w:szCs w:val="16"/>
                <w:lang w:val="es-ES_tradnl"/>
              </w:rPr>
              <w:t>Investigar la mejor manera de apoyar a los actuales miembros de la industria para que desarrollen sus propios "promotores" o "traductores" internos y recopilen prácticas idóneas junto con enfoques de "formación de formadores". Cómo cambiar la percepción en algunos entornos corporativos y cómo reagrupar un programa de formación adecuado.</w:t>
            </w:r>
          </w:p>
        </w:tc>
        <w:tc>
          <w:tcPr>
            <w:tcW w:w="992" w:type="dxa"/>
            <w:tcBorders>
              <w:top w:val="single" w:sz="4" w:space="0" w:color="auto"/>
              <w:left w:val="single" w:sz="4" w:space="0" w:color="auto"/>
              <w:bottom w:val="single" w:sz="4" w:space="0" w:color="auto"/>
              <w:right w:val="single" w:sz="4" w:space="0" w:color="auto"/>
            </w:tcBorders>
            <w:hideMark/>
          </w:tcPr>
          <w:p w14:paraId="50B01689" w14:textId="77777777" w:rsidR="00CF0CB0" w:rsidRPr="009960E1" w:rsidRDefault="00CF0CB0" w:rsidP="0018267A">
            <w:pPr>
              <w:pStyle w:val="Tabletext"/>
              <w:rPr>
                <w:sz w:val="16"/>
                <w:szCs w:val="16"/>
                <w:lang w:val="es-ES_tradnl"/>
              </w:rPr>
            </w:pPr>
            <w:r w:rsidRPr="009960E1">
              <w:rPr>
                <w:sz w:val="16"/>
                <w:szCs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0E5D66BB" w14:textId="77777777" w:rsidR="00CF0CB0" w:rsidRPr="009960E1" w:rsidRDefault="00CF0CB0" w:rsidP="0018267A">
            <w:pPr>
              <w:pStyle w:val="Tabletext"/>
              <w:rPr>
                <w:sz w:val="16"/>
                <w:szCs w:val="16"/>
                <w:lang w:val="es-ES_tradnl"/>
              </w:rPr>
            </w:pPr>
            <w:r w:rsidRPr="009960E1">
              <w:rPr>
                <w:sz w:val="16"/>
                <w:szCs w:val="16"/>
                <w:lang w:val="es-ES_tradnl"/>
              </w:rPr>
              <w:t>AP1.1.3</w:t>
            </w:r>
          </w:p>
        </w:tc>
        <w:tc>
          <w:tcPr>
            <w:tcW w:w="1363" w:type="dxa"/>
            <w:tcBorders>
              <w:top w:val="single" w:sz="4" w:space="0" w:color="auto"/>
              <w:left w:val="single" w:sz="4" w:space="0" w:color="auto"/>
              <w:bottom w:val="single" w:sz="4" w:space="0" w:color="auto"/>
              <w:right w:val="single" w:sz="4" w:space="0" w:color="auto"/>
            </w:tcBorders>
            <w:hideMark/>
          </w:tcPr>
          <w:p w14:paraId="303AC90F" w14:textId="77777777" w:rsidR="00CF0CB0" w:rsidRPr="009960E1" w:rsidRDefault="00CF0CB0" w:rsidP="0018267A">
            <w:pPr>
              <w:pStyle w:val="Tabletext"/>
              <w:rPr>
                <w:sz w:val="16"/>
                <w:szCs w:val="16"/>
                <w:lang w:val="es-ES_tradnl"/>
              </w:rPr>
            </w:pPr>
            <w:r w:rsidRPr="009960E1">
              <w:rPr>
                <w:sz w:val="16"/>
                <w:szCs w:val="16"/>
                <w:lang w:val="es-ES_tradnl"/>
              </w:rPr>
              <w:t>Véase el punto anterior.</w:t>
            </w:r>
          </w:p>
        </w:tc>
      </w:tr>
      <w:tr w:rsidR="00CF0CB0" w:rsidRPr="009960E1" w14:paraId="2510F051"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6797BCE8" w14:textId="77777777" w:rsidR="00CF0CB0" w:rsidRPr="009960E1" w:rsidRDefault="00CF0CB0" w:rsidP="0018267A">
            <w:pPr>
              <w:pStyle w:val="Tabletext"/>
              <w:rPr>
                <w:sz w:val="16"/>
                <w:szCs w:val="16"/>
                <w:lang w:val="es-ES_tradnl"/>
              </w:rPr>
            </w:pPr>
            <w:r w:rsidRPr="009960E1">
              <w:rPr>
                <w:sz w:val="16"/>
                <w:szCs w:val="16"/>
                <w:lang w:val="es-ES_tradnl"/>
              </w:rPr>
              <w:t>26</w:t>
            </w:r>
          </w:p>
        </w:tc>
        <w:tc>
          <w:tcPr>
            <w:tcW w:w="1645" w:type="dxa"/>
            <w:tcBorders>
              <w:top w:val="single" w:sz="4" w:space="0" w:color="auto"/>
              <w:left w:val="single" w:sz="4" w:space="0" w:color="auto"/>
              <w:bottom w:val="single" w:sz="4" w:space="0" w:color="auto"/>
              <w:right w:val="single" w:sz="4" w:space="0" w:color="auto"/>
            </w:tcBorders>
            <w:hideMark/>
          </w:tcPr>
          <w:p w14:paraId="43370D1D" w14:textId="77777777" w:rsidR="00CF0CB0" w:rsidRPr="009960E1" w:rsidRDefault="00CF0CB0" w:rsidP="0018267A">
            <w:pPr>
              <w:pStyle w:val="Tabletext"/>
              <w:rPr>
                <w:sz w:val="16"/>
                <w:szCs w:val="16"/>
                <w:lang w:val="es-ES_tradnl"/>
              </w:rPr>
            </w:pPr>
            <w:r w:rsidRPr="009960E1">
              <w:rPr>
                <w:sz w:val="16"/>
                <w:szCs w:val="16"/>
                <w:lang w:val="es-ES_tradnl"/>
              </w:rPr>
              <w:t>¿Qué se puede hacer para reducir el obstáculo financiero a la entrada de pymes y nuevas empresas en la UIT como Miembros de Sector?</w:t>
            </w:r>
          </w:p>
        </w:tc>
        <w:tc>
          <w:tcPr>
            <w:tcW w:w="294" w:type="dxa"/>
            <w:tcBorders>
              <w:top w:val="single" w:sz="4" w:space="0" w:color="auto"/>
              <w:left w:val="single" w:sz="4" w:space="0" w:color="auto"/>
              <w:bottom w:val="single" w:sz="4" w:space="0" w:color="auto"/>
              <w:right w:val="single" w:sz="4" w:space="0" w:color="auto"/>
            </w:tcBorders>
          </w:tcPr>
          <w:p w14:paraId="31FEDC8A"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195F6D28"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CEB54E5"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6B24CC53" w14:textId="5AEC8312"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7DBF8528"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37645D39"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205919C4"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153E47AD" w14:textId="77777777" w:rsidR="00CF0CB0" w:rsidRPr="009960E1" w:rsidRDefault="00CF0CB0" w:rsidP="0018267A">
            <w:pPr>
              <w:pStyle w:val="Tabletext"/>
              <w:rPr>
                <w:sz w:val="16"/>
                <w:szCs w:val="16"/>
                <w:lang w:val="es-ES_tradnl"/>
              </w:rPr>
            </w:pPr>
            <w:r w:rsidRPr="009960E1">
              <w:rPr>
                <w:sz w:val="16"/>
                <w:szCs w:val="16"/>
                <w:lang w:val="es-ES_tradnl"/>
              </w:rPr>
              <w:t>Investigar formas de reducir el obstáculo financiero para que las pymes y las nuevas empresas se incorporen a la UIT como Miembros de Sector.</w:t>
            </w:r>
          </w:p>
        </w:tc>
        <w:tc>
          <w:tcPr>
            <w:tcW w:w="992" w:type="dxa"/>
            <w:tcBorders>
              <w:top w:val="single" w:sz="4" w:space="0" w:color="auto"/>
              <w:left w:val="single" w:sz="4" w:space="0" w:color="auto"/>
              <w:bottom w:val="single" w:sz="4" w:space="0" w:color="auto"/>
              <w:right w:val="single" w:sz="4" w:space="0" w:color="auto"/>
            </w:tcBorders>
            <w:hideMark/>
          </w:tcPr>
          <w:p w14:paraId="115078AA" w14:textId="77777777" w:rsidR="00CF0CB0" w:rsidRPr="009960E1" w:rsidRDefault="00CF0CB0" w:rsidP="0018267A">
            <w:pPr>
              <w:pStyle w:val="Tabletext"/>
              <w:rPr>
                <w:sz w:val="16"/>
                <w:szCs w:val="16"/>
                <w:lang w:val="es-ES_tradnl"/>
              </w:rPr>
            </w:pPr>
            <w:r w:rsidRPr="009960E1">
              <w:rPr>
                <w:sz w:val="16"/>
                <w:szCs w:val="16"/>
                <w:lang w:val="es-ES_tradnl"/>
              </w:rPr>
              <w:t>RG-IEM, RG-SOP</w:t>
            </w:r>
          </w:p>
        </w:tc>
        <w:tc>
          <w:tcPr>
            <w:tcW w:w="1183" w:type="dxa"/>
            <w:tcBorders>
              <w:top w:val="single" w:sz="4" w:space="0" w:color="auto"/>
              <w:left w:val="single" w:sz="4" w:space="0" w:color="auto"/>
              <w:bottom w:val="single" w:sz="4" w:space="0" w:color="auto"/>
              <w:right w:val="single" w:sz="4" w:space="0" w:color="auto"/>
            </w:tcBorders>
            <w:hideMark/>
          </w:tcPr>
          <w:p w14:paraId="5731C9CE" w14:textId="77777777" w:rsidR="00CF0CB0" w:rsidRPr="009960E1" w:rsidRDefault="00CF0CB0" w:rsidP="0018267A">
            <w:pPr>
              <w:pStyle w:val="Tabletext"/>
              <w:rPr>
                <w:sz w:val="16"/>
                <w:szCs w:val="16"/>
                <w:lang w:val="es-ES_tradnl"/>
              </w:rPr>
            </w:pPr>
            <w:r w:rsidRPr="009960E1">
              <w:rPr>
                <w:sz w:val="16"/>
                <w:szCs w:val="16"/>
                <w:lang w:val="es-ES_tradnl"/>
              </w:rPr>
              <w:t>AP1.3</w:t>
            </w:r>
          </w:p>
        </w:tc>
        <w:tc>
          <w:tcPr>
            <w:tcW w:w="1363" w:type="dxa"/>
            <w:tcBorders>
              <w:top w:val="single" w:sz="4" w:space="0" w:color="auto"/>
              <w:left w:val="single" w:sz="4" w:space="0" w:color="auto"/>
              <w:bottom w:val="single" w:sz="4" w:space="0" w:color="auto"/>
              <w:right w:val="single" w:sz="4" w:space="0" w:color="auto"/>
            </w:tcBorders>
          </w:tcPr>
          <w:p w14:paraId="2C17B895" w14:textId="77777777" w:rsidR="00CF0CB0" w:rsidRPr="009960E1" w:rsidRDefault="00CF0CB0" w:rsidP="0018267A">
            <w:pPr>
              <w:pStyle w:val="Tabletext"/>
              <w:rPr>
                <w:sz w:val="16"/>
                <w:szCs w:val="16"/>
                <w:lang w:val="es-ES_tradnl"/>
              </w:rPr>
            </w:pPr>
          </w:p>
        </w:tc>
      </w:tr>
      <w:tr w:rsidR="00CF0CB0" w:rsidRPr="00A7143D" w14:paraId="46AFC1C0"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15E01225" w14:textId="77777777" w:rsidR="00CF0CB0" w:rsidRPr="009960E1" w:rsidRDefault="00CF0CB0" w:rsidP="0018267A">
            <w:pPr>
              <w:pStyle w:val="Tabletext"/>
              <w:rPr>
                <w:sz w:val="16"/>
                <w:szCs w:val="16"/>
                <w:lang w:val="es-ES_tradnl"/>
              </w:rPr>
            </w:pPr>
            <w:r w:rsidRPr="009960E1">
              <w:rPr>
                <w:sz w:val="16"/>
                <w:szCs w:val="16"/>
                <w:lang w:val="es-ES_tradnl"/>
              </w:rPr>
              <w:t>27</w:t>
            </w:r>
          </w:p>
        </w:tc>
        <w:tc>
          <w:tcPr>
            <w:tcW w:w="1645" w:type="dxa"/>
            <w:tcBorders>
              <w:top w:val="single" w:sz="4" w:space="0" w:color="auto"/>
              <w:left w:val="single" w:sz="4" w:space="0" w:color="auto"/>
              <w:bottom w:val="single" w:sz="4" w:space="0" w:color="auto"/>
              <w:right w:val="single" w:sz="4" w:space="0" w:color="auto"/>
            </w:tcBorders>
            <w:hideMark/>
          </w:tcPr>
          <w:p w14:paraId="5024CA31" w14:textId="77777777" w:rsidR="00CF0CB0" w:rsidRPr="009960E1" w:rsidRDefault="00CF0CB0" w:rsidP="0018267A">
            <w:pPr>
              <w:pStyle w:val="Tabletext"/>
              <w:rPr>
                <w:sz w:val="16"/>
                <w:szCs w:val="16"/>
                <w:lang w:val="es-ES_tradnl"/>
              </w:rPr>
            </w:pPr>
            <w:r w:rsidRPr="009960E1">
              <w:rPr>
                <w:sz w:val="16"/>
                <w:szCs w:val="16"/>
                <w:lang w:val="es-ES_tradnl"/>
              </w:rPr>
              <w:t xml:space="preserve">Algunos segmentos de la industria (por ejemplo, hiperescaladores, </w:t>
            </w:r>
            <w:r w:rsidRPr="00D15FEC">
              <w:rPr>
                <w:i/>
                <w:iCs/>
                <w:sz w:val="16"/>
                <w:szCs w:val="16"/>
                <w:lang w:val="es-ES_tradnl"/>
              </w:rPr>
              <w:t>software</w:t>
            </w:r>
            <w:r w:rsidRPr="009960E1">
              <w:rPr>
                <w:sz w:val="16"/>
                <w:szCs w:val="16"/>
                <w:lang w:val="es-ES_tradnl"/>
              </w:rPr>
              <w:t>, IoT, otras tecnologías espaciales, tecnologías de navegación) parecen estar ausentes o subrepresentados en el UIT-T.</w:t>
            </w:r>
          </w:p>
        </w:tc>
        <w:tc>
          <w:tcPr>
            <w:tcW w:w="294" w:type="dxa"/>
            <w:tcBorders>
              <w:top w:val="single" w:sz="4" w:space="0" w:color="auto"/>
              <w:left w:val="single" w:sz="4" w:space="0" w:color="auto"/>
              <w:bottom w:val="single" w:sz="4" w:space="0" w:color="auto"/>
              <w:right w:val="single" w:sz="4" w:space="0" w:color="auto"/>
            </w:tcBorders>
          </w:tcPr>
          <w:p w14:paraId="2E6D8ED9"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3C0DD487"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99F13A2"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66C130D3" w14:textId="7D35036C"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1C7AFBFA"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352159D2"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5B7FA960"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4B91AAC8" w14:textId="77777777" w:rsidR="00CF0CB0" w:rsidRPr="009960E1" w:rsidRDefault="00CF0CB0" w:rsidP="0018267A">
            <w:pPr>
              <w:pStyle w:val="Tabletext"/>
              <w:rPr>
                <w:sz w:val="16"/>
                <w:szCs w:val="16"/>
                <w:lang w:val="es-ES_tradnl"/>
              </w:rPr>
            </w:pPr>
            <w:r w:rsidRPr="009960E1">
              <w:rPr>
                <w:sz w:val="16"/>
                <w:szCs w:val="16"/>
                <w:lang w:val="es-ES_tradnl"/>
              </w:rPr>
              <w:t xml:space="preserve">Investigar la mejor manera de promover el UIT-T en segmentos desatendidos (hiperescaladores, </w:t>
            </w:r>
            <w:r w:rsidRPr="00D15FEC">
              <w:rPr>
                <w:i/>
                <w:iCs/>
                <w:sz w:val="16"/>
                <w:szCs w:val="16"/>
                <w:lang w:val="es-ES_tradnl"/>
              </w:rPr>
              <w:t>software</w:t>
            </w:r>
            <w:r w:rsidRPr="009960E1">
              <w:rPr>
                <w:sz w:val="16"/>
                <w:szCs w:val="16"/>
                <w:lang w:val="es-ES_tradnl"/>
              </w:rPr>
              <w:t>, IoT, etc.)</w:t>
            </w:r>
          </w:p>
        </w:tc>
        <w:tc>
          <w:tcPr>
            <w:tcW w:w="992" w:type="dxa"/>
            <w:tcBorders>
              <w:top w:val="single" w:sz="4" w:space="0" w:color="auto"/>
              <w:left w:val="single" w:sz="4" w:space="0" w:color="auto"/>
              <w:bottom w:val="single" w:sz="4" w:space="0" w:color="auto"/>
              <w:right w:val="single" w:sz="4" w:space="0" w:color="auto"/>
            </w:tcBorders>
            <w:hideMark/>
          </w:tcPr>
          <w:p w14:paraId="2E518B81" w14:textId="77777777" w:rsidR="00CF0CB0" w:rsidRPr="009960E1" w:rsidRDefault="00CF0CB0" w:rsidP="0018267A">
            <w:pPr>
              <w:pStyle w:val="Tabletext"/>
              <w:rPr>
                <w:sz w:val="16"/>
                <w:szCs w:val="16"/>
                <w:lang w:val="es-ES_tradnl"/>
              </w:rPr>
            </w:pPr>
            <w:r w:rsidRPr="009960E1">
              <w:rPr>
                <w:sz w:val="16"/>
                <w:szCs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0961AD55" w14:textId="77777777" w:rsidR="00CF0CB0" w:rsidRPr="009960E1" w:rsidRDefault="00CF0CB0" w:rsidP="0018267A">
            <w:pPr>
              <w:pStyle w:val="Tabletext"/>
              <w:rPr>
                <w:sz w:val="16"/>
                <w:szCs w:val="16"/>
                <w:lang w:val="es-ES_tradnl"/>
              </w:rPr>
            </w:pPr>
            <w:r w:rsidRPr="009960E1">
              <w:rPr>
                <w:sz w:val="16"/>
                <w:szCs w:val="16"/>
                <w:lang w:val="es-ES_tradnl"/>
              </w:rPr>
              <w:t>AP1.4</w:t>
            </w:r>
          </w:p>
        </w:tc>
        <w:tc>
          <w:tcPr>
            <w:tcW w:w="1363" w:type="dxa"/>
            <w:tcBorders>
              <w:top w:val="single" w:sz="4" w:space="0" w:color="auto"/>
              <w:left w:val="single" w:sz="4" w:space="0" w:color="auto"/>
              <w:bottom w:val="single" w:sz="4" w:space="0" w:color="auto"/>
              <w:right w:val="single" w:sz="4" w:space="0" w:color="auto"/>
            </w:tcBorders>
            <w:hideMark/>
          </w:tcPr>
          <w:p w14:paraId="034344B7" w14:textId="77777777" w:rsidR="00CF0CB0" w:rsidRPr="009960E1" w:rsidRDefault="00CF0CB0" w:rsidP="0018267A">
            <w:pPr>
              <w:pStyle w:val="Tabletext"/>
              <w:rPr>
                <w:sz w:val="16"/>
                <w:szCs w:val="16"/>
                <w:lang w:val="es-ES_tradnl"/>
              </w:rPr>
            </w:pPr>
            <w:r w:rsidRPr="009960E1">
              <w:rPr>
                <w:sz w:val="16"/>
                <w:szCs w:val="16"/>
                <w:lang w:val="es-ES_tradnl"/>
              </w:rPr>
              <w:t>También se trata de inclusión y alcance</w:t>
            </w:r>
          </w:p>
        </w:tc>
      </w:tr>
      <w:tr w:rsidR="00CF0CB0" w:rsidRPr="009960E1" w14:paraId="1079B51D"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5FA8AF1A" w14:textId="77777777" w:rsidR="00CF0CB0" w:rsidRPr="009960E1" w:rsidRDefault="00CF0CB0" w:rsidP="0018267A">
            <w:pPr>
              <w:pStyle w:val="Tabletext"/>
              <w:rPr>
                <w:sz w:val="16"/>
                <w:szCs w:val="16"/>
                <w:lang w:val="es-ES_tradnl"/>
              </w:rPr>
            </w:pPr>
            <w:r w:rsidRPr="009960E1">
              <w:rPr>
                <w:sz w:val="16"/>
                <w:szCs w:val="16"/>
                <w:lang w:val="es-ES_tradnl"/>
              </w:rPr>
              <w:t>28</w:t>
            </w:r>
          </w:p>
        </w:tc>
        <w:tc>
          <w:tcPr>
            <w:tcW w:w="1645" w:type="dxa"/>
            <w:tcBorders>
              <w:top w:val="single" w:sz="4" w:space="0" w:color="auto"/>
              <w:left w:val="single" w:sz="4" w:space="0" w:color="auto"/>
              <w:bottom w:val="single" w:sz="4" w:space="0" w:color="auto"/>
              <w:right w:val="single" w:sz="4" w:space="0" w:color="auto"/>
            </w:tcBorders>
            <w:hideMark/>
          </w:tcPr>
          <w:p w14:paraId="65526CCF" w14:textId="77777777" w:rsidR="00CF0CB0" w:rsidRPr="009960E1" w:rsidRDefault="00CF0CB0" w:rsidP="0018267A">
            <w:pPr>
              <w:pStyle w:val="Tabletext"/>
              <w:rPr>
                <w:sz w:val="16"/>
                <w:szCs w:val="16"/>
                <w:lang w:val="es-ES_tradnl"/>
              </w:rPr>
            </w:pPr>
            <w:r w:rsidRPr="009960E1">
              <w:rPr>
                <w:sz w:val="16"/>
                <w:szCs w:val="16"/>
                <w:lang w:val="es-ES_tradnl"/>
              </w:rPr>
              <w:t>Definir mejor el papel del UIT-T en la IA.</w:t>
            </w:r>
          </w:p>
        </w:tc>
        <w:tc>
          <w:tcPr>
            <w:tcW w:w="294" w:type="dxa"/>
            <w:tcBorders>
              <w:top w:val="single" w:sz="4" w:space="0" w:color="auto"/>
              <w:left w:val="single" w:sz="4" w:space="0" w:color="auto"/>
              <w:bottom w:val="single" w:sz="4" w:space="0" w:color="auto"/>
              <w:right w:val="single" w:sz="4" w:space="0" w:color="auto"/>
            </w:tcBorders>
            <w:hideMark/>
          </w:tcPr>
          <w:p w14:paraId="26251E69" w14:textId="7848CB47"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790C7A7B"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hideMark/>
          </w:tcPr>
          <w:p w14:paraId="6EC3C6CD" w14:textId="1655812A" w:rsidR="00CF0CB0" w:rsidRPr="009960E1" w:rsidRDefault="0018267A" w:rsidP="0018267A">
            <w:pPr>
              <w:pStyle w:val="Tabletext"/>
              <w:rPr>
                <w:sz w:val="16"/>
                <w:szCs w:val="16"/>
                <w:lang w:val="es-ES_tradnl"/>
              </w:rPr>
            </w:pPr>
            <w:r w:rsidRPr="009960E1">
              <w:rPr>
                <w:sz w:val="16"/>
                <w:szCs w:val="16"/>
                <w:lang w:val="es-ES_tradnl"/>
              </w:rPr>
              <w:t>x</w:t>
            </w:r>
          </w:p>
        </w:tc>
        <w:tc>
          <w:tcPr>
            <w:tcW w:w="289" w:type="dxa"/>
            <w:tcBorders>
              <w:top w:val="single" w:sz="4" w:space="0" w:color="auto"/>
              <w:left w:val="single" w:sz="4" w:space="0" w:color="auto"/>
              <w:bottom w:val="single" w:sz="4" w:space="0" w:color="auto"/>
              <w:right w:val="single" w:sz="4" w:space="0" w:color="auto"/>
            </w:tcBorders>
            <w:hideMark/>
          </w:tcPr>
          <w:p w14:paraId="67AEAC11" w14:textId="2F5E3C37"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330C0349"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6EE6CBB4"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hideMark/>
          </w:tcPr>
          <w:p w14:paraId="27219D79" w14:textId="179A82B8" w:rsidR="00CF0CB0" w:rsidRPr="009960E1" w:rsidRDefault="0018267A" w:rsidP="0018267A">
            <w:pPr>
              <w:pStyle w:val="Tabletext"/>
              <w:rPr>
                <w:sz w:val="16"/>
                <w:szCs w:val="16"/>
                <w:lang w:val="es-ES_tradnl"/>
              </w:rPr>
            </w:pPr>
            <w:r w:rsidRPr="009960E1">
              <w:rPr>
                <w:sz w:val="16"/>
                <w:szCs w:val="16"/>
                <w:lang w:val="es-ES_tradnl"/>
              </w:rPr>
              <w:t>x</w:t>
            </w:r>
          </w:p>
        </w:tc>
        <w:tc>
          <w:tcPr>
            <w:tcW w:w="2029" w:type="dxa"/>
            <w:tcBorders>
              <w:top w:val="single" w:sz="4" w:space="0" w:color="auto"/>
              <w:left w:val="single" w:sz="4" w:space="0" w:color="auto"/>
              <w:bottom w:val="single" w:sz="4" w:space="0" w:color="auto"/>
              <w:right w:val="single" w:sz="4" w:space="0" w:color="auto"/>
            </w:tcBorders>
            <w:hideMark/>
          </w:tcPr>
          <w:p w14:paraId="4FA2DFC8" w14:textId="77777777" w:rsidR="00CF0CB0" w:rsidRPr="009960E1" w:rsidRDefault="00CF0CB0" w:rsidP="0018267A">
            <w:pPr>
              <w:pStyle w:val="Tabletext"/>
              <w:rPr>
                <w:sz w:val="16"/>
                <w:szCs w:val="16"/>
                <w:lang w:val="es-ES_tradnl"/>
              </w:rPr>
            </w:pPr>
            <w:r w:rsidRPr="009960E1">
              <w:rPr>
                <w:sz w:val="16"/>
                <w:szCs w:val="16"/>
                <w:lang w:val="es-ES_tradnl"/>
              </w:rPr>
              <w:t>Investigar la mejor manera de definir claramente la función del UIT-T en la IA.</w:t>
            </w:r>
          </w:p>
        </w:tc>
        <w:tc>
          <w:tcPr>
            <w:tcW w:w="992" w:type="dxa"/>
            <w:tcBorders>
              <w:top w:val="single" w:sz="4" w:space="0" w:color="auto"/>
              <w:left w:val="single" w:sz="4" w:space="0" w:color="auto"/>
              <w:bottom w:val="single" w:sz="4" w:space="0" w:color="auto"/>
              <w:right w:val="single" w:sz="4" w:space="0" w:color="auto"/>
            </w:tcBorders>
            <w:hideMark/>
          </w:tcPr>
          <w:p w14:paraId="366FD7AB" w14:textId="77777777" w:rsidR="00CF0CB0" w:rsidRPr="009960E1" w:rsidRDefault="00CF0CB0" w:rsidP="0018267A">
            <w:pPr>
              <w:pStyle w:val="Tabletext"/>
              <w:rPr>
                <w:sz w:val="16"/>
                <w:szCs w:val="16"/>
                <w:lang w:val="es-ES_tradnl"/>
              </w:rPr>
            </w:pPr>
            <w:r w:rsidRPr="009960E1">
              <w:rPr>
                <w:sz w:val="16"/>
                <w:szCs w:val="16"/>
                <w:lang w:val="es-ES_tradnl"/>
              </w:rPr>
              <w:t>RG-IEM</w:t>
            </w:r>
          </w:p>
        </w:tc>
        <w:tc>
          <w:tcPr>
            <w:tcW w:w="1183" w:type="dxa"/>
            <w:tcBorders>
              <w:top w:val="single" w:sz="4" w:space="0" w:color="auto"/>
              <w:left w:val="single" w:sz="4" w:space="0" w:color="auto"/>
              <w:bottom w:val="single" w:sz="4" w:space="0" w:color="auto"/>
              <w:right w:val="single" w:sz="4" w:space="0" w:color="auto"/>
            </w:tcBorders>
            <w:hideMark/>
          </w:tcPr>
          <w:p w14:paraId="7BB1970E" w14:textId="77777777" w:rsidR="00CF0CB0" w:rsidRPr="009960E1" w:rsidRDefault="00CF0CB0" w:rsidP="0018267A">
            <w:pPr>
              <w:pStyle w:val="Tabletext"/>
              <w:rPr>
                <w:sz w:val="16"/>
                <w:szCs w:val="16"/>
                <w:lang w:val="es-ES_tradnl"/>
              </w:rPr>
            </w:pPr>
            <w:r w:rsidRPr="009960E1">
              <w:rPr>
                <w:sz w:val="16"/>
                <w:szCs w:val="16"/>
                <w:lang w:val="es-ES_tradnl"/>
              </w:rPr>
              <w:t>AP1.5</w:t>
            </w:r>
          </w:p>
        </w:tc>
        <w:tc>
          <w:tcPr>
            <w:tcW w:w="1363" w:type="dxa"/>
            <w:tcBorders>
              <w:top w:val="single" w:sz="4" w:space="0" w:color="auto"/>
              <w:left w:val="single" w:sz="4" w:space="0" w:color="auto"/>
              <w:bottom w:val="single" w:sz="4" w:space="0" w:color="auto"/>
              <w:right w:val="single" w:sz="4" w:space="0" w:color="auto"/>
            </w:tcBorders>
          </w:tcPr>
          <w:p w14:paraId="66FCEF6A" w14:textId="77777777" w:rsidR="00CF0CB0" w:rsidRPr="009960E1" w:rsidRDefault="00CF0CB0" w:rsidP="0018267A">
            <w:pPr>
              <w:pStyle w:val="Tabletext"/>
              <w:rPr>
                <w:sz w:val="16"/>
                <w:szCs w:val="16"/>
                <w:lang w:val="es-ES_tradnl"/>
              </w:rPr>
            </w:pPr>
          </w:p>
        </w:tc>
      </w:tr>
      <w:tr w:rsidR="00CF0CB0" w:rsidRPr="00A7143D" w14:paraId="60692F07"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2825D9D3" w14:textId="77777777" w:rsidR="00CF0CB0" w:rsidRPr="009960E1" w:rsidRDefault="00CF0CB0" w:rsidP="0018267A">
            <w:pPr>
              <w:pStyle w:val="Tabletext"/>
              <w:rPr>
                <w:sz w:val="16"/>
                <w:szCs w:val="16"/>
                <w:lang w:val="es-ES_tradnl"/>
              </w:rPr>
            </w:pPr>
            <w:r w:rsidRPr="009960E1">
              <w:rPr>
                <w:sz w:val="16"/>
                <w:szCs w:val="16"/>
                <w:lang w:val="es-ES_tradnl"/>
              </w:rPr>
              <w:t>29</w:t>
            </w:r>
          </w:p>
        </w:tc>
        <w:tc>
          <w:tcPr>
            <w:tcW w:w="1645" w:type="dxa"/>
            <w:tcBorders>
              <w:top w:val="single" w:sz="4" w:space="0" w:color="auto"/>
              <w:left w:val="single" w:sz="4" w:space="0" w:color="auto"/>
              <w:bottom w:val="single" w:sz="4" w:space="0" w:color="auto"/>
              <w:right w:val="single" w:sz="4" w:space="0" w:color="auto"/>
            </w:tcBorders>
            <w:hideMark/>
          </w:tcPr>
          <w:p w14:paraId="4F2247A5" w14:textId="77777777" w:rsidR="00CF0CB0" w:rsidRPr="009960E1" w:rsidRDefault="00CF0CB0" w:rsidP="0018267A">
            <w:pPr>
              <w:pStyle w:val="Tabletext"/>
              <w:rPr>
                <w:sz w:val="16"/>
                <w:szCs w:val="16"/>
                <w:lang w:val="es-ES_tradnl"/>
              </w:rPr>
            </w:pPr>
            <w:r w:rsidRPr="009960E1">
              <w:rPr>
                <w:sz w:val="16"/>
                <w:szCs w:val="16"/>
                <w:lang w:val="es-ES_tradnl"/>
              </w:rPr>
              <w:t>El UIT-T corre el riesgo de perder su pertinencia, ya que se trata de un entorno competitivo.</w:t>
            </w:r>
          </w:p>
        </w:tc>
        <w:tc>
          <w:tcPr>
            <w:tcW w:w="294" w:type="dxa"/>
            <w:tcBorders>
              <w:top w:val="single" w:sz="4" w:space="0" w:color="auto"/>
              <w:left w:val="single" w:sz="4" w:space="0" w:color="auto"/>
              <w:bottom w:val="single" w:sz="4" w:space="0" w:color="auto"/>
              <w:right w:val="single" w:sz="4" w:space="0" w:color="auto"/>
            </w:tcBorders>
          </w:tcPr>
          <w:p w14:paraId="71237688"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8872754"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73FCBF51"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hideMark/>
          </w:tcPr>
          <w:p w14:paraId="424485BB" w14:textId="0B8DF9C8"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59CB21C9"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60DC0777"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74174C33"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3CD336EA" w14:textId="77777777" w:rsidR="00CF0CB0" w:rsidRPr="009960E1" w:rsidRDefault="00CF0CB0" w:rsidP="0018267A">
            <w:pPr>
              <w:pStyle w:val="Tabletext"/>
              <w:rPr>
                <w:sz w:val="16"/>
                <w:szCs w:val="16"/>
                <w:lang w:val="es-ES_tradnl"/>
              </w:rPr>
            </w:pPr>
            <w:r w:rsidRPr="009960E1">
              <w:rPr>
                <w:sz w:val="16"/>
                <w:szCs w:val="16"/>
                <w:lang w:val="es-ES_tradnl"/>
              </w:rPr>
              <w:t>Investigar qué es más atractivo en el código abierto o en foros específicos de otros organismos de normalización, incluido un desglose por temas (ciberseguridad, nube, etc.), por ejemplo, por qué los expertos van a un determinado foro y por qué a otros.</w:t>
            </w:r>
          </w:p>
        </w:tc>
        <w:tc>
          <w:tcPr>
            <w:tcW w:w="992" w:type="dxa"/>
            <w:tcBorders>
              <w:top w:val="single" w:sz="4" w:space="0" w:color="auto"/>
              <w:left w:val="single" w:sz="4" w:space="0" w:color="auto"/>
              <w:bottom w:val="single" w:sz="4" w:space="0" w:color="auto"/>
              <w:right w:val="single" w:sz="4" w:space="0" w:color="auto"/>
            </w:tcBorders>
            <w:hideMark/>
          </w:tcPr>
          <w:p w14:paraId="0DEE888D" w14:textId="77777777" w:rsidR="00CF0CB0" w:rsidRPr="009960E1" w:rsidRDefault="00CF0CB0" w:rsidP="0018267A">
            <w:pPr>
              <w:pStyle w:val="Tabletext"/>
              <w:rPr>
                <w:sz w:val="16"/>
                <w:szCs w:val="16"/>
                <w:lang w:val="es-ES_tradnl"/>
              </w:rPr>
            </w:pPr>
            <w:r w:rsidRPr="009960E1">
              <w:rPr>
                <w:sz w:val="16"/>
                <w:szCs w:val="16"/>
                <w:lang w:val="es-ES_tradnl"/>
              </w:rPr>
              <w:t>RG-IEM, RG-SOP</w:t>
            </w:r>
          </w:p>
        </w:tc>
        <w:tc>
          <w:tcPr>
            <w:tcW w:w="1183" w:type="dxa"/>
            <w:tcBorders>
              <w:top w:val="single" w:sz="4" w:space="0" w:color="auto"/>
              <w:left w:val="single" w:sz="4" w:space="0" w:color="auto"/>
              <w:bottom w:val="single" w:sz="4" w:space="0" w:color="auto"/>
              <w:right w:val="single" w:sz="4" w:space="0" w:color="auto"/>
            </w:tcBorders>
            <w:hideMark/>
          </w:tcPr>
          <w:p w14:paraId="12F93F06" w14:textId="77777777" w:rsidR="00CF0CB0" w:rsidRPr="009960E1" w:rsidRDefault="00CF0CB0" w:rsidP="0018267A">
            <w:pPr>
              <w:pStyle w:val="Tabletext"/>
              <w:rPr>
                <w:sz w:val="16"/>
                <w:szCs w:val="16"/>
                <w:lang w:val="es-ES_tradnl"/>
              </w:rPr>
            </w:pPr>
            <w:r w:rsidRPr="009960E1">
              <w:rPr>
                <w:sz w:val="16"/>
                <w:szCs w:val="16"/>
                <w:lang w:val="es-ES_tradnl"/>
              </w:rPr>
              <w:t>Nuevo AP o AP1.7</w:t>
            </w:r>
          </w:p>
        </w:tc>
        <w:tc>
          <w:tcPr>
            <w:tcW w:w="1363" w:type="dxa"/>
            <w:tcBorders>
              <w:top w:val="single" w:sz="4" w:space="0" w:color="auto"/>
              <w:left w:val="single" w:sz="4" w:space="0" w:color="auto"/>
              <w:bottom w:val="single" w:sz="4" w:space="0" w:color="auto"/>
              <w:right w:val="single" w:sz="4" w:space="0" w:color="auto"/>
            </w:tcBorders>
            <w:hideMark/>
          </w:tcPr>
          <w:p w14:paraId="7EF38CB0" w14:textId="74369E44" w:rsidR="00CF0CB0" w:rsidRPr="009960E1" w:rsidRDefault="00CF0CB0" w:rsidP="0018267A">
            <w:pPr>
              <w:pStyle w:val="Tabletext"/>
              <w:rPr>
                <w:sz w:val="16"/>
                <w:szCs w:val="16"/>
                <w:lang w:val="es-ES_tradnl"/>
              </w:rPr>
            </w:pPr>
            <w:r w:rsidRPr="009960E1">
              <w:rPr>
                <w:sz w:val="16"/>
                <w:szCs w:val="16"/>
                <w:lang w:val="es-ES_tradnl"/>
              </w:rPr>
              <w:t>Proponer un nuevo AP sobre comparación</w:t>
            </w:r>
            <w:r w:rsidR="00BA25D1">
              <w:rPr>
                <w:sz w:val="16"/>
                <w:szCs w:val="16"/>
                <w:lang w:val="es-ES_tradnl"/>
              </w:rPr>
              <w:br/>
            </w:r>
            <w:r w:rsidRPr="009960E1">
              <w:rPr>
                <w:sz w:val="16"/>
                <w:szCs w:val="16"/>
                <w:lang w:val="es-ES_tradnl"/>
              </w:rPr>
              <w:t>/aná</w:t>
            </w:r>
            <w:r w:rsidR="00BA25D1">
              <w:rPr>
                <w:sz w:val="16"/>
                <w:szCs w:val="16"/>
                <w:lang w:val="es-ES_tradnl"/>
              </w:rPr>
              <w:t>l</w:t>
            </w:r>
            <w:r w:rsidRPr="009960E1">
              <w:rPr>
                <w:sz w:val="16"/>
                <w:szCs w:val="16"/>
                <w:lang w:val="es-ES_tradnl"/>
              </w:rPr>
              <w:t xml:space="preserve">isis competitivo </w:t>
            </w:r>
            <w:r w:rsidR="00BA25D1">
              <w:rPr>
                <w:sz w:val="16"/>
                <w:szCs w:val="16"/>
                <w:lang w:val="es-ES_tradnl"/>
              </w:rPr>
              <w:t>o</w:t>
            </w:r>
            <w:r w:rsidRPr="009960E1">
              <w:rPr>
                <w:sz w:val="16"/>
                <w:szCs w:val="16"/>
                <w:lang w:val="es-ES_tradnl"/>
              </w:rPr>
              <w:t xml:space="preserve"> simplemente modificar AP1.7</w:t>
            </w:r>
          </w:p>
        </w:tc>
      </w:tr>
      <w:tr w:rsidR="00CF0CB0" w:rsidRPr="00A7143D" w14:paraId="0C339B73"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3E3DF962" w14:textId="77777777" w:rsidR="00CF0CB0" w:rsidRPr="009960E1" w:rsidRDefault="00CF0CB0" w:rsidP="007947C3">
            <w:pPr>
              <w:pStyle w:val="Tabletext"/>
              <w:keepNext/>
              <w:keepLines/>
              <w:rPr>
                <w:sz w:val="16"/>
                <w:szCs w:val="16"/>
                <w:lang w:val="es-ES_tradnl"/>
              </w:rPr>
            </w:pPr>
            <w:r w:rsidRPr="009960E1">
              <w:rPr>
                <w:sz w:val="16"/>
                <w:szCs w:val="16"/>
                <w:lang w:val="es-ES_tradnl"/>
              </w:rPr>
              <w:lastRenderedPageBreak/>
              <w:t>30</w:t>
            </w:r>
          </w:p>
        </w:tc>
        <w:tc>
          <w:tcPr>
            <w:tcW w:w="1645" w:type="dxa"/>
            <w:tcBorders>
              <w:top w:val="single" w:sz="4" w:space="0" w:color="auto"/>
              <w:left w:val="single" w:sz="4" w:space="0" w:color="auto"/>
              <w:bottom w:val="single" w:sz="4" w:space="0" w:color="auto"/>
              <w:right w:val="single" w:sz="4" w:space="0" w:color="auto"/>
            </w:tcBorders>
            <w:hideMark/>
          </w:tcPr>
          <w:p w14:paraId="6A94F645" w14:textId="77777777" w:rsidR="00CF0CB0" w:rsidRPr="009960E1" w:rsidRDefault="00CF0CB0" w:rsidP="007947C3">
            <w:pPr>
              <w:pStyle w:val="Tabletext"/>
              <w:keepNext/>
              <w:keepLines/>
              <w:rPr>
                <w:sz w:val="16"/>
                <w:szCs w:val="16"/>
                <w:lang w:val="es-ES_tradnl"/>
              </w:rPr>
            </w:pPr>
            <w:r w:rsidRPr="009960E1">
              <w:rPr>
                <w:sz w:val="16"/>
                <w:szCs w:val="16"/>
                <w:lang w:val="es-ES_tradnl"/>
              </w:rPr>
              <w:t>La necesidad de una evaluación estratégica externa sobre el panorama de la normalización y los modelos de negocio de los foros y las organizaciones de normalización.</w:t>
            </w:r>
          </w:p>
        </w:tc>
        <w:tc>
          <w:tcPr>
            <w:tcW w:w="294" w:type="dxa"/>
            <w:tcBorders>
              <w:top w:val="single" w:sz="4" w:space="0" w:color="auto"/>
              <w:left w:val="single" w:sz="4" w:space="0" w:color="auto"/>
              <w:bottom w:val="single" w:sz="4" w:space="0" w:color="auto"/>
              <w:right w:val="single" w:sz="4" w:space="0" w:color="auto"/>
            </w:tcBorders>
          </w:tcPr>
          <w:p w14:paraId="6FB8B4D1" w14:textId="77777777" w:rsidR="00CF0CB0" w:rsidRPr="009960E1" w:rsidRDefault="00CF0CB0" w:rsidP="007947C3">
            <w:pPr>
              <w:pStyle w:val="Tabletext"/>
              <w:keepNext/>
              <w:keepLines/>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hideMark/>
          </w:tcPr>
          <w:p w14:paraId="1BFDAA84" w14:textId="7CCEDFD6" w:rsidR="00CF0CB0" w:rsidRPr="009960E1" w:rsidRDefault="0018267A" w:rsidP="007947C3">
            <w:pPr>
              <w:pStyle w:val="Tabletext"/>
              <w:keepNext/>
              <w:keepLines/>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6D8355B4" w14:textId="77777777" w:rsidR="00CF0CB0" w:rsidRPr="009960E1" w:rsidRDefault="00CF0CB0" w:rsidP="007947C3">
            <w:pPr>
              <w:pStyle w:val="Tabletext"/>
              <w:keepNext/>
              <w:keepLines/>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tcPr>
          <w:p w14:paraId="627BCCBB" w14:textId="77777777" w:rsidR="00CF0CB0" w:rsidRPr="009960E1" w:rsidRDefault="00CF0CB0" w:rsidP="007947C3">
            <w:pPr>
              <w:pStyle w:val="Tabletext"/>
              <w:keepNext/>
              <w:keepLines/>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426A02F7" w14:textId="77777777" w:rsidR="00CF0CB0" w:rsidRPr="009960E1" w:rsidRDefault="00CF0CB0" w:rsidP="007947C3">
            <w:pPr>
              <w:pStyle w:val="Tabletext"/>
              <w:keepNext/>
              <w:keepLines/>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hideMark/>
          </w:tcPr>
          <w:p w14:paraId="7800A02F" w14:textId="41ED5EB4" w:rsidR="00CF0CB0" w:rsidRPr="009960E1" w:rsidRDefault="0018267A" w:rsidP="007947C3">
            <w:pPr>
              <w:pStyle w:val="Tabletext"/>
              <w:keepNext/>
              <w:keepLines/>
              <w:rPr>
                <w:sz w:val="16"/>
                <w:szCs w:val="16"/>
                <w:lang w:val="es-ES_tradnl"/>
              </w:rPr>
            </w:pPr>
            <w:r w:rsidRPr="009960E1">
              <w:rPr>
                <w:sz w:val="16"/>
                <w:szCs w:val="16"/>
                <w:lang w:val="es-ES_tradnl"/>
              </w:rPr>
              <w:t>x</w:t>
            </w:r>
          </w:p>
        </w:tc>
        <w:tc>
          <w:tcPr>
            <w:tcW w:w="332" w:type="dxa"/>
            <w:tcBorders>
              <w:top w:val="single" w:sz="4" w:space="0" w:color="auto"/>
              <w:left w:val="single" w:sz="4" w:space="0" w:color="auto"/>
              <w:bottom w:val="single" w:sz="4" w:space="0" w:color="auto"/>
              <w:right w:val="single" w:sz="4" w:space="0" w:color="auto"/>
            </w:tcBorders>
          </w:tcPr>
          <w:p w14:paraId="4B0E1ED7" w14:textId="77777777" w:rsidR="00CF0CB0" w:rsidRPr="009960E1" w:rsidRDefault="00CF0CB0" w:rsidP="007947C3">
            <w:pPr>
              <w:pStyle w:val="Tabletext"/>
              <w:keepNext/>
              <w:keepLines/>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hideMark/>
          </w:tcPr>
          <w:p w14:paraId="77C1EA01" w14:textId="77777777" w:rsidR="00CF0CB0" w:rsidRPr="009960E1" w:rsidRDefault="00CF0CB0" w:rsidP="007947C3">
            <w:pPr>
              <w:pStyle w:val="Tabletext"/>
              <w:keepNext/>
              <w:keepLines/>
              <w:rPr>
                <w:sz w:val="16"/>
                <w:szCs w:val="16"/>
                <w:lang w:val="es-ES_tradnl"/>
              </w:rPr>
            </w:pPr>
            <w:r w:rsidRPr="009960E1">
              <w:rPr>
                <w:sz w:val="16"/>
                <w:szCs w:val="16"/>
                <w:lang w:val="es-ES_tradnl"/>
              </w:rPr>
              <w:t>Además, evaluar el panorama de la normalización internacional y regional, las tendencias actuales y los modelos de negocio de los organismos de normalización, los foros y los lugares donde se está configurando la normalización, para complementar las enseñanzas extraídas en los talleres.</w:t>
            </w:r>
          </w:p>
          <w:p w14:paraId="653B28A3" w14:textId="77777777" w:rsidR="00CF0CB0" w:rsidRPr="009960E1" w:rsidRDefault="00CF0CB0" w:rsidP="007947C3">
            <w:pPr>
              <w:pStyle w:val="Tabletext"/>
              <w:keepNext/>
              <w:keepLines/>
              <w:rPr>
                <w:sz w:val="16"/>
                <w:szCs w:val="16"/>
                <w:lang w:val="es-ES_tradnl"/>
              </w:rPr>
            </w:pPr>
            <w:r w:rsidRPr="009960E1">
              <w:rPr>
                <w:sz w:val="16"/>
                <w:szCs w:val="16"/>
                <w:lang w:val="es-ES_tradnl"/>
              </w:rPr>
              <w:t>La evaluación estratégica consideraría más a fondo temas de las CE y nuevos temas emergentes.</w:t>
            </w:r>
          </w:p>
        </w:tc>
        <w:tc>
          <w:tcPr>
            <w:tcW w:w="992" w:type="dxa"/>
            <w:tcBorders>
              <w:top w:val="single" w:sz="4" w:space="0" w:color="auto"/>
              <w:left w:val="single" w:sz="4" w:space="0" w:color="auto"/>
              <w:bottom w:val="single" w:sz="4" w:space="0" w:color="auto"/>
              <w:right w:val="single" w:sz="4" w:space="0" w:color="auto"/>
            </w:tcBorders>
            <w:hideMark/>
          </w:tcPr>
          <w:p w14:paraId="2992F438" w14:textId="77777777" w:rsidR="00CF0CB0" w:rsidRPr="009960E1" w:rsidRDefault="00CF0CB0" w:rsidP="007947C3">
            <w:pPr>
              <w:pStyle w:val="Tabletext"/>
              <w:keepNext/>
              <w:keepLines/>
              <w:rPr>
                <w:sz w:val="16"/>
                <w:szCs w:val="16"/>
                <w:lang w:val="es-ES_tradnl"/>
              </w:rPr>
            </w:pPr>
            <w:r w:rsidRPr="009960E1">
              <w:rPr>
                <w:sz w:val="16"/>
                <w:szCs w:val="16"/>
                <w:lang w:val="es-ES_tradnl"/>
              </w:rPr>
              <w:t>RG-IEM, RG-SOP</w:t>
            </w:r>
          </w:p>
        </w:tc>
        <w:tc>
          <w:tcPr>
            <w:tcW w:w="1183" w:type="dxa"/>
            <w:tcBorders>
              <w:top w:val="single" w:sz="4" w:space="0" w:color="auto"/>
              <w:left w:val="single" w:sz="4" w:space="0" w:color="auto"/>
              <w:bottom w:val="single" w:sz="4" w:space="0" w:color="auto"/>
              <w:right w:val="single" w:sz="4" w:space="0" w:color="auto"/>
            </w:tcBorders>
          </w:tcPr>
          <w:p w14:paraId="05AFDD9E" w14:textId="77777777" w:rsidR="00CF0CB0" w:rsidRPr="009960E1" w:rsidRDefault="00CF0CB0" w:rsidP="007947C3">
            <w:pPr>
              <w:pStyle w:val="Tabletext"/>
              <w:keepNext/>
              <w:keepLines/>
              <w:rPr>
                <w:sz w:val="16"/>
                <w:szCs w:val="16"/>
                <w:lang w:val="es-ES_tradnl"/>
              </w:rPr>
            </w:pPr>
          </w:p>
        </w:tc>
        <w:tc>
          <w:tcPr>
            <w:tcW w:w="1363" w:type="dxa"/>
            <w:tcBorders>
              <w:top w:val="single" w:sz="4" w:space="0" w:color="auto"/>
              <w:left w:val="single" w:sz="4" w:space="0" w:color="auto"/>
              <w:bottom w:val="single" w:sz="4" w:space="0" w:color="auto"/>
              <w:right w:val="single" w:sz="4" w:space="0" w:color="auto"/>
            </w:tcBorders>
            <w:hideMark/>
          </w:tcPr>
          <w:p w14:paraId="46D59EA3" w14:textId="5E893DFF" w:rsidR="00CF0CB0" w:rsidRPr="009960E1" w:rsidRDefault="00CF0CB0" w:rsidP="007947C3">
            <w:pPr>
              <w:pStyle w:val="Tabletext"/>
              <w:keepNext/>
              <w:keepLines/>
              <w:rPr>
                <w:sz w:val="16"/>
                <w:szCs w:val="16"/>
                <w:lang w:val="es-ES_tradnl"/>
              </w:rPr>
            </w:pPr>
            <w:r w:rsidRPr="009960E1">
              <w:rPr>
                <w:sz w:val="16"/>
                <w:szCs w:val="16"/>
                <w:lang w:val="es-ES_tradnl"/>
              </w:rPr>
              <w:t>Acordar la adición de un nuevo AP sobre dicha evaluación. Esta evaluación debe realizarse periódicamente (por ejemplo, cada dos años o menos).</w:t>
            </w:r>
          </w:p>
        </w:tc>
      </w:tr>
      <w:tr w:rsidR="00CF0CB0" w:rsidRPr="009960E1" w14:paraId="1068E3E6" w14:textId="77777777" w:rsidTr="00D2751D">
        <w:tc>
          <w:tcPr>
            <w:tcW w:w="421" w:type="dxa"/>
            <w:tcBorders>
              <w:top w:val="single" w:sz="4" w:space="0" w:color="auto"/>
              <w:left w:val="single" w:sz="4" w:space="0" w:color="auto"/>
              <w:bottom w:val="single" w:sz="4" w:space="0" w:color="auto"/>
              <w:right w:val="single" w:sz="4" w:space="0" w:color="auto"/>
            </w:tcBorders>
            <w:hideMark/>
          </w:tcPr>
          <w:p w14:paraId="32DF4227" w14:textId="77777777" w:rsidR="00CF0CB0" w:rsidRPr="009960E1" w:rsidRDefault="00CF0CB0" w:rsidP="0018267A">
            <w:pPr>
              <w:pStyle w:val="Tabletext"/>
              <w:rPr>
                <w:sz w:val="16"/>
                <w:szCs w:val="16"/>
                <w:lang w:val="es-ES_tradnl"/>
              </w:rPr>
            </w:pPr>
            <w:r w:rsidRPr="009960E1">
              <w:rPr>
                <w:sz w:val="16"/>
                <w:szCs w:val="16"/>
                <w:lang w:val="es-ES_tradnl"/>
              </w:rPr>
              <w:t>31</w:t>
            </w:r>
          </w:p>
        </w:tc>
        <w:tc>
          <w:tcPr>
            <w:tcW w:w="1645" w:type="dxa"/>
            <w:tcBorders>
              <w:top w:val="single" w:sz="4" w:space="0" w:color="auto"/>
              <w:left w:val="single" w:sz="4" w:space="0" w:color="auto"/>
              <w:bottom w:val="single" w:sz="4" w:space="0" w:color="auto"/>
              <w:right w:val="single" w:sz="4" w:space="0" w:color="auto"/>
            </w:tcBorders>
            <w:hideMark/>
          </w:tcPr>
          <w:p w14:paraId="39F98E90" w14:textId="77777777" w:rsidR="00CF0CB0" w:rsidRPr="009960E1" w:rsidRDefault="00CF0CB0" w:rsidP="0018267A">
            <w:pPr>
              <w:pStyle w:val="Tabletext"/>
              <w:rPr>
                <w:sz w:val="16"/>
                <w:szCs w:val="16"/>
                <w:lang w:val="es-ES_tradnl"/>
              </w:rPr>
            </w:pPr>
            <w:r w:rsidRPr="009960E1">
              <w:rPr>
                <w:sz w:val="16"/>
                <w:szCs w:val="16"/>
                <w:lang w:val="es-ES_tradnl"/>
              </w:rPr>
              <w:t>Considerar además la posibilidad de introducir un plan de acción para la participación de la industria por Comisión de Estudio.</w:t>
            </w:r>
          </w:p>
        </w:tc>
        <w:tc>
          <w:tcPr>
            <w:tcW w:w="294" w:type="dxa"/>
            <w:tcBorders>
              <w:top w:val="single" w:sz="4" w:space="0" w:color="auto"/>
              <w:left w:val="single" w:sz="4" w:space="0" w:color="auto"/>
              <w:bottom w:val="single" w:sz="4" w:space="0" w:color="auto"/>
              <w:right w:val="single" w:sz="4" w:space="0" w:color="auto"/>
            </w:tcBorders>
          </w:tcPr>
          <w:p w14:paraId="35DEED39"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hideMark/>
          </w:tcPr>
          <w:p w14:paraId="443F856A" w14:textId="0498CA23" w:rsidR="00CF0CB0" w:rsidRPr="009960E1" w:rsidRDefault="0018267A" w:rsidP="0018267A">
            <w:pPr>
              <w:pStyle w:val="Tabletext"/>
              <w:rPr>
                <w:sz w:val="16"/>
                <w:szCs w:val="16"/>
                <w:lang w:val="es-ES_tradnl"/>
              </w:rPr>
            </w:pPr>
            <w:r w:rsidRPr="009960E1">
              <w:rPr>
                <w:sz w:val="16"/>
                <w:szCs w:val="16"/>
                <w:lang w:val="es-ES_tradnl"/>
              </w:rPr>
              <w:t>x</w:t>
            </w:r>
          </w:p>
        </w:tc>
        <w:tc>
          <w:tcPr>
            <w:tcW w:w="266" w:type="dxa"/>
            <w:tcBorders>
              <w:top w:val="single" w:sz="4" w:space="0" w:color="auto"/>
              <w:left w:val="single" w:sz="4" w:space="0" w:color="auto"/>
              <w:bottom w:val="single" w:sz="4" w:space="0" w:color="auto"/>
              <w:right w:val="single" w:sz="4" w:space="0" w:color="auto"/>
            </w:tcBorders>
          </w:tcPr>
          <w:p w14:paraId="53EE07F3" w14:textId="77777777" w:rsidR="00CF0CB0" w:rsidRPr="009960E1" w:rsidRDefault="00CF0CB0" w:rsidP="0018267A">
            <w:pPr>
              <w:pStyle w:val="Tabletext"/>
              <w:rPr>
                <w:sz w:val="16"/>
                <w:szCs w:val="16"/>
                <w:lang w:val="es-ES_tradnl"/>
              </w:rPr>
            </w:pPr>
          </w:p>
        </w:tc>
        <w:tc>
          <w:tcPr>
            <w:tcW w:w="289" w:type="dxa"/>
            <w:tcBorders>
              <w:top w:val="single" w:sz="4" w:space="0" w:color="auto"/>
              <w:left w:val="single" w:sz="4" w:space="0" w:color="auto"/>
              <w:bottom w:val="single" w:sz="4" w:space="0" w:color="auto"/>
              <w:right w:val="single" w:sz="4" w:space="0" w:color="auto"/>
            </w:tcBorders>
          </w:tcPr>
          <w:p w14:paraId="6DB3EA50" w14:textId="77777777" w:rsidR="00CF0CB0" w:rsidRPr="009960E1" w:rsidRDefault="00CF0CB0" w:rsidP="0018267A">
            <w:pPr>
              <w:pStyle w:val="Tabletext"/>
              <w:rPr>
                <w:sz w:val="16"/>
                <w:szCs w:val="16"/>
                <w:lang w:val="es-ES_tradnl"/>
              </w:rPr>
            </w:pPr>
          </w:p>
        </w:tc>
        <w:tc>
          <w:tcPr>
            <w:tcW w:w="266" w:type="dxa"/>
            <w:tcBorders>
              <w:top w:val="single" w:sz="4" w:space="0" w:color="auto"/>
              <w:left w:val="single" w:sz="4" w:space="0" w:color="auto"/>
              <w:bottom w:val="single" w:sz="4" w:space="0" w:color="auto"/>
              <w:right w:val="single" w:sz="4" w:space="0" w:color="auto"/>
            </w:tcBorders>
          </w:tcPr>
          <w:p w14:paraId="2A30F4A0" w14:textId="77777777" w:rsidR="00CF0CB0" w:rsidRPr="009960E1" w:rsidRDefault="00CF0CB0" w:rsidP="0018267A">
            <w:pPr>
              <w:pStyle w:val="Tabletext"/>
              <w:rPr>
                <w:sz w:val="16"/>
                <w:szCs w:val="16"/>
                <w:lang w:val="es-ES_tradnl"/>
              </w:rPr>
            </w:pPr>
          </w:p>
        </w:tc>
        <w:tc>
          <w:tcPr>
            <w:tcW w:w="283" w:type="dxa"/>
            <w:tcBorders>
              <w:top w:val="single" w:sz="4" w:space="0" w:color="auto"/>
              <w:left w:val="single" w:sz="4" w:space="0" w:color="auto"/>
              <w:bottom w:val="single" w:sz="4" w:space="0" w:color="auto"/>
              <w:right w:val="single" w:sz="4" w:space="0" w:color="auto"/>
            </w:tcBorders>
          </w:tcPr>
          <w:p w14:paraId="332577D1" w14:textId="77777777" w:rsidR="00CF0CB0" w:rsidRPr="009960E1" w:rsidRDefault="00CF0CB0" w:rsidP="0018267A">
            <w:pPr>
              <w:pStyle w:val="Tabletext"/>
              <w:rPr>
                <w:sz w:val="16"/>
                <w:szCs w:val="16"/>
                <w:lang w:val="es-ES_tradnl"/>
              </w:rPr>
            </w:pPr>
          </w:p>
        </w:tc>
        <w:tc>
          <w:tcPr>
            <w:tcW w:w="332" w:type="dxa"/>
            <w:tcBorders>
              <w:top w:val="single" w:sz="4" w:space="0" w:color="auto"/>
              <w:left w:val="single" w:sz="4" w:space="0" w:color="auto"/>
              <w:bottom w:val="single" w:sz="4" w:space="0" w:color="auto"/>
              <w:right w:val="single" w:sz="4" w:space="0" w:color="auto"/>
            </w:tcBorders>
          </w:tcPr>
          <w:p w14:paraId="3F7250A9" w14:textId="77777777" w:rsidR="00CF0CB0" w:rsidRPr="009960E1" w:rsidRDefault="00CF0CB0" w:rsidP="0018267A">
            <w:pPr>
              <w:pStyle w:val="Tabletext"/>
              <w:rPr>
                <w:sz w:val="16"/>
                <w:szCs w:val="16"/>
                <w:lang w:val="es-ES_tradnl"/>
              </w:rPr>
            </w:pPr>
          </w:p>
        </w:tc>
        <w:tc>
          <w:tcPr>
            <w:tcW w:w="2029" w:type="dxa"/>
            <w:tcBorders>
              <w:top w:val="single" w:sz="4" w:space="0" w:color="auto"/>
              <w:left w:val="single" w:sz="4" w:space="0" w:color="auto"/>
              <w:bottom w:val="single" w:sz="4" w:space="0" w:color="auto"/>
              <w:right w:val="single" w:sz="4" w:space="0" w:color="auto"/>
            </w:tcBorders>
          </w:tcPr>
          <w:p w14:paraId="1F8D4507" w14:textId="77777777" w:rsidR="00CF0CB0" w:rsidRPr="009960E1" w:rsidRDefault="00CF0CB0" w:rsidP="0018267A">
            <w:pPr>
              <w:pStyle w:val="Tabletext"/>
              <w:rPr>
                <w:sz w:val="16"/>
                <w:szCs w:val="16"/>
                <w:lang w:val="es-ES_tradnl"/>
              </w:rPr>
            </w:pPr>
            <w:r w:rsidRPr="009960E1">
              <w:rPr>
                <w:sz w:val="16"/>
                <w:szCs w:val="16"/>
                <w:lang w:val="es-ES_tradnl"/>
              </w:rPr>
              <w:t>El nivel de pertinencia de las Comisiones de Estudio varía y, por lo tanto, puede que no haya un enfoque único para todos.</w:t>
            </w:r>
          </w:p>
          <w:p w14:paraId="099DEB06" w14:textId="77777777" w:rsidR="00CF0CB0" w:rsidRPr="009960E1" w:rsidRDefault="00CF0CB0" w:rsidP="0018267A">
            <w:pPr>
              <w:pStyle w:val="Tabletext"/>
              <w:rPr>
                <w:sz w:val="16"/>
                <w:szCs w:val="16"/>
                <w:lang w:val="es-ES_tradnl"/>
              </w:rPr>
            </w:pPr>
            <w:r w:rsidRPr="009960E1">
              <w:rPr>
                <w:sz w:val="16"/>
                <w:szCs w:val="16"/>
                <w:lang w:val="es-ES_tradnl"/>
              </w:rPr>
              <w:t>Las medidas relativas a la participación de la industria en las Comisiones de Estudio menos atractivas podrían no ser las mismas que en el caso de las más atractivas.</w:t>
            </w:r>
          </w:p>
        </w:tc>
        <w:tc>
          <w:tcPr>
            <w:tcW w:w="992" w:type="dxa"/>
            <w:tcBorders>
              <w:top w:val="single" w:sz="4" w:space="0" w:color="auto"/>
              <w:left w:val="single" w:sz="4" w:space="0" w:color="auto"/>
              <w:bottom w:val="single" w:sz="4" w:space="0" w:color="auto"/>
              <w:right w:val="single" w:sz="4" w:space="0" w:color="auto"/>
            </w:tcBorders>
            <w:hideMark/>
          </w:tcPr>
          <w:p w14:paraId="0A4DF19E" w14:textId="77777777" w:rsidR="00CF0CB0" w:rsidRPr="009960E1" w:rsidRDefault="00CF0CB0" w:rsidP="0018267A">
            <w:pPr>
              <w:pStyle w:val="Tabletext"/>
              <w:rPr>
                <w:sz w:val="16"/>
                <w:szCs w:val="16"/>
                <w:lang w:val="es-ES_tradnl"/>
              </w:rPr>
            </w:pPr>
            <w:r w:rsidRPr="009960E1">
              <w:rPr>
                <w:sz w:val="16"/>
                <w:szCs w:val="16"/>
                <w:lang w:val="es-ES_tradnl"/>
              </w:rPr>
              <w:t>RG-IEM, RG-SOP</w:t>
            </w:r>
          </w:p>
        </w:tc>
        <w:tc>
          <w:tcPr>
            <w:tcW w:w="1183" w:type="dxa"/>
            <w:tcBorders>
              <w:top w:val="single" w:sz="4" w:space="0" w:color="auto"/>
              <w:left w:val="single" w:sz="4" w:space="0" w:color="auto"/>
              <w:bottom w:val="single" w:sz="4" w:space="0" w:color="auto"/>
              <w:right w:val="single" w:sz="4" w:space="0" w:color="auto"/>
            </w:tcBorders>
          </w:tcPr>
          <w:p w14:paraId="6B3AE2DB" w14:textId="77777777" w:rsidR="00CF0CB0" w:rsidRPr="009960E1" w:rsidRDefault="00CF0CB0" w:rsidP="0018267A">
            <w:pPr>
              <w:pStyle w:val="Tabletext"/>
              <w:rPr>
                <w:sz w:val="16"/>
                <w:szCs w:val="16"/>
                <w:lang w:val="es-ES_tradnl"/>
              </w:rPr>
            </w:pPr>
          </w:p>
        </w:tc>
        <w:tc>
          <w:tcPr>
            <w:tcW w:w="1363" w:type="dxa"/>
            <w:tcBorders>
              <w:top w:val="single" w:sz="4" w:space="0" w:color="auto"/>
              <w:left w:val="single" w:sz="4" w:space="0" w:color="auto"/>
              <w:bottom w:val="single" w:sz="4" w:space="0" w:color="auto"/>
              <w:right w:val="single" w:sz="4" w:space="0" w:color="auto"/>
            </w:tcBorders>
          </w:tcPr>
          <w:p w14:paraId="4D1DEF0F" w14:textId="77777777" w:rsidR="00CF0CB0" w:rsidRPr="009960E1" w:rsidRDefault="00CF0CB0" w:rsidP="0018267A">
            <w:pPr>
              <w:pStyle w:val="Tabletext"/>
              <w:rPr>
                <w:sz w:val="16"/>
                <w:szCs w:val="16"/>
                <w:lang w:val="es-ES_tradnl"/>
              </w:rPr>
            </w:pPr>
          </w:p>
        </w:tc>
      </w:tr>
    </w:tbl>
    <w:p w14:paraId="2D106139" w14:textId="77777777" w:rsidR="00CF0CB0" w:rsidRPr="009960E1" w:rsidRDefault="00CF0CB0" w:rsidP="00CF0CB0">
      <w:pPr>
        <w:rPr>
          <w:lang w:val="es-ES_tradnl"/>
        </w:rPr>
      </w:pPr>
      <w:bookmarkStart w:id="94" w:name="_Ref133563088"/>
      <w:r w:rsidRPr="009960E1">
        <w:rPr>
          <w:lang w:val="es-ES_tradnl"/>
        </w:rPr>
        <w:br w:type="page"/>
      </w:r>
    </w:p>
    <w:p w14:paraId="686E9255" w14:textId="77777777" w:rsidR="00CF0CB0" w:rsidRPr="009960E1" w:rsidRDefault="00CF0CB0" w:rsidP="00CF0CB0">
      <w:pPr>
        <w:pStyle w:val="AnnexNotitle"/>
        <w:rPr>
          <w:lang w:val="es-ES_tradnl"/>
        </w:rPr>
      </w:pPr>
      <w:bookmarkStart w:id="95" w:name="_Toc179189985"/>
      <w:r w:rsidRPr="009960E1">
        <w:rPr>
          <w:bCs/>
          <w:lang w:val="es-ES_tradnl"/>
        </w:rPr>
        <w:lastRenderedPageBreak/>
        <w:t>Anexo A</w:t>
      </w:r>
      <w:r w:rsidRPr="009960E1">
        <w:rPr>
          <w:bCs/>
          <w:lang w:val="es-ES_tradnl"/>
        </w:rPr>
        <w:br/>
      </w:r>
      <w:r w:rsidRPr="009960E1">
        <w:rPr>
          <w:b w:val="0"/>
          <w:bCs/>
          <w:lang w:val="es-ES_tradnl"/>
        </w:rPr>
        <w:t>(al Plan de Acción del UIT-T para una participación dinámica de la industria):</w:t>
      </w:r>
      <w:r w:rsidRPr="009960E1">
        <w:rPr>
          <w:bCs/>
          <w:lang w:val="es-ES_tradnl"/>
        </w:rPr>
        <w:t xml:space="preserve"> Identificación de los documentos que contribuyeron a este plan de acción</w:t>
      </w:r>
      <w:bookmarkEnd w:id="94"/>
      <w:bookmarkEnd w:id="95"/>
    </w:p>
    <w:p w14:paraId="74F0C3C8" w14:textId="77777777" w:rsidR="00CF0CB0" w:rsidRPr="009960E1" w:rsidRDefault="00CF0CB0" w:rsidP="007947C3">
      <w:pPr>
        <w:pStyle w:val="Normalaftertitle"/>
        <w:rPr>
          <w:lang w:val="es-ES_tradnl"/>
        </w:rPr>
      </w:pPr>
      <w:r w:rsidRPr="009960E1">
        <w:rPr>
          <w:lang w:val="es-ES_tradnl"/>
        </w:rPr>
        <w:t>En el cuadro siguiente se indican los documentos que sirvieron de base y contribuyeron a este plan de acción:</w:t>
      </w:r>
    </w:p>
    <w:p w14:paraId="676C2A52" w14:textId="2930B03A" w:rsidR="00CF0CB0" w:rsidRPr="009960E1" w:rsidRDefault="00CF0CB0" w:rsidP="00CF0CB0">
      <w:pPr>
        <w:pStyle w:val="TableNotitle"/>
        <w:rPr>
          <w:lang w:val="es-ES_tradnl"/>
        </w:rPr>
      </w:pPr>
      <w:r w:rsidRPr="009960E1">
        <w:rPr>
          <w:b w:val="0"/>
          <w:lang w:val="es-ES_tradnl"/>
        </w:rPr>
        <w:t>C</w:t>
      </w:r>
      <w:r w:rsidR="00783A5D">
        <w:rPr>
          <w:b w:val="0"/>
          <w:lang w:val="es-ES_tradnl"/>
        </w:rPr>
        <w:t>UADRO</w:t>
      </w:r>
      <w:r w:rsidRPr="009960E1">
        <w:rPr>
          <w:b w:val="0"/>
          <w:lang w:val="es-ES_tradnl"/>
        </w:rPr>
        <w:t xml:space="preserve"> 3.A.1</w:t>
      </w:r>
      <w:r w:rsidR="007947C3" w:rsidRPr="00783A5D">
        <w:rPr>
          <w:b w:val="0"/>
          <w:lang w:val="es-ES_tradnl"/>
        </w:rPr>
        <w:br/>
      </w:r>
      <w:r w:rsidRPr="009960E1">
        <w:rPr>
          <w:bCs/>
          <w:lang w:val="es-ES_tradnl"/>
        </w:rPr>
        <w:t>Identificación de los documentos que contribuyeron a este plan de acción</w:t>
      </w:r>
    </w:p>
    <w:tbl>
      <w:tblPr>
        <w:tblStyle w:val="TableGrid"/>
        <w:tblW w:w="9908"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5244"/>
        <w:gridCol w:w="1418"/>
        <w:gridCol w:w="1701"/>
      </w:tblGrid>
      <w:tr w:rsidR="00CF0CB0" w:rsidRPr="009960E1" w14:paraId="50BACA53" w14:textId="77777777" w:rsidTr="00F46A30">
        <w:trPr>
          <w:tblHeader/>
          <w:jc w:val="center"/>
        </w:trPr>
        <w:tc>
          <w:tcPr>
            <w:tcW w:w="1545" w:type="dxa"/>
            <w:tcBorders>
              <w:top w:val="single" w:sz="12" w:space="0" w:color="auto"/>
              <w:bottom w:val="single" w:sz="12" w:space="0" w:color="auto"/>
            </w:tcBorders>
            <w:shd w:val="clear" w:color="auto" w:fill="auto"/>
            <w:tcMar>
              <w:left w:w="57" w:type="dxa"/>
              <w:right w:w="57" w:type="dxa"/>
            </w:tcMar>
          </w:tcPr>
          <w:p w14:paraId="3BA07DD5" w14:textId="77777777" w:rsidR="00CF0CB0" w:rsidRPr="009960E1" w:rsidRDefault="00CF0CB0" w:rsidP="00F27F0E">
            <w:pPr>
              <w:pStyle w:val="Tablehead"/>
              <w:rPr>
                <w:lang w:val="es-ES_tradnl"/>
              </w:rPr>
            </w:pPr>
            <w:r w:rsidRPr="009960E1">
              <w:rPr>
                <w:bCs/>
                <w:lang w:val="es-ES_tradnl"/>
              </w:rPr>
              <w:t>Identificador</w:t>
            </w:r>
          </w:p>
        </w:tc>
        <w:tc>
          <w:tcPr>
            <w:tcW w:w="5244" w:type="dxa"/>
            <w:tcBorders>
              <w:top w:val="single" w:sz="12" w:space="0" w:color="auto"/>
              <w:bottom w:val="single" w:sz="12" w:space="0" w:color="auto"/>
            </w:tcBorders>
            <w:shd w:val="clear" w:color="auto" w:fill="auto"/>
            <w:tcMar>
              <w:left w:w="57" w:type="dxa"/>
              <w:right w:w="57" w:type="dxa"/>
            </w:tcMar>
          </w:tcPr>
          <w:p w14:paraId="17081964" w14:textId="77777777" w:rsidR="00CF0CB0" w:rsidRPr="009960E1" w:rsidRDefault="00CF0CB0" w:rsidP="00F27F0E">
            <w:pPr>
              <w:pStyle w:val="Tablehead"/>
              <w:rPr>
                <w:lang w:val="es-ES_tradnl"/>
              </w:rPr>
            </w:pPr>
            <w:r w:rsidRPr="009960E1">
              <w:rPr>
                <w:bCs/>
                <w:lang w:val="es-ES_tradnl"/>
              </w:rPr>
              <w:t>Título</w:t>
            </w:r>
          </w:p>
        </w:tc>
        <w:tc>
          <w:tcPr>
            <w:tcW w:w="1418" w:type="dxa"/>
            <w:tcBorders>
              <w:top w:val="single" w:sz="12" w:space="0" w:color="auto"/>
              <w:bottom w:val="single" w:sz="12" w:space="0" w:color="auto"/>
            </w:tcBorders>
            <w:shd w:val="clear" w:color="auto" w:fill="auto"/>
            <w:tcMar>
              <w:left w:w="57" w:type="dxa"/>
              <w:right w:w="57" w:type="dxa"/>
            </w:tcMar>
          </w:tcPr>
          <w:p w14:paraId="2CC2CFF8" w14:textId="77777777" w:rsidR="00CF0CB0" w:rsidRPr="009960E1" w:rsidRDefault="00CF0CB0" w:rsidP="00F27F0E">
            <w:pPr>
              <w:pStyle w:val="Tablehead"/>
              <w:rPr>
                <w:lang w:val="es-ES_tradnl"/>
              </w:rPr>
            </w:pPr>
            <w:r w:rsidRPr="009960E1">
              <w:rPr>
                <w:bCs/>
                <w:lang w:val="es-ES_tradnl"/>
              </w:rPr>
              <w:t>Reunión</w:t>
            </w:r>
          </w:p>
        </w:tc>
        <w:tc>
          <w:tcPr>
            <w:tcW w:w="1701" w:type="dxa"/>
            <w:tcBorders>
              <w:top w:val="single" w:sz="12" w:space="0" w:color="auto"/>
              <w:bottom w:val="single" w:sz="12" w:space="0" w:color="auto"/>
            </w:tcBorders>
            <w:shd w:val="clear" w:color="auto" w:fill="auto"/>
            <w:tcMar>
              <w:left w:w="57" w:type="dxa"/>
              <w:right w:w="57" w:type="dxa"/>
            </w:tcMar>
          </w:tcPr>
          <w:p w14:paraId="48B1313D" w14:textId="3E4D438C" w:rsidR="00CF0CB0" w:rsidRPr="009960E1" w:rsidRDefault="00CF0CB0" w:rsidP="00F27F0E">
            <w:pPr>
              <w:pStyle w:val="Tablehead"/>
              <w:rPr>
                <w:lang w:val="es-ES_tradnl"/>
              </w:rPr>
            </w:pPr>
            <w:r w:rsidRPr="009960E1">
              <w:rPr>
                <w:bCs/>
                <w:lang w:val="es-ES_tradnl"/>
              </w:rPr>
              <w:t>Fecha de la</w:t>
            </w:r>
            <w:r w:rsidR="00494816" w:rsidRPr="009960E1">
              <w:rPr>
                <w:bCs/>
                <w:lang w:val="es-ES_tradnl"/>
              </w:rPr>
              <w:t> </w:t>
            </w:r>
            <w:r w:rsidRPr="009960E1">
              <w:rPr>
                <w:bCs/>
                <w:lang w:val="es-ES_tradnl"/>
              </w:rPr>
              <w:t>reunión</w:t>
            </w:r>
          </w:p>
        </w:tc>
      </w:tr>
      <w:tr w:rsidR="00CF0CB0" w:rsidRPr="009960E1" w14:paraId="35C589D9" w14:textId="77777777" w:rsidTr="00F46A30">
        <w:trPr>
          <w:jc w:val="center"/>
        </w:trPr>
        <w:tc>
          <w:tcPr>
            <w:tcW w:w="1545" w:type="dxa"/>
            <w:tcBorders>
              <w:top w:val="single" w:sz="12" w:space="0" w:color="auto"/>
            </w:tcBorders>
            <w:shd w:val="clear" w:color="auto" w:fill="auto"/>
            <w:tcMar>
              <w:left w:w="57" w:type="dxa"/>
              <w:right w:w="57" w:type="dxa"/>
            </w:tcMar>
          </w:tcPr>
          <w:p w14:paraId="28F0B1D6" w14:textId="6477EF9F" w:rsidR="00CF0CB0" w:rsidRPr="009960E1" w:rsidRDefault="00000000" w:rsidP="00F27F0E">
            <w:pPr>
              <w:pStyle w:val="Tabletext"/>
              <w:rPr>
                <w:rStyle w:val="Hyperlink"/>
                <w:lang w:val="es-ES_tradnl"/>
              </w:rPr>
            </w:pPr>
            <w:hyperlink r:id="rId143" w:history="1">
              <w:r w:rsidR="00CF0CB0" w:rsidRPr="009960E1">
                <w:rPr>
                  <w:rStyle w:val="Hyperlink"/>
                  <w:lang w:val="es-ES_tradnl"/>
                </w:rPr>
                <w:t>TD4R1</w:t>
              </w:r>
            </w:hyperlink>
          </w:p>
        </w:tc>
        <w:tc>
          <w:tcPr>
            <w:tcW w:w="5244" w:type="dxa"/>
            <w:tcBorders>
              <w:top w:val="single" w:sz="12" w:space="0" w:color="auto"/>
            </w:tcBorders>
            <w:shd w:val="clear" w:color="auto" w:fill="auto"/>
            <w:tcMar>
              <w:left w:w="57" w:type="dxa"/>
              <w:right w:w="57" w:type="dxa"/>
            </w:tcMar>
          </w:tcPr>
          <w:p w14:paraId="34E336DC" w14:textId="77777777" w:rsidR="00CF0CB0" w:rsidRPr="009960E1" w:rsidRDefault="00CF0CB0" w:rsidP="00F27F0E">
            <w:pPr>
              <w:pStyle w:val="Tabletext"/>
              <w:rPr>
                <w:lang w:val="es-ES_tradnl"/>
              </w:rPr>
            </w:pPr>
            <w:r w:rsidRPr="009960E1">
              <w:rPr>
                <w:lang w:val="es-ES_tradnl"/>
              </w:rPr>
              <w:t>Informe de la primera reunión del GANT (Ginebra, 12-16 de diciembre de 2022)</w:t>
            </w:r>
          </w:p>
        </w:tc>
        <w:tc>
          <w:tcPr>
            <w:tcW w:w="1418" w:type="dxa"/>
            <w:tcBorders>
              <w:top w:val="single" w:sz="12" w:space="0" w:color="auto"/>
            </w:tcBorders>
            <w:shd w:val="clear" w:color="auto" w:fill="auto"/>
            <w:tcMar>
              <w:left w:w="57" w:type="dxa"/>
              <w:right w:w="57" w:type="dxa"/>
            </w:tcMar>
          </w:tcPr>
          <w:p w14:paraId="0BBC60C7" w14:textId="77777777" w:rsidR="00CF0CB0" w:rsidRPr="009960E1" w:rsidRDefault="00CF0CB0" w:rsidP="00F27F0E">
            <w:pPr>
              <w:pStyle w:val="Tabletext"/>
              <w:rPr>
                <w:lang w:val="es-ES_tradnl"/>
              </w:rPr>
            </w:pPr>
            <w:r w:rsidRPr="009960E1">
              <w:rPr>
                <w:lang w:val="es-ES_tradnl"/>
              </w:rPr>
              <w:t>GANT</w:t>
            </w:r>
          </w:p>
        </w:tc>
        <w:tc>
          <w:tcPr>
            <w:tcW w:w="1701" w:type="dxa"/>
            <w:tcBorders>
              <w:top w:val="single" w:sz="12" w:space="0" w:color="auto"/>
            </w:tcBorders>
            <w:shd w:val="clear" w:color="auto" w:fill="auto"/>
            <w:tcMar>
              <w:left w:w="57" w:type="dxa"/>
              <w:right w:w="57" w:type="dxa"/>
            </w:tcMar>
          </w:tcPr>
          <w:p w14:paraId="54D97760" w14:textId="6C8C1FE3" w:rsidR="00CF0CB0" w:rsidRPr="009960E1" w:rsidRDefault="00CF0CB0" w:rsidP="00F27F0E">
            <w:pPr>
              <w:pStyle w:val="Tabletext"/>
              <w:rPr>
                <w:lang w:val="es-ES_tradnl"/>
              </w:rPr>
            </w:pPr>
            <w:r w:rsidRPr="009960E1">
              <w:rPr>
                <w:lang w:val="es-ES_tradnl"/>
              </w:rPr>
              <w:t>12</w:t>
            </w:r>
            <w:r w:rsidR="00F46A30" w:rsidRPr="009960E1">
              <w:rPr>
                <w:lang w:val="es-ES_tradnl"/>
              </w:rPr>
              <w:t xml:space="preserve"> al </w:t>
            </w:r>
            <w:r w:rsidRPr="009960E1">
              <w:rPr>
                <w:lang w:val="es-ES_tradnl"/>
              </w:rPr>
              <w:t>16</w:t>
            </w:r>
            <w:r w:rsidR="00D216E9">
              <w:rPr>
                <w:lang w:val="es-ES_tradnl"/>
              </w:rPr>
              <w:t>/</w:t>
            </w:r>
            <w:r w:rsidRPr="009960E1">
              <w:rPr>
                <w:lang w:val="es-ES_tradnl"/>
              </w:rPr>
              <w:t>12</w:t>
            </w:r>
            <w:r w:rsidR="00D216E9">
              <w:rPr>
                <w:lang w:val="es-ES_tradnl"/>
              </w:rPr>
              <w:t>/</w:t>
            </w:r>
            <w:r w:rsidRPr="009960E1">
              <w:rPr>
                <w:lang w:val="es-ES_tradnl"/>
              </w:rPr>
              <w:t>2022</w:t>
            </w:r>
          </w:p>
        </w:tc>
      </w:tr>
      <w:tr w:rsidR="00CF0CB0" w:rsidRPr="009960E1" w14:paraId="5D6CB68B" w14:textId="77777777" w:rsidTr="00F46A30">
        <w:trPr>
          <w:jc w:val="center"/>
        </w:trPr>
        <w:tc>
          <w:tcPr>
            <w:tcW w:w="1545" w:type="dxa"/>
            <w:shd w:val="clear" w:color="auto" w:fill="auto"/>
            <w:tcMar>
              <w:left w:w="57" w:type="dxa"/>
              <w:right w:w="57" w:type="dxa"/>
            </w:tcMar>
          </w:tcPr>
          <w:p w14:paraId="764619DA" w14:textId="22AC5CAA" w:rsidR="00CF0CB0" w:rsidRPr="009960E1" w:rsidRDefault="00000000" w:rsidP="00F27F0E">
            <w:pPr>
              <w:pStyle w:val="Tabletext"/>
              <w:rPr>
                <w:rStyle w:val="Hyperlink"/>
                <w:lang w:val="es-ES_tradnl"/>
              </w:rPr>
            </w:pPr>
            <w:hyperlink r:id="rId144" w:history="1">
              <w:r w:rsidR="00CF0CB0" w:rsidRPr="009960E1">
                <w:rPr>
                  <w:rStyle w:val="Hyperlink"/>
                  <w:lang w:val="es-ES_tradnl"/>
                </w:rPr>
                <w:t>TD153R2</w:t>
              </w:r>
            </w:hyperlink>
          </w:p>
        </w:tc>
        <w:tc>
          <w:tcPr>
            <w:tcW w:w="5244" w:type="dxa"/>
            <w:shd w:val="clear" w:color="auto" w:fill="auto"/>
            <w:tcMar>
              <w:left w:w="57" w:type="dxa"/>
              <w:right w:w="57" w:type="dxa"/>
            </w:tcMar>
          </w:tcPr>
          <w:p w14:paraId="7A5AC018" w14:textId="77777777" w:rsidR="00CF0CB0" w:rsidRPr="009960E1" w:rsidRDefault="00CF0CB0" w:rsidP="00F27F0E">
            <w:pPr>
              <w:pStyle w:val="Tabletext"/>
              <w:rPr>
                <w:lang w:val="es-ES_tradnl"/>
              </w:rPr>
            </w:pPr>
            <w:r w:rsidRPr="009960E1">
              <w:rPr>
                <w:lang w:val="es-ES_tradnl"/>
              </w:rPr>
              <w:t>Proyecto de material para la elaboración de un plan de acción para la participación de la industria</w:t>
            </w:r>
          </w:p>
        </w:tc>
        <w:tc>
          <w:tcPr>
            <w:tcW w:w="1418" w:type="dxa"/>
            <w:shd w:val="clear" w:color="auto" w:fill="auto"/>
            <w:tcMar>
              <w:left w:w="57" w:type="dxa"/>
              <w:right w:w="57" w:type="dxa"/>
            </w:tcMar>
          </w:tcPr>
          <w:p w14:paraId="06885B53" w14:textId="77777777" w:rsidR="00CF0CB0" w:rsidRPr="009960E1" w:rsidRDefault="00CF0CB0" w:rsidP="00F27F0E">
            <w:pPr>
              <w:pStyle w:val="Tabletext"/>
              <w:rPr>
                <w:lang w:val="es-ES_tradnl"/>
              </w:rPr>
            </w:pPr>
            <w:r w:rsidRPr="009960E1">
              <w:rPr>
                <w:lang w:val="es-ES_tradnl"/>
              </w:rPr>
              <w:t>GANT</w:t>
            </w:r>
          </w:p>
        </w:tc>
        <w:tc>
          <w:tcPr>
            <w:tcW w:w="1701" w:type="dxa"/>
            <w:shd w:val="clear" w:color="auto" w:fill="auto"/>
            <w:tcMar>
              <w:left w:w="57" w:type="dxa"/>
              <w:right w:w="57" w:type="dxa"/>
            </w:tcMar>
          </w:tcPr>
          <w:p w14:paraId="38242358" w14:textId="38127638" w:rsidR="00CF0CB0" w:rsidRPr="009960E1" w:rsidRDefault="00CF0CB0" w:rsidP="00F27F0E">
            <w:pPr>
              <w:pStyle w:val="Tabletext"/>
              <w:rPr>
                <w:lang w:val="es-ES_tradnl"/>
              </w:rPr>
            </w:pPr>
            <w:r w:rsidRPr="009960E1">
              <w:rPr>
                <w:lang w:val="es-ES_tradnl"/>
              </w:rPr>
              <w:t>12</w:t>
            </w:r>
            <w:r w:rsidR="00F46A30" w:rsidRPr="009960E1">
              <w:rPr>
                <w:lang w:val="es-ES_tradnl"/>
              </w:rPr>
              <w:t xml:space="preserve"> al </w:t>
            </w:r>
            <w:r w:rsidRPr="009960E1">
              <w:rPr>
                <w:lang w:val="es-ES_tradnl"/>
              </w:rPr>
              <w:t>16</w:t>
            </w:r>
            <w:r w:rsidR="00D216E9">
              <w:rPr>
                <w:lang w:val="es-ES_tradnl"/>
              </w:rPr>
              <w:t>/</w:t>
            </w:r>
            <w:r w:rsidRPr="009960E1">
              <w:rPr>
                <w:lang w:val="es-ES_tradnl"/>
              </w:rPr>
              <w:t>12</w:t>
            </w:r>
            <w:r w:rsidR="00D216E9">
              <w:rPr>
                <w:lang w:val="es-ES_tradnl"/>
              </w:rPr>
              <w:t>/</w:t>
            </w:r>
            <w:r w:rsidRPr="009960E1">
              <w:rPr>
                <w:lang w:val="es-ES_tradnl"/>
              </w:rPr>
              <w:t>2022</w:t>
            </w:r>
          </w:p>
        </w:tc>
      </w:tr>
      <w:tr w:rsidR="00CF0CB0" w:rsidRPr="009960E1" w14:paraId="159AAA9D" w14:textId="77777777" w:rsidTr="00F46A30">
        <w:trPr>
          <w:jc w:val="center"/>
        </w:trPr>
        <w:tc>
          <w:tcPr>
            <w:tcW w:w="1545" w:type="dxa"/>
            <w:shd w:val="clear" w:color="auto" w:fill="auto"/>
            <w:tcMar>
              <w:left w:w="57" w:type="dxa"/>
              <w:right w:w="57" w:type="dxa"/>
            </w:tcMar>
          </w:tcPr>
          <w:p w14:paraId="2EA3C897" w14:textId="77777777" w:rsidR="00CF0CB0" w:rsidRPr="009960E1" w:rsidRDefault="00000000" w:rsidP="00F27F0E">
            <w:pPr>
              <w:pStyle w:val="Tabletext"/>
              <w:rPr>
                <w:rStyle w:val="Hyperlink"/>
                <w:lang w:val="es-ES_tradnl"/>
              </w:rPr>
            </w:pPr>
            <w:hyperlink r:id="rId145" w:history="1">
              <w:r w:rsidR="00CF0CB0" w:rsidRPr="009960E1">
                <w:rPr>
                  <w:rStyle w:val="Hyperlink"/>
                  <w:lang w:val="es-ES_tradnl"/>
                </w:rPr>
                <w:t>DOC1</w:t>
              </w:r>
            </w:hyperlink>
          </w:p>
        </w:tc>
        <w:tc>
          <w:tcPr>
            <w:tcW w:w="5244" w:type="dxa"/>
            <w:shd w:val="clear" w:color="auto" w:fill="auto"/>
            <w:tcMar>
              <w:left w:w="57" w:type="dxa"/>
              <w:right w:w="57" w:type="dxa"/>
            </w:tcMar>
          </w:tcPr>
          <w:p w14:paraId="5C531761" w14:textId="77777777" w:rsidR="00CF0CB0" w:rsidRPr="009960E1" w:rsidRDefault="00CF0CB0" w:rsidP="00F27F0E">
            <w:pPr>
              <w:pStyle w:val="Tabletext"/>
              <w:rPr>
                <w:lang w:val="es-ES_tradnl"/>
              </w:rPr>
            </w:pPr>
            <w:r w:rsidRPr="009960E1">
              <w:rPr>
                <w:lang w:val="es-ES_tradnl"/>
              </w:rPr>
              <w:t>Plan de acción para la participación de la industria: marco e hipótesis básicas</w:t>
            </w:r>
          </w:p>
        </w:tc>
        <w:tc>
          <w:tcPr>
            <w:tcW w:w="1418" w:type="dxa"/>
            <w:shd w:val="clear" w:color="auto" w:fill="auto"/>
            <w:tcMar>
              <w:left w:w="57" w:type="dxa"/>
              <w:right w:w="57" w:type="dxa"/>
            </w:tcMar>
          </w:tcPr>
          <w:p w14:paraId="7AB4CBDC" w14:textId="2B78BAC7"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1</w:t>
            </w:r>
          </w:p>
        </w:tc>
        <w:tc>
          <w:tcPr>
            <w:tcW w:w="1701" w:type="dxa"/>
            <w:shd w:val="clear" w:color="auto" w:fill="auto"/>
            <w:tcMar>
              <w:left w:w="57" w:type="dxa"/>
              <w:right w:w="57" w:type="dxa"/>
            </w:tcMar>
          </w:tcPr>
          <w:p w14:paraId="04FDBF25" w14:textId="31E95597" w:rsidR="00CF0CB0" w:rsidRPr="009960E1" w:rsidRDefault="00CF0CB0" w:rsidP="00F27F0E">
            <w:pPr>
              <w:pStyle w:val="Tabletext"/>
              <w:rPr>
                <w:lang w:val="es-ES_tradnl"/>
              </w:rPr>
            </w:pPr>
            <w:r w:rsidRPr="009960E1">
              <w:rPr>
                <w:lang w:val="es-ES_tradnl"/>
              </w:rPr>
              <w:t>31</w:t>
            </w:r>
            <w:r w:rsidR="00D216E9">
              <w:rPr>
                <w:lang w:val="es-ES_tradnl"/>
              </w:rPr>
              <w:t>/</w:t>
            </w:r>
            <w:r w:rsidRPr="009960E1">
              <w:rPr>
                <w:lang w:val="es-ES_tradnl"/>
              </w:rPr>
              <w:t>01</w:t>
            </w:r>
            <w:r w:rsidR="00D216E9">
              <w:rPr>
                <w:lang w:val="es-ES_tradnl"/>
              </w:rPr>
              <w:t>/</w:t>
            </w:r>
            <w:r w:rsidRPr="009960E1">
              <w:rPr>
                <w:lang w:val="es-ES_tradnl"/>
              </w:rPr>
              <w:t>2023</w:t>
            </w:r>
          </w:p>
        </w:tc>
      </w:tr>
      <w:tr w:rsidR="00CF0CB0" w:rsidRPr="009960E1" w14:paraId="737CC0B5" w14:textId="77777777" w:rsidTr="00F46A30">
        <w:trPr>
          <w:jc w:val="center"/>
        </w:trPr>
        <w:tc>
          <w:tcPr>
            <w:tcW w:w="1545" w:type="dxa"/>
            <w:shd w:val="clear" w:color="auto" w:fill="auto"/>
            <w:tcMar>
              <w:left w:w="57" w:type="dxa"/>
              <w:right w:w="57" w:type="dxa"/>
            </w:tcMar>
          </w:tcPr>
          <w:p w14:paraId="698FF70A" w14:textId="77777777" w:rsidR="00CF0CB0" w:rsidRPr="009960E1" w:rsidRDefault="00000000" w:rsidP="00F27F0E">
            <w:pPr>
              <w:pStyle w:val="Tabletext"/>
              <w:rPr>
                <w:rStyle w:val="Hyperlink"/>
                <w:lang w:val="es-ES_tradnl"/>
              </w:rPr>
            </w:pPr>
            <w:hyperlink r:id="rId146" w:history="1">
              <w:r w:rsidR="00CF0CB0" w:rsidRPr="009960E1">
                <w:rPr>
                  <w:rStyle w:val="Hyperlink"/>
                  <w:lang w:val="es-ES_tradnl"/>
                </w:rPr>
                <w:t>DOC2</w:t>
              </w:r>
            </w:hyperlink>
          </w:p>
        </w:tc>
        <w:tc>
          <w:tcPr>
            <w:tcW w:w="5244" w:type="dxa"/>
            <w:shd w:val="clear" w:color="auto" w:fill="auto"/>
            <w:tcMar>
              <w:left w:w="57" w:type="dxa"/>
              <w:right w:w="57" w:type="dxa"/>
            </w:tcMar>
          </w:tcPr>
          <w:p w14:paraId="530528B4" w14:textId="77777777" w:rsidR="00CF0CB0" w:rsidRPr="009960E1" w:rsidRDefault="00CF0CB0" w:rsidP="00F27F0E">
            <w:pPr>
              <w:pStyle w:val="Tabletext"/>
              <w:rPr>
                <w:lang w:val="es-ES_tradnl"/>
              </w:rPr>
            </w:pPr>
            <w:r w:rsidRPr="009960E1">
              <w:rPr>
                <w:lang w:val="es-ES_tradnl"/>
              </w:rPr>
              <w:t>Proyecto de esqueleto del producto del RG-IEM</w:t>
            </w:r>
          </w:p>
        </w:tc>
        <w:tc>
          <w:tcPr>
            <w:tcW w:w="1418" w:type="dxa"/>
            <w:shd w:val="clear" w:color="auto" w:fill="auto"/>
            <w:tcMar>
              <w:left w:w="57" w:type="dxa"/>
              <w:right w:w="57" w:type="dxa"/>
            </w:tcMar>
          </w:tcPr>
          <w:p w14:paraId="07F754B7" w14:textId="5A588B95"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1</w:t>
            </w:r>
          </w:p>
        </w:tc>
        <w:tc>
          <w:tcPr>
            <w:tcW w:w="1701" w:type="dxa"/>
            <w:shd w:val="clear" w:color="auto" w:fill="auto"/>
            <w:tcMar>
              <w:left w:w="57" w:type="dxa"/>
              <w:right w:w="57" w:type="dxa"/>
            </w:tcMar>
          </w:tcPr>
          <w:p w14:paraId="3679A35C" w14:textId="7112E156" w:rsidR="00CF0CB0" w:rsidRPr="009960E1" w:rsidRDefault="00CF0CB0" w:rsidP="00F27F0E">
            <w:pPr>
              <w:pStyle w:val="Tabletext"/>
              <w:rPr>
                <w:lang w:val="es-ES_tradnl"/>
              </w:rPr>
            </w:pPr>
            <w:r w:rsidRPr="009960E1">
              <w:rPr>
                <w:lang w:val="es-ES_tradnl"/>
              </w:rPr>
              <w:t>31</w:t>
            </w:r>
            <w:r w:rsidR="00D216E9">
              <w:rPr>
                <w:lang w:val="es-ES_tradnl"/>
              </w:rPr>
              <w:t>/</w:t>
            </w:r>
            <w:r w:rsidRPr="009960E1">
              <w:rPr>
                <w:lang w:val="es-ES_tradnl"/>
              </w:rPr>
              <w:t>01</w:t>
            </w:r>
            <w:r w:rsidR="00D216E9">
              <w:rPr>
                <w:lang w:val="es-ES_tradnl"/>
              </w:rPr>
              <w:t>/</w:t>
            </w:r>
            <w:r w:rsidRPr="009960E1">
              <w:rPr>
                <w:lang w:val="es-ES_tradnl"/>
              </w:rPr>
              <w:t>2023</w:t>
            </w:r>
          </w:p>
        </w:tc>
      </w:tr>
      <w:tr w:rsidR="00CF0CB0" w:rsidRPr="009960E1" w14:paraId="67DA6A23" w14:textId="77777777" w:rsidTr="00F46A30">
        <w:trPr>
          <w:jc w:val="center"/>
        </w:trPr>
        <w:tc>
          <w:tcPr>
            <w:tcW w:w="1545" w:type="dxa"/>
            <w:shd w:val="clear" w:color="auto" w:fill="auto"/>
            <w:tcMar>
              <w:left w:w="57" w:type="dxa"/>
              <w:right w:w="57" w:type="dxa"/>
            </w:tcMar>
          </w:tcPr>
          <w:p w14:paraId="13F9DA1D" w14:textId="77777777" w:rsidR="00CF0CB0" w:rsidRPr="009960E1" w:rsidRDefault="00000000" w:rsidP="00F27F0E">
            <w:pPr>
              <w:pStyle w:val="Tabletext"/>
              <w:rPr>
                <w:rStyle w:val="Hyperlink"/>
                <w:lang w:val="es-ES_tradnl"/>
              </w:rPr>
            </w:pPr>
            <w:hyperlink r:id="rId147" w:history="1">
              <w:r w:rsidR="00CF0CB0" w:rsidRPr="009960E1">
                <w:rPr>
                  <w:rStyle w:val="Hyperlink"/>
                  <w:lang w:val="es-ES_tradnl"/>
                </w:rPr>
                <w:t>DOC3</w:t>
              </w:r>
            </w:hyperlink>
          </w:p>
        </w:tc>
        <w:tc>
          <w:tcPr>
            <w:tcW w:w="5244" w:type="dxa"/>
            <w:shd w:val="clear" w:color="auto" w:fill="auto"/>
            <w:tcMar>
              <w:left w:w="57" w:type="dxa"/>
              <w:right w:w="57" w:type="dxa"/>
            </w:tcMar>
          </w:tcPr>
          <w:p w14:paraId="733155D6" w14:textId="77777777" w:rsidR="00CF0CB0" w:rsidRPr="009960E1" w:rsidRDefault="00CF0CB0" w:rsidP="00F27F0E">
            <w:pPr>
              <w:pStyle w:val="Tabletext"/>
              <w:rPr>
                <w:lang w:val="es-ES_tradnl"/>
              </w:rPr>
            </w:pPr>
            <w:r w:rsidRPr="009960E1">
              <w:rPr>
                <w:lang w:val="es-ES_tradnl"/>
              </w:rPr>
              <w:t>Participación de la industria: Propuestas iniciales de implementación del taller</w:t>
            </w:r>
          </w:p>
        </w:tc>
        <w:tc>
          <w:tcPr>
            <w:tcW w:w="1418" w:type="dxa"/>
            <w:shd w:val="clear" w:color="auto" w:fill="auto"/>
            <w:tcMar>
              <w:left w:w="57" w:type="dxa"/>
              <w:right w:w="57" w:type="dxa"/>
            </w:tcMar>
          </w:tcPr>
          <w:p w14:paraId="46B6E1A3" w14:textId="01E6557E"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1</w:t>
            </w:r>
          </w:p>
        </w:tc>
        <w:tc>
          <w:tcPr>
            <w:tcW w:w="1701" w:type="dxa"/>
            <w:shd w:val="clear" w:color="auto" w:fill="auto"/>
            <w:tcMar>
              <w:left w:w="57" w:type="dxa"/>
              <w:right w:w="57" w:type="dxa"/>
            </w:tcMar>
          </w:tcPr>
          <w:p w14:paraId="70FAFD75" w14:textId="4C6D83F2" w:rsidR="00CF0CB0" w:rsidRPr="009960E1" w:rsidRDefault="00CF0CB0" w:rsidP="00F27F0E">
            <w:pPr>
              <w:pStyle w:val="Tabletext"/>
              <w:rPr>
                <w:lang w:val="es-ES_tradnl"/>
              </w:rPr>
            </w:pPr>
            <w:r w:rsidRPr="009960E1">
              <w:rPr>
                <w:lang w:val="es-ES_tradnl"/>
              </w:rPr>
              <w:t>31</w:t>
            </w:r>
            <w:r w:rsidR="00D216E9">
              <w:rPr>
                <w:lang w:val="es-ES_tradnl"/>
              </w:rPr>
              <w:t>/</w:t>
            </w:r>
            <w:r w:rsidRPr="009960E1">
              <w:rPr>
                <w:lang w:val="es-ES_tradnl"/>
              </w:rPr>
              <w:t>01</w:t>
            </w:r>
            <w:r w:rsidR="00D216E9">
              <w:rPr>
                <w:lang w:val="es-ES_tradnl"/>
              </w:rPr>
              <w:t>/</w:t>
            </w:r>
            <w:r w:rsidRPr="009960E1">
              <w:rPr>
                <w:lang w:val="es-ES_tradnl"/>
              </w:rPr>
              <w:t>2023</w:t>
            </w:r>
          </w:p>
        </w:tc>
      </w:tr>
      <w:tr w:rsidR="00CF0CB0" w:rsidRPr="009960E1" w14:paraId="29076EC3" w14:textId="77777777" w:rsidTr="00F46A30">
        <w:trPr>
          <w:jc w:val="center"/>
        </w:trPr>
        <w:tc>
          <w:tcPr>
            <w:tcW w:w="1545" w:type="dxa"/>
            <w:shd w:val="clear" w:color="auto" w:fill="auto"/>
            <w:tcMar>
              <w:left w:w="57" w:type="dxa"/>
              <w:right w:w="57" w:type="dxa"/>
            </w:tcMar>
          </w:tcPr>
          <w:p w14:paraId="4126ABA3" w14:textId="77777777" w:rsidR="00CF0CB0" w:rsidRPr="009960E1" w:rsidRDefault="00000000" w:rsidP="00F27F0E">
            <w:pPr>
              <w:pStyle w:val="Tabletext"/>
              <w:rPr>
                <w:rStyle w:val="Hyperlink"/>
                <w:lang w:val="es-ES_tradnl"/>
              </w:rPr>
            </w:pPr>
            <w:hyperlink r:id="rId148" w:history="1">
              <w:r w:rsidR="00CF0CB0" w:rsidRPr="009960E1">
                <w:rPr>
                  <w:rStyle w:val="Hyperlink"/>
                  <w:lang w:val="es-ES_tradnl"/>
                </w:rPr>
                <w:t>DOC5</w:t>
              </w:r>
            </w:hyperlink>
          </w:p>
        </w:tc>
        <w:tc>
          <w:tcPr>
            <w:tcW w:w="5244" w:type="dxa"/>
            <w:shd w:val="clear" w:color="auto" w:fill="auto"/>
            <w:tcMar>
              <w:left w:w="57" w:type="dxa"/>
              <w:right w:w="57" w:type="dxa"/>
            </w:tcMar>
          </w:tcPr>
          <w:p w14:paraId="03936DC7" w14:textId="77777777" w:rsidR="00CF0CB0" w:rsidRPr="009960E1" w:rsidRDefault="00CF0CB0" w:rsidP="00F27F0E">
            <w:pPr>
              <w:pStyle w:val="Tabletext"/>
              <w:rPr>
                <w:lang w:val="es-ES_tradnl"/>
              </w:rPr>
            </w:pPr>
            <w:r w:rsidRPr="009960E1">
              <w:rPr>
                <w:lang w:val="es-ES_tradnl"/>
              </w:rPr>
              <w:t>Proyecto de informe RG-IEM "Participación y medidas de la industria", de fecha 31 de enero de 2023</w:t>
            </w:r>
          </w:p>
        </w:tc>
        <w:tc>
          <w:tcPr>
            <w:tcW w:w="1418" w:type="dxa"/>
            <w:shd w:val="clear" w:color="auto" w:fill="auto"/>
            <w:tcMar>
              <w:left w:w="57" w:type="dxa"/>
              <w:right w:w="57" w:type="dxa"/>
            </w:tcMar>
          </w:tcPr>
          <w:p w14:paraId="49E70B70" w14:textId="19E2D6F7"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1</w:t>
            </w:r>
          </w:p>
        </w:tc>
        <w:tc>
          <w:tcPr>
            <w:tcW w:w="1701" w:type="dxa"/>
            <w:shd w:val="clear" w:color="auto" w:fill="auto"/>
            <w:tcMar>
              <w:left w:w="57" w:type="dxa"/>
              <w:right w:w="57" w:type="dxa"/>
            </w:tcMar>
          </w:tcPr>
          <w:p w14:paraId="3FAE9E9B" w14:textId="5A96FE6E" w:rsidR="00CF0CB0" w:rsidRPr="009960E1" w:rsidRDefault="00CF0CB0" w:rsidP="00F27F0E">
            <w:pPr>
              <w:pStyle w:val="Tabletext"/>
              <w:rPr>
                <w:lang w:val="es-ES_tradnl"/>
              </w:rPr>
            </w:pPr>
            <w:r w:rsidRPr="009960E1">
              <w:rPr>
                <w:lang w:val="es-ES_tradnl"/>
              </w:rPr>
              <w:t>31</w:t>
            </w:r>
            <w:r w:rsidR="00D216E9">
              <w:rPr>
                <w:lang w:val="es-ES_tradnl"/>
              </w:rPr>
              <w:t>/</w:t>
            </w:r>
            <w:r w:rsidRPr="009960E1">
              <w:rPr>
                <w:lang w:val="es-ES_tradnl"/>
              </w:rPr>
              <w:t>01</w:t>
            </w:r>
            <w:r w:rsidR="00D216E9">
              <w:rPr>
                <w:lang w:val="es-ES_tradnl"/>
              </w:rPr>
              <w:t>/</w:t>
            </w:r>
            <w:r w:rsidRPr="009960E1">
              <w:rPr>
                <w:lang w:val="es-ES_tradnl"/>
              </w:rPr>
              <w:t>2023</w:t>
            </w:r>
          </w:p>
        </w:tc>
      </w:tr>
      <w:tr w:rsidR="00CF0CB0" w:rsidRPr="009960E1" w14:paraId="0618387C" w14:textId="77777777" w:rsidTr="00F46A30">
        <w:trPr>
          <w:jc w:val="center"/>
        </w:trPr>
        <w:tc>
          <w:tcPr>
            <w:tcW w:w="1545" w:type="dxa"/>
            <w:shd w:val="clear" w:color="auto" w:fill="auto"/>
            <w:tcMar>
              <w:left w:w="57" w:type="dxa"/>
              <w:right w:w="57" w:type="dxa"/>
            </w:tcMar>
          </w:tcPr>
          <w:p w14:paraId="1D30E923" w14:textId="77777777" w:rsidR="00CF0CB0" w:rsidRPr="009960E1" w:rsidRDefault="00000000" w:rsidP="00F27F0E">
            <w:pPr>
              <w:pStyle w:val="Tabletext"/>
              <w:rPr>
                <w:rStyle w:val="Hyperlink"/>
                <w:lang w:val="es-ES_tradnl"/>
              </w:rPr>
            </w:pPr>
            <w:hyperlink r:id="rId149" w:history="1">
              <w:r w:rsidR="00CF0CB0" w:rsidRPr="009960E1">
                <w:rPr>
                  <w:rStyle w:val="Hyperlink"/>
                  <w:lang w:val="es-ES_tradnl"/>
                </w:rPr>
                <w:t>DOC1R2</w:t>
              </w:r>
            </w:hyperlink>
          </w:p>
        </w:tc>
        <w:tc>
          <w:tcPr>
            <w:tcW w:w="5244" w:type="dxa"/>
            <w:shd w:val="clear" w:color="auto" w:fill="auto"/>
            <w:tcMar>
              <w:left w:w="57" w:type="dxa"/>
              <w:right w:w="57" w:type="dxa"/>
            </w:tcMar>
          </w:tcPr>
          <w:p w14:paraId="786CA353" w14:textId="77777777" w:rsidR="00CF0CB0" w:rsidRPr="009960E1" w:rsidRDefault="00CF0CB0" w:rsidP="00F27F0E">
            <w:pPr>
              <w:pStyle w:val="Tabletext"/>
              <w:rPr>
                <w:lang w:val="es-ES_tradnl"/>
              </w:rPr>
            </w:pPr>
            <w:r w:rsidRPr="009960E1">
              <w:rPr>
                <w:lang w:val="es-ES_tradnl"/>
              </w:rPr>
              <w:t>Proyecto de esqueleto del producto del RG-IEM</w:t>
            </w:r>
          </w:p>
        </w:tc>
        <w:tc>
          <w:tcPr>
            <w:tcW w:w="1418" w:type="dxa"/>
            <w:shd w:val="clear" w:color="auto" w:fill="auto"/>
            <w:tcMar>
              <w:left w:w="57" w:type="dxa"/>
              <w:right w:w="57" w:type="dxa"/>
            </w:tcMar>
          </w:tcPr>
          <w:p w14:paraId="7AC2AF85" w14:textId="51E209E0"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2</w:t>
            </w:r>
          </w:p>
        </w:tc>
        <w:tc>
          <w:tcPr>
            <w:tcW w:w="1701" w:type="dxa"/>
            <w:shd w:val="clear" w:color="auto" w:fill="auto"/>
            <w:tcMar>
              <w:left w:w="57" w:type="dxa"/>
              <w:right w:w="57" w:type="dxa"/>
            </w:tcMar>
          </w:tcPr>
          <w:p w14:paraId="19D471A3" w14:textId="1F6D6F3C" w:rsidR="00CF0CB0" w:rsidRPr="009960E1" w:rsidRDefault="00CF0CB0" w:rsidP="00F27F0E">
            <w:pPr>
              <w:pStyle w:val="Tabletext"/>
              <w:rPr>
                <w:lang w:val="es-ES_tradnl"/>
              </w:rPr>
            </w:pPr>
            <w:r w:rsidRPr="009960E1">
              <w:rPr>
                <w:lang w:val="es-ES_tradnl"/>
              </w:rPr>
              <w:t>07</w:t>
            </w:r>
            <w:r w:rsidR="00D216E9">
              <w:rPr>
                <w:lang w:val="es-ES_tradnl"/>
              </w:rPr>
              <w:t>/</w:t>
            </w:r>
            <w:r w:rsidRPr="009960E1">
              <w:rPr>
                <w:lang w:val="es-ES_tradnl"/>
              </w:rPr>
              <w:t>03</w:t>
            </w:r>
            <w:r w:rsidR="00D216E9">
              <w:rPr>
                <w:lang w:val="es-ES_tradnl"/>
              </w:rPr>
              <w:t>/</w:t>
            </w:r>
            <w:r w:rsidRPr="009960E1">
              <w:rPr>
                <w:lang w:val="es-ES_tradnl"/>
              </w:rPr>
              <w:t>2023</w:t>
            </w:r>
          </w:p>
        </w:tc>
      </w:tr>
      <w:tr w:rsidR="00CF0CB0" w:rsidRPr="009960E1" w14:paraId="7C1FE064" w14:textId="77777777" w:rsidTr="00F46A30">
        <w:trPr>
          <w:jc w:val="center"/>
        </w:trPr>
        <w:tc>
          <w:tcPr>
            <w:tcW w:w="1545" w:type="dxa"/>
            <w:shd w:val="clear" w:color="auto" w:fill="auto"/>
            <w:tcMar>
              <w:left w:w="57" w:type="dxa"/>
              <w:right w:w="57" w:type="dxa"/>
            </w:tcMar>
          </w:tcPr>
          <w:p w14:paraId="6A3B9E59" w14:textId="77777777" w:rsidR="00CF0CB0" w:rsidRPr="009960E1" w:rsidRDefault="00000000" w:rsidP="00F27F0E">
            <w:pPr>
              <w:pStyle w:val="Tabletext"/>
              <w:rPr>
                <w:rStyle w:val="Hyperlink"/>
                <w:lang w:val="es-ES_tradnl"/>
              </w:rPr>
            </w:pPr>
            <w:hyperlink r:id="rId150" w:history="1">
              <w:r w:rsidR="00CF0CB0" w:rsidRPr="009960E1">
                <w:rPr>
                  <w:rStyle w:val="Hyperlink"/>
                  <w:lang w:val="es-ES_tradnl"/>
                </w:rPr>
                <w:t>DOC2</w:t>
              </w:r>
            </w:hyperlink>
          </w:p>
        </w:tc>
        <w:tc>
          <w:tcPr>
            <w:tcW w:w="5244" w:type="dxa"/>
            <w:shd w:val="clear" w:color="auto" w:fill="auto"/>
            <w:tcMar>
              <w:left w:w="57" w:type="dxa"/>
              <w:right w:w="57" w:type="dxa"/>
            </w:tcMar>
          </w:tcPr>
          <w:p w14:paraId="0C36AA1B" w14:textId="35C09BA8" w:rsidR="00CF0CB0" w:rsidRPr="009960E1" w:rsidRDefault="00CF0CB0" w:rsidP="00F27F0E">
            <w:pPr>
              <w:pStyle w:val="Tabletext"/>
              <w:rPr>
                <w:lang w:val="es-ES_tradnl"/>
              </w:rPr>
            </w:pPr>
            <w:r w:rsidRPr="009960E1">
              <w:rPr>
                <w:lang w:val="es-ES_tradnl"/>
              </w:rPr>
              <w:t>Próximos pasos en el examen de la Resolución</w:t>
            </w:r>
            <w:r w:rsidR="00F46A30" w:rsidRPr="009960E1">
              <w:rPr>
                <w:lang w:val="es-ES_tradnl"/>
              </w:rPr>
              <w:t> </w:t>
            </w:r>
            <w:r w:rsidRPr="009960E1">
              <w:rPr>
                <w:lang w:val="es-ES_tradnl"/>
              </w:rPr>
              <w:t>68 (Rev.</w:t>
            </w:r>
            <w:r w:rsidR="00F46A30" w:rsidRPr="009960E1">
              <w:rPr>
                <w:lang w:val="es-ES_tradnl"/>
              </w:rPr>
              <w:t> </w:t>
            </w:r>
            <w:r w:rsidRPr="009960E1">
              <w:rPr>
                <w:lang w:val="es-ES_tradnl"/>
              </w:rPr>
              <w:t>Hammamet, 2016), Evolución del papel de la industria en el UIT-T</w:t>
            </w:r>
          </w:p>
        </w:tc>
        <w:tc>
          <w:tcPr>
            <w:tcW w:w="1418" w:type="dxa"/>
            <w:shd w:val="clear" w:color="auto" w:fill="auto"/>
            <w:tcMar>
              <w:left w:w="57" w:type="dxa"/>
              <w:right w:w="57" w:type="dxa"/>
            </w:tcMar>
          </w:tcPr>
          <w:p w14:paraId="28288542" w14:textId="408A844F"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2</w:t>
            </w:r>
          </w:p>
        </w:tc>
        <w:tc>
          <w:tcPr>
            <w:tcW w:w="1701" w:type="dxa"/>
            <w:shd w:val="clear" w:color="auto" w:fill="auto"/>
            <w:tcMar>
              <w:left w:w="57" w:type="dxa"/>
              <w:right w:w="57" w:type="dxa"/>
            </w:tcMar>
          </w:tcPr>
          <w:p w14:paraId="358CF857" w14:textId="4D444919" w:rsidR="00CF0CB0" w:rsidRPr="009960E1" w:rsidRDefault="00CF0CB0" w:rsidP="00F27F0E">
            <w:pPr>
              <w:pStyle w:val="Tabletext"/>
              <w:rPr>
                <w:lang w:val="es-ES_tradnl"/>
              </w:rPr>
            </w:pPr>
            <w:r w:rsidRPr="009960E1">
              <w:rPr>
                <w:lang w:val="es-ES_tradnl"/>
              </w:rPr>
              <w:t>07</w:t>
            </w:r>
            <w:r w:rsidR="00D216E9">
              <w:rPr>
                <w:lang w:val="es-ES_tradnl"/>
              </w:rPr>
              <w:t>/</w:t>
            </w:r>
            <w:r w:rsidRPr="009960E1">
              <w:rPr>
                <w:lang w:val="es-ES_tradnl"/>
              </w:rPr>
              <w:t>03</w:t>
            </w:r>
            <w:r w:rsidR="00D216E9">
              <w:rPr>
                <w:lang w:val="es-ES_tradnl"/>
              </w:rPr>
              <w:t>/</w:t>
            </w:r>
            <w:r w:rsidRPr="009960E1">
              <w:rPr>
                <w:lang w:val="es-ES_tradnl"/>
              </w:rPr>
              <w:t>2023</w:t>
            </w:r>
          </w:p>
        </w:tc>
      </w:tr>
      <w:tr w:rsidR="00CF0CB0" w:rsidRPr="009960E1" w14:paraId="7679D669" w14:textId="77777777" w:rsidTr="00F46A30">
        <w:trPr>
          <w:jc w:val="center"/>
        </w:trPr>
        <w:tc>
          <w:tcPr>
            <w:tcW w:w="1545" w:type="dxa"/>
            <w:shd w:val="clear" w:color="auto" w:fill="auto"/>
            <w:tcMar>
              <w:left w:w="57" w:type="dxa"/>
              <w:right w:w="57" w:type="dxa"/>
            </w:tcMar>
          </w:tcPr>
          <w:p w14:paraId="6DF064C5" w14:textId="77777777" w:rsidR="00CF0CB0" w:rsidRPr="009960E1" w:rsidRDefault="00000000" w:rsidP="00F27F0E">
            <w:pPr>
              <w:pStyle w:val="Tabletext"/>
              <w:rPr>
                <w:rStyle w:val="Hyperlink"/>
                <w:lang w:val="es-ES_tradnl"/>
              </w:rPr>
            </w:pPr>
            <w:hyperlink r:id="rId151" w:history="1">
              <w:r w:rsidR="00CF0CB0" w:rsidRPr="009960E1">
                <w:rPr>
                  <w:rStyle w:val="Hyperlink"/>
                  <w:lang w:val="es-ES_tradnl"/>
                </w:rPr>
                <w:t>DOC4</w:t>
              </w:r>
            </w:hyperlink>
          </w:p>
        </w:tc>
        <w:tc>
          <w:tcPr>
            <w:tcW w:w="5244" w:type="dxa"/>
            <w:shd w:val="clear" w:color="auto" w:fill="auto"/>
            <w:tcMar>
              <w:left w:w="57" w:type="dxa"/>
              <w:right w:w="57" w:type="dxa"/>
            </w:tcMar>
          </w:tcPr>
          <w:p w14:paraId="3A56D0EE" w14:textId="77777777" w:rsidR="00CF0CB0" w:rsidRPr="009960E1" w:rsidRDefault="00CF0CB0" w:rsidP="00F27F0E">
            <w:pPr>
              <w:pStyle w:val="Tabletext"/>
              <w:rPr>
                <w:lang w:val="es-ES_tradnl"/>
              </w:rPr>
            </w:pPr>
            <w:r w:rsidRPr="009960E1">
              <w:rPr>
                <w:lang w:val="es-ES_tradnl"/>
              </w:rPr>
              <w:t>Proyecto de informe (RG-IEM, 7 de marzo de 2023)</w:t>
            </w:r>
          </w:p>
        </w:tc>
        <w:tc>
          <w:tcPr>
            <w:tcW w:w="1418" w:type="dxa"/>
            <w:shd w:val="clear" w:color="auto" w:fill="auto"/>
            <w:tcMar>
              <w:left w:w="57" w:type="dxa"/>
              <w:right w:w="57" w:type="dxa"/>
            </w:tcMar>
          </w:tcPr>
          <w:p w14:paraId="2F99FB93" w14:textId="089A5D61"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2</w:t>
            </w:r>
          </w:p>
        </w:tc>
        <w:tc>
          <w:tcPr>
            <w:tcW w:w="1701" w:type="dxa"/>
            <w:shd w:val="clear" w:color="auto" w:fill="auto"/>
            <w:tcMar>
              <w:left w:w="57" w:type="dxa"/>
              <w:right w:w="57" w:type="dxa"/>
            </w:tcMar>
          </w:tcPr>
          <w:p w14:paraId="41550A53" w14:textId="32308300" w:rsidR="00CF0CB0" w:rsidRPr="009960E1" w:rsidRDefault="00CF0CB0" w:rsidP="00F27F0E">
            <w:pPr>
              <w:pStyle w:val="Tabletext"/>
              <w:rPr>
                <w:lang w:val="es-ES_tradnl"/>
              </w:rPr>
            </w:pPr>
            <w:r w:rsidRPr="009960E1">
              <w:rPr>
                <w:lang w:val="es-ES_tradnl"/>
              </w:rPr>
              <w:t>07</w:t>
            </w:r>
            <w:r w:rsidR="00D216E9">
              <w:rPr>
                <w:lang w:val="es-ES_tradnl"/>
              </w:rPr>
              <w:t>/</w:t>
            </w:r>
            <w:r w:rsidRPr="009960E1">
              <w:rPr>
                <w:lang w:val="es-ES_tradnl"/>
              </w:rPr>
              <w:t>03</w:t>
            </w:r>
            <w:r w:rsidR="00D216E9">
              <w:rPr>
                <w:lang w:val="es-ES_tradnl"/>
              </w:rPr>
              <w:t>/</w:t>
            </w:r>
            <w:r w:rsidRPr="009960E1">
              <w:rPr>
                <w:lang w:val="es-ES_tradnl"/>
              </w:rPr>
              <w:t>2023</w:t>
            </w:r>
          </w:p>
        </w:tc>
      </w:tr>
      <w:tr w:rsidR="00CF0CB0" w:rsidRPr="009960E1" w14:paraId="0DBB5282" w14:textId="77777777" w:rsidTr="00F46A30">
        <w:trPr>
          <w:jc w:val="center"/>
        </w:trPr>
        <w:tc>
          <w:tcPr>
            <w:tcW w:w="1545" w:type="dxa"/>
            <w:shd w:val="clear" w:color="auto" w:fill="auto"/>
            <w:tcMar>
              <w:left w:w="57" w:type="dxa"/>
              <w:right w:w="57" w:type="dxa"/>
            </w:tcMar>
          </w:tcPr>
          <w:p w14:paraId="3B236631" w14:textId="77777777" w:rsidR="00CF0CB0" w:rsidRPr="009960E1" w:rsidRDefault="00000000" w:rsidP="00F27F0E">
            <w:pPr>
              <w:pStyle w:val="Tabletext"/>
              <w:rPr>
                <w:rStyle w:val="Hyperlink"/>
                <w:lang w:val="es-ES_tradnl"/>
              </w:rPr>
            </w:pPr>
            <w:hyperlink r:id="rId152" w:history="1">
              <w:r w:rsidR="00CF0CB0" w:rsidRPr="009960E1">
                <w:rPr>
                  <w:rStyle w:val="Hyperlink"/>
                  <w:lang w:val="es-ES_tradnl"/>
                </w:rPr>
                <w:t>DOC1</w:t>
              </w:r>
            </w:hyperlink>
          </w:p>
        </w:tc>
        <w:tc>
          <w:tcPr>
            <w:tcW w:w="5244" w:type="dxa"/>
            <w:shd w:val="clear" w:color="auto" w:fill="auto"/>
            <w:tcMar>
              <w:left w:w="57" w:type="dxa"/>
              <w:right w:w="57" w:type="dxa"/>
            </w:tcMar>
          </w:tcPr>
          <w:p w14:paraId="58143CF1" w14:textId="77777777" w:rsidR="00CF0CB0" w:rsidRPr="009960E1" w:rsidRDefault="00CF0CB0" w:rsidP="00F27F0E">
            <w:pPr>
              <w:pStyle w:val="Tabletext"/>
              <w:rPr>
                <w:lang w:val="es-ES_tradnl"/>
              </w:rPr>
            </w:pPr>
            <w:r w:rsidRPr="009960E1">
              <w:rPr>
                <w:lang w:val="es-ES_tradnl"/>
              </w:rPr>
              <w:t>Proyecto de esqueleto del producto del RG-IEM (revisado)</w:t>
            </w:r>
          </w:p>
        </w:tc>
        <w:tc>
          <w:tcPr>
            <w:tcW w:w="1418" w:type="dxa"/>
            <w:shd w:val="clear" w:color="auto" w:fill="auto"/>
            <w:tcMar>
              <w:left w:w="57" w:type="dxa"/>
              <w:right w:w="57" w:type="dxa"/>
            </w:tcMar>
          </w:tcPr>
          <w:p w14:paraId="1B72CCE9" w14:textId="1975134B"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3</w:t>
            </w:r>
          </w:p>
        </w:tc>
        <w:tc>
          <w:tcPr>
            <w:tcW w:w="1701" w:type="dxa"/>
            <w:shd w:val="clear" w:color="auto" w:fill="auto"/>
            <w:tcMar>
              <w:left w:w="57" w:type="dxa"/>
              <w:right w:w="57" w:type="dxa"/>
            </w:tcMar>
          </w:tcPr>
          <w:p w14:paraId="1E2BB494" w14:textId="59E7D039" w:rsidR="00CF0CB0" w:rsidRPr="009960E1" w:rsidRDefault="00CF0CB0" w:rsidP="00F27F0E">
            <w:pPr>
              <w:pStyle w:val="Tabletext"/>
              <w:rPr>
                <w:lang w:val="es-ES_tradnl"/>
              </w:rPr>
            </w:pPr>
            <w:r w:rsidRPr="009960E1">
              <w:rPr>
                <w:lang w:val="es-ES_tradnl"/>
              </w:rPr>
              <w:t>04</w:t>
            </w:r>
            <w:r w:rsidR="00D216E9">
              <w:rPr>
                <w:lang w:val="es-ES_tradnl"/>
              </w:rPr>
              <w:t>/</w:t>
            </w:r>
            <w:r w:rsidRPr="009960E1">
              <w:rPr>
                <w:lang w:val="es-ES_tradnl"/>
              </w:rPr>
              <w:t>04</w:t>
            </w:r>
            <w:r w:rsidR="00D216E9">
              <w:rPr>
                <w:lang w:val="es-ES_tradnl"/>
              </w:rPr>
              <w:t>/</w:t>
            </w:r>
            <w:r w:rsidRPr="009960E1">
              <w:rPr>
                <w:lang w:val="es-ES_tradnl"/>
              </w:rPr>
              <w:t>2023</w:t>
            </w:r>
          </w:p>
        </w:tc>
      </w:tr>
      <w:tr w:rsidR="00CF0CB0" w:rsidRPr="009960E1" w14:paraId="776FB9B6" w14:textId="77777777" w:rsidTr="00F46A30">
        <w:trPr>
          <w:jc w:val="center"/>
        </w:trPr>
        <w:tc>
          <w:tcPr>
            <w:tcW w:w="1545" w:type="dxa"/>
            <w:shd w:val="clear" w:color="auto" w:fill="auto"/>
            <w:tcMar>
              <w:left w:w="57" w:type="dxa"/>
              <w:right w:w="57" w:type="dxa"/>
            </w:tcMar>
          </w:tcPr>
          <w:p w14:paraId="6658F64D" w14:textId="77777777" w:rsidR="00CF0CB0" w:rsidRPr="009960E1" w:rsidRDefault="00000000" w:rsidP="00F27F0E">
            <w:pPr>
              <w:pStyle w:val="Tabletext"/>
              <w:rPr>
                <w:rStyle w:val="Hyperlink"/>
                <w:lang w:val="es-ES_tradnl"/>
              </w:rPr>
            </w:pPr>
            <w:hyperlink r:id="rId153" w:history="1">
              <w:r w:rsidR="00CF0CB0" w:rsidRPr="009960E1">
                <w:rPr>
                  <w:rStyle w:val="Hyperlink"/>
                  <w:lang w:val="es-ES_tradnl"/>
                </w:rPr>
                <w:t>DOC2</w:t>
              </w:r>
            </w:hyperlink>
          </w:p>
        </w:tc>
        <w:tc>
          <w:tcPr>
            <w:tcW w:w="5244" w:type="dxa"/>
            <w:shd w:val="clear" w:color="auto" w:fill="auto"/>
            <w:tcMar>
              <w:left w:w="57" w:type="dxa"/>
              <w:right w:w="57" w:type="dxa"/>
            </w:tcMar>
          </w:tcPr>
          <w:p w14:paraId="7DEDE733" w14:textId="77777777" w:rsidR="00CF0CB0" w:rsidRPr="009960E1" w:rsidRDefault="00CF0CB0" w:rsidP="00F27F0E">
            <w:pPr>
              <w:pStyle w:val="Tabletext"/>
              <w:rPr>
                <w:lang w:val="es-ES_tradnl"/>
              </w:rPr>
            </w:pPr>
            <w:r w:rsidRPr="009960E1">
              <w:rPr>
                <w:lang w:val="es-ES_tradnl"/>
              </w:rPr>
              <w:t>Consideraciones sobre la elaboración del plan de acción del RG-IEM</w:t>
            </w:r>
          </w:p>
        </w:tc>
        <w:tc>
          <w:tcPr>
            <w:tcW w:w="1418" w:type="dxa"/>
            <w:shd w:val="clear" w:color="auto" w:fill="auto"/>
            <w:tcMar>
              <w:left w:w="57" w:type="dxa"/>
              <w:right w:w="57" w:type="dxa"/>
            </w:tcMar>
          </w:tcPr>
          <w:p w14:paraId="2ACB79B4" w14:textId="1BE049B0"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3</w:t>
            </w:r>
          </w:p>
        </w:tc>
        <w:tc>
          <w:tcPr>
            <w:tcW w:w="1701" w:type="dxa"/>
            <w:shd w:val="clear" w:color="auto" w:fill="auto"/>
            <w:tcMar>
              <w:left w:w="57" w:type="dxa"/>
              <w:right w:w="57" w:type="dxa"/>
            </w:tcMar>
          </w:tcPr>
          <w:p w14:paraId="5B08B0B3" w14:textId="6D24562F" w:rsidR="00CF0CB0" w:rsidRPr="009960E1" w:rsidRDefault="00CF0CB0" w:rsidP="00F27F0E">
            <w:pPr>
              <w:pStyle w:val="Tabletext"/>
              <w:rPr>
                <w:lang w:val="es-ES_tradnl"/>
              </w:rPr>
            </w:pPr>
            <w:r w:rsidRPr="009960E1">
              <w:rPr>
                <w:lang w:val="es-ES_tradnl"/>
              </w:rPr>
              <w:t>04</w:t>
            </w:r>
            <w:r w:rsidR="00D216E9">
              <w:rPr>
                <w:lang w:val="es-ES_tradnl"/>
              </w:rPr>
              <w:t>/</w:t>
            </w:r>
            <w:r w:rsidRPr="009960E1">
              <w:rPr>
                <w:lang w:val="es-ES_tradnl"/>
              </w:rPr>
              <w:t>04</w:t>
            </w:r>
            <w:r w:rsidR="00D216E9">
              <w:rPr>
                <w:lang w:val="es-ES_tradnl"/>
              </w:rPr>
              <w:t>/</w:t>
            </w:r>
            <w:r w:rsidRPr="009960E1">
              <w:rPr>
                <w:lang w:val="es-ES_tradnl"/>
              </w:rPr>
              <w:t>2023</w:t>
            </w:r>
          </w:p>
        </w:tc>
      </w:tr>
      <w:tr w:rsidR="00CF0CB0" w:rsidRPr="009960E1" w14:paraId="48DE25B6" w14:textId="77777777" w:rsidTr="00F46A30">
        <w:trPr>
          <w:jc w:val="center"/>
        </w:trPr>
        <w:tc>
          <w:tcPr>
            <w:tcW w:w="1545" w:type="dxa"/>
            <w:shd w:val="clear" w:color="auto" w:fill="auto"/>
            <w:tcMar>
              <w:left w:w="57" w:type="dxa"/>
              <w:right w:w="57" w:type="dxa"/>
            </w:tcMar>
          </w:tcPr>
          <w:p w14:paraId="14347088" w14:textId="77777777" w:rsidR="00CF0CB0" w:rsidRPr="009960E1" w:rsidRDefault="00000000" w:rsidP="00F27F0E">
            <w:pPr>
              <w:pStyle w:val="Tabletext"/>
              <w:rPr>
                <w:rStyle w:val="Hyperlink"/>
                <w:lang w:val="es-ES_tradnl"/>
              </w:rPr>
            </w:pPr>
            <w:hyperlink r:id="rId154" w:history="1">
              <w:r w:rsidR="00CF0CB0" w:rsidRPr="009960E1">
                <w:rPr>
                  <w:rStyle w:val="Hyperlink"/>
                  <w:lang w:val="es-ES_tradnl"/>
                </w:rPr>
                <w:t>DOC3</w:t>
              </w:r>
            </w:hyperlink>
          </w:p>
        </w:tc>
        <w:tc>
          <w:tcPr>
            <w:tcW w:w="5244" w:type="dxa"/>
            <w:shd w:val="clear" w:color="auto" w:fill="auto"/>
            <w:tcMar>
              <w:left w:w="57" w:type="dxa"/>
              <w:right w:w="57" w:type="dxa"/>
            </w:tcMar>
          </w:tcPr>
          <w:p w14:paraId="3ACDDD29" w14:textId="77777777" w:rsidR="00CF0CB0" w:rsidRPr="009960E1" w:rsidRDefault="00CF0CB0" w:rsidP="00F27F0E">
            <w:pPr>
              <w:pStyle w:val="Tabletext"/>
              <w:rPr>
                <w:lang w:val="es-ES_tradnl"/>
              </w:rPr>
            </w:pPr>
            <w:r w:rsidRPr="009960E1">
              <w:rPr>
                <w:lang w:val="es-ES_tradnl"/>
              </w:rPr>
              <w:t>Algunas consideraciones sobre un posible mandato para un Comité Directivo que ejecute el actual Plan de Acción de Participación de la Industria 2.</w:t>
            </w:r>
          </w:p>
        </w:tc>
        <w:tc>
          <w:tcPr>
            <w:tcW w:w="1418" w:type="dxa"/>
            <w:shd w:val="clear" w:color="auto" w:fill="auto"/>
            <w:tcMar>
              <w:left w:w="57" w:type="dxa"/>
              <w:right w:w="57" w:type="dxa"/>
            </w:tcMar>
          </w:tcPr>
          <w:p w14:paraId="06AA39E0" w14:textId="3866466B"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3</w:t>
            </w:r>
          </w:p>
        </w:tc>
        <w:tc>
          <w:tcPr>
            <w:tcW w:w="1701" w:type="dxa"/>
            <w:shd w:val="clear" w:color="auto" w:fill="auto"/>
            <w:tcMar>
              <w:left w:w="57" w:type="dxa"/>
              <w:right w:w="57" w:type="dxa"/>
            </w:tcMar>
          </w:tcPr>
          <w:p w14:paraId="4B7B00E5" w14:textId="3FB91A36" w:rsidR="00CF0CB0" w:rsidRPr="009960E1" w:rsidRDefault="00CF0CB0" w:rsidP="00F27F0E">
            <w:pPr>
              <w:pStyle w:val="Tabletext"/>
              <w:rPr>
                <w:lang w:val="es-ES_tradnl"/>
              </w:rPr>
            </w:pPr>
            <w:r w:rsidRPr="009960E1">
              <w:rPr>
                <w:lang w:val="es-ES_tradnl"/>
              </w:rPr>
              <w:t>04</w:t>
            </w:r>
            <w:r w:rsidR="00D216E9">
              <w:rPr>
                <w:lang w:val="es-ES_tradnl"/>
              </w:rPr>
              <w:t>/</w:t>
            </w:r>
            <w:r w:rsidRPr="009960E1">
              <w:rPr>
                <w:lang w:val="es-ES_tradnl"/>
              </w:rPr>
              <w:t>04</w:t>
            </w:r>
            <w:r w:rsidR="00D216E9">
              <w:rPr>
                <w:lang w:val="es-ES_tradnl"/>
              </w:rPr>
              <w:t>/</w:t>
            </w:r>
            <w:r w:rsidRPr="009960E1">
              <w:rPr>
                <w:lang w:val="es-ES_tradnl"/>
              </w:rPr>
              <w:t>2023</w:t>
            </w:r>
          </w:p>
        </w:tc>
      </w:tr>
      <w:tr w:rsidR="00CF0CB0" w:rsidRPr="009960E1" w14:paraId="2DB71D0E" w14:textId="77777777" w:rsidTr="00F46A30">
        <w:trPr>
          <w:jc w:val="center"/>
        </w:trPr>
        <w:tc>
          <w:tcPr>
            <w:tcW w:w="1545" w:type="dxa"/>
            <w:shd w:val="clear" w:color="auto" w:fill="auto"/>
            <w:tcMar>
              <w:left w:w="57" w:type="dxa"/>
              <w:right w:w="57" w:type="dxa"/>
            </w:tcMar>
          </w:tcPr>
          <w:p w14:paraId="0D598CC3" w14:textId="77777777" w:rsidR="00CF0CB0" w:rsidRPr="009960E1" w:rsidRDefault="00000000" w:rsidP="00F27F0E">
            <w:pPr>
              <w:pStyle w:val="Tabletext"/>
              <w:rPr>
                <w:rStyle w:val="Hyperlink"/>
                <w:lang w:val="es-ES_tradnl"/>
              </w:rPr>
            </w:pPr>
            <w:hyperlink r:id="rId155" w:history="1">
              <w:r w:rsidR="00CF0CB0" w:rsidRPr="009960E1">
                <w:rPr>
                  <w:rStyle w:val="Hyperlink"/>
                  <w:lang w:val="es-ES_tradnl"/>
                </w:rPr>
                <w:t>DOC5</w:t>
              </w:r>
            </w:hyperlink>
          </w:p>
        </w:tc>
        <w:tc>
          <w:tcPr>
            <w:tcW w:w="5244" w:type="dxa"/>
            <w:shd w:val="clear" w:color="auto" w:fill="auto"/>
            <w:tcMar>
              <w:left w:w="57" w:type="dxa"/>
              <w:right w:w="57" w:type="dxa"/>
            </w:tcMar>
          </w:tcPr>
          <w:p w14:paraId="3F79DFEB" w14:textId="77777777" w:rsidR="00CF0CB0" w:rsidRPr="009960E1" w:rsidRDefault="00CF0CB0" w:rsidP="00F27F0E">
            <w:pPr>
              <w:pStyle w:val="Tabletext"/>
              <w:rPr>
                <w:lang w:val="es-ES_tradnl"/>
              </w:rPr>
            </w:pPr>
            <w:r w:rsidRPr="009960E1">
              <w:rPr>
                <w:lang w:val="es-ES_tradnl"/>
              </w:rPr>
              <w:t>Proyecto de informe (RG-IEM, 4 de abril de 2023)</w:t>
            </w:r>
          </w:p>
        </w:tc>
        <w:tc>
          <w:tcPr>
            <w:tcW w:w="1418" w:type="dxa"/>
            <w:shd w:val="clear" w:color="auto" w:fill="auto"/>
            <w:tcMar>
              <w:left w:w="57" w:type="dxa"/>
              <w:right w:w="57" w:type="dxa"/>
            </w:tcMar>
          </w:tcPr>
          <w:p w14:paraId="4190145C" w14:textId="3FFF80E1"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3</w:t>
            </w:r>
          </w:p>
        </w:tc>
        <w:tc>
          <w:tcPr>
            <w:tcW w:w="1701" w:type="dxa"/>
            <w:shd w:val="clear" w:color="auto" w:fill="auto"/>
            <w:tcMar>
              <w:left w:w="57" w:type="dxa"/>
              <w:right w:w="57" w:type="dxa"/>
            </w:tcMar>
          </w:tcPr>
          <w:p w14:paraId="4F69ED08" w14:textId="36A618EC" w:rsidR="00CF0CB0" w:rsidRPr="009960E1" w:rsidRDefault="00CF0CB0" w:rsidP="00F27F0E">
            <w:pPr>
              <w:pStyle w:val="Tabletext"/>
              <w:rPr>
                <w:lang w:val="es-ES_tradnl"/>
              </w:rPr>
            </w:pPr>
            <w:r w:rsidRPr="009960E1">
              <w:rPr>
                <w:lang w:val="es-ES_tradnl"/>
              </w:rPr>
              <w:t>04</w:t>
            </w:r>
            <w:r w:rsidR="00D216E9">
              <w:rPr>
                <w:lang w:val="es-ES_tradnl"/>
              </w:rPr>
              <w:t>/</w:t>
            </w:r>
            <w:r w:rsidRPr="009960E1">
              <w:rPr>
                <w:lang w:val="es-ES_tradnl"/>
              </w:rPr>
              <w:t>04</w:t>
            </w:r>
            <w:r w:rsidR="00D216E9">
              <w:rPr>
                <w:lang w:val="es-ES_tradnl"/>
              </w:rPr>
              <w:t>/</w:t>
            </w:r>
            <w:r w:rsidRPr="009960E1">
              <w:rPr>
                <w:lang w:val="es-ES_tradnl"/>
              </w:rPr>
              <w:t>2023</w:t>
            </w:r>
          </w:p>
        </w:tc>
      </w:tr>
      <w:tr w:rsidR="00CF0CB0" w:rsidRPr="009960E1" w14:paraId="081DD9AF" w14:textId="77777777" w:rsidTr="00F46A30">
        <w:trPr>
          <w:jc w:val="center"/>
        </w:trPr>
        <w:tc>
          <w:tcPr>
            <w:tcW w:w="1545" w:type="dxa"/>
            <w:shd w:val="clear" w:color="auto" w:fill="auto"/>
            <w:tcMar>
              <w:left w:w="57" w:type="dxa"/>
              <w:right w:w="57" w:type="dxa"/>
            </w:tcMar>
          </w:tcPr>
          <w:p w14:paraId="64E2710F" w14:textId="77777777" w:rsidR="00CF0CB0" w:rsidRPr="009960E1" w:rsidRDefault="00000000" w:rsidP="00F27F0E">
            <w:pPr>
              <w:pStyle w:val="Tabletext"/>
              <w:rPr>
                <w:rStyle w:val="Hyperlink"/>
                <w:lang w:val="es-ES_tradnl"/>
              </w:rPr>
            </w:pPr>
            <w:hyperlink r:id="rId156" w:history="1">
              <w:r w:rsidR="00CF0CB0" w:rsidRPr="009960E1">
                <w:rPr>
                  <w:rStyle w:val="Hyperlink"/>
                  <w:lang w:val="es-ES_tradnl"/>
                </w:rPr>
                <w:t>DOC1</w:t>
              </w:r>
            </w:hyperlink>
          </w:p>
        </w:tc>
        <w:tc>
          <w:tcPr>
            <w:tcW w:w="5244" w:type="dxa"/>
            <w:shd w:val="clear" w:color="auto" w:fill="auto"/>
            <w:tcMar>
              <w:left w:w="57" w:type="dxa"/>
              <w:right w:w="57" w:type="dxa"/>
            </w:tcMar>
          </w:tcPr>
          <w:p w14:paraId="5E183785" w14:textId="77777777" w:rsidR="00CF0CB0" w:rsidRPr="009960E1" w:rsidRDefault="00CF0CB0" w:rsidP="00F27F0E">
            <w:pPr>
              <w:pStyle w:val="Tabletext"/>
              <w:rPr>
                <w:lang w:val="es-ES_tradnl"/>
              </w:rPr>
            </w:pPr>
            <w:r w:rsidRPr="009960E1">
              <w:rPr>
                <w:lang w:val="es-ES_tradnl"/>
              </w:rPr>
              <w:t>[Proyecto] Plan de acción del UIT-T para una participación dinámica del sector industrial</w:t>
            </w:r>
          </w:p>
        </w:tc>
        <w:tc>
          <w:tcPr>
            <w:tcW w:w="1418" w:type="dxa"/>
            <w:shd w:val="clear" w:color="auto" w:fill="auto"/>
            <w:tcMar>
              <w:left w:w="57" w:type="dxa"/>
              <w:right w:w="57" w:type="dxa"/>
            </w:tcMar>
          </w:tcPr>
          <w:p w14:paraId="6216D8CF" w14:textId="44B237D1"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4</w:t>
            </w:r>
          </w:p>
        </w:tc>
        <w:tc>
          <w:tcPr>
            <w:tcW w:w="1701" w:type="dxa"/>
            <w:shd w:val="clear" w:color="auto" w:fill="auto"/>
            <w:tcMar>
              <w:left w:w="57" w:type="dxa"/>
              <w:right w:w="57" w:type="dxa"/>
            </w:tcMar>
          </w:tcPr>
          <w:p w14:paraId="218861D5" w14:textId="7F679689" w:rsidR="00CF0CB0" w:rsidRPr="009960E1" w:rsidRDefault="00CF0CB0" w:rsidP="00F27F0E">
            <w:pPr>
              <w:pStyle w:val="Tabletext"/>
              <w:rPr>
                <w:lang w:val="es-ES_tradnl"/>
              </w:rPr>
            </w:pPr>
            <w:r w:rsidRPr="009960E1">
              <w:rPr>
                <w:lang w:val="es-ES_tradnl"/>
              </w:rPr>
              <w:t>05</w:t>
            </w:r>
            <w:r w:rsidR="00D216E9">
              <w:rPr>
                <w:lang w:val="es-ES_tradnl"/>
              </w:rPr>
              <w:t>/</w:t>
            </w:r>
            <w:r w:rsidRPr="009960E1">
              <w:rPr>
                <w:lang w:val="es-ES_tradnl"/>
              </w:rPr>
              <w:t>05</w:t>
            </w:r>
            <w:r w:rsidR="00D216E9">
              <w:rPr>
                <w:lang w:val="es-ES_tradnl"/>
              </w:rPr>
              <w:t>/</w:t>
            </w:r>
            <w:r w:rsidRPr="009960E1">
              <w:rPr>
                <w:lang w:val="es-ES_tradnl"/>
              </w:rPr>
              <w:t>2023</w:t>
            </w:r>
          </w:p>
        </w:tc>
      </w:tr>
      <w:tr w:rsidR="00CF0CB0" w:rsidRPr="009960E1" w14:paraId="24B9BE9E" w14:textId="77777777" w:rsidTr="00F46A30">
        <w:trPr>
          <w:jc w:val="center"/>
        </w:trPr>
        <w:tc>
          <w:tcPr>
            <w:tcW w:w="1545" w:type="dxa"/>
            <w:shd w:val="clear" w:color="auto" w:fill="auto"/>
            <w:tcMar>
              <w:left w:w="57" w:type="dxa"/>
              <w:right w:w="57" w:type="dxa"/>
            </w:tcMar>
          </w:tcPr>
          <w:p w14:paraId="7C34D5FA" w14:textId="77777777" w:rsidR="00CF0CB0" w:rsidRPr="009960E1" w:rsidRDefault="00000000" w:rsidP="00F27F0E">
            <w:pPr>
              <w:pStyle w:val="Tabletext"/>
              <w:rPr>
                <w:rStyle w:val="Hyperlink"/>
                <w:lang w:val="es-ES_tradnl"/>
              </w:rPr>
            </w:pPr>
            <w:hyperlink r:id="rId157" w:history="1">
              <w:r w:rsidR="00CF0CB0" w:rsidRPr="009960E1">
                <w:rPr>
                  <w:rStyle w:val="Hyperlink"/>
                  <w:lang w:val="es-ES_tradnl"/>
                </w:rPr>
                <w:t>DOC5</w:t>
              </w:r>
            </w:hyperlink>
          </w:p>
        </w:tc>
        <w:tc>
          <w:tcPr>
            <w:tcW w:w="5244" w:type="dxa"/>
            <w:shd w:val="clear" w:color="auto" w:fill="auto"/>
            <w:tcMar>
              <w:left w:w="57" w:type="dxa"/>
              <w:right w:w="57" w:type="dxa"/>
            </w:tcMar>
          </w:tcPr>
          <w:p w14:paraId="1201DBFF" w14:textId="77777777" w:rsidR="00CF0CB0" w:rsidRPr="009960E1" w:rsidRDefault="00CF0CB0" w:rsidP="00F27F0E">
            <w:pPr>
              <w:pStyle w:val="Tabletext"/>
              <w:rPr>
                <w:lang w:val="es-ES_tradnl"/>
              </w:rPr>
            </w:pPr>
            <w:r w:rsidRPr="009960E1">
              <w:rPr>
                <w:lang w:val="es-ES_tradnl"/>
              </w:rPr>
              <w:t>Proyecto de informe (RG-IEM, 5 de mayo de 2023)</w:t>
            </w:r>
          </w:p>
        </w:tc>
        <w:tc>
          <w:tcPr>
            <w:tcW w:w="1418" w:type="dxa"/>
            <w:shd w:val="clear" w:color="auto" w:fill="auto"/>
            <w:tcMar>
              <w:left w:w="57" w:type="dxa"/>
              <w:right w:w="57" w:type="dxa"/>
            </w:tcMar>
          </w:tcPr>
          <w:p w14:paraId="6C6188FF" w14:textId="16A9A1A6"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4</w:t>
            </w:r>
          </w:p>
        </w:tc>
        <w:tc>
          <w:tcPr>
            <w:tcW w:w="1701" w:type="dxa"/>
            <w:shd w:val="clear" w:color="auto" w:fill="auto"/>
            <w:tcMar>
              <w:left w:w="57" w:type="dxa"/>
              <w:right w:w="57" w:type="dxa"/>
            </w:tcMar>
          </w:tcPr>
          <w:p w14:paraId="74D183C9" w14:textId="6B5ACEA2" w:rsidR="00CF0CB0" w:rsidRPr="009960E1" w:rsidRDefault="00CF0CB0" w:rsidP="00F27F0E">
            <w:pPr>
              <w:pStyle w:val="Tabletext"/>
              <w:rPr>
                <w:lang w:val="es-ES_tradnl"/>
              </w:rPr>
            </w:pPr>
            <w:r w:rsidRPr="009960E1">
              <w:rPr>
                <w:lang w:val="es-ES_tradnl"/>
              </w:rPr>
              <w:t>05</w:t>
            </w:r>
            <w:r w:rsidR="00D216E9">
              <w:rPr>
                <w:lang w:val="es-ES_tradnl"/>
              </w:rPr>
              <w:t>/</w:t>
            </w:r>
            <w:r w:rsidRPr="009960E1">
              <w:rPr>
                <w:lang w:val="es-ES_tradnl"/>
              </w:rPr>
              <w:t>05</w:t>
            </w:r>
            <w:r w:rsidR="00D216E9">
              <w:rPr>
                <w:lang w:val="es-ES_tradnl"/>
              </w:rPr>
              <w:t>/</w:t>
            </w:r>
            <w:r w:rsidRPr="009960E1">
              <w:rPr>
                <w:lang w:val="es-ES_tradnl"/>
              </w:rPr>
              <w:t>2023</w:t>
            </w:r>
          </w:p>
        </w:tc>
      </w:tr>
      <w:tr w:rsidR="00CF0CB0" w:rsidRPr="009960E1" w14:paraId="4637A0AA" w14:textId="77777777" w:rsidTr="00F46A30">
        <w:trPr>
          <w:jc w:val="center"/>
        </w:trPr>
        <w:tc>
          <w:tcPr>
            <w:tcW w:w="1545" w:type="dxa"/>
            <w:shd w:val="clear" w:color="auto" w:fill="auto"/>
            <w:tcMar>
              <w:left w:w="57" w:type="dxa"/>
              <w:right w:w="57" w:type="dxa"/>
            </w:tcMar>
          </w:tcPr>
          <w:p w14:paraId="04D26BF9" w14:textId="77777777" w:rsidR="00CF0CB0" w:rsidRPr="009960E1" w:rsidRDefault="00000000" w:rsidP="00F27F0E">
            <w:pPr>
              <w:pStyle w:val="Tabletext"/>
              <w:rPr>
                <w:rStyle w:val="Hyperlink"/>
                <w:lang w:val="es-ES_tradnl"/>
              </w:rPr>
            </w:pPr>
            <w:hyperlink r:id="rId158" w:history="1">
              <w:r w:rsidR="00CF0CB0" w:rsidRPr="009960E1">
                <w:rPr>
                  <w:rStyle w:val="Hyperlink"/>
                  <w:lang w:val="es-ES_tradnl"/>
                </w:rPr>
                <w:t>DOC6</w:t>
              </w:r>
            </w:hyperlink>
          </w:p>
        </w:tc>
        <w:tc>
          <w:tcPr>
            <w:tcW w:w="5244" w:type="dxa"/>
            <w:shd w:val="clear" w:color="auto" w:fill="auto"/>
            <w:tcMar>
              <w:left w:w="57" w:type="dxa"/>
              <w:right w:w="57" w:type="dxa"/>
            </w:tcMar>
          </w:tcPr>
          <w:p w14:paraId="1784E841" w14:textId="27602B23" w:rsidR="00CF0CB0" w:rsidRPr="009960E1" w:rsidRDefault="00CF0CB0" w:rsidP="00F27F0E">
            <w:pPr>
              <w:pStyle w:val="Tabletext"/>
              <w:rPr>
                <w:lang w:val="es-ES_tradnl"/>
              </w:rPr>
            </w:pPr>
            <w:r w:rsidRPr="009960E1">
              <w:rPr>
                <w:lang w:val="es-ES_tradnl"/>
              </w:rPr>
              <w:t>Proyecto de informe del taller sobre participación</w:t>
            </w:r>
            <w:r w:rsidR="00F46A30" w:rsidRPr="009960E1">
              <w:rPr>
                <w:lang w:val="es-ES_tradnl"/>
              </w:rPr>
              <w:br/>
            </w:r>
            <w:r w:rsidRPr="009960E1">
              <w:rPr>
                <w:lang w:val="es-ES_tradnl"/>
              </w:rPr>
              <w:t>de la industria</w:t>
            </w:r>
          </w:p>
        </w:tc>
        <w:tc>
          <w:tcPr>
            <w:tcW w:w="1418" w:type="dxa"/>
            <w:shd w:val="clear" w:color="auto" w:fill="auto"/>
            <w:tcMar>
              <w:left w:w="57" w:type="dxa"/>
              <w:right w:w="57" w:type="dxa"/>
            </w:tcMar>
          </w:tcPr>
          <w:p w14:paraId="60CED350" w14:textId="35C5EB41"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4</w:t>
            </w:r>
          </w:p>
        </w:tc>
        <w:tc>
          <w:tcPr>
            <w:tcW w:w="1701" w:type="dxa"/>
            <w:shd w:val="clear" w:color="auto" w:fill="auto"/>
            <w:tcMar>
              <w:left w:w="57" w:type="dxa"/>
              <w:right w:w="57" w:type="dxa"/>
            </w:tcMar>
          </w:tcPr>
          <w:p w14:paraId="798D8BC3" w14:textId="53249E63" w:rsidR="00CF0CB0" w:rsidRPr="009960E1" w:rsidRDefault="00CF0CB0" w:rsidP="00F27F0E">
            <w:pPr>
              <w:pStyle w:val="Tabletext"/>
              <w:rPr>
                <w:lang w:val="es-ES_tradnl"/>
              </w:rPr>
            </w:pPr>
            <w:r w:rsidRPr="009960E1">
              <w:rPr>
                <w:lang w:val="es-ES_tradnl"/>
              </w:rPr>
              <w:t>07</w:t>
            </w:r>
            <w:r w:rsidR="00D216E9">
              <w:rPr>
                <w:lang w:val="es-ES_tradnl"/>
              </w:rPr>
              <w:t>/</w:t>
            </w:r>
            <w:r w:rsidRPr="009960E1">
              <w:rPr>
                <w:lang w:val="es-ES_tradnl"/>
              </w:rPr>
              <w:t>05</w:t>
            </w:r>
            <w:r w:rsidR="00D216E9">
              <w:rPr>
                <w:lang w:val="es-ES_tradnl"/>
              </w:rPr>
              <w:t>/</w:t>
            </w:r>
            <w:r w:rsidRPr="009960E1">
              <w:rPr>
                <w:lang w:val="es-ES_tradnl"/>
              </w:rPr>
              <w:t>2024</w:t>
            </w:r>
          </w:p>
        </w:tc>
      </w:tr>
      <w:tr w:rsidR="00CF0CB0" w:rsidRPr="009960E1" w14:paraId="7692B7BF" w14:textId="77777777" w:rsidTr="00F46A30">
        <w:trPr>
          <w:jc w:val="center"/>
        </w:trPr>
        <w:tc>
          <w:tcPr>
            <w:tcW w:w="1545" w:type="dxa"/>
            <w:shd w:val="clear" w:color="auto" w:fill="auto"/>
            <w:tcMar>
              <w:left w:w="57" w:type="dxa"/>
              <w:right w:w="57" w:type="dxa"/>
            </w:tcMar>
          </w:tcPr>
          <w:p w14:paraId="5F1B7817" w14:textId="77777777" w:rsidR="00CF0CB0" w:rsidRPr="009960E1" w:rsidRDefault="00000000" w:rsidP="00F27F0E">
            <w:pPr>
              <w:pStyle w:val="Tabletext"/>
              <w:rPr>
                <w:rStyle w:val="Hyperlink"/>
                <w:lang w:val="es-ES_tradnl"/>
              </w:rPr>
            </w:pPr>
            <w:hyperlink r:id="rId159" w:history="1">
              <w:r w:rsidR="00CF0CB0" w:rsidRPr="009960E1">
                <w:rPr>
                  <w:rStyle w:val="Hyperlink"/>
                  <w:lang w:val="es-ES_tradnl"/>
                </w:rPr>
                <w:t>DOC6 Adj.1</w:t>
              </w:r>
            </w:hyperlink>
          </w:p>
        </w:tc>
        <w:tc>
          <w:tcPr>
            <w:tcW w:w="5244" w:type="dxa"/>
            <w:shd w:val="clear" w:color="auto" w:fill="auto"/>
            <w:tcMar>
              <w:left w:w="57" w:type="dxa"/>
              <w:right w:w="57" w:type="dxa"/>
            </w:tcMar>
          </w:tcPr>
          <w:p w14:paraId="3BDAFE7F" w14:textId="77777777" w:rsidR="00CF0CB0" w:rsidRPr="009960E1" w:rsidRDefault="00CF0CB0" w:rsidP="00F27F0E">
            <w:pPr>
              <w:pStyle w:val="Tabletext"/>
              <w:rPr>
                <w:lang w:val="es-ES_tradnl"/>
              </w:rPr>
            </w:pPr>
            <w:r w:rsidRPr="009960E1">
              <w:rPr>
                <w:lang w:val="es-ES_tradnl"/>
              </w:rPr>
              <w:t>Trabajo en curso: plan de acción revisado</w:t>
            </w:r>
          </w:p>
        </w:tc>
        <w:tc>
          <w:tcPr>
            <w:tcW w:w="1418" w:type="dxa"/>
            <w:shd w:val="clear" w:color="auto" w:fill="auto"/>
            <w:tcMar>
              <w:left w:w="57" w:type="dxa"/>
              <w:right w:w="57" w:type="dxa"/>
            </w:tcMar>
          </w:tcPr>
          <w:p w14:paraId="5B621671" w14:textId="77FAD94F" w:rsidR="00CF0CB0" w:rsidRPr="009960E1" w:rsidRDefault="00CF0CB0" w:rsidP="00F27F0E">
            <w:pPr>
              <w:pStyle w:val="Tabletext"/>
              <w:rPr>
                <w:lang w:val="es-ES_tradnl"/>
              </w:rPr>
            </w:pPr>
            <w:r w:rsidRPr="009960E1">
              <w:rPr>
                <w:lang w:val="es-ES_tradnl"/>
              </w:rPr>
              <w:t xml:space="preserve">RG-IEM </w:t>
            </w:r>
            <w:r w:rsidR="00F46A30" w:rsidRPr="009960E1">
              <w:rPr>
                <w:lang w:val="es-ES_tradnl"/>
              </w:rPr>
              <w:t xml:space="preserve">nº </w:t>
            </w:r>
            <w:r w:rsidRPr="009960E1">
              <w:rPr>
                <w:lang w:val="es-ES_tradnl"/>
              </w:rPr>
              <w:t>5</w:t>
            </w:r>
          </w:p>
        </w:tc>
        <w:tc>
          <w:tcPr>
            <w:tcW w:w="1701" w:type="dxa"/>
            <w:shd w:val="clear" w:color="auto" w:fill="auto"/>
            <w:tcMar>
              <w:left w:w="57" w:type="dxa"/>
              <w:right w:w="57" w:type="dxa"/>
            </w:tcMar>
          </w:tcPr>
          <w:p w14:paraId="5D03D1C1" w14:textId="05F48A11" w:rsidR="00CF0CB0" w:rsidRPr="009960E1" w:rsidRDefault="00CF0CB0" w:rsidP="00F27F0E">
            <w:pPr>
              <w:pStyle w:val="Tabletext"/>
              <w:rPr>
                <w:lang w:val="es-ES_tradnl"/>
              </w:rPr>
            </w:pPr>
            <w:r w:rsidRPr="009960E1">
              <w:rPr>
                <w:lang w:val="es-ES_tradnl"/>
              </w:rPr>
              <w:t>14</w:t>
            </w:r>
            <w:r w:rsidR="00D216E9">
              <w:rPr>
                <w:lang w:val="es-ES_tradnl"/>
              </w:rPr>
              <w:t>/</w:t>
            </w:r>
            <w:r w:rsidRPr="009960E1">
              <w:rPr>
                <w:lang w:val="es-ES_tradnl"/>
              </w:rPr>
              <w:t>06</w:t>
            </w:r>
            <w:r w:rsidR="00D216E9">
              <w:rPr>
                <w:lang w:val="es-ES_tradnl"/>
              </w:rPr>
              <w:t>/</w:t>
            </w:r>
            <w:r w:rsidRPr="009960E1">
              <w:rPr>
                <w:lang w:val="es-ES_tradnl"/>
              </w:rPr>
              <w:t>2024</w:t>
            </w:r>
          </w:p>
        </w:tc>
      </w:tr>
    </w:tbl>
    <w:p w14:paraId="16C7AB9B" w14:textId="77777777" w:rsidR="00CF0CB0" w:rsidRPr="009960E1" w:rsidRDefault="00CF0CB0" w:rsidP="00CF0CB0">
      <w:pPr>
        <w:rPr>
          <w:sz w:val="28"/>
          <w:lang w:val="es-ES_tradnl"/>
        </w:rPr>
      </w:pPr>
      <w:r w:rsidRPr="009960E1">
        <w:rPr>
          <w:lang w:val="es-ES_tradnl"/>
        </w:rPr>
        <w:br w:type="page"/>
      </w:r>
    </w:p>
    <w:p w14:paraId="050F272A" w14:textId="77777777" w:rsidR="00CF0CB0" w:rsidRPr="009960E1" w:rsidRDefault="00CF0CB0" w:rsidP="00CF0CB0">
      <w:pPr>
        <w:pStyle w:val="AnnexNotitle"/>
        <w:rPr>
          <w:b w:val="0"/>
          <w:lang w:val="es-ES_tradnl"/>
        </w:rPr>
      </w:pPr>
      <w:bookmarkStart w:id="96" w:name="_Toc179189986"/>
      <w:r w:rsidRPr="009960E1">
        <w:rPr>
          <w:bCs/>
          <w:lang w:val="es-ES_tradnl"/>
        </w:rPr>
        <w:lastRenderedPageBreak/>
        <w:t>Anexo B: Referencias</w:t>
      </w:r>
      <w:r w:rsidRPr="009960E1">
        <w:rPr>
          <w:bCs/>
          <w:lang w:val="es-ES_tradnl"/>
        </w:rPr>
        <w:br/>
      </w:r>
      <w:r w:rsidRPr="009960E1">
        <w:rPr>
          <w:b w:val="0"/>
          <w:bCs/>
          <w:lang w:val="es-ES_tradnl"/>
        </w:rPr>
        <w:t>(al plan de acción del UIT-T para una participación dinámica del sector industrial)</w:t>
      </w:r>
      <w:bookmarkEnd w:id="96"/>
    </w:p>
    <w:p w14:paraId="02DE9535" w14:textId="36C389A0" w:rsidR="00CF0CB0" w:rsidRPr="009960E1" w:rsidRDefault="00CF0CB0" w:rsidP="00BA25D1">
      <w:pPr>
        <w:pStyle w:val="Reftext"/>
        <w:spacing w:before="240"/>
        <w:ind w:left="2694" w:hanging="2880"/>
        <w:rPr>
          <w:lang w:val="es-ES_tradnl"/>
        </w:rPr>
      </w:pPr>
      <w:r w:rsidRPr="009960E1">
        <w:rPr>
          <w:lang w:val="es-ES_tradnl"/>
        </w:rPr>
        <w:t>[b-Plan Estratégico de la UIT]</w:t>
      </w:r>
      <w:r w:rsidRPr="009960E1">
        <w:rPr>
          <w:lang w:val="es-ES_tradnl"/>
        </w:rPr>
        <w:tab/>
        <w:t>ANEXO 1 A LA RESOLUCIÓN 71 DE LA PP (REV.</w:t>
      </w:r>
      <w:r w:rsidR="00A7385A" w:rsidRPr="009960E1">
        <w:rPr>
          <w:lang w:val="es-ES_tradnl"/>
        </w:rPr>
        <w:t> </w:t>
      </w:r>
      <w:r w:rsidRPr="009960E1">
        <w:rPr>
          <w:lang w:val="es-ES_tradnl"/>
        </w:rPr>
        <w:t>BUCAREST, 2022): Plan Estratégico de la UIT para 2024</w:t>
      </w:r>
      <w:r w:rsidR="00A7385A" w:rsidRPr="009960E1">
        <w:rPr>
          <w:lang w:val="es-ES_tradnl"/>
        </w:rPr>
        <w:noBreakHyphen/>
      </w:r>
      <w:r w:rsidRPr="009960E1">
        <w:rPr>
          <w:lang w:val="es-ES_tradnl"/>
        </w:rPr>
        <w:t xml:space="preserve">2027, </w:t>
      </w:r>
      <w:hyperlink r:id="rId160" w:history="1">
        <w:r w:rsidRPr="009960E1">
          <w:rPr>
            <w:rStyle w:val="Hyperlink"/>
            <w:lang w:val="es-ES_tradnl"/>
          </w:rPr>
          <w:t>https://itu.int/en/council/planning/Documents/Res71-PP2-final.pdf</w:t>
        </w:r>
      </w:hyperlink>
      <w:r w:rsidRPr="009960E1">
        <w:rPr>
          <w:lang w:val="es-ES_tradnl"/>
        </w:rPr>
        <w:t>.</w:t>
      </w:r>
    </w:p>
    <w:p w14:paraId="300ECAE7" w14:textId="77777777" w:rsidR="00CF0CB0" w:rsidRPr="009960E1" w:rsidRDefault="00CF0CB0" w:rsidP="00C92B0C">
      <w:pPr>
        <w:pStyle w:val="Reasons"/>
        <w:rPr>
          <w:lang w:val="es-ES_tradnl"/>
        </w:rPr>
      </w:pPr>
    </w:p>
    <w:p w14:paraId="6304906A" w14:textId="77777777" w:rsidR="00C92B0C" w:rsidRPr="00EB6D43" w:rsidRDefault="00C92B0C" w:rsidP="00C92B0C">
      <w:pPr>
        <w:spacing w:before="240"/>
        <w:jc w:val="center"/>
        <w:rPr>
          <w:lang w:val="fr-FR"/>
        </w:rPr>
      </w:pPr>
      <w:r w:rsidRPr="00EB6D43">
        <w:rPr>
          <w:lang w:val="fr-FR"/>
        </w:rPr>
        <w:t>______________</w:t>
      </w:r>
    </w:p>
    <w:sectPr w:rsidR="00C92B0C" w:rsidRPr="00EB6D43" w:rsidSect="00DB13C5">
      <w:headerReference w:type="default" r:id="rId161"/>
      <w:footerReference w:type="even" r:id="rId162"/>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C2C48" w14:textId="77777777" w:rsidR="00977327" w:rsidRDefault="00977327">
      <w:r>
        <w:separator/>
      </w:r>
    </w:p>
  </w:endnote>
  <w:endnote w:type="continuationSeparator" w:id="0">
    <w:p w14:paraId="6ADFEA75" w14:textId="77777777" w:rsidR="00977327" w:rsidRDefault="00977327">
      <w:r>
        <w:continuationSeparator/>
      </w:r>
    </w:p>
  </w:endnote>
  <w:endnote w:type="continuationNotice" w:id="1">
    <w:p w14:paraId="4B4B2728" w14:textId="77777777" w:rsidR="00977327" w:rsidRDefault="009773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E282B" w14:textId="77777777" w:rsidR="009D4900" w:rsidRDefault="009D4900">
    <w:pPr>
      <w:framePr w:wrap="around" w:vAnchor="text" w:hAnchor="margin" w:xAlign="right" w:y="1"/>
    </w:pPr>
    <w:r>
      <w:fldChar w:fldCharType="begin"/>
    </w:r>
    <w:r>
      <w:instrText xml:space="preserve">PAGE  </w:instrText>
    </w:r>
    <w:r>
      <w:fldChar w:fldCharType="end"/>
    </w:r>
  </w:p>
  <w:p w14:paraId="1D57CE98" w14:textId="5F70ACE8"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0D771F">
      <w:rPr>
        <w:noProof/>
        <w:lang w:val="en-US"/>
      </w:rPr>
      <w:t>P:\ESP\gDocs\2024\2402033S.docx</w:t>
    </w:r>
    <w:r>
      <w:fldChar w:fldCharType="end"/>
    </w:r>
    <w:r w:rsidRPr="0041348E">
      <w:rPr>
        <w:lang w:val="en-US"/>
      </w:rPr>
      <w:tab/>
    </w:r>
    <w:r>
      <w:fldChar w:fldCharType="begin"/>
    </w:r>
    <w:r>
      <w:instrText xml:space="preserve"> SAVEDATE \@ DD.MM.YY </w:instrText>
    </w:r>
    <w:r>
      <w:fldChar w:fldCharType="separate"/>
    </w:r>
    <w:r w:rsidR="00BE4E50">
      <w:rPr>
        <w:noProof/>
      </w:rPr>
      <w:t>08.10.24</w:t>
    </w:r>
    <w:r>
      <w:fldChar w:fldCharType="end"/>
    </w:r>
    <w:r w:rsidRPr="0041348E">
      <w:rPr>
        <w:lang w:val="en-US"/>
      </w:rPr>
      <w:tab/>
    </w:r>
    <w:r>
      <w:fldChar w:fldCharType="begin"/>
    </w:r>
    <w:r>
      <w:instrText xml:space="preserve"> PRINTDATE \@ DD.MM.YY </w:instrText>
    </w:r>
    <w:r>
      <w:fldChar w:fldCharType="separate"/>
    </w:r>
    <w:r w:rsidR="000D771F">
      <w:rPr>
        <w:noProof/>
      </w:rPr>
      <w:t>04.10.24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D0468" w14:textId="77777777" w:rsidR="00977327" w:rsidRDefault="00977327">
      <w:r>
        <w:rPr>
          <w:b/>
        </w:rPr>
        <w:t>_______________</w:t>
      </w:r>
    </w:p>
  </w:footnote>
  <w:footnote w:type="continuationSeparator" w:id="0">
    <w:p w14:paraId="3E6AE6A2" w14:textId="77777777" w:rsidR="00977327" w:rsidRDefault="00977327">
      <w:r>
        <w:continuationSeparator/>
      </w:r>
    </w:p>
  </w:footnote>
  <w:footnote w:type="continuationNotice" w:id="1">
    <w:p w14:paraId="03DB3A0F" w14:textId="77777777" w:rsidR="00977327" w:rsidRDefault="00977327">
      <w:pPr>
        <w:spacing w:before="0"/>
      </w:pPr>
    </w:p>
  </w:footnote>
  <w:footnote w:id="2">
    <w:p w14:paraId="3B903865" w14:textId="5CA998D3" w:rsidR="00CF0CB0" w:rsidRPr="00A0651E" w:rsidRDefault="00CF0CB0" w:rsidP="00CF0CB0">
      <w:pPr>
        <w:pStyle w:val="FootnoteText"/>
        <w:rPr>
          <w:sz w:val="20"/>
          <w:lang w:val="es-ES"/>
        </w:rPr>
      </w:pPr>
      <w:r w:rsidRPr="00701218">
        <w:rPr>
          <w:rStyle w:val="FootnoteReference"/>
          <w:szCs w:val="18"/>
          <w:lang w:val="es-ES"/>
        </w:rPr>
        <w:footnoteRef/>
      </w:r>
      <w:r w:rsidR="008D76C0" w:rsidRPr="00A0651E">
        <w:rPr>
          <w:sz w:val="20"/>
          <w:lang w:val="es-ES"/>
        </w:rPr>
        <w:tab/>
      </w:r>
      <w:r w:rsidRPr="00A0651E">
        <w:rPr>
          <w:sz w:val="20"/>
          <w:lang w:val="es-ES"/>
        </w:rPr>
        <w:t>Anexo al Convenio 1004: Organismos científicos e industriales: Toda organización, distinta de un organismo o entidad gubernamental, que se dedique al estudio de los problemas de las telecomunicaciones o al diseño o fabricación de equipos destinados a los servicios de telecomunicación. Otras entidades y organizaciones de conformidad con el Artículo 19 son las instituciones de financiación o de desarrollo (número 229) y otras entidades que se ocupan de cuestiones de telecomunicaciones aprobadas por el Estado Miembro interesado (número 230).</w:t>
      </w:r>
    </w:p>
  </w:footnote>
  <w:footnote w:id="3">
    <w:p w14:paraId="26D03C7B" w14:textId="77236DA5" w:rsidR="00CF0CB0" w:rsidRPr="00A0651E" w:rsidRDefault="00CF0CB0" w:rsidP="00CF0CB0">
      <w:pPr>
        <w:pStyle w:val="FootnoteText"/>
        <w:rPr>
          <w:sz w:val="20"/>
          <w:lang w:val="es-ES"/>
        </w:rPr>
      </w:pPr>
      <w:r w:rsidRPr="00701218">
        <w:rPr>
          <w:rStyle w:val="FootnoteReference"/>
          <w:szCs w:val="18"/>
          <w:lang w:val="es-ES"/>
        </w:rPr>
        <w:footnoteRef/>
      </w:r>
      <w:r w:rsidR="008D76C0" w:rsidRPr="00A0651E">
        <w:rPr>
          <w:sz w:val="20"/>
          <w:lang w:val="es-ES"/>
        </w:rPr>
        <w:tab/>
      </w:r>
      <w:r w:rsidRPr="00A0651E">
        <w:rPr>
          <w:sz w:val="20"/>
          <w:lang w:val="es-ES"/>
        </w:rPr>
        <w:t>De conformidad con el número 241B del Convenio, "Las entidades u organizaciones previstas en los números 229 a 231 anteriores podrán solicitar ser admitidas a participar a título de Asociado en los trabajos de una Comisión de Estudio determinada". No obstante, esta disposición, a los efectos de este análisis, los Asociados de la industria están vinculados a las OIS y a las EER.</w:t>
      </w:r>
    </w:p>
  </w:footnote>
  <w:footnote w:id="4">
    <w:p w14:paraId="1DAD0098" w14:textId="12AD323B" w:rsidR="00CF0CB0" w:rsidRPr="00A0651E" w:rsidRDefault="00CF0CB0" w:rsidP="00CF0CB0">
      <w:pPr>
        <w:pStyle w:val="FootnoteText"/>
        <w:rPr>
          <w:sz w:val="20"/>
          <w:lang w:val="es-ES"/>
        </w:rPr>
      </w:pPr>
      <w:r w:rsidRPr="00701218">
        <w:rPr>
          <w:rStyle w:val="FootnoteReference"/>
          <w:szCs w:val="18"/>
          <w:lang w:val="es-ES"/>
        </w:rPr>
        <w:footnoteRef/>
      </w:r>
      <w:r w:rsidR="008D76C0" w:rsidRPr="00A0651E">
        <w:rPr>
          <w:sz w:val="20"/>
          <w:lang w:val="es-ES"/>
        </w:rPr>
        <w:tab/>
      </w:r>
      <w:r w:rsidRPr="00A0651E">
        <w:rPr>
          <w:sz w:val="20"/>
          <w:lang w:val="es-ES"/>
        </w:rPr>
        <w:t xml:space="preserve">Si bien el término "pyme" no está definido con precisión, cabe destacar el </w:t>
      </w:r>
      <w:r w:rsidRPr="00A0651E">
        <w:rPr>
          <w:i/>
          <w:iCs/>
          <w:sz w:val="20"/>
          <w:lang w:val="es-ES"/>
        </w:rPr>
        <w:t xml:space="preserve">considerando d) </w:t>
      </w:r>
      <w:r w:rsidRPr="00A0651E">
        <w:rPr>
          <w:sz w:val="20"/>
          <w:lang w:val="es-ES"/>
        </w:rPr>
        <w:t>de la Resolución 209 de la PP: "que, en muchos países, principalmente países en desarrollo, las pymes se han constituido en actores destacados en el proceso de expansión industrial y en el incremento de la producción local, llegando en algunos casos a representar más del 90% de la industria nacional".</w:t>
      </w:r>
    </w:p>
  </w:footnote>
  <w:footnote w:id="5">
    <w:p w14:paraId="10FC8CC1" w14:textId="3823AFD9" w:rsidR="00CF0CB0" w:rsidRPr="00701218" w:rsidRDefault="00CF0CB0" w:rsidP="00CF0CB0">
      <w:pPr>
        <w:pStyle w:val="FootnoteText"/>
        <w:rPr>
          <w:sz w:val="20"/>
          <w:szCs w:val="16"/>
          <w:lang w:val="es-ES"/>
        </w:rPr>
      </w:pPr>
      <w:r>
        <w:rPr>
          <w:rStyle w:val="FootnoteReference"/>
          <w:lang w:val="es-ES"/>
        </w:rPr>
        <w:footnoteRef/>
      </w:r>
      <w:r w:rsidR="008741F6">
        <w:rPr>
          <w:lang w:val="es-ES"/>
        </w:rPr>
        <w:tab/>
      </w:r>
      <w:hyperlink r:id="rId1" w:history="1">
        <w:r w:rsidR="008741F6" w:rsidRPr="00701218">
          <w:rPr>
            <w:rStyle w:val="Hyperlink"/>
            <w:sz w:val="20"/>
            <w:szCs w:val="16"/>
            <w:lang w:val="es-ES"/>
          </w:rPr>
          <w:t>https://www.itu.int/dms_pub/itu-s/opb/conf/S-CONF-ACTF-2022-PDF-S.pdf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740E5" w14:textId="77777777" w:rsidR="00A52D1A" w:rsidRDefault="00A52D1A" w:rsidP="005E2231">
    <w:pPr>
      <w:pStyle w:val="Header"/>
      <w:rPr>
        <w:lang w:val="pt-BR"/>
      </w:rPr>
    </w:pPr>
    <w:r>
      <w:fldChar w:fldCharType="begin"/>
    </w:r>
    <w:r>
      <w:instrText xml:space="preserve"> PAGE  \* MERGEFORMAT </w:instrText>
    </w:r>
    <w:r>
      <w:fldChar w:fldCharType="separate"/>
    </w:r>
    <w:r>
      <w:rPr>
        <w:noProof/>
      </w:rPr>
      <w:t>2</w:t>
    </w:r>
    <w:r>
      <w:rPr>
        <w:noProof/>
      </w:rPr>
      <w:fldChar w:fldCharType="end"/>
    </w:r>
  </w:p>
  <w:p w14:paraId="63714604" w14:textId="4F113D69" w:rsidR="00A52D1A" w:rsidRPr="00A52D1A" w:rsidRDefault="00610EBA" w:rsidP="00A52D1A">
    <w:pPr>
      <w:pStyle w:val="Header"/>
    </w:pPr>
    <w:r>
      <w:rPr>
        <w:noProof/>
      </w:rPr>
      <w:t>WTSA-24/24-S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F3321"/>
    <w:multiLevelType w:val="hybridMultilevel"/>
    <w:tmpl w:val="5FB2990C"/>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934A99"/>
    <w:multiLevelType w:val="hybridMultilevel"/>
    <w:tmpl w:val="25184E1A"/>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B7EA5"/>
    <w:multiLevelType w:val="hybridMultilevel"/>
    <w:tmpl w:val="B97432F8"/>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51F1413"/>
    <w:multiLevelType w:val="hybridMultilevel"/>
    <w:tmpl w:val="B65A135A"/>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C5904"/>
    <w:multiLevelType w:val="hybridMultilevel"/>
    <w:tmpl w:val="9140B182"/>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111955"/>
    <w:multiLevelType w:val="hybridMultilevel"/>
    <w:tmpl w:val="339A2286"/>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EA0B42"/>
    <w:multiLevelType w:val="hybridMultilevel"/>
    <w:tmpl w:val="26F85240"/>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7A0596"/>
    <w:multiLevelType w:val="hybridMultilevel"/>
    <w:tmpl w:val="11DC67C4"/>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7B504F"/>
    <w:multiLevelType w:val="multilevel"/>
    <w:tmpl w:val="2E909B86"/>
    <w:styleLink w:val="CurrentList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4AE650A"/>
    <w:multiLevelType w:val="hybridMultilevel"/>
    <w:tmpl w:val="20247A4E"/>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747773"/>
    <w:multiLevelType w:val="hybridMultilevel"/>
    <w:tmpl w:val="8B64F378"/>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A9A18AF"/>
    <w:multiLevelType w:val="hybridMultilevel"/>
    <w:tmpl w:val="6BFAD5C4"/>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4F3E9B"/>
    <w:multiLevelType w:val="hybridMultilevel"/>
    <w:tmpl w:val="FA761F92"/>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DA9330A"/>
    <w:multiLevelType w:val="hybridMultilevel"/>
    <w:tmpl w:val="99024DD8"/>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E5514C1"/>
    <w:multiLevelType w:val="hybridMultilevel"/>
    <w:tmpl w:val="EBA005FA"/>
    <w:lvl w:ilvl="0" w:tplc="18561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F4867B4"/>
    <w:multiLevelType w:val="multilevel"/>
    <w:tmpl w:val="459E1700"/>
    <w:styleLink w:val="CurrentList2"/>
    <w:lvl w:ilvl="0">
      <w:start w:val="5"/>
      <w:numFmt w:val="bullet"/>
      <w:lvlText w:val="-"/>
      <w:lvlJc w:val="left"/>
      <w:pPr>
        <w:ind w:left="656" w:hanging="420"/>
      </w:pPr>
      <w:rPr>
        <w:rFonts w:ascii="Times New Roman" w:eastAsia="Times New Roman" w:hAnsi="Times New Roman" w:cs="Times New Roman" w:hint="default"/>
      </w:rPr>
    </w:lvl>
    <w:lvl w:ilvl="1">
      <w:start w:val="1"/>
      <w:numFmt w:val="bullet"/>
      <w:lvlText w:val=""/>
      <w:lvlJc w:val="left"/>
      <w:pPr>
        <w:ind w:left="1076" w:hanging="420"/>
      </w:pPr>
      <w:rPr>
        <w:rFonts w:ascii="Wingdings" w:hAnsi="Wingdings" w:hint="default"/>
      </w:rPr>
    </w:lvl>
    <w:lvl w:ilvl="2">
      <w:start w:val="1"/>
      <w:numFmt w:val="bullet"/>
      <w:lvlText w:val=""/>
      <w:lvlJc w:val="left"/>
      <w:pPr>
        <w:ind w:left="1496" w:hanging="420"/>
      </w:pPr>
      <w:rPr>
        <w:rFonts w:ascii="Wingdings" w:hAnsi="Wingdings" w:hint="default"/>
      </w:rPr>
    </w:lvl>
    <w:lvl w:ilvl="3">
      <w:start w:val="1"/>
      <w:numFmt w:val="bullet"/>
      <w:lvlText w:val=""/>
      <w:lvlJc w:val="left"/>
      <w:pPr>
        <w:ind w:left="1916" w:hanging="420"/>
      </w:pPr>
      <w:rPr>
        <w:rFonts w:ascii="Wingdings" w:hAnsi="Wingdings" w:hint="default"/>
      </w:rPr>
    </w:lvl>
    <w:lvl w:ilvl="4">
      <w:start w:val="1"/>
      <w:numFmt w:val="bullet"/>
      <w:lvlText w:val=""/>
      <w:lvlJc w:val="left"/>
      <w:pPr>
        <w:ind w:left="2336" w:hanging="420"/>
      </w:pPr>
      <w:rPr>
        <w:rFonts w:ascii="Wingdings" w:hAnsi="Wingdings" w:hint="default"/>
      </w:rPr>
    </w:lvl>
    <w:lvl w:ilvl="5">
      <w:start w:val="1"/>
      <w:numFmt w:val="bullet"/>
      <w:lvlText w:val=""/>
      <w:lvlJc w:val="left"/>
      <w:pPr>
        <w:ind w:left="2756" w:hanging="420"/>
      </w:pPr>
      <w:rPr>
        <w:rFonts w:ascii="Wingdings" w:hAnsi="Wingdings" w:hint="default"/>
      </w:rPr>
    </w:lvl>
    <w:lvl w:ilvl="6">
      <w:start w:val="1"/>
      <w:numFmt w:val="bullet"/>
      <w:lvlText w:val=""/>
      <w:lvlJc w:val="left"/>
      <w:pPr>
        <w:ind w:left="3176" w:hanging="420"/>
      </w:pPr>
      <w:rPr>
        <w:rFonts w:ascii="Wingdings" w:hAnsi="Wingdings" w:hint="default"/>
      </w:rPr>
    </w:lvl>
    <w:lvl w:ilvl="7">
      <w:start w:val="1"/>
      <w:numFmt w:val="bullet"/>
      <w:lvlText w:val=""/>
      <w:lvlJc w:val="left"/>
      <w:pPr>
        <w:ind w:left="3596" w:hanging="420"/>
      </w:pPr>
      <w:rPr>
        <w:rFonts w:ascii="Wingdings" w:hAnsi="Wingdings" w:hint="default"/>
      </w:rPr>
    </w:lvl>
    <w:lvl w:ilvl="8">
      <w:start w:val="1"/>
      <w:numFmt w:val="bullet"/>
      <w:lvlText w:val=""/>
      <w:lvlJc w:val="left"/>
      <w:pPr>
        <w:ind w:left="4016" w:hanging="420"/>
      </w:pPr>
      <w:rPr>
        <w:rFonts w:ascii="Wingdings" w:hAnsi="Wingdings" w:hint="default"/>
      </w:rPr>
    </w:lvl>
  </w:abstractNum>
  <w:abstractNum w:abstractNumId="19" w15:restartNumberingAfterBreak="0">
    <w:nsid w:val="78D717C0"/>
    <w:multiLevelType w:val="hybridMultilevel"/>
    <w:tmpl w:val="B9FA4454"/>
    <w:styleLink w:val="WWNum11"/>
    <w:lvl w:ilvl="0" w:tplc="CBC02814">
      <w:start w:val="1"/>
      <w:numFmt w:val="decimal"/>
      <w:lvlText w:val="%1."/>
      <w:lvlJc w:val="left"/>
      <w:pPr>
        <w:ind w:left="0" w:firstLine="0"/>
      </w:pPr>
    </w:lvl>
    <w:lvl w:ilvl="1" w:tplc="098A6D08">
      <w:start w:val="1"/>
      <w:numFmt w:val="lowerLetter"/>
      <w:lvlText w:val="%2."/>
      <w:lvlJc w:val="left"/>
      <w:pPr>
        <w:ind w:left="0" w:firstLine="0"/>
      </w:pPr>
    </w:lvl>
    <w:lvl w:ilvl="2" w:tplc="45C62E90">
      <w:start w:val="1"/>
      <w:numFmt w:val="lowerRoman"/>
      <w:lvlText w:val="%3."/>
      <w:lvlJc w:val="right"/>
      <w:pPr>
        <w:ind w:left="0" w:firstLine="0"/>
      </w:pPr>
    </w:lvl>
    <w:lvl w:ilvl="3" w:tplc="CC6023CE">
      <w:start w:val="1"/>
      <w:numFmt w:val="decimal"/>
      <w:lvlText w:val="%4."/>
      <w:lvlJc w:val="left"/>
      <w:pPr>
        <w:ind w:left="0" w:firstLine="0"/>
      </w:pPr>
    </w:lvl>
    <w:lvl w:ilvl="4" w:tplc="19FAD612">
      <w:start w:val="1"/>
      <w:numFmt w:val="lowerLetter"/>
      <w:lvlText w:val="%5."/>
      <w:lvlJc w:val="left"/>
      <w:pPr>
        <w:ind w:left="0" w:firstLine="0"/>
      </w:pPr>
    </w:lvl>
    <w:lvl w:ilvl="5" w:tplc="2878DE28">
      <w:start w:val="1"/>
      <w:numFmt w:val="lowerRoman"/>
      <w:lvlText w:val="%6."/>
      <w:lvlJc w:val="right"/>
      <w:pPr>
        <w:ind w:left="0" w:firstLine="0"/>
      </w:pPr>
    </w:lvl>
    <w:lvl w:ilvl="6" w:tplc="4A144822">
      <w:start w:val="1"/>
      <w:numFmt w:val="decimal"/>
      <w:lvlText w:val="%7."/>
      <w:lvlJc w:val="left"/>
      <w:pPr>
        <w:ind w:left="0" w:firstLine="0"/>
      </w:pPr>
    </w:lvl>
    <w:lvl w:ilvl="7" w:tplc="A1FE3432">
      <w:start w:val="1"/>
      <w:numFmt w:val="lowerLetter"/>
      <w:lvlText w:val="%8."/>
      <w:lvlJc w:val="left"/>
      <w:pPr>
        <w:ind w:left="0" w:firstLine="0"/>
      </w:pPr>
    </w:lvl>
    <w:lvl w:ilvl="8" w:tplc="A9C0CA08">
      <w:start w:val="1"/>
      <w:numFmt w:val="lowerRoman"/>
      <w:lvlText w:val="%9."/>
      <w:lvlJc w:val="right"/>
      <w:pPr>
        <w:ind w:left="0" w:firstLine="0"/>
      </w:pPr>
    </w:lvl>
  </w:abstractNum>
  <w:num w:numId="1" w16cid:durableId="612135195">
    <w:abstractNumId w:val="5"/>
  </w:num>
  <w:num w:numId="2" w16cid:durableId="1235117384">
    <w:abstractNumId w:val="0"/>
  </w:num>
  <w:num w:numId="3" w16cid:durableId="898441947">
    <w:abstractNumId w:val="3"/>
  </w:num>
  <w:num w:numId="4" w16cid:durableId="1237588223">
    <w:abstractNumId w:val="19"/>
  </w:num>
  <w:num w:numId="5" w16cid:durableId="1936206760">
    <w:abstractNumId w:val="11"/>
  </w:num>
  <w:num w:numId="6" w16cid:durableId="452675682">
    <w:abstractNumId w:val="18"/>
  </w:num>
  <w:num w:numId="7" w16cid:durableId="509029245">
    <w:abstractNumId w:val="1"/>
  </w:num>
  <w:num w:numId="8" w16cid:durableId="525290861">
    <w:abstractNumId w:val="14"/>
  </w:num>
  <w:num w:numId="9" w16cid:durableId="1525243895">
    <w:abstractNumId w:val="17"/>
  </w:num>
  <w:num w:numId="10" w16cid:durableId="722562352">
    <w:abstractNumId w:val="12"/>
  </w:num>
  <w:num w:numId="11" w16cid:durableId="1562405411">
    <w:abstractNumId w:val="8"/>
  </w:num>
  <w:num w:numId="12" w16cid:durableId="465507095">
    <w:abstractNumId w:val="4"/>
  </w:num>
  <w:num w:numId="13" w16cid:durableId="2089032109">
    <w:abstractNumId w:val="6"/>
  </w:num>
  <w:num w:numId="14" w16cid:durableId="1938519707">
    <w:abstractNumId w:val="13"/>
  </w:num>
  <w:num w:numId="15" w16cid:durableId="506749317">
    <w:abstractNumId w:val="7"/>
  </w:num>
  <w:num w:numId="16" w16cid:durableId="1132406165">
    <w:abstractNumId w:val="9"/>
  </w:num>
  <w:num w:numId="17" w16cid:durableId="1977374784">
    <w:abstractNumId w:val="15"/>
  </w:num>
  <w:num w:numId="18" w16cid:durableId="113990508">
    <w:abstractNumId w:val="2"/>
  </w:num>
  <w:num w:numId="19" w16cid:durableId="1128471181">
    <w:abstractNumId w:val="10"/>
  </w:num>
  <w:num w:numId="20" w16cid:durableId="72791701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7D89"/>
    <w:rsid w:val="0001425B"/>
    <w:rsid w:val="00022A29"/>
    <w:rsid w:val="00024294"/>
    <w:rsid w:val="00034F78"/>
    <w:rsid w:val="000355FD"/>
    <w:rsid w:val="000379DD"/>
    <w:rsid w:val="00051E39"/>
    <w:rsid w:val="000560D0"/>
    <w:rsid w:val="00062F05"/>
    <w:rsid w:val="00063D0B"/>
    <w:rsid w:val="00063EBE"/>
    <w:rsid w:val="0006471F"/>
    <w:rsid w:val="000675FF"/>
    <w:rsid w:val="00077239"/>
    <w:rsid w:val="000807E9"/>
    <w:rsid w:val="00082221"/>
    <w:rsid w:val="00086491"/>
    <w:rsid w:val="00091346"/>
    <w:rsid w:val="000951EF"/>
    <w:rsid w:val="0009706C"/>
    <w:rsid w:val="000A4F50"/>
    <w:rsid w:val="000C2430"/>
    <w:rsid w:val="000C5F84"/>
    <w:rsid w:val="000D0578"/>
    <w:rsid w:val="000D708A"/>
    <w:rsid w:val="000D771F"/>
    <w:rsid w:val="000E343A"/>
    <w:rsid w:val="000F2B2B"/>
    <w:rsid w:val="000F57C3"/>
    <w:rsid w:val="000F73FF"/>
    <w:rsid w:val="001043FF"/>
    <w:rsid w:val="001059D5"/>
    <w:rsid w:val="00114A0D"/>
    <w:rsid w:val="00114CF7"/>
    <w:rsid w:val="00116DCC"/>
    <w:rsid w:val="00123B68"/>
    <w:rsid w:val="00126F2E"/>
    <w:rsid w:val="001301F4"/>
    <w:rsid w:val="00130789"/>
    <w:rsid w:val="00137CF6"/>
    <w:rsid w:val="00146F6F"/>
    <w:rsid w:val="00161472"/>
    <w:rsid w:val="0016165D"/>
    <w:rsid w:val="00163E58"/>
    <w:rsid w:val="00165543"/>
    <w:rsid w:val="0017074E"/>
    <w:rsid w:val="00182117"/>
    <w:rsid w:val="0018215C"/>
    <w:rsid w:val="0018267A"/>
    <w:rsid w:val="00187BD9"/>
    <w:rsid w:val="00190B55"/>
    <w:rsid w:val="001B18E9"/>
    <w:rsid w:val="001C3B5F"/>
    <w:rsid w:val="001D058F"/>
    <w:rsid w:val="001D1703"/>
    <w:rsid w:val="001D1FBA"/>
    <w:rsid w:val="001E687D"/>
    <w:rsid w:val="001E6F73"/>
    <w:rsid w:val="001F4AB5"/>
    <w:rsid w:val="002009EA"/>
    <w:rsid w:val="00202CA0"/>
    <w:rsid w:val="002045DA"/>
    <w:rsid w:val="00216B6D"/>
    <w:rsid w:val="0022247E"/>
    <w:rsid w:val="00227927"/>
    <w:rsid w:val="002333DE"/>
    <w:rsid w:val="00236EBA"/>
    <w:rsid w:val="00245127"/>
    <w:rsid w:val="00245480"/>
    <w:rsid w:val="00246525"/>
    <w:rsid w:val="00250AF4"/>
    <w:rsid w:val="00260B50"/>
    <w:rsid w:val="00263BE8"/>
    <w:rsid w:val="0027050E"/>
    <w:rsid w:val="00271316"/>
    <w:rsid w:val="00290F83"/>
    <w:rsid w:val="00291A58"/>
    <w:rsid w:val="002931F4"/>
    <w:rsid w:val="00293F9A"/>
    <w:rsid w:val="002957A7"/>
    <w:rsid w:val="002A1D23"/>
    <w:rsid w:val="002A260D"/>
    <w:rsid w:val="002A5392"/>
    <w:rsid w:val="002B100E"/>
    <w:rsid w:val="002C6531"/>
    <w:rsid w:val="002D151C"/>
    <w:rsid w:val="002D58BE"/>
    <w:rsid w:val="002D653D"/>
    <w:rsid w:val="002E0435"/>
    <w:rsid w:val="002E3AEE"/>
    <w:rsid w:val="002E561F"/>
    <w:rsid w:val="002F2D0C"/>
    <w:rsid w:val="00316B80"/>
    <w:rsid w:val="003251EA"/>
    <w:rsid w:val="0032603D"/>
    <w:rsid w:val="00336B4E"/>
    <w:rsid w:val="0034635C"/>
    <w:rsid w:val="003760DC"/>
    <w:rsid w:val="00377BD3"/>
    <w:rsid w:val="00384088"/>
    <w:rsid w:val="00386BC0"/>
    <w:rsid w:val="003879F0"/>
    <w:rsid w:val="0039169B"/>
    <w:rsid w:val="00394470"/>
    <w:rsid w:val="0039798E"/>
    <w:rsid w:val="003A5470"/>
    <w:rsid w:val="003A7F8C"/>
    <w:rsid w:val="003B09A1"/>
    <w:rsid w:val="003B532E"/>
    <w:rsid w:val="003C33B7"/>
    <w:rsid w:val="003C4B56"/>
    <w:rsid w:val="003D0F8B"/>
    <w:rsid w:val="003D28DA"/>
    <w:rsid w:val="003E22F5"/>
    <w:rsid w:val="003F020A"/>
    <w:rsid w:val="00412F3C"/>
    <w:rsid w:val="0041348E"/>
    <w:rsid w:val="004142ED"/>
    <w:rsid w:val="00420EDB"/>
    <w:rsid w:val="004373CA"/>
    <w:rsid w:val="004420C9"/>
    <w:rsid w:val="00443CCE"/>
    <w:rsid w:val="004444AA"/>
    <w:rsid w:val="00465799"/>
    <w:rsid w:val="00471EF9"/>
    <w:rsid w:val="00476E20"/>
    <w:rsid w:val="0048238B"/>
    <w:rsid w:val="00492075"/>
    <w:rsid w:val="00494429"/>
    <w:rsid w:val="00494816"/>
    <w:rsid w:val="004969AD"/>
    <w:rsid w:val="004A26C4"/>
    <w:rsid w:val="004B13CB"/>
    <w:rsid w:val="004B3ACA"/>
    <w:rsid w:val="004B4AAE"/>
    <w:rsid w:val="004C3FED"/>
    <w:rsid w:val="004C6FBE"/>
    <w:rsid w:val="004D5D5C"/>
    <w:rsid w:val="004D6DFC"/>
    <w:rsid w:val="004D7B90"/>
    <w:rsid w:val="004E05BE"/>
    <w:rsid w:val="004E18F0"/>
    <w:rsid w:val="004E268A"/>
    <w:rsid w:val="004E2B16"/>
    <w:rsid w:val="004F630A"/>
    <w:rsid w:val="0050139F"/>
    <w:rsid w:val="005046EC"/>
    <w:rsid w:val="00524283"/>
    <w:rsid w:val="0055140B"/>
    <w:rsid w:val="00553247"/>
    <w:rsid w:val="00564629"/>
    <w:rsid w:val="0056747D"/>
    <w:rsid w:val="00576E4E"/>
    <w:rsid w:val="00581B01"/>
    <w:rsid w:val="00587F8C"/>
    <w:rsid w:val="00595780"/>
    <w:rsid w:val="005964AB"/>
    <w:rsid w:val="005974F8"/>
    <w:rsid w:val="005A1A6A"/>
    <w:rsid w:val="005C099A"/>
    <w:rsid w:val="005C31A5"/>
    <w:rsid w:val="005C3A5A"/>
    <w:rsid w:val="005D1CF0"/>
    <w:rsid w:val="005E10C9"/>
    <w:rsid w:val="005E61DD"/>
    <w:rsid w:val="006023DF"/>
    <w:rsid w:val="00602F64"/>
    <w:rsid w:val="006071F3"/>
    <w:rsid w:val="00610EBA"/>
    <w:rsid w:val="00622829"/>
    <w:rsid w:val="00623F15"/>
    <w:rsid w:val="006256C0"/>
    <w:rsid w:val="00643684"/>
    <w:rsid w:val="00650DE1"/>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5314"/>
    <w:rsid w:val="006E6EE0"/>
    <w:rsid w:val="006F0DB7"/>
    <w:rsid w:val="00700547"/>
    <w:rsid w:val="00701218"/>
    <w:rsid w:val="00707E39"/>
    <w:rsid w:val="007149F9"/>
    <w:rsid w:val="00720F91"/>
    <w:rsid w:val="00733A30"/>
    <w:rsid w:val="00742988"/>
    <w:rsid w:val="00742F1D"/>
    <w:rsid w:val="00744830"/>
    <w:rsid w:val="00744A80"/>
    <w:rsid w:val="007452F0"/>
    <w:rsid w:val="00745AEE"/>
    <w:rsid w:val="00750F10"/>
    <w:rsid w:val="00752D4D"/>
    <w:rsid w:val="00752E8B"/>
    <w:rsid w:val="00761B19"/>
    <w:rsid w:val="007733CF"/>
    <w:rsid w:val="007742CA"/>
    <w:rsid w:val="00776230"/>
    <w:rsid w:val="00777235"/>
    <w:rsid w:val="0077793F"/>
    <w:rsid w:val="00783A5D"/>
    <w:rsid w:val="00785E1D"/>
    <w:rsid w:val="00790D70"/>
    <w:rsid w:val="007947C3"/>
    <w:rsid w:val="00797C4B"/>
    <w:rsid w:val="007B6855"/>
    <w:rsid w:val="007C60C2"/>
    <w:rsid w:val="007D1EC0"/>
    <w:rsid w:val="007D5320"/>
    <w:rsid w:val="007E51BA"/>
    <w:rsid w:val="007E66EA"/>
    <w:rsid w:val="007F3C67"/>
    <w:rsid w:val="007F6D49"/>
    <w:rsid w:val="00800972"/>
    <w:rsid w:val="00804475"/>
    <w:rsid w:val="00811633"/>
    <w:rsid w:val="00814D6A"/>
    <w:rsid w:val="00822410"/>
    <w:rsid w:val="00822B56"/>
    <w:rsid w:val="00840D0A"/>
    <w:rsid w:val="00840F52"/>
    <w:rsid w:val="008508D8"/>
    <w:rsid w:val="00850EEE"/>
    <w:rsid w:val="00863BAB"/>
    <w:rsid w:val="008647BD"/>
    <w:rsid w:val="00864CD2"/>
    <w:rsid w:val="00866073"/>
    <w:rsid w:val="00867A11"/>
    <w:rsid w:val="0087183D"/>
    <w:rsid w:val="00872FC8"/>
    <w:rsid w:val="008741F6"/>
    <w:rsid w:val="00874789"/>
    <w:rsid w:val="008777B8"/>
    <w:rsid w:val="0088162F"/>
    <w:rsid w:val="008845D0"/>
    <w:rsid w:val="008A186A"/>
    <w:rsid w:val="008B1AEA"/>
    <w:rsid w:val="008B43F2"/>
    <w:rsid w:val="008B6CFF"/>
    <w:rsid w:val="008D57D1"/>
    <w:rsid w:val="008D76C0"/>
    <w:rsid w:val="008E2A7A"/>
    <w:rsid w:val="008E4BBE"/>
    <w:rsid w:val="008E67E5"/>
    <w:rsid w:val="008F08A1"/>
    <w:rsid w:val="008F5C41"/>
    <w:rsid w:val="008F7D1E"/>
    <w:rsid w:val="00905803"/>
    <w:rsid w:val="00914C16"/>
    <w:rsid w:val="009163CF"/>
    <w:rsid w:val="00921DD4"/>
    <w:rsid w:val="00924043"/>
    <w:rsid w:val="0092425C"/>
    <w:rsid w:val="009247E5"/>
    <w:rsid w:val="009274B4"/>
    <w:rsid w:val="00930EBD"/>
    <w:rsid w:val="00931298"/>
    <w:rsid w:val="00931323"/>
    <w:rsid w:val="00934EA2"/>
    <w:rsid w:val="00940614"/>
    <w:rsid w:val="00944A5C"/>
    <w:rsid w:val="00945887"/>
    <w:rsid w:val="00952A66"/>
    <w:rsid w:val="0095691C"/>
    <w:rsid w:val="00974965"/>
    <w:rsid w:val="00977327"/>
    <w:rsid w:val="009802CD"/>
    <w:rsid w:val="0098302F"/>
    <w:rsid w:val="009948E5"/>
    <w:rsid w:val="009960E1"/>
    <w:rsid w:val="00996917"/>
    <w:rsid w:val="009B2216"/>
    <w:rsid w:val="009B59BB"/>
    <w:rsid w:val="009B7300"/>
    <w:rsid w:val="009B747C"/>
    <w:rsid w:val="009C56E5"/>
    <w:rsid w:val="009D4900"/>
    <w:rsid w:val="009E1967"/>
    <w:rsid w:val="009E5FC8"/>
    <w:rsid w:val="009E687A"/>
    <w:rsid w:val="009F1890"/>
    <w:rsid w:val="009F43D9"/>
    <w:rsid w:val="009F4801"/>
    <w:rsid w:val="009F4D71"/>
    <w:rsid w:val="00A01B74"/>
    <w:rsid w:val="00A0651E"/>
    <w:rsid w:val="00A066F1"/>
    <w:rsid w:val="00A141AF"/>
    <w:rsid w:val="00A16D29"/>
    <w:rsid w:val="00A30305"/>
    <w:rsid w:val="00A31D2D"/>
    <w:rsid w:val="00A36DF9"/>
    <w:rsid w:val="00A41A0D"/>
    <w:rsid w:val="00A41CB8"/>
    <w:rsid w:val="00A42A0D"/>
    <w:rsid w:val="00A444C0"/>
    <w:rsid w:val="00A4600A"/>
    <w:rsid w:val="00A46C09"/>
    <w:rsid w:val="00A472E3"/>
    <w:rsid w:val="00A47EC0"/>
    <w:rsid w:val="00A52D1A"/>
    <w:rsid w:val="00A538A6"/>
    <w:rsid w:val="00A54C25"/>
    <w:rsid w:val="00A710E7"/>
    <w:rsid w:val="00A7143D"/>
    <w:rsid w:val="00A7225A"/>
    <w:rsid w:val="00A7372E"/>
    <w:rsid w:val="00A7385A"/>
    <w:rsid w:val="00A82A73"/>
    <w:rsid w:val="00A87A0A"/>
    <w:rsid w:val="00A93B85"/>
    <w:rsid w:val="00A94576"/>
    <w:rsid w:val="00AA0B18"/>
    <w:rsid w:val="00AA4434"/>
    <w:rsid w:val="00AA6097"/>
    <w:rsid w:val="00AA666F"/>
    <w:rsid w:val="00AB416A"/>
    <w:rsid w:val="00AB6A82"/>
    <w:rsid w:val="00AB7C5F"/>
    <w:rsid w:val="00AC30A6"/>
    <w:rsid w:val="00AC5B55"/>
    <w:rsid w:val="00AD4724"/>
    <w:rsid w:val="00AE0E1B"/>
    <w:rsid w:val="00AF1763"/>
    <w:rsid w:val="00AF1FAB"/>
    <w:rsid w:val="00B067BF"/>
    <w:rsid w:val="00B07CD5"/>
    <w:rsid w:val="00B26D7D"/>
    <w:rsid w:val="00B305D7"/>
    <w:rsid w:val="00B511E0"/>
    <w:rsid w:val="00B529AD"/>
    <w:rsid w:val="00B6324B"/>
    <w:rsid w:val="00B639E9"/>
    <w:rsid w:val="00B66385"/>
    <w:rsid w:val="00B66C2B"/>
    <w:rsid w:val="00B817CD"/>
    <w:rsid w:val="00B94AD0"/>
    <w:rsid w:val="00B97CA5"/>
    <w:rsid w:val="00BA1D4A"/>
    <w:rsid w:val="00BA25D1"/>
    <w:rsid w:val="00BA5265"/>
    <w:rsid w:val="00BB3A95"/>
    <w:rsid w:val="00BB6222"/>
    <w:rsid w:val="00BC2FB6"/>
    <w:rsid w:val="00BC7D84"/>
    <w:rsid w:val="00BE4E50"/>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573DA"/>
    <w:rsid w:val="00C61F92"/>
    <w:rsid w:val="00C64CD8"/>
    <w:rsid w:val="00C66B9B"/>
    <w:rsid w:val="00C701BF"/>
    <w:rsid w:val="00C72D5C"/>
    <w:rsid w:val="00C77E1A"/>
    <w:rsid w:val="00C92B0C"/>
    <w:rsid w:val="00C97C68"/>
    <w:rsid w:val="00CA1A47"/>
    <w:rsid w:val="00CA300D"/>
    <w:rsid w:val="00CC247A"/>
    <w:rsid w:val="00CD70EF"/>
    <w:rsid w:val="00CD7CC4"/>
    <w:rsid w:val="00CE256D"/>
    <w:rsid w:val="00CE388F"/>
    <w:rsid w:val="00CE5E47"/>
    <w:rsid w:val="00CF020F"/>
    <w:rsid w:val="00CF0CB0"/>
    <w:rsid w:val="00CF1E9D"/>
    <w:rsid w:val="00CF2B5B"/>
    <w:rsid w:val="00D04732"/>
    <w:rsid w:val="00D055D3"/>
    <w:rsid w:val="00D11ACB"/>
    <w:rsid w:val="00D13C48"/>
    <w:rsid w:val="00D14831"/>
    <w:rsid w:val="00D14CE0"/>
    <w:rsid w:val="00D15FEC"/>
    <w:rsid w:val="00D163A6"/>
    <w:rsid w:val="00D17FD8"/>
    <w:rsid w:val="00D2023F"/>
    <w:rsid w:val="00D216E9"/>
    <w:rsid w:val="00D21C58"/>
    <w:rsid w:val="00D24E8D"/>
    <w:rsid w:val="00D2751D"/>
    <w:rsid w:val="00D278AC"/>
    <w:rsid w:val="00D30B33"/>
    <w:rsid w:val="00D310A1"/>
    <w:rsid w:val="00D321D4"/>
    <w:rsid w:val="00D41719"/>
    <w:rsid w:val="00D50F11"/>
    <w:rsid w:val="00D517B5"/>
    <w:rsid w:val="00D54009"/>
    <w:rsid w:val="00D562A8"/>
    <w:rsid w:val="00D5651D"/>
    <w:rsid w:val="00D57A34"/>
    <w:rsid w:val="00D643B3"/>
    <w:rsid w:val="00D70761"/>
    <w:rsid w:val="00D74898"/>
    <w:rsid w:val="00D801ED"/>
    <w:rsid w:val="00D81C07"/>
    <w:rsid w:val="00D85283"/>
    <w:rsid w:val="00D936BC"/>
    <w:rsid w:val="00D96530"/>
    <w:rsid w:val="00DA3440"/>
    <w:rsid w:val="00DA7E2F"/>
    <w:rsid w:val="00DB13C5"/>
    <w:rsid w:val="00DB4C81"/>
    <w:rsid w:val="00DC4EB0"/>
    <w:rsid w:val="00DD441E"/>
    <w:rsid w:val="00DD44AF"/>
    <w:rsid w:val="00DE17FD"/>
    <w:rsid w:val="00DE2AC3"/>
    <w:rsid w:val="00DE5034"/>
    <w:rsid w:val="00DE5692"/>
    <w:rsid w:val="00DE70B3"/>
    <w:rsid w:val="00DF3E19"/>
    <w:rsid w:val="00DF6908"/>
    <w:rsid w:val="00DF700D"/>
    <w:rsid w:val="00E0231F"/>
    <w:rsid w:val="00E03C94"/>
    <w:rsid w:val="00E2134A"/>
    <w:rsid w:val="00E26226"/>
    <w:rsid w:val="00E301FA"/>
    <w:rsid w:val="00E3103C"/>
    <w:rsid w:val="00E37DCE"/>
    <w:rsid w:val="00E45D05"/>
    <w:rsid w:val="00E55816"/>
    <w:rsid w:val="00E55AEF"/>
    <w:rsid w:val="00E55C58"/>
    <w:rsid w:val="00E610A4"/>
    <w:rsid w:val="00E6117A"/>
    <w:rsid w:val="00E765C9"/>
    <w:rsid w:val="00E82677"/>
    <w:rsid w:val="00E85743"/>
    <w:rsid w:val="00E870AC"/>
    <w:rsid w:val="00E94DBA"/>
    <w:rsid w:val="00E976C1"/>
    <w:rsid w:val="00EA0FDB"/>
    <w:rsid w:val="00EA12E5"/>
    <w:rsid w:val="00EB55C6"/>
    <w:rsid w:val="00EC7F04"/>
    <w:rsid w:val="00ED30BC"/>
    <w:rsid w:val="00F00DDC"/>
    <w:rsid w:val="00F01223"/>
    <w:rsid w:val="00F02766"/>
    <w:rsid w:val="00F05BD4"/>
    <w:rsid w:val="00F05ED9"/>
    <w:rsid w:val="00F23F92"/>
    <w:rsid w:val="00F2404A"/>
    <w:rsid w:val="00F30C7C"/>
    <w:rsid w:val="00F3630D"/>
    <w:rsid w:val="00F4677D"/>
    <w:rsid w:val="00F46A30"/>
    <w:rsid w:val="00F528B4"/>
    <w:rsid w:val="00F5642F"/>
    <w:rsid w:val="00F60D05"/>
    <w:rsid w:val="00F6155B"/>
    <w:rsid w:val="00F65C19"/>
    <w:rsid w:val="00F7356B"/>
    <w:rsid w:val="00F80977"/>
    <w:rsid w:val="00F83F75"/>
    <w:rsid w:val="00F972D2"/>
    <w:rsid w:val="00FB1790"/>
    <w:rsid w:val="00FC1DB9"/>
    <w:rsid w:val="00FC6688"/>
    <w:rsid w:val="00FD2546"/>
    <w:rsid w:val="00FD772E"/>
    <w:rsid w:val="00FE0144"/>
    <w:rsid w:val="00FE52C9"/>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645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
    <w:rsid w:val="00DE2AC3"/>
  </w:style>
  <w:style w:type="paragraph" w:customStyle="1" w:styleId="Recdate">
    <w:name w:val="Rec_date"/>
    <w:basedOn w:val="Normal"/>
    <w:next w:val="Normal"/>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iPriority w:val="35"/>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qFormat/>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iPriority w:val="99"/>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iPriority w:val="99"/>
    <w:unhideWhenUsed/>
    <w:rsid w:val="00931298"/>
    <w:rPr>
      <w:color w:val="800080" w:themeColor="followedHyperlink"/>
      <w:u w:val="single"/>
    </w:rPr>
  </w:style>
  <w:style w:type="character" w:styleId="Emphasis">
    <w:name w:val="Emphasis"/>
    <w:basedOn w:val="DefaultParagraphFont"/>
    <w:uiPriority w:val="20"/>
    <w:qFormat/>
    <w:rsid w:val="00931298"/>
    <w:rPr>
      <w:i/>
      <w:iCs/>
    </w:rPr>
  </w:style>
  <w:style w:type="paragraph" w:styleId="Subtitle">
    <w:name w:val="Subtitle"/>
    <w:basedOn w:val="Normal"/>
    <w:next w:val="Normal"/>
    <w:link w:val="SubtitleChar"/>
    <w:uiPriority w:val="11"/>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uiPriority w:val="22"/>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FE52C9"/>
    <w:pPr>
      <w:keepNext/>
      <w:keepLines/>
      <w:tabs>
        <w:tab w:val="clear" w:pos="1134"/>
        <w:tab w:val="clear" w:pos="1871"/>
        <w:tab w:val="clear" w:pos="2268"/>
        <w:tab w:val="left" w:pos="794"/>
        <w:tab w:val="left" w:pos="1191"/>
        <w:tab w:val="left" w:pos="1588"/>
        <w:tab w:val="left" w:pos="1985"/>
      </w:tabs>
      <w:spacing w:before="360" w:after="120" w:line="288" w:lineRule="auto"/>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uiPriority w:val="99"/>
    <w:rsid w:val="00931298"/>
    <w:rPr>
      <w:rFonts w:cs="Times New Roman"/>
    </w:rPr>
  </w:style>
  <w:style w:type="paragraph" w:styleId="TOC9">
    <w:name w:val="toc 9"/>
    <w:basedOn w:val="Normal"/>
    <w:next w:val="Normal"/>
    <w:autoRedefine/>
    <w:uiPriority w:val="39"/>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3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link w:val="NormalWebChar"/>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2"/>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iPriority w:val="99"/>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uiPriority w:val="99"/>
    <w:qFormat/>
    <w:rsid w:val="00931298"/>
    <w:rPr>
      <w:rFonts w:ascii="Consolas" w:eastAsia="Calibri" w:hAnsi="Consolas"/>
      <w:lang w:val="en-GB" w:eastAsia="ja-JP"/>
    </w:rPr>
  </w:style>
  <w:style w:type="paragraph" w:styleId="List3">
    <w:name w:val="List 3"/>
    <w:basedOn w:val="Normal"/>
    <w:uiPriority w:val="99"/>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iPriority w:val="99"/>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uiPriority w:val="99"/>
    <w:qFormat/>
    <w:rsid w:val="00931298"/>
    <w:rPr>
      <w:rFonts w:ascii="Times New Roman" w:eastAsia="Calibri" w:hAnsi="Times New Roman"/>
      <w:sz w:val="24"/>
      <w:szCs w:val="24"/>
      <w:lang w:val="en-GB" w:eastAsia="ja-JP"/>
    </w:rPr>
  </w:style>
  <w:style w:type="paragraph" w:styleId="ListBullet4">
    <w:name w:val="List Bullet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iPriority w:val="99"/>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uiPriority w:val="99"/>
    <w:qFormat/>
    <w:rsid w:val="00931298"/>
    <w:rPr>
      <w:rFonts w:ascii="Times New Roman" w:eastAsia="Calibri" w:hAnsi="Times New Roman"/>
      <w:sz w:val="24"/>
      <w:szCs w:val="24"/>
      <w:lang w:val="en-GB" w:eastAsia="ja-JP"/>
    </w:rPr>
  </w:style>
  <w:style w:type="paragraph" w:styleId="ListNumber">
    <w:name w:val="List Number"/>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iPriority w:val="99"/>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iPriority w:val="99"/>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iPriority w:val="99"/>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uiPriority w:val="99"/>
    <w:qFormat/>
    <w:rsid w:val="00931298"/>
    <w:rPr>
      <w:rFonts w:ascii="Segoe UI" w:eastAsia="Calibri" w:hAnsi="Segoe UI" w:cs="Segoe UI"/>
      <w:sz w:val="16"/>
      <w:szCs w:val="16"/>
      <w:lang w:val="en-GB" w:eastAsia="ja-JP"/>
    </w:rPr>
  </w:style>
  <w:style w:type="paragraph" w:styleId="TOAHeading">
    <w:name w:val="toa heading"/>
    <w:basedOn w:val="Normal"/>
    <w:next w:val="Normal"/>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iPriority w:val="99"/>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uiPriority w:val="99"/>
    <w:qFormat/>
    <w:rsid w:val="00931298"/>
    <w:rPr>
      <w:rFonts w:ascii="Times New Roman" w:eastAsia="Calibri" w:hAnsi="Times New Roman"/>
      <w:sz w:val="24"/>
      <w:szCs w:val="24"/>
      <w:lang w:val="en-GB" w:eastAsia="ja-JP"/>
    </w:rPr>
  </w:style>
  <w:style w:type="paragraph" w:styleId="BodyText3">
    <w:name w:val="Body Text 3"/>
    <w:basedOn w:val="Normal"/>
    <w:link w:val="BodyText3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uiPriority w:val="99"/>
    <w:qFormat/>
    <w:rsid w:val="00931298"/>
    <w:rPr>
      <w:rFonts w:ascii="Times New Roman" w:eastAsia="Calibri" w:hAnsi="Times New Roman"/>
      <w:sz w:val="16"/>
      <w:szCs w:val="16"/>
      <w:lang w:val="en-GB" w:eastAsia="ja-JP"/>
    </w:rPr>
  </w:style>
  <w:style w:type="paragraph" w:styleId="Closing">
    <w:name w:val="Closing"/>
    <w:basedOn w:val="Normal"/>
    <w:link w:val="Closing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uiPriority w:val="99"/>
    <w:rsid w:val="00931298"/>
    <w:rPr>
      <w:rFonts w:ascii="Times New Roman" w:eastAsia="Calibri" w:hAnsi="Times New Roman"/>
      <w:sz w:val="24"/>
      <w:szCs w:val="24"/>
      <w:lang w:val="en-GB" w:eastAsia="ja-JP"/>
    </w:rPr>
  </w:style>
  <w:style w:type="paragraph" w:styleId="ListBullet3">
    <w:name w:val="List Bullet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uiPriority w:val="99"/>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uiPriority w:val="99"/>
    <w:qFormat/>
    <w:rsid w:val="00931298"/>
    <w:rPr>
      <w:rFonts w:ascii="Times New Roman" w:eastAsia="Calibri" w:hAnsi="Times New Roman"/>
      <w:sz w:val="24"/>
      <w:szCs w:val="24"/>
      <w:lang w:val="en-GB" w:eastAsia="ja-JP"/>
    </w:rPr>
  </w:style>
  <w:style w:type="paragraph" w:styleId="ListNumber3">
    <w:name w:val="List Number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iPriority w:val="99"/>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iPriority w:val="99"/>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iPriority w:val="99"/>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uiPriority w:val="99"/>
    <w:qFormat/>
    <w:rsid w:val="00931298"/>
    <w:rPr>
      <w:rFonts w:ascii="Times New Roman" w:eastAsia="Calibri" w:hAnsi="Times New Roman"/>
      <w:i/>
      <w:iCs/>
      <w:sz w:val="24"/>
      <w:szCs w:val="24"/>
      <w:lang w:val="en-GB" w:eastAsia="ja-JP"/>
    </w:rPr>
  </w:style>
  <w:style w:type="paragraph" w:styleId="Index4">
    <w:name w:val="index 4"/>
    <w:basedOn w:val="Normal"/>
    <w:next w:val="Normal"/>
    <w:uiPriority w:val="99"/>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931298"/>
    <w:rPr>
      <w:rFonts w:ascii="Consolas" w:eastAsia="Calibri" w:hAnsi="Consolas"/>
      <w:sz w:val="21"/>
      <w:szCs w:val="21"/>
      <w:lang w:val="en-GB" w:eastAsia="ja-JP"/>
    </w:rPr>
  </w:style>
  <w:style w:type="paragraph" w:styleId="ListBullet5">
    <w:name w:val="List Bullet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iPriority w:val="99"/>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uiPriority w:val="99"/>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iPriority w:val="99"/>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uiPriority w:val="99"/>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uiPriority w:val="99"/>
    <w:qFormat/>
    <w:rsid w:val="00931298"/>
    <w:rPr>
      <w:rFonts w:ascii="Times New Roman" w:eastAsia="Calibri" w:hAnsi="Times New Roman"/>
      <w:szCs w:val="24"/>
      <w:lang w:val="en-GB" w:eastAsia="ja-JP"/>
    </w:rPr>
  </w:style>
  <w:style w:type="paragraph" w:styleId="ListContinue5">
    <w:name w:val="List Continue 5"/>
    <w:basedOn w:val="Normal"/>
    <w:uiPriority w:val="99"/>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iPriority w:val="99"/>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uiPriority w:val="99"/>
    <w:qFormat/>
    <w:rsid w:val="00931298"/>
    <w:rPr>
      <w:rFonts w:ascii="Times New Roman" w:eastAsia="Calibri" w:hAnsi="Times New Roman"/>
      <w:sz w:val="24"/>
      <w:szCs w:val="24"/>
      <w:lang w:val="en-GB" w:eastAsia="ja-JP"/>
    </w:rPr>
  </w:style>
  <w:style w:type="paragraph" w:styleId="ListContinue4">
    <w:name w:val="List Continue 4"/>
    <w:basedOn w:val="Normal"/>
    <w:uiPriority w:val="99"/>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iPriority w:val="99"/>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iPriority w:val="99"/>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uiPriority w:val="99"/>
    <w:qFormat/>
    <w:rsid w:val="00931298"/>
    <w:rPr>
      <w:rFonts w:ascii="Times New Roman" w:eastAsia="Calibri" w:hAnsi="Times New Roman"/>
      <w:sz w:val="16"/>
      <w:szCs w:val="16"/>
      <w:lang w:val="en-GB" w:eastAsia="ja-JP"/>
    </w:rPr>
  </w:style>
  <w:style w:type="paragraph" w:styleId="Index7">
    <w:name w:val="index 7"/>
    <w:basedOn w:val="Normal"/>
    <w:next w:val="Normal"/>
    <w:uiPriority w:val="99"/>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iPriority w:val="99"/>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iPriority w:val="99"/>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uiPriority w:val="99"/>
    <w:qFormat/>
    <w:rsid w:val="00931298"/>
    <w:rPr>
      <w:rFonts w:ascii="Times New Roman" w:eastAsia="Calibri" w:hAnsi="Times New Roman"/>
      <w:sz w:val="24"/>
      <w:szCs w:val="24"/>
      <w:lang w:val="en-GB" w:eastAsia="ja-JP"/>
    </w:rPr>
  </w:style>
  <w:style w:type="paragraph" w:styleId="List4">
    <w:name w:val="List 4"/>
    <w:basedOn w:val="Normal"/>
    <w:uiPriority w:val="99"/>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iPriority w:val="99"/>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iPriority w:val="99"/>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uiPriority w:val="99"/>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uiPriority w:val="99"/>
    <w:qFormat/>
    <w:rsid w:val="00931298"/>
    <w:rPr>
      <w:rFonts w:ascii="Consolas" w:eastAsia="Calibri" w:hAnsi="Consolas"/>
      <w:szCs w:val="24"/>
      <w:lang w:val="en-GB" w:eastAsia="ja-JP"/>
    </w:rPr>
  </w:style>
  <w:style w:type="paragraph" w:styleId="ListContinue3">
    <w:name w:val="List Continue 3"/>
    <w:basedOn w:val="Normal"/>
    <w:uiPriority w:val="99"/>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iPriority w:val="99"/>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uiPriority w:val="10"/>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uiPriority w:val="10"/>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iPriority w:val="99"/>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uiPriority w:val="99"/>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iPriority w:val="99"/>
    <w:unhideWhenUsed/>
    <w:rsid w:val="00931298"/>
    <w:pPr>
      <w:spacing w:after="0"/>
      <w:ind w:firstLine="360"/>
    </w:pPr>
  </w:style>
  <w:style w:type="character" w:customStyle="1" w:styleId="BodyTextFirstIndentChar">
    <w:name w:val="Body Text First Indent Char"/>
    <w:basedOn w:val="BodyTextChar"/>
    <w:link w:val="BodyTextFirstIndent"/>
    <w:uiPriority w:val="99"/>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iPriority w:val="99"/>
    <w:unhideWhenUsed/>
    <w:rsid w:val="00931298"/>
    <w:pPr>
      <w:spacing w:after="0"/>
      <w:ind w:left="360" w:firstLine="360"/>
    </w:pPr>
  </w:style>
  <w:style w:type="character" w:customStyle="1" w:styleId="BodyTextFirstIndent2Char">
    <w:name w:val="Body Text First Indent 2 Char"/>
    <w:basedOn w:val="BodyTextIndentChar"/>
    <w:link w:val="BodyTextFirstIndent2"/>
    <w:uiPriority w:val="99"/>
    <w:qFormat/>
    <w:rsid w:val="00931298"/>
    <w:rPr>
      <w:rFonts w:ascii="Times New Roman" w:eastAsia="Calibri" w:hAnsi="Times New Roman"/>
      <w:sz w:val="24"/>
      <w:szCs w:val="24"/>
      <w:lang w:val="en-GB" w:eastAsia="ja-JP"/>
    </w:rPr>
  </w:style>
  <w:style w:type="character" w:styleId="LineNumber">
    <w:name w:val="line number"/>
    <w:basedOn w:val="DefaultParagraphFont"/>
    <w:uiPriority w:val="99"/>
    <w:unhideWhenUsed/>
    <w:rsid w:val="00931298"/>
  </w:style>
  <w:style w:type="character" w:styleId="HTMLDefinition">
    <w:name w:val="HTML Definition"/>
    <w:uiPriority w:val="99"/>
    <w:unhideWhenUsed/>
    <w:rsid w:val="00931298"/>
    <w:rPr>
      <w:i/>
      <w:iCs/>
    </w:rPr>
  </w:style>
  <w:style w:type="character" w:styleId="HTMLTypewriter">
    <w:name w:val="HTML Typewriter"/>
    <w:uiPriority w:val="99"/>
    <w:semiHidden/>
    <w:unhideWhenUsed/>
    <w:rsid w:val="00931298"/>
    <w:rPr>
      <w:rFonts w:ascii="Consolas" w:hAnsi="Consolas"/>
      <w:sz w:val="20"/>
      <w:szCs w:val="20"/>
    </w:rPr>
  </w:style>
  <w:style w:type="character" w:styleId="HTMLAcronym">
    <w:name w:val="HTML Acronym"/>
    <w:basedOn w:val="DefaultParagraphFont"/>
    <w:uiPriority w:val="99"/>
    <w:unhideWhenUsed/>
    <w:rsid w:val="00931298"/>
  </w:style>
  <w:style w:type="character" w:styleId="HTMLVariable">
    <w:name w:val="HTML Variable"/>
    <w:uiPriority w:val="99"/>
    <w:unhideWhenUsed/>
    <w:rsid w:val="00931298"/>
    <w:rPr>
      <w:i/>
      <w:iCs/>
    </w:rPr>
  </w:style>
  <w:style w:type="character" w:styleId="HTMLCode">
    <w:name w:val="HTML Code"/>
    <w:uiPriority w:val="99"/>
    <w:unhideWhenUsed/>
    <w:rsid w:val="00931298"/>
    <w:rPr>
      <w:rFonts w:ascii="Consolas" w:hAnsi="Consolas"/>
      <w:sz w:val="20"/>
      <w:szCs w:val="20"/>
    </w:rPr>
  </w:style>
  <w:style w:type="character" w:styleId="HTMLCite">
    <w:name w:val="HTML Cite"/>
    <w:uiPriority w:val="99"/>
    <w:unhideWhenUsed/>
    <w:rsid w:val="00931298"/>
    <w:rPr>
      <w:i/>
      <w:iCs/>
    </w:rPr>
  </w:style>
  <w:style w:type="character" w:styleId="HTMLKeyboard">
    <w:name w:val="HTML Keyboard"/>
    <w:uiPriority w:val="99"/>
    <w:unhideWhenUsed/>
    <w:rsid w:val="00931298"/>
    <w:rPr>
      <w:rFonts w:ascii="Consolas" w:hAnsi="Consolas"/>
      <w:sz w:val="20"/>
      <w:szCs w:val="20"/>
    </w:rPr>
  </w:style>
  <w:style w:type="character" w:styleId="HTMLSample">
    <w:name w:val="HTML Sample"/>
    <w:uiPriority w:val="99"/>
    <w:unhideWhenUsed/>
    <w:rsid w:val="00931298"/>
    <w:rPr>
      <w:rFonts w:ascii="Consolas" w:hAnsi="Consolas"/>
      <w:sz w:val="24"/>
      <w:szCs w:val="24"/>
    </w:rPr>
  </w:style>
  <w:style w:type="character" w:customStyle="1" w:styleId="UnresolvedMention1">
    <w:name w:val="Unresolved Mention1"/>
    <w:basedOn w:val="DefaultParagraphFont"/>
    <w:uiPriority w:val="99"/>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paragraph" w:customStyle="1" w:styleId="toc0">
    <w:name w:val="toc 0"/>
    <w:basedOn w:val="Normal"/>
    <w:next w:val="TOC1"/>
    <w:rsid w:val="00D81C07"/>
    <w:pPr>
      <w:tabs>
        <w:tab w:val="clear" w:pos="1134"/>
        <w:tab w:val="clear" w:pos="1871"/>
        <w:tab w:val="clear" w:pos="2268"/>
        <w:tab w:val="right" w:pos="9639"/>
      </w:tabs>
    </w:pPr>
    <w:rPr>
      <w:b/>
      <w:lang w:val="es-ES_tradnl"/>
    </w:rPr>
  </w:style>
  <w:style w:type="table" w:styleId="TableGridLight">
    <w:name w:val="Grid Table Light"/>
    <w:basedOn w:val="TableNormal"/>
    <w:uiPriority w:val="40"/>
    <w:rsid w:val="00FE52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nexNoTitle0">
    <w:name w:val="Annex_NoTitle"/>
    <w:basedOn w:val="Normal"/>
    <w:next w:val="Normal"/>
    <w:rsid w:val="00F05ED9"/>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es-ES" w:eastAsia="ja-JP"/>
    </w:rPr>
  </w:style>
  <w:style w:type="paragraph" w:customStyle="1" w:styleId="TableNoTitle0">
    <w:name w:val="Table_NoTitle"/>
    <w:basedOn w:val="Normal"/>
    <w:next w:val="Normal"/>
    <w:rsid w:val="00CF0CB0"/>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rFonts w:eastAsiaTheme="minorEastAsia"/>
      <w:b/>
      <w:szCs w:val="24"/>
      <w:lang w:eastAsia="ja-JP"/>
    </w:rPr>
  </w:style>
  <w:style w:type="character" w:customStyle="1" w:styleId="NoteChar">
    <w:name w:val="Note Char"/>
    <w:basedOn w:val="DefaultParagraphFont"/>
    <w:link w:val="Note"/>
    <w:locked/>
    <w:rsid w:val="00CF0CB0"/>
    <w:rPr>
      <w:rFonts w:ascii="Times New Roman" w:hAnsi="Times New Roman"/>
      <w:sz w:val="24"/>
      <w:lang w:val="en-GB" w:eastAsia="en-US"/>
    </w:rPr>
  </w:style>
  <w:style w:type="paragraph" w:customStyle="1" w:styleId="AnnexNoNoToC">
    <w:name w:val="Annex_No_NoToC"/>
    <w:basedOn w:val="Normal"/>
    <w:rsid w:val="00CF0CB0"/>
    <w:pPr>
      <w:keepNext/>
      <w:keepLines/>
      <w:tabs>
        <w:tab w:val="clear" w:pos="1134"/>
        <w:tab w:val="clear" w:pos="1871"/>
        <w:tab w:val="clear" w:pos="2268"/>
        <w:tab w:val="left" w:pos="316"/>
        <w:tab w:val="left" w:pos="794"/>
        <w:tab w:val="left" w:pos="1191"/>
        <w:tab w:val="left" w:pos="1588"/>
        <w:tab w:val="left" w:pos="1985"/>
        <w:tab w:val="center" w:pos="4819"/>
      </w:tabs>
      <w:spacing w:before="480" w:after="80"/>
      <w:jc w:val="center"/>
    </w:pPr>
    <w:rPr>
      <w:rFonts w:eastAsia="DengXian"/>
      <w:sz w:val="28"/>
      <w:lang w:eastAsia="ja-JP"/>
    </w:rPr>
  </w:style>
  <w:style w:type="paragraph" w:customStyle="1" w:styleId="FigureNoBR">
    <w:name w:val="Figure_No_BR"/>
    <w:basedOn w:val="Normal"/>
    <w:next w:val="Normal"/>
    <w:rsid w:val="00CF0CB0"/>
    <w:pPr>
      <w:keepNext/>
      <w:keepLines/>
      <w:tabs>
        <w:tab w:val="clear" w:pos="1134"/>
        <w:tab w:val="clear" w:pos="1871"/>
        <w:tab w:val="clear" w:pos="2268"/>
      </w:tabs>
      <w:overflowPunct/>
      <w:autoSpaceDE/>
      <w:autoSpaceDN/>
      <w:adjustRightInd/>
      <w:spacing w:before="480" w:after="120"/>
      <w:jc w:val="center"/>
      <w:textAlignment w:val="auto"/>
    </w:pPr>
    <w:rPr>
      <w:rFonts w:eastAsiaTheme="minorEastAsia"/>
      <w:szCs w:val="24"/>
      <w:lang w:eastAsia="ja-JP"/>
    </w:rPr>
  </w:style>
  <w:style w:type="paragraph" w:customStyle="1" w:styleId="TabletitleBR">
    <w:name w:val="Table_title_BR"/>
    <w:basedOn w:val="Normal"/>
    <w:next w:val="Normal"/>
    <w:rsid w:val="00CF0CB0"/>
    <w:pPr>
      <w:keepNext/>
      <w:keepLines/>
      <w:tabs>
        <w:tab w:val="clear" w:pos="1134"/>
        <w:tab w:val="clear" w:pos="1871"/>
        <w:tab w:val="clear" w:pos="2268"/>
      </w:tabs>
      <w:overflowPunct/>
      <w:autoSpaceDE/>
      <w:autoSpaceDN/>
      <w:adjustRightInd/>
      <w:spacing w:before="0" w:after="120"/>
      <w:jc w:val="center"/>
      <w:textAlignment w:val="auto"/>
    </w:pPr>
    <w:rPr>
      <w:rFonts w:eastAsiaTheme="minorEastAsia"/>
      <w:b/>
      <w:szCs w:val="24"/>
      <w:lang w:eastAsia="ja-JP"/>
    </w:rPr>
  </w:style>
  <w:style w:type="paragraph" w:customStyle="1" w:styleId="FiguretitleBR">
    <w:name w:val="Figure_title_BR"/>
    <w:basedOn w:val="TabletitleBR"/>
    <w:next w:val="Normal"/>
    <w:rsid w:val="00CF0CB0"/>
    <w:pPr>
      <w:keepNext w:val="0"/>
      <w:spacing w:after="480"/>
    </w:pPr>
  </w:style>
  <w:style w:type="paragraph" w:customStyle="1" w:styleId="Normalaftertitle0">
    <w:name w:val="Normal_after_title"/>
    <w:basedOn w:val="Normal"/>
    <w:next w:val="Normal"/>
    <w:rsid w:val="00CF0CB0"/>
    <w:pPr>
      <w:tabs>
        <w:tab w:val="clear" w:pos="1134"/>
        <w:tab w:val="clear" w:pos="1871"/>
        <w:tab w:val="clear" w:pos="2268"/>
      </w:tabs>
      <w:overflowPunct/>
      <w:autoSpaceDE/>
      <w:autoSpaceDN/>
      <w:adjustRightInd/>
      <w:spacing w:before="360"/>
      <w:textAlignment w:val="auto"/>
    </w:pPr>
    <w:rPr>
      <w:rFonts w:eastAsiaTheme="minorEastAsia"/>
      <w:szCs w:val="24"/>
      <w:lang w:eastAsia="ja-JP"/>
    </w:rPr>
  </w:style>
  <w:style w:type="paragraph" w:customStyle="1" w:styleId="RecNoBR">
    <w:name w:val="Rec_No_BR"/>
    <w:basedOn w:val="Normal"/>
    <w:next w:val="Normal"/>
    <w:rsid w:val="00CF0CB0"/>
    <w:pPr>
      <w:keepNext/>
      <w:keepLines/>
      <w:tabs>
        <w:tab w:val="clear" w:pos="1134"/>
        <w:tab w:val="clear" w:pos="1871"/>
        <w:tab w:val="clear" w:pos="2268"/>
      </w:tabs>
      <w:overflowPunct/>
      <w:autoSpaceDE/>
      <w:autoSpaceDN/>
      <w:adjustRightInd/>
      <w:spacing w:before="480"/>
      <w:jc w:val="center"/>
      <w:textAlignment w:val="auto"/>
    </w:pPr>
    <w:rPr>
      <w:rFonts w:eastAsiaTheme="minorEastAsia"/>
      <w:sz w:val="28"/>
      <w:szCs w:val="24"/>
      <w:lang w:eastAsia="ja-JP"/>
    </w:rPr>
  </w:style>
  <w:style w:type="paragraph" w:customStyle="1" w:styleId="QuestionNoBR">
    <w:name w:val="Question_No_BR"/>
    <w:basedOn w:val="RecNoBR"/>
    <w:next w:val="Normal"/>
    <w:rsid w:val="00CF0CB0"/>
  </w:style>
  <w:style w:type="character" w:customStyle="1" w:styleId="Recdef">
    <w:name w:val="Rec_def"/>
    <w:basedOn w:val="DefaultParagraphFont"/>
    <w:rsid w:val="00CF0CB0"/>
    <w:rPr>
      <w:rFonts w:cs="Times New Roman"/>
      <w:b/>
    </w:rPr>
  </w:style>
  <w:style w:type="paragraph" w:customStyle="1" w:styleId="Reftitle">
    <w:name w:val="Ref_title"/>
    <w:basedOn w:val="Normal"/>
    <w:next w:val="Reftext"/>
    <w:rsid w:val="00CF0CB0"/>
    <w:pPr>
      <w:tabs>
        <w:tab w:val="clear" w:pos="1134"/>
        <w:tab w:val="clear" w:pos="1871"/>
        <w:tab w:val="clear" w:pos="2268"/>
      </w:tabs>
      <w:overflowPunct/>
      <w:autoSpaceDE/>
      <w:autoSpaceDN/>
      <w:adjustRightInd/>
      <w:spacing w:before="480"/>
      <w:jc w:val="center"/>
      <w:textAlignment w:val="auto"/>
    </w:pPr>
    <w:rPr>
      <w:rFonts w:eastAsiaTheme="minorEastAsia"/>
      <w:b/>
      <w:szCs w:val="24"/>
      <w:lang w:eastAsia="ja-JP"/>
    </w:rPr>
  </w:style>
  <w:style w:type="paragraph" w:customStyle="1" w:styleId="RepNoBR">
    <w:name w:val="Rep_No_BR"/>
    <w:basedOn w:val="RecNoBR"/>
    <w:next w:val="Normal"/>
    <w:rsid w:val="00CF0CB0"/>
  </w:style>
  <w:style w:type="paragraph" w:customStyle="1" w:styleId="Resdate">
    <w:name w:val="Res_date"/>
    <w:basedOn w:val="Recdate"/>
    <w:next w:val="Normalaftertitle0"/>
    <w:rsid w:val="00CF0CB0"/>
    <w:pPr>
      <w:tabs>
        <w:tab w:val="clear" w:pos="1134"/>
        <w:tab w:val="clear" w:pos="1871"/>
        <w:tab w:val="clear" w:pos="2268"/>
      </w:tabs>
      <w:overflowPunct/>
      <w:autoSpaceDE/>
      <w:autoSpaceDN/>
      <w:adjustRightInd/>
      <w:jc w:val="right"/>
      <w:textAlignment w:val="auto"/>
    </w:pPr>
    <w:rPr>
      <w:rFonts w:eastAsiaTheme="minorEastAsia"/>
      <w:sz w:val="22"/>
      <w:szCs w:val="24"/>
      <w:lang w:eastAsia="ja-JP"/>
    </w:rPr>
  </w:style>
  <w:style w:type="character" w:customStyle="1" w:styleId="Resdef">
    <w:name w:val="Res_def"/>
    <w:basedOn w:val="DefaultParagraphFont"/>
    <w:rsid w:val="00CF0CB0"/>
    <w:rPr>
      <w:rFonts w:ascii="Times New Roman" w:hAnsi="Times New Roman" w:cs="Times New Roman"/>
      <w:b/>
    </w:rPr>
  </w:style>
  <w:style w:type="paragraph" w:customStyle="1" w:styleId="ResNoBR">
    <w:name w:val="Res_No_BR"/>
    <w:basedOn w:val="RecNoBR"/>
    <w:next w:val="Normal"/>
    <w:rsid w:val="00CF0CB0"/>
  </w:style>
  <w:style w:type="paragraph" w:customStyle="1" w:styleId="TableNoBR">
    <w:name w:val="Table_No_BR"/>
    <w:basedOn w:val="Normal"/>
    <w:next w:val="TabletitleBR"/>
    <w:rsid w:val="00CF0CB0"/>
    <w:pPr>
      <w:keepNext/>
      <w:tabs>
        <w:tab w:val="clear" w:pos="1134"/>
        <w:tab w:val="clear" w:pos="1871"/>
        <w:tab w:val="clear" w:pos="2268"/>
      </w:tabs>
      <w:overflowPunct/>
      <w:autoSpaceDE/>
      <w:autoSpaceDN/>
      <w:adjustRightInd/>
      <w:spacing w:before="560" w:after="120"/>
      <w:jc w:val="center"/>
      <w:textAlignment w:val="auto"/>
    </w:pPr>
    <w:rPr>
      <w:rFonts w:eastAsiaTheme="minorEastAsia"/>
      <w:szCs w:val="24"/>
      <w:lang w:eastAsia="ja-JP"/>
    </w:rPr>
  </w:style>
  <w:style w:type="paragraph" w:customStyle="1" w:styleId="Infodoc">
    <w:name w:val="Infodoc"/>
    <w:basedOn w:val="Normal"/>
    <w:uiPriority w:val="99"/>
    <w:rsid w:val="00CF0CB0"/>
    <w:pPr>
      <w:tabs>
        <w:tab w:val="clear" w:pos="1134"/>
        <w:tab w:val="clear" w:pos="1871"/>
        <w:tab w:val="clear" w:pos="2268"/>
        <w:tab w:val="left" w:pos="1418"/>
      </w:tabs>
      <w:overflowPunct/>
      <w:autoSpaceDE/>
      <w:autoSpaceDN/>
      <w:adjustRightInd/>
      <w:spacing w:before="0"/>
      <w:ind w:left="1418" w:hanging="1418"/>
      <w:textAlignment w:val="auto"/>
    </w:pPr>
    <w:rPr>
      <w:rFonts w:eastAsiaTheme="minorEastAsia"/>
      <w:szCs w:val="24"/>
      <w:lang w:eastAsia="ja-JP"/>
    </w:rPr>
  </w:style>
  <w:style w:type="paragraph" w:customStyle="1" w:styleId="TableTitle0">
    <w:name w:val="Table_Title"/>
    <w:basedOn w:val="Normal"/>
    <w:next w:val="Tabletext"/>
    <w:uiPriority w:val="99"/>
    <w:rsid w:val="00CF0CB0"/>
    <w:pPr>
      <w:keepNext/>
      <w:keepLines/>
      <w:tabs>
        <w:tab w:val="clear" w:pos="1134"/>
        <w:tab w:val="clear" w:pos="1871"/>
        <w:tab w:val="clear" w:pos="2268"/>
      </w:tabs>
      <w:overflowPunct/>
      <w:autoSpaceDE/>
      <w:autoSpaceDN/>
      <w:adjustRightInd/>
      <w:spacing w:before="0" w:after="120"/>
      <w:jc w:val="center"/>
      <w:textAlignment w:val="auto"/>
    </w:pPr>
    <w:rPr>
      <w:rFonts w:eastAsiaTheme="minorEastAsia"/>
      <w:b/>
      <w:szCs w:val="24"/>
      <w:lang w:eastAsia="ja-JP"/>
    </w:rPr>
  </w:style>
  <w:style w:type="paragraph" w:customStyle="1" w:styleId="TableHead0">
    <w:name w:val="Table_Head"/>
    <w:basedOn w:val="Tabletext"/>
    <w:uiPriority w:val="99"/>
    <w:rsid w:val="00CF0CB0"/>
    <w:pPr>
      <w:keepNext/>
      <w:tabs>
        <w:tab w:val="clear" w:pos="1871"/>
      </w:tabs>
      <w:spacing w:before="80" w:after="80"/>
      <w:jc w:val="center"/>
    </w:pPr>
    <w:rPr>
      <w:b/>
    </w:rPr>
  </w:style>
  <w:style w:type="character" w:customStyle="1" w:styleId="href">
    <w:name w:val="href"/>
    <w:basedOn w:val="DefaultParagraphFont"/>
    <w:uiPriority w:val="99"/>
    <w:rsid w:val="00CF0CB0"/>
    <w:rPr>
      <w:rFonts w:cs="Times New Roman"/>
      <w:color w:val="auto"/>
    </w:rPr>
  </w:style>
  <w:style w:type="paragraph" w:customStyle="1" w:styleId="AnnexTitle0">
    <w:name w:val="Annex_Title"/>
    <w:basedOn w:val="Normal"/>
    <w:next w:val="Normal"/>
    <w:uiPriority w:val="99"/>
    <w:rsid w:val="00CF0CB0"/>
    <w:pPr>
      <w:keepNext/>
      <w:keepLines/>
      <w:numPr>
        <w:ilvl w:val="12"/>
      </w:numPr>
      <w:tabs>
        <w:tab w:val="clear" w:pos="1134"/>
        <w:tab w:val="clear" w:pos="1871"/>
        <w:tab w:val="clear" w:pos="2268"/>
      </w:tabs>
      <w:overflowPunct/>
      <w:autoSpaceDE/>
      <w:autoSpaceDN/>
      <w:adjustRightInd/>
      <w:jc w:val="center"/>
      <w:textAlignment w:val="auto"/>
    </w:pPr>
    <w:rPr>
      <w:rFonts w:eastAsia="MS Mincho"/>
      <w:b/>
      <w:sz w:val="22"/>
      <w:szCs w:val="24"/>
      <w:lang w:eastAsia="ja-JP"/>
    </w:rPr>
  </w:style>
  <w:style w:type="paragraph" w:customStyle="1" w:styleId="Table">
    <w:name w:val="Table_#"/>
    <w:basedOn w:val="Normal"/>
    <w:next w:val="TableTitle0"/>
    <w:uiPriority w:val="99"/>
    <w:rsid w:val="00CF0CB0"/>
    <w:pPr>
      <w:keepNext/>
      <w:tabs>
        <w:tab w:val="clear" w:pos="1134"/>
        <w:tab w:val="clear" w:pos="1871"/>
        <w:tab w:val="clear" w:pos="2268"/>
      </w:tabs>
      <w:overflowPunct/>
      <w:autoSpaceDE/>
      <w:autoSpaceDN/>
      <w:adjustRightInd/>
      <w:spacing w:before="560" w:after="120"/>
      <w:jc w:val="center"/>
      <w:textAlignment w:val="auto"/>
    </w:pPr>
    <w:rPr>
      <w:rFonts w:eastAsiaTheme="minorEastAsia"/>
      <w:szCs w:val="24"/>
      <w:lang w:eastAsia="ja-JP"/>
    </w:rPr>
  </w:style>
  <w:style w:type="paragraph" w:customStyle="1" w:styleId="Annex">
    <w:name w:val="Annex_#"/>
    <w:basedOn w:val="Normal"/>
    <w:next w:val="Normal"/>
    <w:uiPriority w:val="99"/>
    <w:rsid w:val="00CF0CB0"/>
    <w:pPr>
      <w:keepNext/>
      <w:keepLines/>
      <w:tabs>
        <w:tab w:val="clear" w:pos="1134"/>
        <w:tab w:val="clear" w:pos="1871"/>
        <w:tab w:val="clear" w:pos="2268"/>
      </w:tabs>
      <w:overflowPunct/>
      <w:autoSpaceDE/>
      <w:autoSpaceDN/>
      <w:adjustRightInd/>
      <w:spacing w:before="480" w:after="80"/>
      <w:jc w:val="center"/>
      <w:textAlignment w:val="auto"/>
    </w:pPr>
    <w:rPr>
      <w:rFonts w:eastAsiaTheme="minorEastAsia"/>
      <w:sz w:val="28"/>
      <w:szCs w:val="24"/>
      <w:lang w:eastAsia="ja-JP"/>
    </w:rPr>
  </w:style>
  <w:style w:type="paragraph" w:customStyle="1" w:styleId="blanc">
    <w:name w:val="blanc"/>
    <w:basedOn w:val="Normal"/>
    <w:uiPriority w:val="99"/>
    <w:rsid w:val="00CF0CB0"/>
    <w:pPr>
      <w:tabs>
        <w:tab w:val="clear" w:pos="1134"/>
        <w:tab w:val="clear" w:pos="1871"/>
        <w:tab w:val="clear" w:pos="2268"/>
      </w:tabs>
      <w:overflowPunct/>
      <w:autoSpaceDE/>
      <w:autoSpaceDN/>
      <w:adjustRightInd/>
      <w:spacing w:before="0"/>
      <w:textAlignment w:val="auto"/>
    </w:pPr>
    <w:rPr>
      <w:rFonts w:eastAsiaTheme="minorEastAsia"/>
      <w:sz w:val="2"/>
      <w:szCs w:val="24"/>
      <w:lang w:val="en-US" w:eastAsia="ja-JP"/>
    </w:rPr>
  </w:style>
  <w:style w:type="paragraph" w:customStyle="1" w:styleId="Bullet">
    <w:name w:val="Bullet"/>
    <w:basedOn w:val="Normal"/>
    <w:uiPriority w:val="99"/>
    <w:rsid w:val="00CF0CB0"/>
    <w:pPr>
      <w:numPr>
        <w:numId w:val="3"/>
      </w:numPr>
      <w:tabs>
        <w:tab w:val="clear" w:pos="1134"/>
        <w:tab w:val="clear" w:pos="1871"/>
        <w:tab w:val="clear" w:pos="2268"/>
      </w:tabs>
      <w:overflowPunct/>
      <w:autoSpaceDE/>
      <w:autoSpaceDN/>
      <w:adjustRightInd/>
      <w:spacing w:before="0"/>
      <w:textAlignment w:val="auto"/>
    </w:pPr>
    <w:rPr>
      <w:rFonts w:eastAsiaTheme="minorEastAsia"/>
      <w:szCs w:val="24"/>
      <w:lang w:eastAsia="ja-JP"/>
    </w:rPr>
  </w:style>
  <w:style w:type="paragraph" w:customStyle="1" w:styleId="Default">
    <w:name w:val="Default"/>
    <w:rsid w:val="00CF0CB0"/>
    <w:pPr>
      <w:widowControl w:val="0"/>
      <w:autoSpaceDE w:val="0"/>
      <w:autoSpaceDN w:val="0"/>
      <w:adjustRightInd w:val="0"/>
      <w:spacing w:before="120"/>
      <w:jc w:val="both"/>
    </w:pPr>
    <w:rPr>
      <w:rFonts w:ascii="Times New Roman" w:eastAsia="MS Mincho" w:hAnsi="Times New Roman"/>
      <w:color w:val="000000"/>
      <w:sz w:val="22"/>
      <w:szCs w:val="22"/>
      <w:lang w:eastAsia="ja-JP"/>
    </w:rPr>
  </w:style>
  <w:style w:type="paragraph" w:customStyle="1" w:styleId="headingb0">
    <w:name w:val="headingb"/>
    <w:basedOn w:val="Normal"/>
    <w:uiPriority w:val="99"/>
    <w:rsid w:val="00CF0CB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hpmbodytext">
    <w:name w:val="hpmbodytext"/>
    <w:basedOn w:val="Normal"/>
    <w:uiPriority w:val="99"/>
    <w:rsid w:val="00CF0CB0"/>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hps">
    <w:name w:val="hps"/>
    <w:basedOn w:val="DefaultParagraphFont"/>
    <w:rsid w:val="00CF0CB0"/>
  </w:style>
  <w:style w:type="paragraph" w:customStyle="1" w:styleId="ByContin1">
    <w:name w:val="By  Contin 1"/>
    <w:basedOn w:val="Normal"/>
    <w:uiPriority w:val="99"/>
    <w:rsid w:val="00CF0CB0"/>
    <w:pPr>
      <w:widowControl w:val="0"/>
      <w:tabs>
        <w:tab w:val="clear" w:pos="1134"/>
        <w:tab w:val="clear" w:pos="1871"/>
        <w:tab w:val="clear" w:pos="2268"/>
        <w:tab w:val="left" w:pos="504"/>
      </w:tabs>
      <w:overflowPunct/>
      <w:autoSpaceDE/>
      <w:autoSpaceDN/>
      <w:adjustRightInd/>
      <w:spacing w:before="0"/>
      <w:ind w:firstLine="504"/>
      <w:textAlignment w:val="auto"/>
    </w:pPr>
    <w:rPr>
      <w:rFonts w:ascii="Courier New" w:eastAsiaTheme="minorEastAsia" w:hAnsi="Courier New" w:cs="Courier New"/>
      <w:szCs w:val="24"/>
      <w:lang w:val="en-US" w:eastAsia="ja-JP"/>
    </w:rPr>
  </w:style>
  <w:style w:type="paragraph" w:customStyle="1" w:styleId="Contin1">
    <w:name w:val="Contin 1"/>
    <w:basedOn w:val="Normal"/>
    <w:uiPriority w:val="99"/>
    <w:rsid w:val="00CF0CB0"/>
    <w:pPr>
      <w:widowControl w:val="0"/>
      <w:tabs>
        <w:tab w:val="clear" w:pos="1134"/>
        <w:tab w:val="clear" w:pos="1871"/>
        <w:tab w:val="clear" w:pos="2268"/>
      </w:tabs>
      <w:overflowPunct/>
      <w:autoSpaceDE/>
      <w:autoSpaceDN/>
      <w:adjustRightInd/>
      <w:spacing w:before="0"/>
      <w:ind w:firstLine="338"/>
      <w:textAlignment w:val="auto"/>
    </w:pPr>
    <w:rPr>
      <w:rFonts w:ascii="Courier New" w:eastAsiaTheme="minorEastAsia" w:hAnsi="Courier New" w:cs="Courier New"/>
      <w:szCs w:val="24"/>
      <w:lang w:val="en-US" w:eastAsia="zh-CN"/>
    </w:rPr>
  </w:style>
  <w:style w:type="paragraph" w:customStyle="1" w:styleId="Colloquy1">
    <w:name w:val="Colloquy 1"/>
    <w:basedOn w:val="Normal"/>
    <w:next w:val="Normal"/>
    <w:uiPriority w:val="99"/>
    <w:rsid w:val="00CF0CB0"/>
    <w:pPr>
      <w:widowControl w:val="0"/>
      <w:tabs>
        <w:tab w:val="clear" w:pos="1134"/>
        <w:tab w:val="clear" w:pos="1871"/>
        <w:tab w:val="clear" w:pos="2268"/>
      </w:tabs>
      <w:overflowPunct/>
      <w:autoSpaceDE/>
      <w:autoSpaceDN/>
      <w:adjustRightInd/>
      <w:spacing w:before="0"/>
      <w:ind w:firstLine="338"/>
      <w:textAlignment w:val="auto"/>
    </w:pPr>
    <w:rPr>
      <w:rFonts w:ascii="Courier New" w:eastAsiaTheme="minorEastAsia" w:hAnsi="Courier New" w:cs="Courier New"/>
      <w:szCs w:val="24"/>
      <w:lang w:val="en-US" w:eastAsia="zh-CN"/>
    </w:rPr>
  </w:style>
  <w:style w:type="character" w:customStyle="1" w:styleId="CallChar">
    <w:name w:val="Call Char"/>
    <w:link w:val="Call"/>
    <w:uiPriority w:val="99"/>
    <w:locked/>
    <w:rsid w:val="00CF0CB0"/>
    <w:rPr>
      <w:rFonts w:ascii="Times New Roman" w:hAnsi="Times New Roman"/>
      <w:i/>
      <w:sz w:val="24"/>
      <w:lang w:val="en-GB" w:eastAsia="en-US"/>
    </w:rPr>
  </w:style>
  <w:style w:type="paragraph" w:customStyle="1" w:styleId="Fixed">
    <w:name w:val="Fixed"/>
    <w:rsid w:val="00CF0CB0"/>
    <w:pPr>
      <w:widowControl w:val="0"/>
      <w:autoSpaceDE w:val="0"/>
      <w:autoSpaceDN w:val="0"/>
      <w:adjustRightInd w:val="0"/>
      <w:spacing w:line="528" w:lineRule="atLeast"/>
      <w:ind w:right="1152"/>
    </w:pPr>
    <w:rPr>
      <w:rFonts w:ascii="Courier New" w:eastAsia="MS Mincho" w:hAnsi="Courier New" w:cs="Courier New"/>
      <w:sz w:val="24"/>
      <w:szCs w:val="24"/>
      <w:lang w:eastAsia="en-US"/>
    </w:rPr>
  </w:style>
  <w:style w:type="paragraph" w:customStyle="1" w:styleId="Question">
    <w:name w:val="Question"/>
    <w:basedOn w:val="Fixed"/>
    <w:next w:val="Fixed"/>
    <w:uiPriority w:val="99"/>
    <w:rsid w:val="00CF0CB0"/>
    <w:pPr>
      <w:ind w:firstLine="720"/>
    </w:pPr>
    <w:rPr>
      <w:rFonts w:ascii="Arial" w:eastAsiaTheme="minorEastAsia" w:hAnsi="Arial" w:cs="Arial"/>
      <w:lang w:eastAsia="zh-CN"/>
    </w:rPr>
  </w:style>
  <w:style w:type="paragraph" w:customStyle="1" w:styleId="ByLine1">
    <w:name w:val="By Line 1"/>
    <w:basedOn w:val="Normal"/>
    <w:next w:val="ByContin1"/>
    <w:uiPriority w:val="99"/>
    <w:rsid w:val="00CF0CB0"/>
    <w:pPr>
      <w:widowControl w:val="0"/>
      <w:tabs>
        <w:tab w:val="clear" w:pos="1134"/>
        <w:tab w:val="clear" w:pos="1871"/>
        <w:tab w:val="clear" w:pos="2268"/>
        <w:tab w:val="left" w:pos="504"/>
      </w:tabs>
      <w:overflowPunct/>
      <w:spacing w:before="0"/>
      <w:ind w:firstLine="504"/>
      <w:textAlignment w:val="auto"/>
    </w:pPr>
    <w:rPr>
      <w:rFonts w:ascii="Courier New" w:hAnsi="Courier New" w:cs="Courier New"/>
      <w:szCs w:val="24"/>
      <w:lang w:val="en-US"/>
    </w:rPr>
  </w:style>
  <w:style w:type="paragraph" w:customStyle="1" w:styleId="Colloquy">
    <w:name w:val="Colloquy"/>
    <w:basedOn w:val="Fixed"/>
    <w:next w:val="Fixed"/>
    <w:uiPriority w:val="99"/>
    <w:rsid w:val="00CF0CB0"/>
    <w:pPr>
      <w:spacing w:line="285" w:lineRule="atLeast"/>
      <w:ind w:left="1440" w:right="-45" w:firstLine="720"/>
    </w:pPr>
    <w:rPr>
      <w:rFonts w:eastAsiaTheme="minorEastAsia"/>
    </w:rPr>
  </w:style>
  <w:style w:type="paragraph" w:customStyle="1" w:styleId="ContinCol">
    <w:name w:val="Contin Col"/>
    <w:basedOn w:val="Fixed"/>
    <w:next w:val="Fixed"/>
    <w:uiPriority w:val="99"/>
    <w:rsid w:val="00CF0CB0"/>
    <w:pPr>
      <w:spacing w:line="285" w:lineRule="atLeast"/>
      <w:ind w:left="1440" w:right="-45" w:firstLine="720"/>
    </w:pPr>
    <w:rPr>
      <w:rFonts w:eastAsiaTheme="minorEastAsia"/>
    </w:rPr>
  </w:style>
  <w:style w:type="character" w:customStyle="1" w:styleId="apple-converted-space">
    <w:name w:val="apple-converted-space"/>
    <w:basedOn w:val="DefaultParagraphFont"/>
    <w:rsid w:val="00CF0CB0"/>
  </w:style>
  <w:style w:type="character" w:customStyle="1" w:styleId="NormalWebChar">
    <w:name w:val="Normal (Web) Char"/>
    <w:basedOn w:val="DefaultParagraphFont"/>
    <w:link w:val="NormalWeb"/>
    <w:uiPriority w:val="99"/>
    <w:locked/>
    <w:rsid w:val="00CF0CB0"/>
    <w:rPr>
      <w:rFonts w:ascii="Times New Roman" w:eastAsiaTheme="minorEastAsia" w:hAnsi="Times New Roman"/>
      <w:sz w:val="24"/>
      <w:szCs w:val="24"/>
    </w:rPr>
  </w:style>
  <w:style w:type="paragraph" w:customStyle="1" w:styleId="Normal1">
    <w:name w:val="Normal 1"/>
    <w:basedOn w:val="Fixed"/>
    <w:next w:val="Fixed"/>
    <w:uiPriority w:val="99"/>
    <w:rsid w:val="00CF0CB0"/>
    <w:pPr>
      <w:ind w:firstLine="720"/>
    </w:pPr>
    <w:rPr>
      <w:rFonts w:ascii="Arial" w:eastAsiaTheme="minorEastAsia" w:hAnsi="Arial" w:cs="Arial"/>
      <w:lang w:eastAsia="zh-CN"/>
    </w:rPr>
  </w:style>
  <w:style w:type="paragraph" w:customStyle="1" w:styleId="Centered">
    <w:name w:val="Centered"/>
    <w:basedOn w:val="Fixed"/>
    <w:next w:val="Fixed"/>
    <w:uiPriority w:val="99"/>
    <w:rsid w:val="00CF0CB0"/>
    <w:pPr>
      <w:spacing w:line="285" w:lineRule="atLeast"/>
      <w:ind w:right="2116"/>
      <w:jc w:val="center"/>
    </w:pPr>
    <w:rPr>
      <w:rFonts w:eastAsiaTheme="minorEastAsia"/>
    </w:rPr>
  </w:style>
  <w:style w:type="character" w:customStyle="1" w:styleId="translation-chunk">
    <w:name w:val="translation-chunk"/>
    <w:basedOn w:val="DefaultParagraphFont"/>
    <w:rsid w:val="00CF0CB0"/>
  </w:style>
  <w:style w:type="numbering" w:customStyle="1" w:styleId="WWNum11">
    <w:name w:val="WWNum11"/>
    <w:rsid w:val="00CF0CB0"/>
    <w:pPr>
      <w:numPr>
        <w:numId w:val="4"/>
      </w:numPr>
    </w:pPr>
  </w:style>
  <w:style w:type="paragraph" w:customStyle="1" w:styleId="itunewslink">
    <w:name w:val="itunews_link"/>
    <w:basedOn w:val="Normal"/>
    <w:rsid w:val="00CF0CB0"/>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6"/>
      <w:szCs w:val="16"/>
      <w:lang w:val="en-US" w:eastAsia="zh-CN"/>
    </w:rPr>
  </w:style>
  <w:style w:type="paragraph" w:customStyle="1" w:styleId="Parenthetical">
    <w:name w:val="Parenthetical"/>
    <w:basedOn w:val="Fixed"/>
    <w:next w:val="Fixed"/>
    <w:uiPriority w:val="99"/>
    <w:rsid w:val="00CF0CB0"/>
    <w:pPr>
      <w:ind w:firstLine="432"/>
    </w:pPr>
  </w:style>
  <w:style w:type="paragraph" w:customStyle="1" w:styleId="10">
    <w:name w:val="列表段落1"/>
    <w:basedOn w:val="Normal"/>
    <w:uiPriority w:val="34"/>
    <w:rsid w:val="00CF0CB0"/>
    <w:pPr>
      <w:tabs>
        <w:tab w:val="clear" w:pos="1134"/>
        <w:tab w:val="clear" w:pos="1871"/>
        <w:tab w:val="clear" w:pos="2268"/>
      </w:tabs>
      <w:overflowPunct/>
      <w:autoSpaceDE/>
      <w:autoSpaceDN/>
      <w:adjustRightInd/>
      <w:ind w:leftChars="400" w:left="800"/>
      <w:textAlignment w:val="auto"/>
    </w:pPr>
    <w:rPr>
      <w:rFonts w:eastAsiaTheme="minorEastAsia"/>
      <w:szCs w:val="24"/>
      <w:lang w:eastAsia="ja-JP"/>
    </w:rPr>
  </w:style>
  <w:style w:type="numbering" w:customStyle="1" w:styleId="CurrentList1">
    <w:name w:val="Current List1"/>
    <w:uiPriority w:val="99"/>
    <w:rsid w:val="00CF0CB0"/>
    <w:pPr>
      <w:numPr>
        <w:numId w:val="5"/>
      </w:numPr>
    </w:pPr>
  </w:style>
  <w:style w:type="paragraph" w:customStyle="1" w:styleId="TSBHeaderSummary">
    <w:name w:val="TSBHeaderSummary"/>
    <w:basedOn w:val="Normal"/>
    <w:rsid w:val="00CF0CB0"/>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eop">
    <w:name w:val="eop"/>
    <w:basedOn w:val="DefaultParagraphFont"/>
    <w:rsid w:val="00CF0CB0"/>
    <w:rPr>
      <w:rFonts w:ascii="Times New Roman" w:hAnsi="Times New Roman" w:cs="Times New Roman" w:hint="default"/>
    </w:rPr>
  </w:style>
  <w:style w:type="character" w:customStyle="1" w:styleId="rynqvb">
    <w:name w:val="rynqvb"/>
    <w:basedOn w:val="DefaultParagraphFont"/>
    <w:rsid w:val="00CF0CB0"/>
  </w:style>
  <w:style w:type="paragraph" w:customStyle="1" w:styleId="m7315952144655343828tabletext">
    <w:name w:val="m_7315952144655343828tabletext"/>
    <w:basedOn w:val="Normal"/>
    <w:rsid w:val="00CF0CB0"/>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EastAsia" w:hAnsi="Calibri" w:cs="Calibri"/>
      <w:sz w:val="22"/>
      <w:szCs w:val="22"/>
      <w:lang w:eastAsia="en-GB"/>
    </w:rPr>
  </w:style>
  <w:style w:type="paragraph" w:customStyle="1" w:styleId="TSBHeaderQuestion">
    <w:name w:val="TSBHeaderQuestion"/>
    <w:basedOn w:val="Normal"/>
    <w:qFormat/>
    <w:rsid w:val="00CF0CB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Right14">
    <w:name w:val="TSBHeaderRight14"/>
    <w:basedOn w:val="Normal"/>
    <w:qFormat/>
    <w:rsid w:val="00CF0CB0"/>
    <w:pPr>
      <w:tabs>
        <w:tab w:val="clear" w:pos="1134"/>
        <w:tab w:val="clear" w:pos="1871"/>
        <w:tab w:val="clear" w:pos="2268"/>
      </w:tabs>
      <w:overflowPunct/>
      <w:autoSpaceDE/>
      <w:autoSpaceDN/>
      <w:adjustRightInd/>
      <w:jc w:val="right"/>
      <w:textAlignment w:val="auto"/>
    </w:pPr>
    <w:rPr>
      <w:rFonts w:eastAsiaTheme="minorEastAsia"/>
      <w:b/>
      <w:bCs/>
      <w:sz w:val="28"/>
      <w:szCs w:val="28"/>
      <w:lang w:eastAsia="ja-JP"/>
    </w:rPr>
  </w:style>
  <w:style w:type="paragraph" w:customStyle="1" w:styleId="TSBHeaderSource">
    <w:name w:val="TSBHeaderSource"/>
    <w:basedOn w:val="Normal"/>
    <w:qFormat/>
    <w:rsid w:val="00CF0CB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CF0CB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VenueDate">
    <w:name w:val="VenueDate"/>
    <w:basedOn w:val="Normal"/>
    <w:qFormat/>
    <w:rsid w:val="00CF0CB0"/>
    <w:pPr>
      <w:tabs>
        <w:tab w:val="clear" w:pos="1134"/>
        <w:tab w:val="clear" w:pos="1871"/>
        <w:tab w:val="clear" w:pos="2268"/>
      </w:tabs>
      <w:overflowPunct/>
      <w:autoSpaceDE/>
      <w:autoSpaceDN/>
      <w:adjustRightInd/>
      <w:jc w:val="right"/>
      <w:textAlignment w:val="auto"/>
    </w:pPr>
    <w:rPr>
      <w:rFonts w:eastAsiaTheme="minorEastAsia"/>
      <w:szCs w:val="24"/>
      <w:lang w:eastAsia="ja-JP"/>
    </w:rPr>
  </w:style>
  <w:style w:type="character" w:customStyle="1" w:styleId="normaltextrun">
    <w:name w:val="normaltextrun"/>
    <w:basedOn w:val="DefaultParagraphFont"/>
    <w:rsid w:val="00CF0CB0"/>
  </w:style>
  <w:style w:type="character" w:customStyle="1" w:styleId="scxw209496272">
    <w:name w:val="scxw209496272"/>
    <w:basedOn w:val="DefaultParagraphFont"/>
    <w:rsid w:val="00CF0CB0"/>
  </w:style>
  <w:style w:type="character" w:customStyle="1" w:styleId="tabchar">
    <w:name w:val="tabchar"/>
    <w:basedOn w:val="DefaultParagraphFont"/>
    <w:rsid w:val="00CF0CB0"/>
  </w:style>
  <w:style w:type="character" w:customStyle="1" w:styleId="ui-provider">
    <w:name w:val="ui-provider"/>
    <w:basedOn w:val="DefaultParagraphFont"/>
    <w:rsid w:val="00CF0CB0"/>
  </w:style>
  <w:style w:type="paragraph" w:customStyle="1" w:styleId="TableText0">
    <w:name w:val="Table_Text"/>
    <w:basedOn w:val="Normal"/>
    <w:rsid w:val="00CF0CB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table" w:customStyle="1" w:styleId="TableGridLight1">
    <w:name w:val="Table Grid Light1"/>
    <w:basedOn w:val="TableNormal"/>
    <w:uiPriority w:val="40"/>
    <w:rsid w:val="00CF0CB0"/>
    <w:pPr>
      <w:spacing w:before="120"/>
      <w:jc w:val="both"/>
    </w:pPr>
    <w:rPr>
      <w:rFonts w:ascii="Times New Roman" w:eastAsia="MS Mincho" w:hAnsi="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2">
    <w:name w:val="Current List2"/>
    <w:uiPriority w:val="99"/>
    <w:rsid w:val="00CF0CB0"/>
    <w:pPr>
      <w:numPr>
        <w:numId w:val="6"/>
      </w:numPr>
    </w:pPr>
  </w:style>
  <w:style w:type="paragraph" w:customStyle="1" w:styleId="t">
    <w:name w:val="t"/>
    <w:basedOn w:val="Tabletext"/>
    <w:rsid w:val="00B07CD5"/>
    <w:pPr>
      <w:jc w:val="center"/>
    </w:pPr>
    <w:rPr>
      <w:rFonts w:eastAsia="MS Mincho"/>
    </w:rPr>
  </w:style>
  <w:style w:type="paragraph" w:customStyle="1" w:styleId="tab8pt">
    <w:name w:val="tab+ 8 pt"/>
    <w:aliases w:val="Before:  2 pt,After:  2 pt"/>
    <w:basedOn w:val="Normal"/>
    <w:rsid w:val="000F2B2B"/>
    <w:pPr>
      <w:spacing w:before="40" w:after="40"/>
    </w:pPr>
    <w:rPr>
      <w:rFonts w:eastAsia="MS Mincho"/>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T22-WTSA.24-C-0008/es" TargetMode="External"/><Relationship Id="rId21" Type="http://schemas.openxmlformats.org/officeDocument/2006/relationships/hyperlink" Target="https://itu.int/net/itu-t/lists/rgmdetails.aspx?id=13591&amp;Group=0" TargetMode="External"/><Relationship Id="rId42" Type="http://schemas.openxmlformats.org/officeDocument/2006/relationships/hyperlink" Target="https://itu.int/net/itu-t/lists/rgmdetails.aspx?id=13913&amp;Group=0" TargetMode="External"/><Relationship Id="rId63" Type="http://schemas.openxmlformats.org/officeDocument/2006/relationships/hyperlink" Target="https://itu.int/net/itu-t/lists/rgmdetails.aspx?id=15611&amp;Group=0" TargetMode="External"/><Relationship Id="rId84" Type="http://schemas.openxmlformats.org/officeDocument/2006/relationships/hyperlink" Target="https://www.itu.int/md/T22-TSAG-R-0008/es" TargetMode="External"/><Relationship Id="rId138" Type="http://schemas.openxmlformats.org/officeDocument/2006/relationships/hyperlink" Target="https://www.itu.int/md/T22-TSAG-221212-TD-GEN-0004/es" TargetMode="External"/><Relationship Id="rId159" Type="http://schemas.openxmlformats.org/officeDocument/2006/relationships/hyperlink" Target="https://extranet.itu.int/meetings/ITU-T/T22-TSAGRGM/RGIEM-240617/DOCs/T22-TSAGRGM-RGIEM-240617-DOC-0006-A01.docx" TargetMode="External"/><Relationship Id="rId107" Type="http://schemas.openxmlformats.org/officeDocument/2006/relationships/hyperlink" Target="https://itu.int/itu-t/workprog/wp_item.aspx?isn=18700" TargetMode="External"/><Relationship Id="rId11" Type="http://schemas.openxmlformats.org/officeDocument/2006/relationships/image" Target="media/image1.png"/><Relationship Id="rId32" Type="http://schemas.openxmlformats.org/officeDocument/2006/relationships/hyperlink" Target="https://itu.int/net/itu-t/lists/rgmdetails.aspx?id=13702&amp;Group=0" TargetMode="External"/><Relationship Id="rId53" Type="http://schemas.openxmlformats.org/officeDocument/2006/relationships/hyperlink" Target="https://itu.int/net/itu-t/lists/rgmdetails.aspx?id=15606&amp;Group=0" TargetMode="External"/><Relationship Id="rId74" Type="http://schemas.openxmlformats.org/officeDocument/2006/relationships/hyperlink" Target="https://itu.int/en/ITU-T/Workshops-and-Seminars/2024/0419" TargetMode="External"/><Relationship Id="rId128" Type="http://schemas.openxmlformats.org/officeDocument/2006/relationships/hyperlink" Target="https://www.itu.int/md/T22-WTSA.24-C-0018/es" TargetMode="External"/><Relationship Id="rId149" Type="http://schemas.openxmlformats.org/officeDocument/2006/relationships/hyperlink" Target="https://extranet.itu.int/meetings/ITU-T/T22-TSAGRGM/RGIEM-230307/DOCs/T22-TSAGRGM-RGIEM-230307-DOC-0001-R02.docx" TargetMode="External"/><Relationship Id="rId5" Type="http://schemas.openxmlformats.org/officeDocument/2006/relationships/numbering" Target="numbering.xml"/><Relationship Id="rId95" Type="http://schemas.openxmlformats.org/officeDocument/2006/relationships/hyperlink" Target="https://itu.int/en/ITU-T/jca/qkdn" TargetMode="External"/><Relationship Id="rId160" Type="http://schemas.openxmlformats.org/officeDocument/2006/relationships/hyperlink" Target="https://itu.int/en/council/planning/Documents/Res71-PP2-final.pdf" TargetMode="External"/><Relationship Id="rId22" Type="http://schemas.openxmlformats.org/officeDocument/2006/relationships/hyperlink" Target="https://itu.int/net/itu-t/lists/rgmdetails.aspx?id=13592&amp;Group=0" TargetMode="External"/><Relationship Id="rId43" Type="http://schemas.openxmlformats.org/officeDocument/2006/relationships/hyperlink" Target="https://itu.int/net/itu-t/lists/rgmdetails.aspx?id=13896&amp;Group=0" TargetMode="External"/><Relationship Id="rId64" Type="http://schemas.openxmlformats.org/officeDocument/2006/relationships/hyperlink" Target="https://itu.int/net/itu-t/lists/rgmdetails.aspx?id=15610&amp;Group=0" TargetMode="External"/><Relationship Id="rId118" Type="http://schemas.openxmlformats.org/officeDocument/2006/relationships/hyperlink" Target="https://www.itu.int/md/T22-WTSA.24-C-0008/es" TargetMode="External"/><Relationship Id="rId139" Type="http://schemas.openxmlformats.org/officeDocument/2006/relationships/hyperlink" Target="https://www.itu.int/md/T22-TSAG-240729-TD-GEN-0599/es" TargetMode="External"/><Relationship Id="rId85" Type="http://schemas.openxmlformats.org/officeDocument/2006/relationships/hyperlink" Target="https://www.itu.int/en/ITU-T/jca/ahf/Pages/default.aspx" TargetMode="External"/><Relationship Id="rId150" Type="http://schemas.openxmlformats.org/officeDocument/2006/relationships/hyperlink" Target="https://extranet.itu.int/meetings/ITU-T/T22-TSAGRGM/RGIEM-230307/DOCs/T22-TSAGRGM-RGIEM-230307-DOC-0002.docx" TargetMode="External"/><Relationship Id="rId12" Type="http://schemas.openxmlformats.org/officeDocument/2006/relationships/image" Target="media/image2.jpeg"/><Relationship Id="rId17" Type="http://schemas.openxmlformats.org/officeDocument/2006/relationships/hyperlink" Target="https://www.itu.int/md/T22-TSAG-R-0004/es" TargetMode="External"/><Relationship Id="rId33" Type="http://schemas.openxmlformats.org/officeDocument/2006/relationships/hyperlink" Target="https://itu.int/net/itu-t/lists/rgmdetails.aspx?id=13678&amp;Group=0" TargetMode="External"/><Relationship Id="rId38" Type="http://schemas.openxmlformats.org/officeDocument/2006/relationships/hyperlink" Target="https://itu.int/net/itu-t/lists/rgmdetails.aspx?id=13895&amp;Group=0" TargetMode="External"/><Relationship Id="rId59" Type="http://schemas.openxmlformats.org/officeDocument/2006/relationships/hyperlink" Target="https://itu.int/net/itu-t/lists/rgmdetails.aspx?id=15613&amp;Group=0" TargetMode="External"/><Relationship Id="rId103" Type="http://schemas.openxmlformats.org/officeDocument/2006/relationships/hyperlink" Target="https://itu.int/itu-t/workprog/wp_item.aspx?isn=18923" TargetMode="External"/><Relationship Id="rId108" Type="http://schemas.openxmlformats.org/officeDocument/2006/relationships/hyperlink" Target="https://www.itu.int/rec/T-REC-A.Sup5/es" TargetMode="External"/><Relationship Id="rId124" Type="http://schemas.openxmlformats.org/officeDocument/2006/relationships/hyperlink" Target="https://www.itu.int/md/T22-WTSA.24-C-0018/es" TargetMode="External"/><Relationship Id="rId129" Type="http://schemas.openxmlformats.org/officeDocument/2006/relationships/hyperlink" Target="https://www.itu.int/md/T22-WTSA.24-C-0018/es" TargetMode="External"/><Relationship Id="rId54" Type="http://schemas.openxmlformats.org/officeDocument/2006/relationships/hyperlink" Target="https://itu.int/net/itu-t/lists/rgmdetails.aspx?id=15601&amp;Group=0" TargetMode="External"/><Relationship Id="rId70" Type="http://schemas.openxmlformats.org/officeDocument/2006/relationships/hyperlink" Target="https://www.itu.int/md/T22-WTSA.24-INF-0003/es" TargetMode="External"/><Relationship Id="rId75" Type="http://schemas.openxmlformats.org/officeDocument/2006/relationships/hyperlink" Target="https://www.itu.int/md/T17-WTSA.20-C-0025/es" TargetMode="External"/><Relationship Id="rId91" Type="http://schemas.openxmlformats.org/officeDocument/2006/relationships/hyperlink" Target="file:///C:\Users\villaescusa\Downloads\R1" TargetMode="External"/><Relationship Id="rId96" Type="http://schemas.openxmlformats.org/officeDocument/2006/relationships/hyperlink" Target="https://www.itu.int/md/T22-TSAG-R-0001/es" TargetMode="External"/><Relationship Id="rId140" Type="http://schemas.openxmlformats.org/officeDocument/2006/relationships/image" Target="media/image3.png"/><Relationship Id="rId145" Type="http://schemas.openxmlformats.org/officeDocument/2006/relationships/hyperlink" Target="https://extranet.itu.int/meetings/ITU-T/T22-TSAGRGM/RGIEM-230131/DOCs/T22-TSAGRGM-RGIEM-230131-DOC-0001.docx" TargetMode="External"/><Relationship Id="rId16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tu.int/net/itu-t/lists/rgmdetails.aspx?id=13597&amp;Group=0" TargetMode="External"/><Relationship Id="rId28" Type="http://schemas.openxmlformats.org/officeDocument/2006/relationships/hyperlink" Target="https://itu.int/net/itu-t/lists/rgmdetails.aspx?id=13675&amp;Group=0" TargetMode="External"/><Relationship Id="rId49" Type="http://schemas.openxmlformats.org/officeDocument/2006/relationships/hyperlink" Target="https://itu.int/net/itu-t/lists/rgmdetails.aspx?id=14137&amp;Group=0" TargetMode="External"/><Relationship Id="rId114" Type="http://schemas.openxmlformats.org/officeDocument/2006/relationships/hyperlink" Target="https://www.itu.int/md/T22-WTSA.24-C-0008/es" TargetMode="External"/><Relationship Id="rId119" Type="http://schemas.openxmlformats.org/officeDocument/2006/relationships/hyperlink" Target="https://www.itu.int/md/T22-WTSA.24-C-0008/es" TargetMode="External"/><Relationship Id="rId44" Type="http://schemas.openxmlformats.org/officeDocument/2006/relationships/hyperlink" Target="https://itu.int/net/itu-t/lists/rgmdetails.aspx?id=13916&amp;Group=0" TargetMode="External"/><Relationship Id="rId60" Type="http://schemas.openxmlformats.org/officeDocument/2006/relationships/hyperlink" Target="https://itu.int/net/itu-t/lists/rgmdetails.aspx?id=15604&amp;Group=0" TargetMode="External"/><Relationship Id="rId65" Type="http://schemas.openxmlformats.org/officeDocument/2006/relationships/hyperlink" Target="https://itu.int/net/itu-t/lists/rgmdetails.aspx?id=15615&amp;Group=0" TargetMode="External"/><Relationship Id="rId81" Type="http://schemas.openxmlformats.org/officeDocument/2006/relationships/hyperlink" Target="https://www.itu.int/md/T22-TSAG-R-0001/es" TargetMode="External"/><Relationship Id="rId86" Type="http://schemas.openxmlformats.org/officeDocument/2006/relationships/hyperlink" Target="https://www.itu.int/md/T22-TSAG-R-0001/es" TargetMode="External"/><Relationship Id="rId130" Type="http://schemas.openxmlformats.org/officeDocument/2006/relationships/hyperlink" Target="https://www.itu.int/md/T22-WTSA.24-C-0018/es" TargetMode="External"/><Relationship Id="rId135" Type="http://schemas.openxmlformats.org/officeDocument/2006/relationships/hyperlink" Target="https://www.itu.int/md/T22-WTSA.24-C-0024/es" TargetMode="External"/><Relationship Id="rId151" Type="http://schemas.openxmlformats.org/officeDocument/2006/relationships/hyperlink" Target="https://extranet.itu.int/meetings/ITU-T/T22-TSAGRGM/RGIEM-230307/DOCs/T22-TSAGRGM-RGIEM-230307-DOC-0004.docx" TargetMode="External"/><Relationship Id="rId156" Type="http://schemas.openxmlformats.org/officeDocument/2006/relationships/hyperlink" Target="https://extranet.itu.int/meetings/ITU-T/T22-TSAGRGM/RGIEM-230505/DOCs/T22-TSAGRGM-RGIEM-230505-DOC-0001.docx" TargetMode="External"/><Relationship Id="rId13" Type="http://schemas.openxmlformats.org/officeDocument/2006/relationships/hyperlink" Target="mailto:tsagchair@nca.gov.sa" TargetMode="External"/><Relationship Id="rId18" Type="http://schemas.openxmlformats.org/officeDocument/2006/relationships/hyperlink" Target="https://www.itu.int/md/T22-TSAG-R-0007/es" TargetMode="External"/><Relationship Id="rId39" Type="http://schemas.openxmlformats.org/officeDocument/2006/relationships/hyperlink" Target="https://itu.int/net/itu-t/lists/rgmdetails.aspx?id=13910&amp;Group=0" TargetMode="External"/><Relationship Id="rId109" Type="http://schemas.openxmlformats.org/officeDocument/2006/relationships/hyperlink" Target="https://itu.int/itu-t/workprog/wp_item.aspx?isn=19291" TargetMode="External"/><Relationship Id="rId34" Type="http://schemas.openxmlformats.org/officeDocument/2006/relationships/hyperlink" Target="https://itu.int/net/itu-t/lists/rgmdetails.aspx?id=13703&amp;Group=0" TargetMode="External"/><Relationship Id="rId50" Type="http://schemas.openxmlformats.org/officeDocument/2006/relationships/hyperlink" Target="https://itu.int/net/itu-t/lists/rgmdetails.aspx?id=14138&amp;Group=0" TargetMode="External"/><Relationship Id="rId55" Type="http://schemas.openxmlformats.org/officeDocument/2006/relationships/hyperlink" Target="https://itu.int/net/itu-t/lists/rgmdetails.aspx?id=15602&amp;Group=0" TargetMode="External"/><Relationship Id="rId76" Type="http://schemas.openxmlformats.org/officeDocument/2006/relationships/hyperlink" Target="https://www.itu.int/md/T17-WTSA.20-C-0025/es" TargetMode="External"/><Relationship Id="rId97" Type="http://schemas.openxmlformats.org/officeDocument/2006/relationships/hyperlink" Target="https://www.itu.int/md/T22-TSAG-R-0002/es" TargetMode="External"/><Relationship Id="rId104" Type="http://schemas.openxmlformats.org/officeDocument/2006/relationships/hyperlink" Target="https://itu.int/itu-t/workprog/wp_item.aspx?isn=19290" TargetMode="External"/><Relationship Id="rId120" Type="http://schemas.openxmlformats.org/officeDocument/2006/relationships/hyperlink" Target="https://www.itu.int/md/T22-WTSA.24-C-0008/es" TargetMode="External"/><Relationship Id="rId125" Type="http://schemas.openxmlformats.org/officeDocument/2006/relationships/hyperlink" Target="https://www.itu.int/md/T22-WTSA.24-C-0018/es" TargetMode="External"/><Relationship Id="rId141" Type="http://schemas.openxmlformats.org/officeDocument/2006/relationships/hyperlink" Target="https://www.itu.int/md/T22-TSAG-230530-TD-GEN-0256/es" TargetMode="External"/><Relationship Id="rId146" Type="http://schemas.openxmlformats.org/officeDocument/2006/relationships/hyperlink" Target="https://extranet.itu.int/meetings/ITU-T/T22-TSAGRGM/RGIEM-230131/DOCs/T22-TSAGRGM-RGIEM-230131-DOC-0002.docx" TargetMode="External"/><Relationship Id="rId7" Type="http://schemas.openxmlformats.org/officeDocument/2006/relationships/settings" Target="settings.xml"/><Relationship Id="rId71" Type="http://schemas.openxmlformats.org/officeDocument/2006/relationships/hyperlink" Target="https://www.itu.int/md/T22-WTSA.24-INF-0002/es" TargetMode="External"/><Relationship Id="rId92" Type="http://schemas.openxmlformats.org/officeDocument/2006/relationships/hyperlink" Target="https://itu.int/md/meetingdoc.asp?lang=en&amp;parent=T22-TSAG-R-0002" TargetMode="External"/><Relationship Id="rId16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itu.int/net/itu-t/lists/rgmdetails.aspx?id=13676&amp;Group=0" TargetMode="External"/><Relationship Id="rId24" Type="http://schemas.openxmlformats.org/officeDocument/2006/relationships/hyperlink" Target="https://itu.int/net/itu-t/lists/rgmdetails.aspx?id=13593&amp;Group=0" TargetMode="External"/><Relationship Id="rId40" Type="http://schemas.openxmlformats.org/officeDocument/2006/relationships/hyperlink" Target="https://itu.int/net/itu-t/lists/rgmdetails.aspx?id=13911&amp;Group=0" TargetMode="External"/><Relationship Id="rId45" Type="http://schemas.openxmlformats.org/officeDocument/2006/relationships/hyperlink" Target="https://itu.int/net/itu-t/lists/rgmdetails.aspx?id=14068&amp;Group=0" TargetMode="External"/><Relationship Id="rId66" Type="http://schemas.openxmlformats.org/officeDocument/2006/relationships/hyperlink" Target="https://itu.int/net/itu-t/lists/rgmdetails.aspx?id=15616&amp;Group=0" TargetMode="External"/><Relationship Id="rId87" Type="http://schemas.openxmlformats.org/officeDocument/2006/relationships/hyperlink" Target="https://www.itu.int/md/T22-TSAG-R-0002/es" TargetMode="External"/><Relationship Id="rId110" Type="http://schemas.openxmlformats.org/officeDocument/2006/relationships/hyperlink" Target="https://itu.int/itu-t/workprog/wp_item.aspx?isn=18701" TargetMode="External"/><Relationship Id="rId115" Type="http://schemas.openxmlformats.org/officeDocument/2006/relationships/hyperlink" Target="https://www.itu.int/md/T22-WTSA.24-C-0008/es" TargetMode="External"/><Relationship Id="rId131" Type="http://schemas.openxmlformats.org/officeDocument/2006/relationships/hyperlink" Target="https://www.itu.int/md/T22-WTSA.24-C-0018/es" TargetMode="External"/><Relationship Id="rId136" Type="http://schemas.openxmlformats.org/officeDocument/2006/relationships/hyperlink" Target="https://www.itu.int/md/T22-WTSA.24-C-0024/es" TargetMode="External"/><Relationship Id="rId157" Type="http://schemas.openxmlformats.org/officeDocument/2006/relationships/hyperlink" Target="https://extranet.itu.int/meetings/ITU-T/T22-TSAGRGM/RGIEM-230505/DOCs/T22-TSAGRGM-RGIEM-230505-DOC-0005.docx" TargetMode="External"/><Relationship Id="rId61" Type="http://schemas.openxmlformats.org/officeDocument/2006/relationships/hyperlink" Target="https://itu.int/net/itu-t/lists/rgmdetails.aspx?id=15614&amp;Group=0" TargetMode="External"/><Relationship Id="rId82" Type="http://schemas.openxmlformats.org/officeDocument/2006/relationships/hyperlink" Target="https://www.itu.int/md/T22-TSAG-R-0002/es" TargetMode="External"/><Relationship Id="rId152" Type="http://schemas.openxmlformats.org/officeDocument/2006/relationships/hyperlink" Target="https://extranet.itu.int/meetings/ITU-T/T22-TSAGRGM/RGIEM-230404/DOCs/T22-TSAGRGM-RGIEM-230404-DOC-0001.docx" TargetMode="External"/><Relationship Id="rId19" Type="http://schemas.openxmlformats.org/officeDocument/2006/relationships/hyperlink" Target="https://www.itu.int/md/T22-TSAG-R-0008/es" TargetMode="External"/><Relationship Id="rId14" Type="http://schemas.openxmlformats.org/officeDocument/2006/relationships/hyperlink" Target="https://www.itu.int/md/T22-TSAG-R-0001/es" TargetMode="External"/><Relationship Id="rId30" Type="http://schemas.openxmlformats.org/officeDocument/2006/relationships/hyperlink" Target="https://itu.int/net/itu-t/lists/rgmdetails.aspx?id=13677&amp;Group=0" TargetMode="External"/><Relationship Id="rId35" Type="http://schemas.openxmlformats.org/officeDocument/2006/relationships/hyperlink" Target="https://itu.int/net/itu-t/lists/rgmdetails.aspx?id=13704&amp;Group=0" TargetMode="External"/><Relationship Id="rId56" Type="http://schemas.openxmlformats.org/officeDocument/2006/relationships/hyperlink" Target="https://itu.int/net/itu-t/lists/rgmdetails.aspx?id=15609&amp;Group=0" TargetMode="External"/><Relationship Id="rId77" Type="http://schemas.openxmlformats.org/officeDocument/2006/relationships/hyperlink" Target="https://www.itu.int/md/T22-TSAG-R-0001/es" TargetMode="External"/><Relationship Id="rId100" Type="http://schemas.openxmlformats.org/officeDocument/2006/relationships/hyperlink" Target="https://www.itu.int/en/ITU-T/focusgroups/mv/Pages/default.aspx" TargetMode="External"/><Relationship Id="rId105" Type="http://schemas.openxmlformats.org/officeDocument/2006/relationships/hyperlink" Target="https://itu.int/itu-t/workprog/wp_item.aspx?isn=19289" TargetMode="External"/><Relationship Id="rId126" Type="http://schemas.openxmlformats.org/officeDocument/2006/relationships/hyperlink" Target="https://www.itu.int/md/T22-WTSA.24-C-0018/es" TargetMode="External"/><Relationship Id="rId147" Type="http://schemas.openxmlformats.org/officeDocument/2006/relationships/hyperlink" Target="https://extranet.itu.int/meetings/ITU-T/T22-TSAGRGM/RGIEM-230131/DOCs/T22-TSAGRGM-RGIEM-230131-DOC-0003.docx" TargetMode="External"/><Relationship Id="rId8" Type="http://schemas.openxmlformats.org/officeDocument/2006/relationships/webSettings" Target="webSettings.xml"/><Relationship Id="rId51" Type="http://schemas.openxmlformats.org/officeDocument/2006/relationships/hyperlink" Target="https://itu.int/net/itu-t/lists/rgmdetails.aspx?id=15600&amp;Group=0" TargetMode="External"/><Relationship Id="rId72" Type="http://schemas.openxmlformats.org/officeDocument/2006/relationships/hyperlink" Target="https://itu.int/md/T17-WTSA.20-C-0025/es" TargetMode="External"/><Relationship Id="rId93" Type="http://schemas.openxmlformats.org/officeDocument/2006/relationships/hyperlink" Target="https://itu.int/md/meetingdoc.asp?lang=en&amp;parent=T22-TSAG-R-0004" TargetMode="External"/><Relationship Id="rId98" Type="http://schemas.openxmlformats.org/officeDocument/2006/relationships/hyperlink" Target="https://www.itu.int/md/T22-TSAG-R-0004/es" TargetMode="External"/><Relationship Id="rId121" Type="http://schemas.openxmlformats.org/officeDocument/2006/relationships/hyperlink" Target="https://www.itu.int/md/T22-WTSA.24-C-0008/es" TargetMode="External"/><Relationship Id="rId142" Type="http://schemas.openxmlformats.org/officeDocument/2006/relationships/hyperlink" Target="https://www.itu.int/md/T22-TSAG-230530-TD-GEN-0256/es"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itu.int/net/itu-t/lists/rgmdetails.aspx?id=13617&amp;Group=0" TargetMode="External"/><Relationship Id="rId46" Type="http://schemas.openxmlformats.org/officeDocument/2006/relationships/hyperlink" Target="https://itu.int/net/itu-t/lists/rgmdetails.aspx?id=14107&amp;Group=0" TargetMode="External"/><Relationship Id="rId67" Type="http://schemas.openxmlformats.org/officeDocument/2006/relationships/hyperlink" Target="https://itu.int/net/itu-t/lists/rgmdetails.aspx?id=15605&amp;Group=0" TargetMode="External"/><Relationship Id="rId116" Type="http://schemas.openxmlformats.org/officeDocument/2006/relationships/hyperlink" Target="https://www.itu.int/md/T22-WTSA.24-C-0008/es" TargetMode="External"/><Relationship Id="rId137" Type="http://schemas.openxmlformats.org/officeDocument/2006/relationships/hyperlink" Target="https://www.itu.int/ITU-T/workprog/wp_search.aspx?sp=18&amp;q=%5bAcc/C%5d" TargetMode="External"/><Relationship Id="rId158" Type="http://schemas.openxmlformats.org/officeDocument/2006/relationships/hyperlink" Target="https://extranet.itu.int/meetings/ITU-T/T22-TSAGRGM/RGIEM-240507/DOCs/T22-TSAGRGM-RGIEM-240507-DOC-0006.docx" TargetMode="External"/><Relationship Id="rId20" Type="http://schemas.openxmlformats.org/officeDocument/2006/relationships/hyperlink" Target="https://itu.int/net/itu-t/lists/rgmdetails.aspx?id=13590&amp;Group=0" TargetMode="External"/><Relationship Id="rId41" Type="http://schemas.openxmlformats.org/officeDocument/2006/relationships/hyperlink" Target="https://itu.int/net/itu-t/lists/rgmdetails.aspx?id=13912&amp;Group=0" TargetMode="External"/><Relationship Id="rId62" Type="http://schemas.openxmlformats.org/officeDocument/2006/relationships/hyperlink" Target="https://itu.int/net/itu-t/lists/rgmdetails.aspx?id=15620&amp;Group=0" TargetMode="External"/><Relationship Id="rId83" Type="http://schemas.openxmlformats.org/officeDocument/2006/relationships/hyperlink" Target="https://www.itu.int/md/T22-TSAG-R-0004/es" TargetMode="External"/><Relationship Id="rId88" Type="http://schemas.openxmlformats.org/officeDocument/2006/relationships/hyperlink" Target="https://www.itu.int/md/T22-TSAG-R-0004/es" TargetMode="External"/><Relationship Id="rId111" Type="http://schemas.openxmlformats.org/officeDocument/2006/relationships/hyperlink" Target="https://www.itu.int/oth/T1801000004/es" TargetMode="External"/><Relationship Id="rId132" Type="http://schemas.openxmlformats.org/officeDocument/2006/relationships/hyperlink" Target="https://www.itu.int/md/T22-WTSA.24-C-0018/es" TargetMode="External"/><Relationship Id="rId153" Type="http://schemas.openxmlformats.org/officeDocument/2006/relationships/hyperlink" Target="https://extranet.itu.int/meetings/ITU-T/T22-TSAGRGM/RGIEM-230404/DOCs/T22-TSAGRGM-RGIEM-230404-DOC-0002.docx" TargetMode="External"/><Relationship Id="rId15" Type="http://schemas.openxmlformats.org/officeDocument/2006/relationships/hyperlink" Target="https://www.itu.int/md/T22-TSAG-R-0002/es" TargetMode="External"/><Relationship Id="rId36" Type="http://schemas.openxmlformats.org/officeDocument/2006/relationships/hyperlink" Target="https://itu.int/net/itu-t/lists/rgmdetails.aspx?id=13705&amp;Group=0" TargetMode="External"/><Relationship Id="rId57" Type="http://schemas.openxmlformats.org/officeDocument/2006/relationships/hyperlink" Target="https://itu.int/net/itu-t/lists/rgmdetails.aspx?id=15607&amp;Group=0" TargetMode="External"/><Relationship Id="rId106" Type="http://schemas.openxmlformats.org/officeDocument/2006/relationships/hyperlink" Target="https://itu.int/itu-t/workprog/wp_item.aspx?isn=18699" TargetMode="External"/><Relationship Id="rId127" Type="http://schemas.openxmlformats.org/officeDocument/2006/relationships/hyperlink" Target="https://www.itu.int/md/T22-WTSA.24-C-0018/es" TargetMode="External"/><Relationship Id="rId10" Type="http://schemas.openxmlformats.org/officeDocument/2006/relationships/endnotes" Target="endnotes.xml"/><Relationship Id="rId31" Type="http://schemas.openxmlformats.org/officeDocument/2006/relationships/hyperlink" Target="https://itu.int/net/itu-t/lists/rgmdetails.aspx?id=13698&amp;Group=0" TargetMode="External"/><Relationship Id="rId52" Type="http://schemas.openxmlformats.org/officeDocument/2006/relationships/hyperlink" Target="https://itu.int/net/itu-t/lists/rgmdetails.aspx?id=15599&amp;Group=0" TargetMode="External"/><Relationship Id="rId73" Type="http://schemas.openxmlformats.org/officeDocument/2006/relationships/hyperlink" Target="https://itu.int/md/T17-WTSA.20-C-0025/es" TargetMode="External"/><Relationship Id="rId78" Type="http://schemas.openxmlformats.org/officeDocument/2006/relationships/hyperlink" Target="https://www.itu.int/md/T22-TSAG-R-0002/es" TargetMode="External"/><Relationship Id="rId94" Type="http://schemas.openxmlformats.org/officeDocument/2006/relationships/hyperlink" Target="https://www.itu.int/md/T22-TSAG-R-0008/es" TargetMode="External"/><Relationship Id="rId99" Type="http://schemas.openxmlformats.org/officeDocument/2006/relationships/hyperlink" Target="https://www.itu.int/md/T22-TSAG-R-0008/es" TargetMode="External"/><Relationship Id="rId101" Type="http://schemas.openxmlformats.org/officeDocument/2006/relationships/hyperlink" Target="https://www.itu.int/md/T22-TSAG-R-0008/es" TargetMode="External"/><Relationship Id="rId122" Type="http://schemas.openxmlformats.org/officeDocument/2006/relationships/hyperlink" Target="https://www.itu.int/md/T22-WTSA.24-C-0008/es" TargetMode="External"/><Relationship Id="rId143" Type="http://schemas.openxmlformats.org/officeDocument/2006/relationships/hyperlink" Target="mailto:https://www.itu.int/md/T22-TSAG-R-0002/es" TargetMode="External"/><Relationship Id="rId148" Type="http://schemas.openxmlformats.org/officeDocument/2006/relationships/hyperlink" Target="https://extranet.itu.int/meetings/ITU-T/T22-TSAGRGM/RGIEM-230131/DOCs/T22-TSAGRGM-RGIEM-230131-DOC-0005.docx"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itu.int/net/itu-t/lists/rgmdetails.aspx?id=13618&amp;Group=0" TargetMode="External"/><Relationship Id="rId47" Type="http://schemas.openxmlformats.org/officeDocument/2006/relationships/hyperlink" Target="https://itu.int/net/itu-t/lists/rgmdetails.aspx?id=14109&amp;Group=0" TargetMode="External"/><Relationship Id="rId68" Type="http://schemas.openxmlformats.org/officeDocument/2006/relationships/hyperlink" Target="https://itu.int/net/itu-t/lists/rgmdetails.aspx?id=16038&amp;Group=0" TargetMode="External"/><Relationship Id="rId89" Type="http://schemas.openxmlformats.org/officeDocument/2006/relationships/hyperlink" Target="https://itu.int/md/meetingdoc.asp?lang=en&amp;parent=T22-TSAG-R-0008" TargetMode="External"/><Relationship Id="rId112" Type="http://schemas.openxmlformats.org/officeDocument/2006/relationships/hyperlink" Target="https://www.itu.int/md/T22-WTSA.24-C-0008/es" TargetMode="External"/><Relationship Id="rId133" Type="http://schemas.openxmlformats.org/officeDocument/2006/relationships/hyperlink" Target="https://www.itu.int/md/T22-WTSA.24-C-0018/eshttps:/www.itu.int/md/T22-WTSA.24-C-0018/es" TargetMode="External"/><Relationship Id="rId154" Type="http://schemas.openxmlformats.org/officeDocument/2006/relationships/hyperlink" Target="https://extranet.itu.int/meetings/ITU-T/T22-TSAGRGM/RGIEM-230404/DOCs/T22-TSAGRGM-RGIEM-230404-DOC-0003.docx" TargetMode="External"/><Relationship Id="rId16" Type="http://schemas.openxmlformats.org/officeDocument/2006/relationships/hyperlink" Target="https://www.itu.int/md/T22-TSAG-R-0003/es" TargetMode="External"/><Relationship Id="rId37" Type="http://schemas.openxmlformats.org/officeDocument/2006/relationships/hyperlink" Target="https://itu.int/net/itu-t/lists/rgmdetails.aspx?id=13894&amp;Group=0" TargetMode="External"/><Relationship Id="rId58" Type="http://schemas.openxmlformats.org/officeDocument/2006/relationships/hyperlink" Target="https://itu.int/net/itu-t/lists/rgmdetails.aspx?id=15603&amp;Group=0" TargetMode="External"/><Relationship Id="rId79" Type="http://schemas.openxmlformats.org/officeDocument/2006/relationships/hyperlink" Target="https://www.itu.int/md/T22-TSAG-R-0004/es" TargetMode="External"/><Relationship Id="rId102" Type="http://schemas.openxmlformats.org/officeDocument/2006/relationships/hyperlink" Target="https://itu.int/itu-t/workprog/wp_item.aspx?isn=18922" TargetMode="External"/><Relationship Id="rId123" Type="http://schemas.openxmlformats.org/officeDocument/2006/relationships/hyperlink" Target="https://www.itu.int/md/T22-WTSA.24-C-0018/es" TargetMode="External"/><Relationship Id="rId144" Type="http://schemas.openxmlformats.org/officeDocument/2006/relationships/hyperlink" Target="https://www.itu.int/md/T22-TSAG-221212-TD-GEN-0153/es" TargetMode="External"/><Relationship Id="rId90" Type="http://schemas.openxmlformats.org/officeDocument/2006/relationships/hyperlink" Target="https://itu.int/en/ITU-T/jca/dcc" TargetMode="External"/><Relationship Id="rId27" Type="http://schemas.openxmlformats.org/officeDocument/2006/relationships/hyperlink" Target="https://itu.int/net/itu-t/lists/rgmdetails.aspx?id=13627&amp;Group=0" TargetMode="External"/><Relationship Id="rId48" Type="http://schemas.openxmlformats.org/officeDocument/2006/relationships/hyperlink" Target="https://itu.int/net/itu-t/lists/rgmdetails.aspx?id=14110&amp;Group=0" TargetMode="External"/><Relationship Id="rId69" Type="http://schemas.openxmlformats.org/officeDocument/2006/relationships/hyperlink" Target="https://www.itu.int/oth/T1801000004/es" TargetMode="External"/><Relationship Id="rId113" Type="http://schemas.openxmlformats.org/officeDocument/2006/relationships/hyperlink" Target="https://www.itu.int/md/T22-WTSA.24-C-0018/es" TargetMode="External"/><Relationship Id="rId134" Type="http://schemas.openxmlformats.org/officeDocument/2006/relationships/hyperlink" Target="https://www.itu.int/md/T22-WTSA.24-C-0018/eshttps:/www.itu.int/md/T22-WTSA.24-C-0018/es" TargetMode="External"/><Relationship Id="rId80" Type="http://schemas.openxmlformats.org/officeDocument/2006/relationships/hyperlink" Target="https://www.itu.int/md/T22-TSAG-R-0008/es" TargetMode="External"/><Relationship Id="rId155" Type="http://schemas.openxmlformats.org/officeDocument/2006/relationships/hyperlink" Target="https://extranet.itu.int/meetings/ITU-T/T22-TSAGRGM/RGIEM-230404/DOCs/T22-TSAGRGM-RGIEM-230404-DOC-0005.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dms_pub/itu-s/opb/conf/S-CONF-ACTF-2022-PDF-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4.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21773</Words>
  <Characters>119752</Characters>
  <Application>Microsoft Office Word</Application>
  <DocSecurity>0</DocSecurity>
  <Lines>997</Lines>
  <Paragraphs>282</Paragraphs>
  <ScaleCrop>false</ScaleCrop>
  <HeadingPairs>
    <vt:vector size="2" baseType="variant">
      <vt:variant>
        <vt:lpstr>Title</vt:lpstr>
      </vt:variant>
      <vt:variant>
        <vt:i4>1</vt:i4>
      </vt:variant>
    </vt:vector>
  </HeadingPairs>
  <TitlesOfParts>
    <vt:vector size="1" baseType="lpstr">
      <vt:lpstr>WTSA-24 Document Template (Spanish)</vt:lpstr>
    </vt:vector>
  </TitlesOfParts>
  <Manager>General Secretariat - Pool</Manager>
  <Company>International Telecommunication Union (ITU)</Company>
  <LinksUpToDate>false</LinksUpToDate>
  <CharactersWithSpaces>141243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(Spanish)</dc:title>
  <dc:subject>World Telecommunication Standardization Assembly</dc:subject>
  <dc:creator>Spanish</dc:creator>
  <cp:keywords>Template v2024.01.30 (draft)</cp:keywords>
  <dc:description>Template used by DPM and CPI for the WTSA-24</dc:description>
  <cp:lastModifiedBy>Spanish</cp:lastModifiedBy>
  <cp:revision>4</cp:revision>
  <cp:lastPrinted>2024-10-04T09:08:00Z</cp:lastPrinted>
  <dcterms:created xsi:type="dcterms:W3CDTF">2024-10-08T14:23:00Z</dcterms:created>
  <dcterms:modified xsi:type="dcterms:W3CDTF">2024-10-08T14:37:00Z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