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89" w:type="pct"/>
        <w:tblLook w:val="0000" w:firstRow="0" w:lastRow="0" w:firstColumn="0" w:lastColumn="0" w:noHBand="0" w:noVBand="0"/>
      </w:tblPr>
      <w:tblGrid>
        <w:gridCol w:w="6613"/>
        <w:gridCol w:w="3198"/>
      </w:tblGrid>
      <w:tr w:rsidR="009B0563" w:rsidRPr="0038409C" w14:paraId="794863B5" w14:textId="77777777" w:rsidTr="009B0563">
        <w:trPr>
          <w:cantSplit/>
        </w:trPr>
        <w:tc>
          <w:tcPr>
            <w:tcW w:w="6613" w:type="dxa"/>
            <w:vAlign w:val="center"/>
          </w:tcPr>
          <w:p w14:paraId="5E73168B" w14:textId="2406D1C3" w:rsidR="009B0563" w:rsidRPr="0038409C" w:rsidRDefault="009B0563" w:rsidP="004B520A">
            <w:pPr>
              <w:rPr>
                <w:rFonts w:ascii="Verdana" w:hAnsi="Verdana" w:cs="Times New Roman Bold"/>
                <w:b/>
                <w:bCs/>
                <w:sz w:val="22"/>
                <w:szCs w:val="22"/>
              </w:rPr>
            </w:pPr>
            <w:r w:rsidRPr="0038409C">
              <w:rPr>
                <w:rFonts w:ascii="Verdana" w:hAnsi="Verdana" w:cs="Times New Roman Bold"/>
                <w:b/>
                <w:bCs/>
                <w:sz w:val="22"/>
                <w:szCs w:val="22"/>
              </w:rPr>
              <w:t>Asamblea Mundial de Normalización de las Telecomunicaciones (AMNT-2</w:t>
            </w:r>
            <w:r w:rsidR="005C3B43" w:rsidRPr="0038409C">
              <w:rPr>
                <w:rFonts w:ascii="Verdana" w:hAnsi="Verdana" w:cs="Times New Roman Bold"/>
                <w:b/>
                <w:bCs/>
                <w:sz w:val="22"/>
                <w:szCs w:val="22"/>
              </w:rPr>
              <w:t>4</w:t>
            </w:r>
            <w:r w:rsidRPr="0038409C">
              <w:rPr>
                <w:rFonts w:ascii="Verdana" w:hAnsi="Verdana" w:cs="Times New Roman Bold"/>
                <w:b/>
                <w:bCs/>
                <w:sz w:val="22"/>
                <w:szCs w:val="22"/>
              </w:rPr>
              <w:t>)</w:t>
            </w:r>
          </w:p>
          <w:p w14:paraId="0034AB71" w14:textId="100DFC8F" w:rsidR="009B0563" w:rsidRPr="0038409C" w:rsidRDefault="005C3B43" w:rsidP="00776E3D">
            <w:pPr>
              <w:spacing w:before="0"/>
              <w:rPr>
                <w:rFonts w:ascii="Verdana" w:hAnsi="Verdana" w:cs="Times New Roman Bold"/>
                <w:b/>
                <w:bCs/>
                <w:sz w:val="19"/>
                <w:szCs w:val="19"/>
              </w:rPr>
            </w:pPr>
            <w:r w:rsidRPr="0038409C">
              <w:rPr>
                <w:rFonts w:ascii="Verdana" w:hAnsi="Verdana" w:cs="Times New Roman Bold"/>
                <w:b/>
                <w:bCs/>
                <w:sz w:val="18"/>
                <w:szCs w:val="18"/>
              </w:rPr>
              <w:t>Nueva Delhi, 15-24 de octubre de 2024</w:t>
            </w:r>
          </w:p>
        </w:tc>
        <w:tc>
          <w:tcPr>
            <w:tcW w:w="3198" w:type="dxa"/>
            <w:vAlign w:val="center"/>
          </w:tcPr>
          <w:p w14:paraId="7FA1B276" w14:textId="1B944CE0" w:rsidR="009B0563" w:rsidRPr="0038409C" w:rsidRDefault="009B0563" w:rsidP="009B0563">
            <w:pPr>
              <w:spacing w:before="0"/>
            </w:pPr>
            <w:r w:rsidRPr="0038409C">
              <w:rPr>
                <w:noProof/>
                <w:lang w:eastAsia="zh-CN"/>
              </w:rPr>
              <w:drawing>
                <wp:inline distT="0" distB="0" distL="0" distR="0" wp14:anchorId="2355E32D" wp14:editId="30F8F8DC">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F0220A" w:rsidRPr="0038409C" w14:paraId="73703A83" w14:textId="77777777" w:rsidTr="004B520A">
        <w:trPr>
          <w:cantSplit/>
        </w:trPr>
        <w:tc>
          <w:tcPr>
            <w:tcW w:w="6613" w:type="dxa"/>
            <w:tcBorders>
              <w:bottom w:val="single" w:sz="12" w:space="0" w:color="auto"/>
            </w:tcBorders>
          </w:tcPr>
          <w:p w14:paraId="6926154E" w14:textId="77777777" w:rsidR="00F0220A" w:rsidRPr="0038409C" w:rsidRDefault="00F0220A" w:rsidP="004B520A">
            <w:pPr>
              <w:spacing w:before="0"/>
            </w:pPr>
          </w:p>
        </w:tc>
        <w:tc>
          <w:tcPr>
            <w:tcW w:w="3198" w:type="dxa"/>
            <w:tcBorders>
              <w:bottom w:val="single" w:sz="12" w:space="0" w:color="auto"/>
            </w:tcBorders>
          </w:tcPr>
          <w:p w14:paraId="750C4998" w14:textId="77777777" w:rsidR="00F0220A" w:rsidRPr="0038409C" w:rsidRDefault="00F0220A" w:rsidP="004B520A">
            <w:pPr>
              <w:spacing w:before="0"/>
            </w:pPr>
          </w:p>
        </w:tc>
      </w:tr>
      <w:tr w:rsidR="005A374D" w:rsidRPr="0038409C" w14:paraId="4BDB191E" w14:textId="77777777" w:rsidTr="004B520A">
        <w:trPr>
          <w:cantSplit/>
        </w:trPr>
        <w:tc>
          <w:tcPr>
            <w:tcW w:w="6613" w:type="dxa"/>
            <w:tcBorders>
              <w:top w:val="single" w:sz="12" w:space="0" w:color="auto"/>
            </w:tcBorders>
          </w:tcPr>
          <w:p w14:paraId="33819BD1" w14:textId="77777777" w:rsidR="005A374D" w:rsidRPr="0038409C" w:rsidRDefault="005A374D" w:rsidP="004B520A">
            <w:pPr>
              <w:spacing w:before="0"/>
            </w:pPr>
          </w:p>
        </w:tc>
        <w:tc>
          <w:tcPr>
            <w:tcW w:w="3198" w:type="dxa"/>
          </w:tcPr>
          <w:p w14:paraId="0E436DE1" w14:textId="77777777" w:rsidR="005A374D" w:rsidRPr="0038409C" w:rsidRDefault="005A374D" w:rsidP="004B520A">
            <w:pPr>
              <w:spacing w:before="0"/>
              <w:rPr>
                <w:rFonts w:ascii="Verdana" w:hAnsi="Verdana"/>
                <w:b/>
                <w:bCs/>
                <w:sz w:val="20"/>
              </w:rPr>
            </w:pPr>
          </w:p>
        </w:tc>
      </w:tr>
      <w:tr w:rsidR="00093FA5" w:rsidRPr="0038409C" w14:paraId="123FB140" w14:textId="77777777" w:rsidTr="004B520A">
        <w:trPr>
          <w:cantSplit/>
        </w:trPr>
        <w:tc>
          <w:tcPr>
            <w:tcW w:w="6613" w:type="dxa"/>
          </w:tcPr>
          <w:p w14:paraId="2F5F7F92" w14:textId="3C7CA0AD" w:rsidR="00093FA5" w:rsidRPr="0038409C" w:rsidRDefault="00093FA5" w:rsidP="00093FA5">
            <w:pPr>
              <w:pStyle w:val="Committee"/>
              <w:framePr w:hSpace="0" w:wrap="auto" w:hAnchor="text" w:yAlign="inline"/>
              <w:rPr>
                <w:lang w:val="es-ES_tradnl"/>
              </w:rPr>
            </w:pPr>
            <w:r w:rsidRPr="0038409C">
              <w:rPr>
                <w:lang w:val="es-ES_tradnl"/>
              </w:rPr>
              <w:t>SESIÓN PLENARIA</w:t>
            </w:r>
          </w:p>
        </w:tc>
        <w:tc>
          <w:tcPr>
            <w:tcW w:w="3198" w:type="dxa"/>
          </w:tcPr>
          <w:p w14:paraId="7DADDE8D" w14:textId="00D9A732" w:rsidR="00093FA5" w:rsidRPr="0038409C" w:rsidRDefault="00093FA5" w:rsidP="00093FA5">
            <w:pPr>
              <w:pStyle w:val="DocNumber"/>
              <w:rPr>
                <w:bCs/>
                <w:lang w:val="es-ES_tradnl"/>
              </w:rPr>
            </w:pPr>
            <w:r w:rsidRPr="0038409C">
              <w:rPr>
                <w:lang w:val="es-ES_tradnl"/>
              </w:rPr>
              <w:t>Documento 23-S</w:t>
            </w:r>
          </w:p>
        </w:tc>
      </w:tr>
      <w:tr w:rsidR="00093FA5" w:rsidRPr="0038409C" w14:paraId="1E19F69A" w14:textId="77777777" w:rsidTr="004B520A">
        <w:trPr>
          <w:cantSplit/>
        </w:trPr>
        <w:tc>
          <w:tcPr>
            <w:tcW w:w="6613" w:type="dxa"/>
          </w:tcPr>
          <w:p w14:paraId="307F98A0" w14:textId="047BA32D" w:rsidR="00093FA5" w:rsidRPr="0038409C" w:rsidRDefault="00093FA5" w:rsidP="00093FA5">
            <w:pPr>
              <w:spacing w:before="0" w:after="48"/>
              <w:rPr>
                <w:rFonts w:ascii="Verdana" w:hAnsi="Verdana"/>
                <w:b/>
                <w:smallCaps/>
                <w:sz w:val="20"/>
              </w:rPr>
            </w:pPr>
          </w:p>
        </w:tc>
        <w:tc>
          <w:tcPr>
            <w:tcW w:w="3198" w:type="dxa"/>
          </w:tcPr>
          <w:p w14:paraId="2A0F0AB1" w14:textId="270DA6A7" w:rsidR="00093FA5" w:rsidRPr="0038409C" w:rsidRDefault="00093FA5" w:rsidP="00093FA5">
            <w:pPr>
              <w:spacing w:before="0"/>
              <w:rPr>
                <w:rFonts w:ascii="Verdana" w:hAnsi="Verdana"/>
                <w:b/>
                <w:bCs/>
                <w:sz w:val="20"/>
              </w:rPr>
            </w:pPr>
            <w:r w:rsidRPr="0038409C">
              <w:rPr>
                <w:rFonts w:ascii="Verdana" w:hAnsi="Verdana"/>
                <w:b/>
                <w:bCs/>
                <w:sz w:val="20"/>
              </w:rPr>
              <w:t>Septiembre de 2024</w:t>
            </w:r>
          </w:p>
        </w:tc>
      </w:tr>
      <w:tr w:rsidR="00093FA5" w:rsidRPr="0038409C" w14:paraId="361F2714" w14:textId="77777777" w:rsidTr="004B520A">
        <w:trPr>
          <w:cantSplit/>
        </w:trPr>
        <w:tc>
          <w:tcPr>
            <w:tcW w:w="6613" w:type="dxa"/>
          </w:tcPr>
          <w:p w14:paraId="651644AA" w14:textId="77777777" w:rsidR="00093FA5" w:rsidRPr="0038409C" w:rsidRDefault="00093FA5" w:rsidP="00093FA5">
            <w:pPr>
              <w:spacing w:before="0"/>
            </w:pPr>
          </w:p>
        </w:tc>
        <w:tc>
          <w:tcPr>
            <w:tcW w:w="3198" w:type="dxa"/>
          </w:tcPr>
          <w:p w14:paraId="22551BFB" w14:textId="70EA34DE" w:rsidR="00093FA5" w:rsidRPr="0038409C" w:rsidRDefault="00093FA5" w:rsidP="00093FA5">
            <w:pPr>
              <w:spacing w:before="0"/>
              <w:rPr>
                <w:rFonts w:ascii="Verdana" w:hAnsi="Verdana"/>
                <w:b/>
                <w:bCs/>
                <w:sz w:val="20"/>
              </w:rPr>
            </w:pPr>
            <w:r w:rsidRPr="0038409C">
              <w:rPr>
                <w:rFonts w:ascii="Verdana" w:hAnsi="Verdana"/>
                <w:b/>
                <w:sz w:val="20"/>
              </w:rPr>
              <w:t>Original: inglés</w:t>
            </w:r>
          </w:p>
        </w:tc>
      </w:tr>
      <w:tr w:rsidR="00093FA5" w:rsidRPr="0038409C" w14:paraId="5FF620BD" w14:textId="77777777" w:rsidTr="004B520A">
        <w:trPr>
          <w:cantSplit/>
        </w:trPr>
        <w:tc>
          <w:tcPr>
            <w:tcW w:w="9811" w:type="dxa"/>
            <w:gridSpan w:val="2"/>
          </w:tcPr>
          <w:p w14:paraId="642AFB43" w14:textId="77777777" w:rsidR="00093FA5" w:rsidRPr="0038409C" w:rsidRDefault="00093FA5" w:rsidP="00093FA5">
            <w:pPr>
              <w:spacing w:before="0"/>
              <w:rPr>
                <w:rFonts w:ascii="Verdana" w:hAnsi="Verdana"/>
                <w:b/>
                <w:bCs/>
                <w:sz w:val="20"/>
              </w:rPr>
            </w:pPr>
          </w:p>
        </w:tc>
      </w:tr>
      <w:tr w:rsidR="00093FA5" w:rsidRPr="0038409C" w14:paraId="074D7034" w14:textId="77777777" w:rsidTr="004B520A">
        <w:trPr>
          <w:cantSplit/>
        </w:trPr>
        <w:tc>
          <w:tcPr>
            <w:tcW w:w="9811" w:type="dxa"/>
            <w:gridSpan w:val="2"/>
          </w:tcPr>
          <w:p w14:paraId="0052E5FB" w14:textId="01774D8F" w:rsidR="00093FA5" w:rsidRPr="0038409C" w:rsidRDefault="00093FA5" w:rsidP="00093FA5">
            <w:pPr>
              <w:pStyle w:val="Source"/>
            </w:pPr>
            <w:r w:rsidRPr="0038409C">
              <w:t>President</w:t>
            </w:r>
            <w:r w:rsidR="00453A46" w:rsidRPr="0038409C">
              <w:t>a</w:t>
            </w:r>
            <w:r w:rsidRPr="0038409C">
              <w:t xml:space="preserve"> del CNV</w:t>
            </w:r>
          </w:p>
        </w:tc>
      </w:tr>
      <w:tr w:rsidR="00093FA5" w:rsidRPr="0038409C" w14:paraId="7669CD6A" w14:textId="77777777" w:rsidTr="004B520A">
        <w:trPr>
          <w:cantSplit/>
        </w:trPr>
        <w:tc>
          <w:tcPr>
            <w:tcW w:w="9811" w:type="dxa"/>
            <w:gridSpan w:val="2"/>
          </w:tcPr>
          <w:p w14:paraId="40D64033" w14:textId="4B839268" w:rsidR="00093FA5" w:rsidRPr="0038409C" w:rsidRDefault="00093FA5" w:rsidP="00093FA5">
            <w:pPr>
              <w:pStyle w:val="Title1"/>
            </w:pPr>
            <w:r w:rsidRPr="0038409C">
              <w:t xml:space="preserve">INFORME SOBRE LAS ACTIVIDADES LLEVADAS A CABO POR </w:t>
            </w:r>
            <w:r w:rsidRPr="0038409C">
              <w:br/>
              <w:t xml:space="preserve">EL COMITÉ PARA LA NORMALIZACIÓN DEL VOCABULARIO </w:t>
            </w:r>
            <w:r w:rsidRPr="0038409C">
              <w:br/>
              <w:t>DURANTE EL PERIODO DE ESTUDIOS 2022-2024</w:t>
            </w:r>
          </w:p>
        </w:tc>
      </w:tr>
      <w:tr w:rsidR="00093FA5" w:rsidRPr="0038409C" w14:paraId="4607AD97" w14:textId="77777777" w:rsidTr="004B520A">
        <w:trPr>
          <w:cantSplit/>
        </w:trPr>
        <w:tc>
          <w:tcPr>
            <w:tcW w:w="9811" w:type="dxa"/>
            <w:gridSpan w:val="2"/>
          </w:tcPr>
          <w:p w14:paraId="53FA57D0" w14:textId="746622BE" w:rsidR="00093FA5" w:rsidRPr="0038409C" w:rsidRDefault="00093FA5" w:rsidP="00093FA5">
            <w:pPr>
              <w:pStyle w:val="Title2"/>
            </w:pPr>
          </w:p>
        </w:tc>
      </w:tr>
      <w:tr w:rsidR="00093FA5" w:rsidRPr="0038409C" w14:paraId="737F5580" w14:textId="77777777" w:rsidTr="002E5627">
        <w:trPr>
          <w:cantSplit/>
          <w:trHeight w:hRule="exact" w:val="120"/>
        </w:trPr>
        <w:tc>
          <w:tcPr>
            <w:tcW w:w="9811" w:type="dxa"/>
            <w:gridSpan w:val="2"/>
          </w:tcPr>
          <w:p w14:paraId="2F9B4A54" w14:textId="1A18ABEF" w:rsidR="00093FA5" w:rsidRPr="0038409C" w:rsidRDefault="00093FA5" w:rsidP="00093FA5">
            <w:pPr>
              <w:pStyle w:val="Agendaitem"/>
            </w:pPr>
          </w:p>
        </w:tc>
      </w:tr>
    </w:tbl>
    <w:p w14:paraId="76FFF94C" w14:textId="77777777" w:rsidR="006B0F54" w:rsidRPr="0038409C" w:rsidRDefault="006B0F54" w:rsidP="006B0F54"/>
    <w:tbl>
      <w:tblPr>
        <w:tblW w:w="5089" w:type="pct"/>
        <w:tblLayout w:type="fixed"/>
        <w:tblLook w:val="0000" w:firstRow="0" w:lastRow="0" w:firstColumn="0" w:lastColumn="0" w:noHBand="0" w:noVBand="0"/>
      </w:tblPr>
      <w:tblGrid>
        <w:gridCol w:w="1560"/>
        <w:gridCol w:w="4395"/>
        <w:gridCol w:w="3856"/>
      </w:tblGrid>
      <w:tr w:rsidR="006B0F54" w:rsidRPr="0038409C" w14:paraId="3CAF5D5C" w14:textId="77777777" w:rsidTr="00582A36">
        <w:trPr>
          <w:cantSplit/>
        </w:trPr>
        <w:tc>
          <w:tcPr>
            <w:tcW w:w="1560" w:type="dxa"/>
          </w:tcPr>
          <w:p w14:paraId="550BC4BB" w14:textId="77777777" w:rsidR="006B0F54" w:rsidRPr="0038409C" w:rsidRDefault="006B0F54" w:rsidP="00193AD1">
            <w:r w:rsidRPr="0038409C">
              <w:rPr>
                <w:b/>
                <w:bCs/>
              </w:rPr>
              <w:t>Resumen:</w:t>
            </w:r>
          </w:p>
        </w:tc>
        <w:tc>
          <w:tcPr>
            <w:tcW w:w="8251" w:type="dxa"/>
            <w:gridSpan w:val="2"/>
          </w:tcPr>
          <w:p w14:paraId="3F8717F8" w14:textId="52DD8223" w:rsidR="006B0F54" w:rsidRPr="0038409C" w:rsidRDefault="005E7230" w:rsidP="00263FA7">
            <w:r w:rsidRPr="0038409C">
              <w:t>En el presente documento se resumen las actividades llevadas a cabo por el Comité</w:t>
            </w:r>
            <w:r w:rsidR="005B2E41" w:rsidRPr="0038409C">
              <w:t> </w:t>
            </w:r>
            <w:r w:rsidRPr="0038409C">
              <w:t xml:space="preserve">para la Normalización del Vocabulario (CNV) </w:t>
            </w:r>
            <w:r w:rsidR="00FA7ED0" w:rsidRPr="0038409C">
              <w:t>para</w:t>
            </w:r>
            <w:r w:rsidRPr="0038409C">
              <w:t xml:space="preserve"> el periodo de estudios</w:t>
            </w:r>
            <w:r w:rsidR="005B2E41" w:rsidRPr="0038409C">
              <w:t> </w:t>
            </w:r>
            <w:r w:rsidR="005C3B43" w:rsidRPr="0038409C">
              <w:t>2022-2024</w:t>
            </w:r>
            <w:r w:rsidR="00513A90" w:rsidRPr="0038409C">
              <w:t>.</w:t>
            </w:r>
          </w:p>
        </w:tc>
      </w:tr>
      <w:tr w:rsidR="00582A36" w:rsidRPr="0038409C" w14:paraId="7627A336" w14:textId="2F9DE443" w:rsidTr="00582A36">
        <w:trPr>
          <w:cantSplit/>
        </w:trPr>
        <w:tc>
          <w:tcPr>
            <w:tcW w:w="1560" w:type="dxa"/>
          </w:tcPr>
          <w:p w14:paraId="6624CDA9" w14:textId="374A9211" w:rsidR="00582A36" w:rsidRPr="0038409C" w:rsidRDefault="00582A36" w:rsidP="00193AD1">
            <w:pPr>
              <w:rPr>
                <w:b/>
                <w:bCs/>
              </w:rPr>
            </w:pPr>
            <w:r w:rsidRPr="0038409C">
              <w:rPr>
                <w:b/>
                <w:bCs/>
              </w:rPr>
              <w:t>Contacto:</w:t>
            </w:r>
          </w:p>
        </w:tc>
        <w:tc>
          <w:tcPr>
            <w:tcW w:w="4395" w:type="dxa"/>
          </w:tcPr>
          <w:p w14:paraId="2CF2B572" w14:textId="115179F0" w:rsidR="00582A36" w:rsidRPr="0038409C" w:rsidRDefault="00582A36" w:rsidP="00263FA7">
            <w:r w:rsidRPr="0038409C">
              <w:t>Sra. Rim Belhaj</w:t>
            </w:r>
            <w:r w:rsidRPr="0038409C">
              <w:br/>
              <w:t>Presidenta del CNV</w:t>
            </w:r>
            <w:r w:rsidRPr="0038409C">
              <w:br/>
              <w:t>Túnez</w:t>
            </w:r>
          </w:p>
        </w:tc>
        <w:tc>
          <w:tcPr>
            <w:tcW w:w="3856" w:type="dxa"/>
          </w:tcPr>
          <w:p w14:paraId="5167E002" w14:textId="77777777" w:rsidR="00582A36" w:rsidRPr="0038409C" w:rsidRDefault="00582A36">
            <w:pPr>
              <w:tabs>
                <w:tab w:val="clear" w:pos="1134"/>
                <w:tab w:val="clear" w:pos="1871"/>
                <w:tab w:val="clear" w:pos="2268"/>
              </w:tabs>
              <w:overflowPunct/>
              <w:autoSpaceDE/>
              <w:autoSpaceDN/>
              <w:adjustRightInd/>
              <w:spacing w:before="0"/>
              <w:textAlignment w:val="auto"/>
            </w:pPr>
          </w:p>
          <w:p w14:paraId="19097DA7" w14:textId="1ECE2909" w:rsidR="00582A36" w:rsidRPr="0038409C" w:rsidRDefault="00582A36">
            <w:pPr>
              <w:tabs>
                <w:tab w:val="clear" w:pos="1134"/>
                <w:tab w:val="clear" w:pos="1871"/>
                <w:tab w:val="clear" w:pos="2268"/>
              </w:tabs>
              <w:overflowPunct/>
              <w:autoSpaceDE/>
              <w:autoSpaceDN/>
              <w:adjustRightInd/>
              <w:spacing w:before="0"/>
              <w:textAlignment w:val="auto"/>
            </w:pPr>
            <w:r w:rsidRPr="0038409C">
              <w:t xml:space="preserve">Correo-e: </w:t>
            </w:r>
            <w:hyperlink r:id="rId9" w:history="1">
              <w:r w:rsidR="00453A46" w:rsidRPr="0038409C">
                <w:rPr>
                  <w:rStyle w:val="Hyperlink"/>
                </w:rPr>
                <w:t>rym.belhaj@edu.isetcom.tn</w:t>
              </w:r>
            </w:hyperlink>
          </w:p>
          <w:p w14:paraId="574A9B68" w14:textId="77777777" w:rsidR="00582A36" w:rsidRPr="0038409C" w:rsidRDefault="00582A36" w:rsidP="00582A36"/>
        </w:tc>
      </w:tr>
    </w:tbl>
    <w:p w14:paraId="5F2AF824" w14:textId="77777777" w:rsidR="005E7230" w:rsidRPr="0038409C" w:rsidRDefault="005E7230" w:rsidP="00D80B34">
      <w:pPr>
        <w:pStyle w:val="Heading1"/>
      </w:pPr>
      <w:r w:rsidRPr="0038409C">
        <w:t>1</w:t>
      </w:r>
      <w:r w:rsidRPr="0038409C">
        <w:tab/>
        <w:t>Introducción</w:t>
      </w:r>
    </w:p>
    <w:p w14:paraId="0E7E66A8" w14:textId="1C6A412B" w:rsidR="005E7230" w:rsidRPr="0038409C" w:rsidRDefault="005E7230" w:rsidP="005E7230">
      <w:r w:rsidRPr="0038409C">
        <w:t xml:space="preserve">El Comité para la Normalización del Vocabulario (CNV) se creó en virtud de la </w:t>
      </w:r>
      <w:hyperlink r:id="rId10" w:history="1">
        <w:r w:rsidRPr="0038409C">
          <w:rPr>
            <w:rStyle w:val="Hyperlink"/>
          </w:rPr>
          <w:t xml:space="preserve">Resolución 67 </w:t>
        </w:r>
      </w:hyperlink>
      <w:r w:rsidRPr="0038409C">
        <w:t xml:space="preserve">(Johannesburgo, 2008) de la AMNT, con el mandato de velar por que, en el seno del UIT-T, la normalización del vocabulario se basase en las propuestas presentadas en inglés por las Comisiones de Estudio. La </w:t>
      </w:r>
      <w:hyperlink r:id="rId11" w:history="1">
        <w:r w:rsidRPr="0038409C">
          <w:rPr>
            <w:rStyle w:val="Hyperlink"/>
          </w:rPr>
          <w:t>Resolución 67</w:t>
        </w:r>
      </w:hyperlink>
      <w:r w:rsidRPr="0038409C">
        <w:t xml:space="preserve"> </w:t>
      </w:r>
      <w:r w:rsidR="005C3B43" w:rsidRPr="0038409C">
        <w:t>(</w:t>
      </w:r>
      <w:r w:rsidRPr="0038409C">
        <w:t>Rev.</w:t>
      </w:r>
      <w:r w:rsidR="005C3B43" w:rsidRPr="0038409C">
        <w:t xml:space="preserve"> Ginebra, 2022</w:t>
      </w:r>
      <w:r w:rsidRPr="0038409C">
        <w:t>) de la AMNT prolongó las actividades del</w:t>
      </w:r>
      <w:r w:rsidR="00D80B34" w:rsidRPr="0038409C">
        <w:t> </w:t>
      </w:r>
      <w:r w:rsidRPr="0038409C">
        <w:t>CNV</w:t>
      </w:r>
      <w:r w:rsidR="005C3B43" w:rsidRPr="0038409C">
        <w:t xml:space="preserve">, que ahora se reúne bajo los auspicios del </w:t>
      </w:r>
      <w:r w:rsidRPr="0038409C">
        <w:t xml:space="preserve">Comité de Coordinación </w:t>
      </w:r>
      <w:r w:rsidR="005C3B43" w:rsidRPr="0038409C">
        <w:t xml:space="preserve">de la Terminología de conformidad con la </w:t>
      </w:r>
      <w:hyperlink r:id="rId12" w:history="1">
        <w:r w:rsidR="005C3B43" w:rsidRPr="0038409C">
          <w:rPr>
            <w:rStyle w:val="Hyperlink"/>
          </w:rPr>
          <w:t>Resolución 1386</w:t>
        </w:r>
      </w:hyperlink>
      <w:r w:rsidR="005C3B43" w:rsidRPr="0038409C">
        <w:t xml:space="preserve"> del Consejo. </w:t>
      </w:r>
    </w:p>
    <w:p w14:paraId="2234EBE3" w14:textId="1F6063E0" w:rsidR="005E7230" w:rsidRPr="0038409C" w:rsidRDefault="005E7230" w:rsidP="005E7230">
      <w:pPr>
        <w:rPr>
          <w:b/>
          <w:bCs/>
        </w:rPr>
      </w:pPr>
      <w:r w:rsidRPr="0038409C">
        <w:t xml:space="preserve">El CNV está integrado por expertos de los diferentes idiomas oficiales, miembros designados por las administraciones interesadas y otros participantes en los trabajos </w:t>
      </w:r>
      <w:r w:rsidR="009A79C5" w:rsidRPr="0038409C">
        <w:t xml:space="preserve">del </w:t>
      </w:r>
      <w:r w:rsidRPr="0038409C">
        <w:t xml:space="preserve">UIT-T, los </w:t>
      </w:r>
      <w:r w:rsidR="009A79C5" w:rsidRPr="0038409C">
        <w:t>r</w:t>
      </w:r>
      <w:r w:rsidRPr="0038409C">
        <w:t>elatores para el vocabulario de las Comisiones de Estudio del UIT-T y el personal competente de la UIT. El presente documento contiene información sobre las actividades pertinentes del periodo de estudios</w:t>
      </w:r>
      <w:r w:rsidR="009A79C5" w:rsidRPr="0038409C">
        <w:t> </w:t>
      </w:r>
      <w:r w:rsidR="005C3B43" w:rsidRPr="0038409C">
        <w:t>2022-2024</w:t>
      </w:r>
      <w:r w:rsidRPr="0038409C">
        <w:t>.</w:t>
      </w:r>
    </w:p>
    <w:p w14:paraId="634A276C" w14:textId="77777777" w:rsidR="005E7230" w:rsidRPr="0038409C" w:rsidRDefault="005E7230" w:rsidP="003A3146">
      <w:pPr>
        <w:pStyle w:val="Heading1"/>
      </w:pPr>
      <w:r w:rsidRPr="0038409C">
        <w:t>2</w:t>
      </w:r>
      <w:r w:rsidRPr="0038409C">
        <w:tab/>
        <w:t>Equipo directivo</w:t>
      </w:r>
    </w:p>
    <w:p w14:paraId="06E0B1EF" w14:textId="1544269B" w:rsidR="005C3B43" w:rsidRPr="0038409C" w:rsidRDefault="005C3B43" w:rsidP="005C3B43">
      <w:r w:rsidRPr="0038409C">
        <w:t>En el Cuadro 1 figura el equipo directivo del CNV del UIT-T para el periodo de estudios 2022</w:t>
      </w:r>
      <w:r w:rsidR="00A16788" w:rsidRPr="0038409C">
        <w:noBreakHyphen/>
      </w:r>
      <w:r w:rsidRPr="0038409C">
        <w:t>2024.</w:t>
      </w:r>
    </w:p>
    <w:p w14:paraId="7E431154" w14:textId="18102CBF" w:rsidR="005C3B43" w:rsidRPr="0038409C" w:rsidRDefault="005C3B43" w:rsidP="005C3B43">
      <w:pPr>
        <w:pStyle w:val="Tabletitle"/>
      </w:pPr>
      <w:r w:rsidRPr="0038409C">
        <w:lastRenderedPageBreak/>
        <w:t>Cuadro 1 – Equipo directivo del CNV del UIT-T para el periodo de estudios 2022-2024</w:t>
      </w:r>
    </w:p>
    <w:tbl>
      <w:tblPr>
        <w:tblStyle w:val="TableGrid"/>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9"/>
        <w:gridCol w:w="1708"/>
        <w:gridCol w:w="1751"/>
        <w:gridCol w:w="2679"/>
        <w:gridCol w:w="1762"/>
      </w:tblGrid>
      <w:tr w:rsidR="005C3B43" w:rsidRPr="0038409C" w14:paraId="7AA4861E" w14:textId="77777777" w:rsidTr="0058270A">
        <w:trPr>
          <w:tblHeader/>
          <w:jc w:val="center"/>
        </w:trPr>
        <w:tc>
          <w:tcPr>
            <w:tcW w:w="1778" w:type="pct"/>
            <w:gridSpan w:val="2"/>
            <w:tcBorders>
              <w:top w:val="single" w:sz="12" w:space="0" w:color="auto"/>
              <w:bottom w:val="single" w:sz="12" w:space="0" w:color="auto"/>
            </w:tcBorders>
            <w:shd w:val="clear" w:color="auto" w:fill="auto"/>
          </w:tcPr>
          <w:p w14:paraId="7BC19367" w14:textId="77777777" w:rsidR="005C3B43" w:rsidRPr="0038409C" w:rsidRDefault="005C3B43" w:rsidP="0058270A">
            <w:pPr>
              <w:pStyle w:val="Tablehead"/>
            </w:pPr>
            <w:r w:rsidRPr="0038409C">
              <w:t>Nombre</w:t>
            </w:r>
          </w:p>
        </w:tc>
        <w:tc>
          <w:tcPr>
            <w:tcW w:w="911" w:type="pct"/>
            <w:tcBorders>
              <w:top w:val="single" w:sz="12" w:space="0" w:color="auto"/>
              <w:bottom w:val="single" w:sz="12" w:space="0" w:color="auto"/>
            </w:tcBorders>
            <w:shd w:val="clear" w:color="auto" w:fill="auto"/>
          </w:tcPr>
          <w:p w14:paraId="4C40BE45" w14:textId="77777777" w:rsidR="005C3B43" w:rsidRPr="0038409C" w:rsidRDefault="005C3B43" w:rsidP="0058270A">
            <w:pPr>
              <w:pStyle w:val="Tablehead"/>
            </w:pPr>
            <w:r w:rsidRPr="0038409C">
              <w:t xml:space="preserve">Empresa </w:t>
            </w:r>
            <w:r w:rsidRPr="0038409C">
              <w:br/>
              <w:t>(País)</w:t>
            </w:r>
          </w:p>
        </w:tc>
        <w:tc>
          <w:tcPr>
            <w:tcW w:w="1394" w:type="pct"/>
            <w:tcBorders>
              <w:top w:val="single" w:sz="12" w:space="0" w:color="auto"/>
              <w:bottom w:val="single" w:sz="12" w:space="0" w:color="auto"/>
            </w:tcBorders>
            <w:shd w:val="clear" w:color="auto" w:fill="auto"/>
          </w:tcPr>
          <w:p w14:paraId="6AD03900" w14:textId="77777777" w:rsidR="005C3B43" w:rsidRPr="0038409C" w:rsidRDefault="005C3B43" w:rsidP="0058270A">
            <w:pPr>
              <w:pStyle w:val="Tablehead"/>
            </w:pPr>
            <w:r w:rsidRPr="0038409C">
              <w:t>Cargo actual</w:t>
            </w:r>
          </w:p>
        </w:tc>
        <w:tc>
          <w:tcPr>
            <w:tcW w:w="917" w:type="pct"/>
            <w:tcBorders>
              <w:top w:val="single" w:sz="12" w:space="0" w:color="auto"/>
              <w:bottom w:val="single" w:sz="12" w:space="0" w:color="auto"/>
            </w:tcBorders>
            <w:shd w:val="clear" w:color="auto" w:fill="auto"/>
          </w:tcPr>
          <w:p w14:paraId="5127B055" w14:textId="00B8CD53" w:rsidR="005C3B43" w:rsidRPr="0038409C" w:rsidRDefault="0098523F" w:rsidP="0058270A">
            <w:pPr>
              <w:pStyle w:val="Tablehead"/>
            </w:pPr>
            <w:r w:rsidRPr="0038409C">
              <w:t>En representación de la región</w:t>
            </w:r>
          </w:p>
        </w:tc>
      </w:tr>
      <w:tr w:rsidR="005C3B43" w:rsidRPr="0038409C" w14:paraId="258D5DB8" w14:textId="77777777" w:rsidTr="0058270A">
        <w:trPr>
          <w:jc w:val="center"/>
        </w:trPr>
        <w:tc>
          <w:tcPr>
            <w:tcW w:w="889" w:type="pct"/>
            <w:tcBorders>
              <w:top w:val="single" w:sz="12" w:space="0" w:color="auto"/>
            </w:tcBorders>
            <w:shd w:val="clear" w:color="auto" w:fill="auto"/>
          </w:tcPr>
          <w:p w14:paraId="14BA138E" w14:textId="77777777" w:rsidR="005C3B43" w:rsidRPr="0038409C" w:rsidRDefault="005C3B43" w:rsidP="0058270A">
            <w:pPr>
              <w:pStyle w:val="Tabletext"/>
              <w:keepNext/>
            </w:pPr>
            <w:r w:rsidRPr="0038409C">
              <w:t>Sra. Rim</w:t>
            </w:r>
          </w:p>
        </w:tc>
        <w:tc>
          <w:tcPr>
            <w:tcW w:w="889" w:type="pct"/>
            <w:tcBorders>
              <w:top w:val="single" w:sz="12" w:space="0" w:color="auto"/>
            </w:tcBorders>
            <w:shd w:val="clear" w:color="auto" w:fill="auto"/>
          </w:tcPr>
          <w:p w14:paraId="418CDC5E" w14:textId="77777777" w:rsidR="005C3B43" w:rsidRPr="0038409C" w:rsidRDefault="005C3B43" w:rsidP="0058270A">
            <w:pPr>
              <w:pStyle w:val="Tabletext"/>
              <w:keepNext/>
            </w:pPr>
            <w:r w:rsidRPr="0038409C">
              <w:t>BELHAJ</w:t>
            </w:r>
          </w:p>
        </w:tc>
        <w:tc>
          <w:tcPr>
            <w:tcW w:w="911" w:type="pct"/>
            <w:tcBorders>
              <w:top w:val="single" w:sz="12" w:space="0" w:color="auto"/>
            </w:tcBorders>
            <w:shd w:val="clear" w:color="auto" w:fill="auto"/>
          </w:tcPr>
          <w:p w14:paraId="53EEDB50" w14:textId="77777777" w:rsidR="005C3B43" w:rsidRPr="0038409C" w:rsidRDefault="005C3B43" w:rsidP="0058270A">
            <w:pPr>
              <w:pStyle w:val="Tabletext"/>
              <w:keepNext/>
            </w:pPr>
            <w:r w:rsidRPr="0038409C">
              <w:t>Túnez</w:t>
            </w:r>
          </w:p>
        </w:tc>
        <w:tc>
          <w:tcPr>
            <w:tcW w:w="1394" w:type="pct"/>
            <w:tcBorders>
              <w:top w:val="single" w:sz="12" w:space="0" w:color="auto"/>
            </w:tcBorders>
            <w:shd w:val="clear" w:color="auto" w:fill="auto"/>
          </w:tcPr>
          <w:p w14:paraId="0D606BC0" w14:textId="77777777" w:rsidR="005C3B43" w:rsidRPr="0038409C" w:rsidRDefault="005C3B43" w:rsidP="0058270A">
            <w:pPr>
              <w:pStyle w:val="Tabletext"/>
              <w:keepNext/>
            </w:pPr>
            <w:r w:rsidRPr="0038409C">
              <w:t>Presidenta (francés)</w:t>
            </w:r>
          </w:p>
        </w:tc>
        <w:tc>
          <w:tcPr>
            <w:tcW w:w="917" w:type="pct"/>
            <w:tcBorders>
              <w:top w:val="single" w:sz="12" w:space="0" w:color="auto"/>
            </w:tcBorders>
            <w:shd w:val="clear" w:color="auto" w:fill="auto"/>
          </w:tcPr>
          <w:p w14:paraId="47125681" w14:textId="77777777" w:rsidR="005C3B43" w:rsidRPr="0038409C" w:rsidRDefault="005C3B43" w:rsidP="0058270A">
            <w:pPr>
              <w:pStyle w:val="Tabletext"/>
              <w:keepNext/>
            </w:pPr>
            <w:r w:rsidRPr="0038409C">
              <w:t>ARB</w:t>
            </w:r>
          </w:p>
        </w:tc>
      </w:tr>
      <w:tr w:rsidR="005C3B43" w:rsidRPr="0038409C" w14:paraId="0042C6F0" w14:textId="77777777" w:rsidTr="0058270A">
        <w:trPr>
          <w:jc w:val="center"/>
        </w:trPr>
        <w:tc>
          <w:tcPr>
            <w:tcW w:w="889" w:type="pct"/>
            <w:shd w:val="clear" w:color="auto" w:fill="auto"/>
          </w:tcPr>
          <w:p w14:paraId="3B5120EE" w14:textId="77777777" w:rsidR="005C3B43" w:rsidRPr="0038409C" w:rsidRDefault="005C3B43" w:rsidP="0058270A">
            <w:pPr>
              <w:pStyle w:val="Tabletext"/>
              <w:keepNext/>
            </w:pPr>
            <w:r w:rsidRPr="0038409C">
              <w:t>Sr. Paul</w:t>
            </w:r>
          </w:p>
        </w:tc>
        <w:tc>
          <w:tcPr>
            <w:tcW w:w="889" w:type="pct"/>
            <w:shd w:val="clear" w:color="auto" w:fill="auto"/>
          </w:tcPr>
          <w:p w14:paraId="32691012" w14:textId="77777777" w:rsidR="005C3B43" w:rsidRPr="0038409C" w:rsidRDefault="005C3B43" w:rsidP="0058270A">
            <w:pPr>
              <w:pStyle w:val="Tabletext"/>
              <w:keepNext/>
            </w:pPr>
            <w:r w:rsidRPr="0038409C">
              <w:t>NAJARIAN</w:t>
            </w:r>
          </w:p>
        </w:tc>
        <w:tc>
          <w:tcPr>
            <w:tcW w:w="911" w:type="pct"/>
            <w:shd w:val="clear" w:color="auto" w:fill="auto"/>
          </w:tcPr>
          <w:p w14:paraId="039A5291" w14:textId="77777777" w:rsidR="005C3B43" w:rsidRPr="0038409C" w:rsidRDefault="005C3B43" w:rsidP="0058270A">
            <w:pPr>
              <w:pStyle w:val="Tabletext"/>
              <w:keepNext/>
            </w:pPr>
            <w:r w:rsidRPr="0038409C">
              <w:t>Estados Unidos</w:t>
            </w:r>
          </w:p>
        </w:tc>
        <w:tc>
          <w:tcPr>
            <w:tcW w:w="1394" w:type="pct"/>
            <w:shd w:val="clear" w:color="auto" w:fill="auto"/>
          </w:tcPr>
          <w:p w14:paraId="525E37DA" w14:textId="77777777" w:rsidR="005C3B43" w:rsidRPr="0038409C" w:rsidRDefault="005C3B43" w:rsidP="0058270A">
            <w:pPr>
              <w:pStyle w:val="Tabletext"/>
              <w:keepNext/>
            </w:pPr>
            <w:r w:rsidRPr="0038409C">
              <w:t>Vicepresidente (inglés)</w:t>
            </w:r>
          </w:p>
        </w:tc>
        <w:tc>
          <w:tcPr>
            <w:tcW w:w="917" w:type="pct"/>
            <w:shd w:val="clear" w:color="auto" w:fill="auto"/>
          </w:tcPr>
          <w:p w14:paraId="0391825C" w14:textId="77777777" w:rsidR="005C3B43" w:rsidRPr="0038409C" w:rsidRDefault="005C3B43" w:rsidP="0058270A">
            <w:pPr>
              <w:pStyle w:val="Tabletext"/>
              <w:keepNext/>
            </w:pPr>
            <w:r w:rsidRPr="0038409C">
              <w:t>CITEL</w:t>
            </w:r>
          </w:p>
        </w:tc>
      </w:tr>
      <w:tr w:rsidR="005C3B43" w:rsidRPr="0038409C" w14:paraId="6D916078" w14:textId="77777777" w:rsidTr="0058270A">
        <w:trPr>
          <w:jc w:val="center"/>
        </w:trPr>
        <w:tc>
          <w:tcPr>
            <w:tcW w:w="889" w:type="pct"/>
            <w:shd w:val="clear" w:color="auto" w:fill="auto"/>
          </w:tcPr>
          <w:p w14:paraId="1CD68B8E" w14:textId="77777777" w:rsidR="005C3B43" w:rsidRPr="0038409C" w:rsidRDefault="005C3B43" w:rsidP="0058270A">
            <w:pPr>
              <w:pStyle w:val="Tabletext"/>
              <w:keepNext/>
            </w:pPr>
            <w:r w:rsidRPr="0038409C">
              <w:t>Vacante</w:t>
            </w:r>
          </w:p>
        </w:tc>
        <w:tc>
          <w:tcPr>
            <w:tcW w:w="889" w:type="pct"/>
            <w:shd w:val="clear" w:color="auto" w:fill="auto"/>
          </w:tcPr>
          <w:p w14:paraId="6DB47A10" w14:textId="77777777" w:rsidR="005C3B43" w:rsidRPr="0038409C" w:rsidRDefault="005C3B43" w:rsidP="0058270A">
            <w:pPr>
              <w:pStyle w:val="Tabletext"/>
              <w:keepNext/>
            </w:pPr>
          </w:p>
        </w:tc>
        <w:tc>
          <w:tcPr>
            <w:tcW w:w="911" w:type="pct"/>
            <w:shd w:val="clear" w:color="auto" w:fill="auto"/>
          </w:tcPr>
          <w:p w14:paraId="3FBB97DF" w14:textId="77777777" w:rsidR="005C3B43" w:rsidRPr="0038409C" w:rsidRDefault="005C3B43" w:rsidP="0058270A">
            <w:pPr>
              <w:pStyle w:val="Tabletext"/>
              <w:keepNext/>
            </w:pPr>
          </w:p>
        </w:tc>
        <w:tc>
          <w:tcPr>
            <w:tcW w:w="1394" w:type="pct"/>
            <w:shd w:val="clear" w:color="auto" w:fill="auto"/>
          </w:tcPr>
          <w:p w14:paraId="1ABE1AC2" w14:textId="77777777" w:rsidR="005C3B43" w:rsidRPr="0038409C" w:rsidRDefault="005C3B43" w:rsidP="0058270A">
            <w:pPr>
              <w:pStyle w:val="Tabletext"/>
              <w:keepNext/>
            </w:pPr>
            <w:r w:rsidRPr="0038409C">
              <w:t>Vicepresidente (árabe)</w:t>
            </w:r>
          </w:p>
        </w:tc>
        <w:tc>
          <w:tcPr>
            <w:tcW w:w="917" w:type="pct"/>
            <w:shd w:val="clear" w:color="auto" w:fill="auto"/>
          </w:tcPr>
          <w:p w14:paraId="0A1548AA" w14:textId="77777777" w:rsidR="005C3B43" w:rsidRPr="0038409C" w:rsidRDefault="005C3B43" w:rsidP="0058270A">
            <w:pPr>
              <w:pStyle w:val="Tabletext"/>
              <w:keepNext/>
            </w:pPr>
          </w:p>
        </w:tc>
      </w:tr>
      <w:tr w:rsidR="005C3B43" w:rsidRPr="0038409C" w14:paraId="2DE6027A" w14:textId="77777777" w:rsidTr="0058270A">
        <w:trPr>
          <w:jc w:val="center"/>
        </w:trPr>
        <w:tc>
          <w:tcPr>
            <w:tcW w:w="889" w:type="pct"/>
            <w:shd w:val="clear" w:color="auto" w:fill="auto"/>
          </w:tcPr>
          <w:p w14:paraId="7D2EDD11" w14:textId="77777777" w:rsidR="005C3B43" w:rsidRPr="0038409C" w:rsidRDefault="005C3B43" w:rsidP="0058270A">
            <w:pPr>
              <w:pStyle w:val="Tabletext"/>
              <w:keepNext/>
            </w:pPr>
            <w:r w:rsidRPr="0038409C">
              <w:t>Sr. Tong</w:t>
            </w:r>
          </w:p>
        </w:tc>
        <w:tc>
          <w:tcPr>
            <w:tcW w:w="889" w:type="pct"/>
            <w:shd w:val="clear" w:color="auto" w:fill="auto"/>
          </w:tcPr>
          <w:p w14:paraId="09E3D096" w14:textId="77777777" w:rsidR="005C3B43" w:rsidRPr="0038409C" w:rsidRDefault="005C3B43" w:rsidP="0058270A">
            <w:pPr>
              <w:pStyle w:val="Tabletext"/>
              <w:keepNext/>
            </w:pPr>
            <w:r w:rsidRPr="0038409C">
              <w:t>WU</w:t>
            </w:r>
          </w:p>
        </w:tc>
        <w:tc>
          <w:tcPr>
            <w:tcW w:w="911" w:type="pct"/>
            <w:shd w:val="clear" w:color="auto" w:fill="auto"/>
          </w:tcPr>
          <w:p w14:paraId="03C5C444" w14:textId="77777777" w:rsidR="005C3B43" w:rsidRPr="0038409C" w:rsidRDefault="005C3B43" w:rsidP="0058270A">
            <w:pPr>
              <w:pStyle w:val="Tabletext"/>
              <w:keepNext/>
            </w:pPr>
            <w:r w:rsidRPr="0038409C">
              <w:t>China (R.P.)</w:t>
            </w:r>
          </w:p>
        </w:tc>
        <w:tc>
          <w:tcPr>
            <w:tcW w:w="1394" w:type="pct"/>
            <w:shd w:val="clear" w:color="auto" w:fill="auto"/>
          </w:tcPr>
          <w:p w14:paraId="550719E7" w14:textId="77777777" w:rsidR="005C3B43" w:rsidRPr="0038409C" w:rsidRDefault="005C3B43" w:rsidP="0058270A">
            <w:pPr>
              <w:pStyle w:val="Tabletext"/>
              <w:keepNext/>
            </w:pPr>
            <w:r w:rsidRPr="0038409C">
              <w:t>Vicepresidente (chino)</w:t>
            </w:r>
          </w:p>
        </w:tc>
        <w:tc>
          <w:tcPr>
            <w:tcW w:w="917" w:type="pct"/>
            <w:shd w:val="clear" w:color="auto" w:fill="auto"/>
          </w:tcPr>
          <w:p w14:paraId="0C798B69" w14:textId="77777777" w:rsidR="005C3B43" w:rsidRPr="0038409C" w:rsidRDefault="005C3B43" w:rsidP="0058270A">
            <w:pPr>
              <w:pStyle w:val="Tabletext"/>
              <w:keepNext/>
            </w:pPr>
            <w:r w:rsidRPr="0038409C">
              <w:t>APT</w:t>
            </w:r>
          </w:p>
        </w:tc>
      </w:tr>
      <w:tr w:rsidR="005C3B43" w:rsidRPr="0038409C" w14:paraId="031D7901" w14:textId="77777777" w:rsidTr="0058270A">
        <w:trPr>
          <w:jc w:val="center"/>
        </w:trPr>
        <w:tc>
          <w:tcPr>
            <w:tcW w:w="889" w:type="pct"/>
            <w:shd w:val="clear" w:color="auto" w:fill="auto"/>
          </w:tcPr>
          <w:p w14:paraId="6BF9D929" w14:textId="77777777" w:rsidR="005C3B43" w:rsidRPr="0038409C" w:rsidRDefault="005C3B43" w:rsidP="0058270A">
            <w:pPr>
              <w:pStyle w:val="Tabletext"/>
              <w:keepNext/>
            </w:pPr>
            <w:r w:rsidRPr="0038409C">
              <w:t>Vacante</w:t>
            </w:r>
          </w:p>
        </w:tc>
        <w:tc>
          <w:tcPr>
            <w:tcW w:w="889" w:type="pct"/>
            <w:shd w:val="clear" w:color="auto" w:fill="auto"/>
          </w:tcPr>
          <w:p w14:paraId="6B0CE7BD" w14:textId="77777777" w:rsidR="005C3B43" w:rsidRPr="0038409C" w:rsidRDefault="005C3B43" w:rsidP="0058270A">
            <w:pPr>
              <w:pStyle w:val="Tabletext"/>
              <w:keepNext/>
            </w:pPr>
          </w:p>
        </w:tc>
        <w:tc>
          <w:tcPr>
            <w:tcW w:w="911" w:type="pct"/>
            <w:shd w:val="clear" w:color="auto" w:fill="auto"/>
          </w:tcPr>
          <w:p w14:paraId="69232296" w14:textId="77777777" w:rsidR="005C3B43" w:rsidRPr="0038409C" w:rsidRDefault="005C3B43" w:rsidP="0058270A">
            <w:pPr>
              <w:pStyle w:val="Tabletext"/>
              <w:keepNext/>
            </w:pPr>
          </w:p>
        </w:tc>
        <w:tc>
          <w:tcPr>
            <w:tcW w:w="1394" w:type="pct"/>
            <w:shd w:val="clear" w:color="auto" w:fill="auto"/>
          </w:tcPr>
          <w:p w14:paraId="03F2C81C" w14:textId="77777777" w:rsidR="005C3B43" w:rsidRPr="0038409C" w:rsidRDefault="005C3B43" w:rsidP="0058270A">
            <w:pPr>
              <w:pStyle w:val="Tabletext"/>
              <w:keepNext/>
            </w:pPr>
            <w:r w:rsidRPr="0038409C">
              <w:t>Vicepresidente (español)</w:t>
            </w:r>
          </w:p>
        </w:tc>
        <w:tc>
          <w:tcPr>
            <w:tcW w:w="917" w:type="pct"/>
            <w:shd w:val="clear" w:color="auto" w:fill="auto"/>
          </w:tcPr>
          <w:p w14:paraId="13F39811" w14:textId="77777777" w:rsidR="005C3B43" w:rsidRPr="0038409C" w:rsidRDefault="005C3B43" w:rsidP="0058270A">
            <w:pPr>
              <w:pStyle w:val="Tabletext"/>
              <w:keepNext/>
            </w:pPr>
          </w:p>
        </w:tc>
      </w:tr>
      <w:tr w:rsidR="005C3B43" w:rsidRPr="0038409C" w14:paraId="44A818A9" w14:textId="77777777" w:rsidTr="0058270A">
        <w:trPr>
          <w:jc w:val="center"/>
        </w:trPr>
        <w:tc>
          <w:tcPr>
            <w:tcW w:w="889" w:type="pct"/>
            <w:shd w:val="clear" w:color="auto" w:fill="auto"/>
          </w:tcPr>
          <w:p w14:paraId="1CB7D104" w14:textId="77777777" w:rsidR="005C3B43" w:rsidRPr="0038409C" w:rsidRDefault="005C3B43" w:rsidP="0058270A">
            <w:pPr>
              <w:pStyle w:val="Tabletext"/>
            </w:pPr>
            <w:r w:rsidRPr="0038409C">
              <w:t>Vacante</w:t>
            </w:r>
          </w:p>
        </w:tc>
        <w:tc>
          <w:tcPr>
            <w:tcW w:w="889" w:type="pct"/>
            <w:shd w:val="clear" w:color="auto" w:fill="auto"/>
          </w:tcPr>
          <w:p w14:paraId="52DA3C07" w14:textId="77777777" w:rsidR="005C3B43" w:rsidRPr="0038409C" w:rsidRDefault="005C3B43" w:rsidP="0058270A">
            <w:pPr>
              <w:pStyle w:val="Tabletext"/>
            </w:pPr>
          </w:p>
        </w:tc>
        <w:tc>
          <w:tcPr>
            <w:tcW w:w="911" w:type="pct"/>
            <w:shd w:val="clear" w:color="auto" w:fill="auto"/>
          </w:tcPr>
          <w:p w14:paraId="193DC484" w14:textId="77777777" w:rsidR="005C3B43" w:rsidRPr="0038409C" w:rsidRDefault="005C3B43" w:rsidP="0058270A">
            <w:pPr>
              <w:pStyle w:val="Tabletext"/>
            </w:pPr>
          </w:p>
        </w:tc>
        <w:tc>
          <w:tcPr>
            <w:tcW w:w="1394" w:type="pct"/>
            <w:shd w:val="clear" w:color="auto" w:fill="auto"/>
          </w:tcPr>
          <w:p w14:paraId="71A8CBF9" w14:textId="77777777" w:rsidR="005C3B43" w:rsidRPr="0038409C" w:rsidRDefault="005C3B43" w:rsidP="0058270A">
            <w:pPr>
              <w:pStyle w:val="Tabletext"/>
            </w:pPr>
            <w:r w:rsidRPr="0038409C">
              <w:t>Vicepresidente (ruso)</w:t>
            </w:r>
          </w:p>
        </w:tc>
        <w:tc>
          <w:tcPr>
            <w:tcW w:w="917" w:type="pct"/>
            <w:shd w:val="clear" w:color="auto" w:fill="auto"/>
          </w:tcPr>
          <w:p w14:paraId="73A60F5B" w14:textId="77777777" w:rsidR="005C3B43" w:rsidRPr="0038409C" w:rsidRDefault="005C3B43" w:rsidP="0058270A">
            <w:pPr>
              <w:pStyle w:val="Tabletext"/>
            </w:pPr>
          </w:p>
        </w:tc>
      </w:tr>
    </w:tbl>
    <w:p w14:paraId="36D1251C" w14:textId="77777777" w:rsidR="005E7230" w:rsidRPr="0038409C" w:rsidRDefault="005E7230" w:rsidP="00D80B34">
      <w:pPr>
        <w:pStyle w:val="Heading1"/>
      </w:pPr>
      <w:r w:rsidRPr="0038409C">
        <w:t>3</w:t>
      </w:r>
      <w:r w:rsidRPr="0038409C">
        <w:tab/>
        <w:t>Logros principales</w:t>
      </w:r>
    </w:p>
    <w:p w14:paraId="10896B08" w14:textId="5E0449E0" w:rsidR="005E7230" w:rsidRPr="0038409C" w:rsidRDefault="005E7230" w:rsidP="005E7230">
      <w:r w:rsidRPr="0038409C">
        <w:t xml:space="preserve">Durante el periodo de estudios, el CNV se reunió en </w:t>
      </w:r>
      <w:r w:rsidR="0081573A" w:rsidRPr="0038409C">
        <w:t>diez</w:t>
      </w:r>
      <w:r w:rsidRPr="0038409C">
        <w:t xml:space="preserve"> ocasiones</w:t>
      </w:r>
      <w:r w:rsidR="005C3B43" w:rsidRPr="0038409C">
        <w:t>, (dos reuniones exclusivamente para el CNV y ocho para el CCT)</w:t>
      </w:r>
      <w:r w:rsidRPr="0038409C">
        <w:t xml:space="preserve"> y abordó su misión conforme a lo estipulado en la Resolución 67 de la AMNT. </w:t>
      </w:r>
      <w:r w:rsidR="0098523F" w:rsidRPr="0038409C">
        <w:t>Además,</w:t>
      </w:r>
      <w:r w:rsidRPr="0038409C">
        <w:t xml:space="preserve"> ejerció de coordinador de las Comisiones de Estudio del UIT-T para todo lo relacionado con la terminología y prestó asesoramiento en relación con los términos y definiciones que debían adoptarse en las Recomendaciones del UIT-T. El CNV también atendió consultas relacionadas con la armonización de las definiciones entre las Comisiones de Estudio del UIT-T y entre los Sectores de la UIT.</w:t>
      </w:r>
    </w:p>
    <w:p w14:paraId="02DBCCCE" w14:textId="01A26B3F" w:rsidR="005E7230" w:rsidRPr="0038409C" w:rsidRDefault="005E7230" w:rsidP="005E7230">
      <w:r w:rsidRPr="0038409C">
        <w:t>El CNV se reúne de forma virtual</w:t>
      </w:r>
      <w:r w:rsidR="005C3B43" w:rsidRPr="0038409C">
        <w:t xml:space="preserve">, y </w:t>
      </w:r>
      <w:r w:rsidRPr="0038409C">
        <w:t>la Resolución 1386 del Consejo, por la que se creó el Comité de Coordinación de la Terminología (CCT), todas sus reuniones han tenido lugar en el marco del CCT, que está compuesto por el CNV,</w:t>
      </w:r>
      <w:r w:rsidR="005C3B43" w:rsidRPr="0038409C">
        <w:t xml:space="preserve"> el Comité de Coordinación del Vocabulario (CNV) del UIT</w:t>
      </w:r>
      <w:r w:rsidR="00A16788" w:rsidRPr="0038409C">
        <w:noBreakHyphen/>
      </w:r>
      <w:r w:rsidR="00093FA5" w:rsidRPr="0038409C">
        <w:t>R y</w:t>
      </w:r>
      <w:r w:rsidRPr="0038409C">
        <w:t xml:space="preserve"> varios representantes del UIT-D.</w:t>
      </w:r>
    </w:p>
    <w:p w14:paraId="454CA578" w14:textId="01FFA59C" w:rsidR="005E7230" w:rsidRPr="0038409C" w:rsidRDefault="005E7230" w:rsidP="005E7230">
      <w:r w:rsidRPr="0038409C">
        <w:t>Durante el periodo de estudios, el CNV también optimizó sus métodos de trabajo, en consulta con el</w:t>
      </w:r>
      <w:r w:rsidR="00D80B34" w:rsidRPr="0038409C">
        <w:t> </w:t>
      </w:r>
      <w:r w:rsidRPr="0038409C">
        <w:t xml:space="preserve">GANT, </w:t>
      </w:r>
      <w:r w:rsidR="00093FA5" w:rsidRPr="0038409C">
        <w:t xml:space="preserve">para </w:t>
      </w:r>
      <w:r w:rsidRPr="0038409C">
        <w:t>alcanzar un mayor grado de eficacia en</w:t>
      </w:r>
      <w:r w:rsidR="00513A90" w:rsidRPr="0038409C">
        <w:t xml:space="preserve"> </w:t>
      </w:r>
      <w:r w:rsidRPr="0038409C">
        <w:t>el cumplimiento de sus responsabilidades, e hizo especial hincapié en la racionalización de su comunicación con las Comisiones de Estudio.</w:t>
      </w:r>
    </w:p>
    <w:p w14:paraId="257E0495" w14:textId="7819CE61" w:rsidR="00093FA5" w:rsidRPr="0038409C" w:rsidRDefault="00093FA5" w:rsidP="00093FA5">
      <w:r w:rsidRPr="0038409C">
        <w:t>Se ha desarrollado una nueva herramienta para facilitar el seguimiento de los términos y definiciones recibidos, incluidos los comentarios y observaciones de las Comisiones de Estudio.</w:t>
      </w:r>
    </w:p>
    <w:p w14:paraId="6E829CDF" w14:textId="77777777" w:rsidR="00093FA5" w:rsidRPr="0038409C" w:rsidRDefault="00093FA5" w:rsidP="00093FA5">
      <w:r w:rsidRPr="0038409C">
        <w:t>El sitio web del CNV, incluida una zona de intercambio SharePoint, se trasladó al nuevo sitio web del CCT y pasó a depender de la Secretaría General. Puede accederse a este nuevo sitio web desde las páginas web del CNV y el CCV, así como desde la página web de coordinación intersectorial, la página de multilingüismo y la sección de enlaces rápidos de la página principal de la Secretaría General.</w:t>
      </w:r>
    </w:p>
    <w:p w14:paraId="2ECC1689" w14:textId="65446778" w:rsidR="00093FA5" w:rsidRPr="0038409C" w:rsidRDefault="00093FA5" w:rsidP="00093FA5">
      <w:r w:rsidRPr="0038409C">
        <w:t>El CNV/CCT ha analizado y asesorado más de 400 términos y definiciones en inglés y ha validado las traducciones de 68 términos y definiciones a los otros cinco idiomas de la Unión.</w:t>
      </w:r>
    </w:p>
    <w:p w14:paraId="668958B7" w14:textId="77777777" w:rsidR="00093FA5" w:rsidRPr="0038409C" w:rsidRDefault="00093FA5" w:rsidP="00093FA5">
      <w:r w:rsidRPr="0038409C">
        <w:t>En el Cuadro 2 se resumen las principales actividades del CNV durante el periodo de estudios.</w:t>
      </w:r>
    </w:p>
    <w:p w14:paraId="3FBB52B6" w14:textId="77777777" w:rsidR="00A16788" w:rsidRPr="0038409C" w:rsidRDefault="00A16788">
      <w:pPr>
        <w:tabs>
          <w:tab w:val="clear" w:pos="1134"/>
          <w:tab w:val="clear" w:pos="1871"/>
          <w:tab w:val="clear" w:pos="2268"/>
        </w:tabs>
        <w:overflowPunct/>
        <w:autoSpaceDE/>
        <w:autoSpaceDN/>
        <w:adjustRightInd/>
        <w:spacing w:before="0"/>
        <w:textAlignment w:val="auto"/>
        <w:rPr>
          <w:rFonts w:ascii="Times New Roman Bold" w:hAnsi="Times New Roman Bold"/>
          <w:b/>
          <w:bCs/>
          <w:sz w:val="20"/>
        </w:rPr>
      </w:pPr>
      <w:r w:rsidRPr="0038409C">
        <w:rPr>
          <w:bCs/>
        </w:rPr>
        <w:br w:type="page"/>
      </w:r>
    </w:p>
    <w:p w14:paraId="158B03A6" w14:textId="4EF8F427" w:rsidR="00093FA5" w:rsidRPr="0038409C" w:rsidRDefault="00093FA5" w:rsidP="003A3146">
      <w:pPr>
        <w:pStyle w:val="Tabletitle"/>
      </w:pPr>
      <w:r w:rsidRPr="0038409C">
        <w:lastRenderedPageBreak/>
        <w:t>Cuadro 2 – Principales actividades del CNV durante el periodo de estudios</w:t>
      </w:r>
    </w:p>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088"/>
        <w:gridCol w:w="3969"/>
      </w:tblGrid>
      <w:tr w:rsidR="00093FA5" w:rsidRPr="0038409C" w14:paraId="08D086C2" w14:textId="77777777" w:rsidTr="0058270A">
        <w:trPr>
          <w:jc w:val="center"/>
        </w:trPr>
        <w:tc>
          <w:tcPr>
            <w:tcW w:w="5088" w:type="dxa"/>
            <w:shd w:val="clear" w:color="auto" w:fill="auto"/>
          </w:tcPr>
          <w:p w14:paraId="06794B1C" w14:textId="2E898F44" w:rsidR="00093FA5" w:rsidRPr="0038409C" w:rsidRDefault="00093FA5" w:rsidP="0058270A">
            <w:pPr>
              <w:pStyle w:val="Tabletext"/>
            </w:pPr>
            <w:r w:rsidRPr="0038409C">
              <w:t>Número de reuniones</w:t>
            </w:r>
          </w:p>
        </w:tc>
        <w:tc>
          <w:tcPr>
            <w:tcW w:w="3969" w:type="dxa"/>
            <w:shd w:val="clear" w:color="auto" w:fill="auto"/>
          </w:tcPr>
          <w:p w14:paraId="76432432" w14:textId="4AFA9A11" w:rsidR="00093FA5" w:rsidRPr="0038409C" w:rsidRDefault="0081573A" w:rsidP="0058270A">
            <w:pPr>
              <w:pStyle w:val="Tabletext"/>
            </w:pPr>
            <w:r w:rsidRPr="0038409C">
              <w:t>10</w:t>
            </w:r>
            <w:r w:rsidR="00093FA5" w:rsidRPr="0038409C">
              <w:t xml:space="preserve"> (incluidas dos reuniones exclusivamente para el CNV)</w:t>
            </w:r>
          </w:p>
        </w:tc>
      </w:tr>
      <w:tr w:rsidR="00093FA5" w:rsidRPr="0038409C" w14:paraId="00DEF803" w14:textId="77777777" w:rsidTr="0058270A">
        <w:trPr>
          <w:jc w:val="center"/>
        </w:trPr>
        <w:tc>
          <w:tcPr>
            <w:tcW w:w="5088" w:type="dxa"/>
            <w:shd w:val="clear" w:color="auto" w:fill="auto"/>
          </w:tcPr>
          <w:p w14:paraId="42CE65DE" w14:textId="16DF76B7" w:rsidR="00093FA5" w:rsidRPr="0038409C" w:rsidRDefault="00093FA5" w:rsidP="0058270A">
            <w:pPr>
              <w:pStyle w:val="Tabletext"/>
            </w:pPr>
            <w:r w:rsidRPr="0038409C">
              <w:t xml:space="preserve">Número de documentos recibidos </w:t>
            </w:r>
          </w:p>
        </w:tc>
        <w:tc>
          <w:tcPr>
            <w:tcW w:w="3969" w:type="dxa"/>
            <w:shd w:val="clear" w:color="auto" w:fill="auto"/>
          </w:tcPr>
          <w:p w14:paraId="0326C1A1" w14:textId="0E94C841" w:rsidR="00093FA5" w:rsidRPr="0038409C" w:rsidRDefault="00093FA5" w:rsidP="0058270A">
            <w:pPr>
              <w:pStyle w:val="Tabletext"/>
            </w:pPr>
            <w:r w:rsidRPr="0038409C">
              <w:t>83 declaraciones de coordinación</w:t>
            </w:r>
          </w:p>
        </w:tc>
      </w:tr>
      <w:tr w:rsidR="00093FA5" w:rsidRPr="0038409C" w14:paraId="6FD59A4A" w14:textId="77777777" w:rsidTr="0058270A">
        <w:trPr>
          <w:jc w:val="center"/>
        </w:trPr>
        <w:tc>
          <w:tcPr>
            <w:tcW w:w="5088" w:type="dxa"/>
            <w:shd w:val="clear" w:color="auto" w:fill="auto"/>
          </w:tcPr>
          <w:p w14:paraId="04DD3941" w14:textId="5D52BE7E" w:rsidR="00093FA5" w:rsidRPr="0038409C" w:rsidRDefault="00093FA5" w:rsidP="0058270A">
            <w:pPr>
              <w:pStyle w:val="Tabletext"/>
            </w:pPr>
            <w:r w:rsidRPr="0038409C">
              <w:t>Numero de declaraciones de coordinación enviadas</w:t>
            </w:r>
          </w:p>
        </w:tc>
        <w:tc>
          <w:tcPr>
            <w:tcW w:w="3969" w:type="dxa"/>
            <w:shd w:val="clear" w:color="auto" w:fill="auto"/>
          </w:tcPr>
          <w:p w14:paraId="35EA1287" w14:textId="77777777" w:rsidR="00093FA5" w:rsidRPr="0038409C" w:rsidRDefault="00093FA5" w:rsidP="0058270A">
            <w:pPr>
              <w:pStyle w:val="Tabletext"/>
            </w:pPr>
            <w:r w:rsidRPr="0038409C">
              <w:t>39</w:t>
            </w:r>
          </w:p>
        </w:tc>
      </w:tr>
      <w:tr w:rsidR="00093FA5" w:rsidRPr="0038409C" w14:paraId="27550FE3" w14:textId="77777777" w:rsidTr="0058270A">
        <w:trPr>
          <w:jc w:val="center"/>
        </w:trPr>
        <w:tc>
          <w:tcPr>
            <w:tcW w:w="5088" w:type="dxa"/>
            <w:shd w:val="clear" w:color="auto" w:fill="auto"/>
          </w:tcPr>
          <w:p w14:paraId="708D05B6" w14:textId="3B135277" w:rsidR="00093FA5" w:rsidRPr="0038409C" w:rsidRDefault="00093FA5" w:rsidP="0058270A">
            <w:pPr>
              <w:pStyle w:val="Tabletext"/>
            </w:pPr>
            <w:r w:rsidRPr="0038409C">
              <w:t>Número de términos y definiciones en inglés</w:t>
            </w:r>
          </w:p>
        </w:tc>
        <w:tc>
          <w:tcPr>
            <w:tcW w:w="3969" w:type="dxa"/>
            <w:shd w:val="clear" w:color="auto" w:fill="auto"/>
          </w:tcPr>
          <w:p w14:paraId="6D2108A2" w14:textId="77777777" w:rsidR="00093FA5" w:rsidRPr="0038409C" w:rsidRDefault="00093FA5" w:rsidP="0058270A">
            <w:pPr>
              <w:pStyle w:val="Tabletext"/>
            </w:pPr>
            <w:r w:rsidRPr="0038409C">
              <w:t>400+</w:t>
            </w:r>
          </w:p>
        </w:tc>
      </w:tr>
      <w:tr w:rsidR="00093FA5" w:rsidRPr="0038409C" w14:paraId="2A682C6A" w14:textId="77777777" w:rsidTr="0058270A">
        <w:trPr>
          <w:jc w:val="center"/>
        </w:trPr>
        <w:tc>
          <w:tcPr>
            <w:tcW w:w="5088" w:type="dxa"/>
            <w:shd w:val="clear" w:color="auto" w:fill="auto"/>
          </w:tcPr>
          <w:p w14:paraId="054F33A3" w14:textId="0DE1FD1A" w:rsidR="00093FA5" w:rsidRPr="0038409C" w:rsidRDefault="00093FA5" w:rsidP="0058270A">
            <w:pPr>
              <w:pStyle w:val="Tabletext"/>
            </w:pPr>
            <w:r w:rsidRPr="0038409C">
              <w:t>Número de términos y definiciones en inglés validados</w:t>
            </w:r>
          </w:p>
        </w:tc>
        <w:tc>
          <w:tcPr>
            <w:tcW w:w="3969" w:type="dxa"/>
            <w:shd w:val="clear" w:color="auto" w:fill="auto"/>
          </w:tcPr>
          <w:p w14:paraId="4A7CA238" w14:textId="77777777" w:rsidR="00093FA5" w:rsidRPr="0038409C" w:rsidRDefault="00093FA5" w:rsidP="0058270A">
            <w:pPr>
              <w:pStyle w:val="Tabletext"/>
            </w:pPr>
            <w:r w:rsidRPr="0038409C">
              <w:t>90</w:t>
            </w:r>
          </w:p>
        </w:tc>
      </w:tr>
      <w:tr w:rsidR="00093FA5" w:rsidRPr="0038409C" w14:paraId="1A540358" w14:textId="77777777" w:rsidTr="0058270A">
        <w:trPr>
          <w:jc w:val="center"/>
        </w:trPr>
        <w:tc>
          <w:tcPr>
            <w:tcW w:w="5088" w:type="dxa"/>
            <w:shd w:val="clear" w:color="auto" w:fill="auto"/>
          </w:tcPr>
          <w:p w14:paraId="797CB1D3" w14:textId="0D1ADC00" w:rsidR="00093FA5" w:rsidRPr="0038409C" w:rsidRDefault="00093FA5" w:rsidP="0058270A">
            <w:pPr>
              <w:pStyle w:val="Tabletext"/>
            </w:pPr>
            <w:r w:rsidRPr="0038409C">
              <w:t>Número de términos y definiciones traducidos validados</w:t>
            </w:r>
          </w:p>
        </w:tc>
        <w:tc>
          <w:tcPr>
            <w:tcW w:w="3969" w:type="dxa"/>
            <w:shd w:val="clear" w:color="auto" w:fill="auto"/>
          </w:tcPr>
          <w:p w14:paraId="3FBEEB41" w14:textId="3BD08BCC" w:rsidR="00093FA5" w:rsidRPr="0038409C" w:rsidRDefault="00093FA5" w:rsidP="0058270A">
            <w:pPr>
              <w:pStyle w:val="Tabletext"/>
            </w:pPr>
            <w:r w:rsidRPr="0038409C">
              <w:t>68 (además de 22 actualmente en curso)</w:t>
            </w:r>
          </w:p>
        </w:tc>
      </w:tr>
    </w:tbl>
    <w:p w14:paraId="4E23AE63" w14:textId="77777777" w:rsidR="005E7230" w:rsidRPr="0038409C" w:rsidRDefault="005E7230" w:rsidP="00411C49">
      <w:pPr>
        <w:pStyle w:val="Reasons"/>
      </w:pPr>
    </w:p>
    <w:p w14:paraId="49E5FCE2" w14:textId="77777777" w:rsidR="005E7230" w:rsidRPr="00093FA5" w:rsidRDefault="005E7230">
      <w:pPr>
        <w:jc w:val="center"/>
        <w:rPr>
          <w:lang w:val="es-ES"/>
        </w:rPr>
      </w:pPr>
      <w:r w:rsidRPr="0038409C">
        <w:t>______________</w:t>
      </w:r>
    </w:p>
    <w:sectPr w:rsidR="005E7230" w:rsidRPr="00093FA5" w:rsidSect="002E5627">
      <w:headerReference w:type="default" r:id="rId13"/>
      <w:footerReference w:type="even" r:id="rId14"/>
      <w:pgSz w:w="11907" w:h="16840" w:code="9"/>
      <w:pgMar w:top="1134" w:right="1134" w:bottom="1134" w:left="1134" w:header="425"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7B071" w14:textId="77777777" w:rsidR="00FE20EC" w:rsidRDefault="00FE20EC">
      <w:r>
        <w:separator/>
      </w:r>
    </w:p>
  </w:endnote>
  <w:endnote w:type="continuationSeparator" w:id="0">
    <w:p w14:paraId="1AA2F07E" w14:textId="77777777" w:rsidR="00FE20EC" w:rsidRDefault="00FE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2B67"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AED707" w14:textId="5A6DB609" w:rsidR="0077084A" w:rsidRPr="006E0078" w:rsidRDefault="0077084A">
    <w:pPr>
      <w:ind w:right="360"/>
      <w:rPr>
        <w:lang w:val="fr-CH"/>
      </w:rPr>
    </w:pPr>
    <w:r>
      <w:fldChar w:fldCharType="begin"/>
    </w:r>
    <w:r w:rsidRPr="006E0078">
      <w:rPr>
        <w:lang w:val="fr-CH"/>
      </w:rPr>
      <w:instrText xml:space="preserve"> FILENAME \p  \* MERGEFORMAT </w:instrText>
    </w:r>
    <w:r>
      <w:fldChar w:fldCharType="separate"/>
    </w:r>
    <w:r w:rsidR="00734034">
      <w:rPr>
        <w:noProof/>
        <w:lang w:val="fr-CH"/>
      </w:rPr>
      <w:t>P:\ESP\ITU-T\CONF-T\WTSA16\395105S.docx</w:t>
    </w:r>
    <w:r>
      <w:fldChar w:fldCharType="end"/>
    </w:r>
    <w:r w:rsidRPr="006E0078">
      <w:rPr>
        <w:lang w:val="fr-CH"/>
      </w:rPr>
      <w:tab/>
    </w:r>
    <w:r>
      <w:fldChar w:fldCharType="begin"/>
    </w:r>
    <w:r>
      <w:instrText xml:space="preserve"> SAVEDATE \@ DD.MM.YY </w:instrText>
    </w:r>
    <w:r>
      <w:fldChar w:fldCharType="separate"/>
    </w:r>
    <w:r w:rsidR="00A16788">
      <w:rPr>
        <w:noProof/>
      </w:rPr>
      <w:t>26.09.24</w:t>
    </w:r>
    <w:r>
      <w:fldChar w:fldCharType="end"/>
    </w:r>
    <w:r w:rsidRPr="006E0078">
      <w:rPr>
        <w:lang w:val="fr-CH"/>
      </w:rPr>
      <w:tab/>
    </w:r>
    <w:r>
      <w:fldChar w:fldCharType="begin"/>
    </w:r>
    <w:r>
      <w:instrText xml:space="preserve"> PRINTDATE \@ DD.MM.YY </w:instrText>
    </w:r>
    <w:r>
      <w:fldChar w:fldCharType="separate"/>
    </w:r>
    <w:r w:rsidR="00734034">
      <w:rPr>
        <w:noProof/>
      </w:rPr>
      <w:t>08.03.16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DF7DA" w14:textId="77777777" w:rsidR="00FE20EC" w:rsidRDefault="00FE20EC">
      <w:r>
        <w:rPr>
          <w:b/>
        </w:rPr>
        <w:t>_______________</w:t>
      </w:r>
    </w:p>
  </w:footnote>
  <w:footnote w:type="continuationSeparator" w:id="0">
    <w:p w14:paraId="71506192" w14:textId="77777777" w:rsidR="00FE20EC" w:rsidRDefault="00FE2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9604" w14:textId="77777777" w:rsidR="00E83D45" w:rsidRDefault="00E83D45" w:rsidP="00E83D45">
    <w:pPr>
      <w:pStyle w:val="Header"/>
    </w:pPr>
    <w:r>
      <w:fldChar w:fldCharType="begin"/>
    </w:r>
    <w:r>
      <w:instrText xml:space="preserve"> PAGE  \* MERGEFORMAT </w:instrText>
    </w:r>
    <w:r>
      <w:fldChar w:fldCharType="separate"/>
    </w:r>
    <w:r w:rsidR="00E8097C">
      <w:rPr>
        <w:noProof/>
      </w:rPr>
      <w:t>2</w:t>
    </w:r>
    <w:r>
      <w:fldChar w:fldCharType="end"/>
    </w:r>
  </w:p>
  <w:p w14:paraId="19BAF02C" w14:textId="64FCAA7D" w:rsidR="00E83D45" w:rsidRPr="00C72D5C" w:rsidRDefault="00336878" w:rsidP="00E83D45">
    <w:pPr>
      <w:pStyle w:val="Header"/>
    </w:pPr>
    <w:r>
      <w:t>WTSA-24/23-S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1CA34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FC51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8C96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9618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7C43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2EFA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AE6C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E8B4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3865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EC46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17B"/>
    <w:rsid w:val="000121A4"/>
    <w:rsid w:val="00023137"/>
    <w:rsid w:val="0002785D"/>
    <w:rsid w:val="00057296"/>
    <w:rsid w:val="00087AE8"/>
    <w:rsid w:val="00093FA5"/>
    <w:rsid w:val="000A5B9A"/>
    <w:rsid w:val="000C7758"/>
    <w:rsid w:val="000E5BF9"/>
    <w:rsid w:val="000E5EE9"/>
    <w:rsid w:val="000F0E6D"/>
    <w:rsid w:val="00120191"/>
    <w:rsid w:val="00121170"/>
    <w:rsid w:val="00123CC5"/>
    <w:rsid w:val="00123FB9"/>
    <w:rsid w:val="0015142D"/>
    <w:rsid w:val="001616DC"/>
    <w:rsid w:val="00163962"/>
    <w:rsid w:val="00191A97"/>
    <w:rsid w:val="001A083F"/>
    <w:rsid w:val="001C41FA"/>
    <w:rsid w:val="001D380F"/>
    <w:rsid w:val="001D440E"/>
    <w:rsid w:val="001E2B52"/>
    <w:rsid w:val="001E3F27"/>
    <w:rsid w:val="001F20F0"/>
    <w:rsid w:val="0021371A"/>
    <w:rsid w:val="00223FD2"/>
    <w:rsid w:val="00232E90"/>
    <w:rsid w:val="002337D9"/>
    <w:rsid w:val="00236D2A"/>
    <w:rsid w:val="00255F12"/>
    <w:rsid w:val="00262C09"/>
    <w:rsid w:val="00263815"/>
    <w:rsid w:val="00263FA7"/>
    <w:rsid w:val="0028017B"/>
    <w:rsid w:val="00286495"/>
    <w:rsid w:val="002A3A0C"/>
    <w:rsid w:val="002A68C6"/>
    <w:rsid w:val="002A791F"/>
    <w:rsid w:val="002C1B26"/>
    <w:rsid w:val="002C79B8"/>
    <w:rsid w:val="002E5627"/>
    <w:rsid w:val="002E701F"/>
    <w:rsid w:val="00305FD9"/>
    <w:rsid w:val="003237B0"/>
    <w:rsid w:val="003248A9"/>
    <w:rsid w:val="00324FFA"/>
    <w:rsid w:val="0032680B"/>
    <w:rsid w:val="00336878"/>
    <w:rsid w:val="00363A65"/>
    <w:rsid w:val="00377EC9"/>
    <w:rsid w:val="0038409C"/>
    <w:rsid w:val="003A3146"/>
    <w:rsid w:val="003B1E8C"/>
    <w:rsid w:val="003C2508"/>
    <w:rsid w:val="003D0AA3"/>
    <w:rsid w:val="004104AC"/>
    <w:rsid w:val="00453A46"/>
    <w:rsid w:val="00454553"/>
    <w:rsid w:val="00476FB2"/>
    <w:rsid w:val="004B124A"/>
    <w:rsid w:val="004B520A"/>
    <w:rsid w:val="004C3636"/>
    <w:rsid w:val="004C3A5A"/>
    <w:rsid w:val="00513A90"/>
    <w:rsid w:val="0051705A"/>
    <w:rsid w:val="00523269"/>
    <w:rsid w:val="00532097"/>
    <w:rsid w:val="00551A28"/>
    <w:rsid w:val="00566BEE"/>
    <w:rsid w:val="00582A36"/>
    <w:rsid w:val="0058350F"/>
    <w:rsid w:val="005A374D"/>
    <w:rsid w:val="005B2E41"/>
    <w:rsid w:val="005C3B43"/>
    <w:rsid w:val="005C475F"/>
    <w:rsid w:val="005E7230"/>
    <w:rsid w:val="005E782D"/>
    <w:rsid w:val="005F2605"/>
    <w:rsid w:val="00662039"/>
    <w:rsid w:val="00662BA0"/>
    <w:rsid w:val="00681766"/>
    <w:rsid w:val="00692AAE"/>
    <w:rsid w:val="006B0F54"/>
    <w:rsid w:val="006D6E67"/>
    <w:rsid w:val="006E0078"/>
    <w:rsid w:val="006E1A13"/>
    <w:rsid w:val="006E76B9"/>
    <w:rsid w:val="00701C20"/>
    <w:rsid w:val="00702F3D"/>
    <w:rsid w:val="0070518E"/>
    <w:rsid w:val="00734034"/>
    <w:rsid w:val="007354E9"/>
    <w:rsid w:val="00765578"/>
    <w:rsid w:val="0077084A"/>
    <w:rsid w:val="00774D56"/>
    <w:rsid w:val="00776E3D"/>
    <w:rsid w:val="00786250"/>
    <w:rsid w:val="00786E9D"/>
    <w:rsid w:val="00790506"/>
    <w:rsid w:val="007952C7"/>
    <w:rsid w:val="007C2317"/>
    <w:rsid w:val="007C39FA"/>
    <w:rsid w:val="007D330A"/>
    <w:rsid w:val="007E5A28"/>
    <w:rsid w:val="007E667F"/>
    <w:rsid w:val="0081573A"/>
    <w:rsid w:val="00860A61"/>
    <w:rsid w:val="00866AE6"/>
    <w:rsid w:val="00866BBD"/>
    <w:rsid w:val="008733DC"/>
    <w:rsid w:val="00873B75"/>
    <w:rsid w:val="00873F04"/>
    <w:rsid w:val="008750A8"/>
    <w:rsid w:val="008E35DA"/>
    <w:rsid w:val="008E4453"/>
    <w:rsid w:val="0090121B"/>
    <w:rsid w:val="009144C9"/>
    <w:rsid w:val="00916196"/>
    <w:rsid w:val="0094091F"/>
    <w:rsid w:val="00973754"/>
    <w:rsid w:val="0097673E"/>
    <w:rsid w:val="0098523F"/>
    <w:rsid w:val="00990278"/>
    <w:rsid w:val="009A137D"/>
    <w:rsid w:val="009A79C5"/>
    <w:rsid w:val="009B0563"/>
    <w:rsid w:val="009C0BED"/>
    <w:rsid w:val="009D7D67"/>
    <w:rsid w:val="009E11EC"/>
    <w:rsid w:val="009F6A67"/>
    <w:rsid w:val="00A118DB"/>
    <w:rsid w:val="00A16788"/>
    <w:rsid w:val="00A24AC0"/>
    <w:rsid w:val="00A4450C"/>
    <w:rsid w:val="00A55F2D"/>
    <w:rsid w:val="00AA5E6C"/>
    <w:rsid w:val="00AB4E90"/>
    <w:rsid w:val="00AE5677"/>
    <w:rsid w:val="00AE658F"/>
    <w:rsid w:val="00AF2F78"/>
    <w:rsid w:val="00B07178"/>
    <w:rsid w:val="00B1727C"/>
    <w:rsid w:val="00B173B3"/>
    <w:rsid w:val="00B257B2"/>
    <w:rsid w:val="00B51263"/>
    <w:rsid w:val="00B52D55"/>
    <w:rsid w:val="00B61807"/>
    <w:rsid w:val="00B627DD"/>
    <w:rsid w:val="00B75455"/>
    <w:rsid w:val="00B8288C"/>
    <w:rsid w:val="00BD5FE4"/>
    <w:rsid w:val="00BE2E80"/>
    <w:rsid w:val="00BE5EDD"/>
    <w:rsid w:val="00BE6A1F"/>
    <w:rsid w:val="00C004E1"/>
    <w:rsid w:val="00C126C4"/>
    <w:rsid w:val="00C25B5B"/>
    <w:rsid w:val="00C614DC"/>
    <w:rsid w:val="00C63EB5"/>
    <w:rsid w:val="00C72410"/>
    <w:rsid w:val="00C858D0"/>
    <w:rsid w:val="00CA1AB6"/>
    <w:rsid w:val="00CA1F40"/>
    <w:rsid w:val="00CB35C9"/>
    <w:rsid w:val="00CC01E0"/>
    <w:rsid w:val="00CD1851"/>
    <w:rsid w:val="00CD5FEE"/>
    <w:rsid w:val="00CD663E"/>
    <w:rsid w:val="00CE60D2"/>
    <w:rsid w:val="00D0288A"/>
    <w:rsid w:val="00D56781"/>
    <w:rsid w:val="00D72A5D"/>
    <w:rsid w:val="00D80B34"/>
    <w:rsid w:val="00D87EC9"/>
    <w:rsid w:val="00DC629B"/>
    <w:rsid w:val="00DD7BC3"/>
    <w:rsid w:val="00E05BFF"/>
    <w:rsid w:val="00E21778"/>
    <w:rsid w:val="00E262F1"/>
    <w:rsid w:val="00E32BEE"/>
    <w:rsid w:val="00E47B44"/>
    <w:rsid w:val="00E71D14"/>
    <w:rsid w:val="00E8097C"/>
    <w:rsid w:val="00E83D45"/>
    <w:rsid w:val="00E91D30"/>
    <w:rsid w:val="00E94A4A"/>
    <w:rsid w:val="00EE1779"/>
    <w:rsid w:val="00EE65BF"/>
    <w:rsid w:val="00EF0D6D"/>
    <w:rsid w:val="00F0220A"/>
    <w:rsid w:val="00F02C63"/>
    <w:rsid w:val="00F247BB"/>
    <w:rsid w:val="00F26F4E"/>
    <w:rsid w:val="00F54E0E"/>
    <w:rsid w:val="00F606A0"/>
    <w:rsid w:val="00F62AB3"/>
    <w:rsid w:val="00F63177"/>
    <w:rsid w:val="00F66597"/>
    <w:rsid w:val="00F7212F"/>
    <w:rsid w:val="00F8150C"/>
    <w:rsid w:val="00FA7ED0"/>
    <w:rsid w:val="00FC3528"/>
    <w:rsid w:val="00FD5B74"/>
    <w:rsid w:val="00FD5C8C"/>
    <w:rsid w:val="00FE161E"/>
    <w:rsid w:val="00FE20EC"/>
    <w:rsid w:val="00FE4574"/>
    <w:rsid w:val="00FF0475"/>
    <w:rsid w:val="00FF40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2CA60A3"/>
  <w15:docId w15:val="{304D50CB-01AA-45EF-BBE4-6680C523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Call">
    <w:name w:val="Call"/>
    <w:basedOn w:val="Normal"/>
    <w:next w:val="Normal"/>
    <w:pPr>
      <w:keepNext/>
      <w:keepLines/>
      <w:spacing w:before="160"/>
      <w:ind w:left="1134"/>
    </w:pPr>
    <w:rPr>
      <w:i/>
    </w:rPr>
  </w:style>
  <w:style w:type="paragraph" w:customStyle="1" w:styleId="ChapNo">
    <w:name w:val="Chap_No"/>
    <w:basedOn w:val="Normal"/>
    <w:next w:val="Chaptitle"/>
    <w:rsid w:val="00B75455"/>
    <w:pPr>
      <w:keepNext/>
      <w:keepLines/>
      <w:spacing w:before="480"/>
      <w:jc w:val="center"/>
    </w:pPr>
    <w:rPr>
      <w:rFonts w:ascii="Times New Roman Bold" w:hAnsi="Times New Roman Bold"/>
      <w:b/>
      <w:caps/>
      <w:sz w:val="28"/>
    </w:rPr>
  </w:style>
  <w:style w:type="paragraph" w:customStyle="1" w:styleId="Chaptitle">
    <w:name w:val="Chap_title"/>
    <w:basedOn w:val="Normal"/>
    <w:next w:val="Normalaftertitle"/>
    <w:rsid w:val="00B75455"/>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rsid w:val="00916196"/>
    <w:pPr>
      <w:keepNext/>
      <w:keepLines/>
      <w:spacing w:before="480" w:after="120"/>
      <w:jc w:val="center"/>
    </w:pPr>
    <w:rPr>
      <w:caps/>
    </w:rPr>
  </w:style>
  <w:style w:type="paragraph" w:customStyle="1" w:styleId="Figuretitle">
    <w:name w:val="Figure_title"/>
    <w:basedOn w:val="Normal"/>
    <w:next w:val="Normal"/>
    <w:rsid w:val="00B627DD"/>
    <w:pPr>
      <w:spacing w:after="480"/>
      <w:jc w:val="center"/>
    </w:pPr>
    <w:rPr>
      <w:b/>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C858D0"/>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rsid w:val="00BD5FE4"/>
    <w:pPr>
      <w:keepNext/>
      <w:keepLines/>
      <w:spacing w:before="480"/>
    </w:pPr>
    <w:rPr>
      <w:rFonts w:ascii="Times New Roman Bold" w:hAnsi="Times New Roman Bold" w:cs="Times New Roman Bold"/>
      <w:b/>
      <w:sz w:val="28"/>
    </w:rPr>
  </w:style>
  <w:style w:type="paragraph" w:customStyle="1" w:styleId="Rectitle">
    <w:name w:val="Rec_title"/>
    <w:basedOn w:val="RecNo"/>
    <w:next w:val="Recref"/>
    <w:rsid w:val="00BD5FE4"/>
    <w:pPr>
      <w:spacing w:before="240"/>
      <w:jc w:val="center"/>
    </w:pPr>
    <w:rPr>
      <w:bCs/>
    </w:rPr>
  </w:style>
  <w:style w:type="paragraph" w:customStyle="1" w:styleId="Recref">
    <w:name w:val="Rec_ref"/>
    <w:basedOn w:val="Rectitle"/>
    <w:next w:val="Recdate"/>
    <w:rsid w:val="00FD5C8C"/>
    <w:pPr>
      <w:spacing w:before="120"/>
    </w:pPr>
    <w:rPr>
      <w:rFonts w:ascii="Times New Roman" w:hAnsi="Times New Roman"/>
      <w:b w:val="0"/>
      <w:i/>
      <w:sz w:val="24"/>
    </w:rPr>
  </w:style>
  <w:style w:type="paragraph" w:customStyle="1" w:styleId="Recdate">
    <w:name w:val="Rec_date"/>
    <w:basedOn w:val="Recref"/>
    <w:next w:val="Normalaftertitle"/>
    <w:rsid w:val="000121A4"/>
  </w:style>
  <w:style w:type="paragraph" w:customStyle="1" w:styleId="Questiondate">
    <w:name w:val="Question_date"/>
    <w:basedOn w:val="Recdate"/>
    <w:next w:val="Normalaftertitle"/>
  </w:style>
  <w:style w:type="paragraph" w:customStyle="1" w:styleId="QuestionNo">
    <w:name w:val="Question_No"/>
    <w:basedOn w:val="ResNo"/>
    <w:next w:val="Questiontitle"/>
  </w:style>
  <w:style w:type="paragraph" w:customStyle="1" w:styleId="Questiontitle">
    <w:name w:val="Question_title"/>
    <w:basedOn w:val="Rectitle"/>
    <w:next w:val="Normal"/>
  </w:style>
  <w:style w:type="paragraph" w:customStyle="1" w:styleId="Resdate">
    <w:name w:val="Res_date"/>
    <w:basedOn w:val="Recdate"/>
    <w:next w:val="Normalaftertitle"/>
  </w:style>
  <w:style w:type="paragraph" w:customStyle="1" w:styleId="ResNo">
    <w:name w:val="Res_No"/>
    <w:basedOn w:val="Normal"/>
    <w:next w:val="Normal"/>
    <w:link w:val="ResNoChar"/>
    <w:rsid w:val="00E8097C"/>
    <w:pPr>
      <w:spacing w:before="480"/>
      <w:jc w:val="center"/>
    </w:pPr>
    <w:rPr>
      <w:caps/>
      <w:sz w:val="28"/>
    </w:rPr>
  </w:style>
  <w:style w:type="paragraph" w:customStyle="1" w:styleId="Resref">
    <w:name w:val="Res_ref"/>
    <w:basedOn w:val="Recref"/>
    <w:next w:val="Resdate"/>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Proposal">
    <w:name w:val="Proposal"/>
    <w:basedOn w:val="Normal"/>
    <w:next w:val="Normal"/>
    <w:rsid w:val="00B51263"/>
    <w:pPr>
      <w:keepNext/>
      <w:spacing w:before="240"/>
    </w:pPr>
    <w:rPr>
      <w:rFonts w:hAnsi="Times New Roman Bold"/>
      <w:b/>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860A6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Volumetitle">
    <w:name w:val="Volume_title"/>
    <w:basedOn w:val="Normal"/>
    <w:qFormat/>
    <w:rsid w:val="00305FD9"/>
    <w:pPr>
      <w:keepNext/>
      <w:keepLines/>
      <w:spacing w:before="480"/>
      <w:jc w:val="center"/>
    </w:pPr>
    <w:rPr>
      <w:b/>
      <w:caps/>
      <w:sz w:val="28"/>
    </w:rPr>
  </w:style>
  <w:style w:type="paragraph" w:customStyle="1" w:styleId="Committee">
    <w:name w:val="Committee"/>
    <w:basedOn w:val="Normal"/>
    <w:qFormat/>
    <w:rsid w:val="00E83D45"/>
    <w:pPr>
      <w:framePr w:hSpace="180" w:wrap="around" w:hAnchor="margin" w:y="-675"/>
      <w:tabs>
        <w:tab w:val="left" w:pos="851"/>
      </w:tabs>
      <w:spacing w:before="0" w:line="240" w:lineRule="atLeast"/>
    </w:pPr>
    <w:rPr>
      <w:rFonts w:ascii="Verdana" w:hAnsi="Verdana" w:cstheme="minorHAnsi"/>
      <w:b/>
      <w:sz w:val="20"/>
      <w:szCs w:val="24"/>
      <w:lang w:val="en-GB"/>
    </w:rPr>
  </w:style>
  <w:style w:type="character" w:customStyle="1" w:styleId="ResNoChar">
    <w:name w:val="Res_No Char"/>
    <w:link w:val="ResNo"/>
    <w:rsid w:val="00E8097C"/>
    <w:rPr>
      <w:rFonts w:ascii="Times New Roman" w:hAnsi="Times New Roman"/>
      <w:caps/>
      <w:sz w:val="28"/>
      <w:lang w:val="es-ES_tradnl" w:eastAsia="en-US"/>
    </w:rPr>
  </w:style>
  <w:style w:type="paragraph" w:customStyle="1" w:styleId="Opinionref">
    <w:name w:val="Opinion_ref"/>
    <w:basedOn w:val="Normal"/>
    <w:next w:val="Normalaftertitle"/>
    <w:qFormat/>
    <w:rsid w:val="00E83D45"/>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E83D45"/>
    <w:rPr>
      <w:lang w:val="en-GB"/>
    </w:rPr>
  </w:style>
  <w:style w:type="paragraph" w:customStyle="1" w:styleId="OpinionNo">
    <w:name w:val="Opinion_No"/>
    <w:basedOn w:val="ResNo"/>
    <w:next w:val="Opiniontitle"/>
    <w:qFormat/>
    <w:rsid w:val="00E83D45"/>
    <w:pPr>
      <w:spacing w:line="280" w:lineRule="exact"/>
    </w:pPr>
  </w:style>
  <w:style w:type="character" w:customStyle="1" w:styleId="HeaderChar">
    <w:name w:val="Header Char"/>
    <w:basedOn w:val="DefaultParagraphFont"/>
    <w:link w:val="Header"/>
    <w:rsid w:val="00E83D45"/>
    <w:rPr>
      <w:rFonts w:ascii="Times New Roman" w:hAnsi="Times New Roman"/>
      <w:sz w:val="18"/>
      <w:lang w:val="es-ES_tradnl" w:eastAsia="en-US"/>
    </w:rPr>
  </w:style>
  <w:style w:type="character" w:customStyle="1" w:styleId="FooterChar">
    <w:name w:val="Footer Char"/>
    <w:basedOn w:val="DefaultParagraphFont"/>
    <w:link w:val="Footer"/>
    <w:rsid w:val="00E83D45"/>
    <w:rPr>
      <w:rFonts w:ascii="Times New Roman" w:hAnsi="Times New Roman"/>
      <w:caps/>
      <w:noProof/>
      <w:sz w:val="16"/>
      <w:lang w:val="es-ES_tradnl" w:eastAsia="en-US"/>
    </w:rPr>
  </w:style>
  <w:style w:type="paragraph" w:customStyle="1" w:styleId="HeadingSummary">
    <w:name w:val="HeadingSummary"/>
    <w:basedOn w:val="Headingb"/>
    <w:qFormat/>
    <w:rsid w:val="00B173B3"/>
    <w:rPr>
      <w:rFonts w:ascii="Times New Roman" w:hAnsi="Times New Roman"/>
    </w:rPr>
  </w:style>
  <w:style w:type="character" w:styleId="PlaceholderText">
    <w:name w:val="Placeholder Text"/>
    <w:basedOn w:val="DefaultParagraphFont"/>
    <w:uiPriority w:val="99"/>
    <w:semiHidden/>
    <w:rsid w:val="006B0F54"/>
    <w:rPr>
      <w:color w:val="808080"/>
    </w:rPr>
  </w:style>
  <w:style w:type="paragraph" w:customStyle="1" w:styleId="DocNumber">
    <w:name w:val="DocNumber"/>
    <w:basedOn w:val="Normal"/>
    <w:rsid w:val="002E5627"/>
    <w:pPr>
      <w:spacing w:before="0"/>
    </w:pPr>
    <w:rPr>
      <w:rFonts w:ascii="Verdana" w:hAnsi="Verdana"/>
      <w:b/>
      <w:sz w:val="20"/>
      <w:lang w:val="en-US"/>
    </w:rPr>
  </w:style>
  <w:style w:type="character" w:styleId="Hyperlink">
    <w:name w:val="Hyperlink"/>
    <w:aliases w:val="超级链接,超?级链,CEO_Hyperlink,Style 58,超????,하이퍼링크2,超链接1,하이퍼링크21,超??级链Ú,fL????,fL?级,超??级链,超?级链Ú,’´?级链,’´????,’´??级链Ú,’´??级,超?级链?,Style?,S"/>
    <w:basedOn w:val="DefaultParagraphFont"/>
    <w:unhideWhenUsed/>
    <w:qFormat/>
    <w:rsid w:val="005E7230"/>
    <w:rPr>
      <w:color w:val="0000FF" w:themeColor="hyperlink"/>
      <w:u w:val="single"/>
    </w:rPr>
  </w:style>
  <w:style w:type="character" w:styleId="UnresolvedMention">
    <w:name w:val="Unresolved Mention"/>
    <w:basedOn w:val="DefaultParagraphFont"/>
    <w:uiPriority w:val="99"/>
    <w:semiHidden/>
    <w:unhideWhenUsed/>
    <w:rsid w:val="005E7230"/>
    <w:rPr>
      <w:color w:val="605E5C"/>
      <w:shd w:val="clear" w:color="auto" w:fill="E1DFDD"/>
    </w:rPr>
  </w:style>
  <w:style w:type="character" w:styleId="FollowedHyperlink">
    <w:name w:val="FollowedHyperlink"/>
    <w:basedOn w:val="DefaultParagraphFont"/>
    <w:semiHidden/>
    <w:unhideWhenUsed/>
    <w:rsid w:val="00D80B34"/>
    <w:rPr>
      <w:color w:val="800080" w:themeColor="followedHyperlink"/>
      <w:u w:val="single"/>
    </w:rPr>
  </w:style>
  <w:style w:type="table" w:styleId="TableGrid">
    <w:name w:val="Table Grid"/>
    <w:basedOn w:val="TableNormal"/>
    <w:rsid w:val="005C3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24-CL-C-0137/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T-RES-T.67-2022/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tu.int/publ/T-RES-T.67-2008/es" TargetMode="External"/><Relationship Id="rId4" Type="http://schemas.openxmlformats.org/officeDocument/2006/relationships/settings" Target="settings.xml"/><Relationship Id="rId9" Type="http://schemas.openxmlformats.org/officeDocument/2006/relationships/hyperlink" Target="mailto:rym.belhaj@edu.isetcom.t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6DFD5-104E-40D4-8FC2-7B4536ADC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727</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International Telecommunication Union (ITU)</Company>
  <LinksUpToDate>false</LinksUpToDate>
  <CharactersWithSpaces>4889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Telecommunication Standardization Assembly</dc:subject>
  <dc:creator>Spanish</dc:creator>
  <dc:description>Template used by DPM and CPI for the WTSA-16</dc:description>
  <cp:lastModifiedBy>TSB (RC)</cp:lastModifiedBy>
  <cp:revision>3</cp:revision>
  <cp:lastPrinted>2016-03-08T15:23:00Z</cp:lastPrinted>
  <dcterms:created xsi:type="dcterms:W3CDTF">2024-10-02T12:18:00Z</dcterms:created>
  <dcterms:modified xsi:type="dcterms:W3CDTF">2024-10-02T12:18:00Z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