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2268"/>
        <w:gridCol w:w="1306"/>
      </w:tblGrid>
      <w:tr w:rsidR="00D2023F" w:rsidRPr="00202EB4" w14:paraId="319B6958" w14:textId="2A52AC69" w:rsidTr="006D4032">
        <w:trPr>
          <w:cantSplit/>
          <w:trHeight w:val="1132"/>
        </w:trPr>
        <w:tc>
          <w:tcPr>
            <w:tcW w:w="1290" w:type="dxa"/>
            <w:vAlign w:val="center"/>
          </w:tcPr>
          <w:p w14:paraId="1772FE88" w14:textId="329327A2" w:rsidR="00D2023F" w:rsidRPr="00202EB4" w:rsidRDefault="0018215C" w:rsidP="00C30155">
            <w:pPr>
              <w:spacing w:before="0"/>
              <w:rPr>
                <w:lang w:val="fr-FR"/>
              </w:rPr>
            </w:pPr>
            <w:r w:rsidRPr="00202EB4">
              <w:rPr>
                <w:lang w:val="fr-FR"/>
              </w:rPr>
              <w:drawing>
                <wp:inline distT="0" distB="0" distL="0" distR="0" wp14:anchorId="5264508F" wp14:editId="0C5C6D7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EC95E37" w14:textId="5FCE7FF4" w:rsidR="00D2023F" w:rsidRPr="00202EB4" w:rsidRDefault="006F0DB7" w:rsidP="008A186A">
            <w:pPr>
              <w:pStyle w:val="TopHeader"/>
              <w:rPr>
                <w:lang w:val="fr-FR"/>
              </w:rPr>
            </w:pPr>
            <w:r w:rsidRPr="00202EB4">
              <w:rPr>
                <w:lang w:val="fr-FR"/>
              </w:rPr>
              <w:t>Assemblée mondiale de normalisation des télécommunications (AMNT-24)</w:t>
            </w:r>
            <w:r w:rsidRPr="00202EB4">
              <w:rPr>
                <w:sz w:val="26"/>
                <w:szCs w:val="26"/>
                <w:lang w:val="fr-FR"/>
              </w:rPr>
              <w:br/>
            </w:r>
            <w:r w:rsidRPr="00202EB4">
              <w:rPr>
                <w:sz w:val="18"/>
                <w:szCs w:val="18"/>
                <w:lang w:val="fr-FR"/>
              </w:rPr>
              <w:t>New Delhi, 15</w:t>
            </w:r>
            <w:r w:rsidR="00F43B3D" w:rsidRPr="00202EB4">
              <w:rPr>
                <w:sz w:val="18"/>
                <w:szCs w:val="18"/>
                <w:lang w:val="fr-FR"/>
              </w:rPr>
              <w:t>-</w:t>
            </w:r>
            <w:r w:rsidRPr="00202EB4">
              <w:rPr>
                <w:sz w:val="18"/>
                <w:szCs w:val="18"/>
                <w:lang w:val="fr-FR"/>
              </w:rPr>
              <w:t>24 octobre 2024</w:t>
            </w:r>
          </w:p>
        </w:tc>
        <w:tc>
          <w:tcPr>
            <w:tcW w:w="1306" w:type="dxa"/>
            <w:tcBorders>
              <w:left w:val="nil"/>
            </w:tcBorders>
            <w:vAlign w:val="center"/>
          </w:tcPr>
          <w:p w14:paraId="40ACFFA0" w14:textId="02D5CA95" w:rsidR="00D2023F" w:rsidRPr="00202EB4" w:rsidRDefault="00D2023F" w:rsidP="00C30155">
            <w:pPr>
              <w:spacing w:before="0"/>
              <w:rPr>
                <w:lang w:val="fr-FR"/>
              </w:rPr>
            </w:pPr>
            <w:r w:rsidRPr="00202EB4">
              <w:rPr>
                <w:lang w:val="fr-FR" w:eastAsia="zh-CN"/>
              </w:rPr>
              <w:drawing>
                <wp:inline distT="0" distB="0" distL="0" distR="0" wp14:anchorId="0A6E9AF3" wp14:editId="62F2158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02EB4" w14:paraId="2A050926" w14:textId="77777777" w:rsidTr="00150D13">
        <w:trPr>
          <w:cantSplit/>
        </w:trPr>
        <w:tc>
          <w:tcPr>
            <w:tcW w:w="9811" w:type="dxa"/>
            <w:gridSpan w:val="4"/>
            <w:tcBorders>
              <w:bottom w:val="single" w:sz="12" w:space="0" w:color="auto"/>
            </w:tcBorders>
          </w:tcPr>
          <w:p w14:paraId="569B9737" w14:textId="77777777" w:rsidR="00D2023F" w:rsidRPr="00202EB4" w:rsidRDefault="00D2023F" w:rsidP="00C30155">
            <w:pPr>
              <w:spacing w:before="0"/>
              <w:rPr>
                <w:lang w:val="fr-FR"/>
              </w:rPr>
            </w:pPr>
          </w:p>
        </w:tc>
      </w:tr>
      <w:tr w:rsidR="00931298" w:rsidRPr="00202EB4" w14:paraId="57E56620" w14:textId="77777777" w:rsidTr="00D2023F">
        <w:trPr>
          <w:cantSplit/>
        </w:trPr>
        <w:tc>
          <w:tcPr>
            <w:tcW w:w="6237" w:type="dxa"/>
            <w:gridSpan w:val="2"/>
            <w:tcBorders>
              <w:top w:val="single" w:sz="12" w:space="0" w:color="auto"/>
            </w:tcBorders>
          </w:tcPr>
          <w:p w14:paraId="1E3CCD6D" w14:textId="77777777" w:rsidR="00931298" w:rsidRPr="00202EB4" w:rsidRDefault="00931298" w:rsidP="00C30155">
            <w:pPr>
              <w:spacing w:before="0"/>
              <w:rPr>
                <w:lang w:val="fr-FR"/>
              </w:rPr>
            </w:pPr>
          </w:p>
        </w:tc>
        <w:tc>
          <w:tcPr>
            <w:tcW w:w="3574" w:type="dxa"/>
            <w:gridSpan w:val="2"/>
          </w:tcPr>
          <w:p w14:paraId="1DA1812D" w14:textId="77777777" w:rsidR="00931298" w:rsidRPr="00202EB4" w:rsidRDefault="00931298" w:rsidP="00C30155">
            <w:pPr>
              <w:spacing w:before="0"/>
              <w:rPr>
                <w:rFonts w:ascii="Verdana" w:hAnsi="Verdana"/>
                <w:b/>
                <w:bCs/>
                <w:sz w:val="20"/>
                <w:lang w:val="fr-FR"/>
              </w:rPr>
            </w:pPr>
          </w:p>
        </w:tc>
      </w:tr>
      <w:tr w:rsidR="00752D4D" w:rsidRPr="00202EB4" w14:paraId="3E8631B8" w14:textId="77777777" w:rsidTr="00D2023F">
        <w:trPr>
          <w:cantSplit/>
        </w:trPr>
        <w:tc>
          <w:tcPr>
            <w:tcW w:w="6237" w:type="dxa"/>
            <w:gridSpan w:val="2"/>
          </w:tcPr>
          <w:p w14:paraId="168BBE1B" w14:textId="0E1AB2D6" w:rsidR="00752D4D" w:rsidRPr="00202EB4" w:rsidRDefault="00444712" w:rsidP="00C30155">
            <w:pPr>
              <w:pStyle w:val="Committee"/>
              <w:rPr>
                <w:highlight w:val="yellow"/>
                <w:lang w:val="fr-FR"/>
              </w:rPr>
            </w:pPr>
            <w:r w:rsidRPr="00202EB4">
              <w:rPr>
                <w:lang w:val="fr-FR"/>
              </w:rPr>
              <w:t>SÉANCE PLÉNIÈRE</w:t>
            </w:r>
          </w:p>
        </w:tc>
        <w:tc>
          <w:tcPr>
            <w:tcW w:w="3574" w:type="dxa"/>
            <w:gridSpan w:val="2"/>
          </w:tcPr>
          <w:p w14:paraId="10DB0CC9" w14:textId="586E742C" w:rsidR="00752D4D" w:rsidRPr="00202EB4" w:rsidRDefault="00752D4D" w:rsidP="00A52D1A">
            <w:pPr>
              <w:pStyle w:val="Docnumber"/>
              <w:rPr>
                <w:lang w:val="fr-FR"/>
              </w:rPr>
            </w:pPr>
            <w:r w:rsidRPr="00202EB4">
              <w:rPr>
                <w:lang w:val="fr-FR"/>
              </w:rPr>
              <w:t xml:space="preserve">Document </w:t>
            </w:r>
            <w:r w:rsidR="00444712" w:rsidRPr="00202EB4">
              <w:rPr>
                <w:lang w:val="fr-FR"/>
              </w:rPr>
              <w:t>23</w:t>
            </w:r>
            <w:r w:rsidRPr="00202EB4">
              <w:rPr>
                <w:lang w:val="fr-FR"/>
              </w:rPr>
              <w:t>-</w:t>
            </w:r>
            <w:r w:rsidR="006F0DB7" w:rsidRPr="00202EB4">
              <w:rPr>
                <w:lang w:val="fr-FR"/>
              </w:rPr>
              <w:t>F</w:t>
            </w:r>
          </w:p>
        </w:tc>
      </w:tr>
      <w:tr w:rsidR="00931298" w:rsidRPr="00202EB4" w14:paraId="379DD4CD" w14:textId="77777777" w:rsidTr="00D2023F">
        <w:trPr>
          <w:cantSplit/>
        </w:trPr>
        <w:tc>
          <w:tcPr>
            <w:tcW w:w="6237" w:type="dxa"/>
            <w:gridSpan w:val="2"/>
          </w:tcPr>
          <w:p w14:paraId="3D2E2A3F" w14:textId="77777777" w:rsidR="00931298" w:rsidRPr="00202EB4" w:rsidRDefault="00931298" w:rsidP="00C30155">
            <w:pPr>
              <w:spacing w:before="0"/>
              <w:rPr>
                <w:lang w:val="fr-FR"/>
              </w:rPr>
            </w:pPr>
          </w:p>
        </w:tc>
        <w:tc>
          <w:tcPr>
            <w:tcW w:w="3574" w:type="dxa"/>
            <w:gridSpan w:val="2"/>
          </w:tcPr>
          <w:p w14:paraId="2F179AE3" w14:textId="6248A13F" w:rsidR="00931298" w:rsidRPr="00202EB4" w:rsidRDefault="00444712" w:rsidP="00C30155">
            <w:pPr>
              <w:pStyle w:val="TopHeader"/>
              <w:spacing w:before="0"/>
              <w:rPr>
                <w:sz w:val="20"/>
                <w:szCs w:val="20"/>
                <w:lang w:val="fr-FR"/>
              </w:rPr>
            </w:pPr>
            <w:r w:rsidRPr="00202EB4">
              <w:rPr>
                <w:sz w:val="20"/>
                <w:szCs w:val="20"/>
                <w:lang w:val="fr-FR"/>
              </w:rPr>
              <w:t>Septembre</w:t>
            </w:r>
            <w:r w:rsidR="00B305D7" w:rsidRPr="00202EB4">
              <w:rPr>
                <w:sz w:val="20"/>
                <w:szCs w:val="20"/>
                <w:lang w:val="fr-FR"/>
              </w:rPr>
              <w:t xml:space="preserve"> 202</w:t>
            </w:r>
            <w:r w:rsidR="009B2216" w:rsidRPr="00202EB4">
              <w:rPr>
                <w:sz w:val="20"/>
                <w:szCs w:val="20"/>
                <w:lang w:val="fr-FR"/>
              </w:rPr>
              <w:t>4</w:t>
            </w:r>
          </w:p>
        </w:tc>
      </w:tr>
      <w:tr w:rsidR="00931298" w:rsidRPr="00202EB4" w14:paraId="552C094A" w14:textId="77777777" w:rsidTr="00D2023F">
        <w:trPr>
          <w:cantSplit/>
        </w:trPr>
        <w:tc>
          <w:tcPr>
            <w:tcW w:w="6237" w:type="dxa"/>
            <w:gridSpan w:val="2"/>
          </w:tcPr>
          <w:p w14:paraId="3CF98A40" w14:textId="77777777" w:rsidR="00931298" w:rsidRPr="00202EB4" w:rsidRDefault="00931298" w:rsidP="00C30155">
            <w:pPr>
              <w:spacing w:before="0"/>
              <w:rPr>
                <w:lang w:val="fr-FR"/>
              </w:rPr>
            </w:pPr>
          </w:p>
        </w:tc>
        <w:tc>
          <w:tcPr>
            <w:tcW w:w="3574" w:type="dxa"/>
            <w:gridSpan w:val="2"/>
          </w:tcPr>
          <w:p w14:paraId="4C39818E" w14:textId="6A110429" w:rsidR="00931298" w:rsidRPr="00202EB4" w:rsidRDefault="002C4DC4" w:rsidP="00C30155">
            <w:pPr>
              <w:pStyle w:val="TopHeader"/>
              <w:spacing w:before="0"/>
              <w:rPr>
                <w:sz w:val="20"/>
                <w:szCs w:val="20"/>
                <w:lang w:val="fr-FR"/>
              </w:rPr>
            </w:pPr>
            <w:r w:rsidRPr="00202EB4">
              <w:rPr>
                <w:sz w:val="20"/>
                <w:szCs w:val="20"/>
                <w:lang w:val="fr-FR"/>
              </w:rPr>
              <w:t>Original:</w:t>
            </w:r>
            <w:r w:rsidR="00931298" w:rsidRPr="00202EB4">
              <w:rPr>
                <w:sz w:val="20"/>
                <w:szCs w:val="20"/>
                <w:lang w:val="fr-FR"/>
              </w:rPr>
              <w:t xml:space="preserve"> </w:t>
            </w:r>
            <w:r w:rsidR="00227927" w:rsidRPr="00202EB4">
              <w:rPr>
                <w:sz w:val="20"/>
                <w:szCs w:val="20"/>
                <w:lang w:val="fr-FR"/>
              </w:rPr>
              <w:t>a</w:t>
            </w:r>
            <w:r w:rsidR="006F0DB7" w:rsidRPr="00202EB4">
              <w:rPr>
                <w:sz w:val="20"/>
                <w:szCs w:val="20"/>
                <w:lang w:val="fr-FR"/>
              </w:rPr>
              <w:t>nglais</w:t>
            </w:r>
          </w:p>
        </w:tc>
      </w:tr>
      <w:tr w:rsidR="00931298" w:rsidRPr="00202EB4" w14:paraId="1A6AC39B" w14:textId="77777777" w:rsidTr="00C30155">
        <w:trPr>
          <w:cantSplit/>
        </w:trPr>
        <w:tc>
          <w:tcPr>
            <w:tcW w:w="9811" w:type="dxa"/>
            <w:gridSpan w:val="4"/>
          </w:tcPr>
          <w:p w14:paraId="156D3A85" w14:textId="77777777" w:rsidR="00931298" w:rsidRPr="00202EB4" w:rsidRDefault="00931298" w:rsidP="00C30155">
            <w:pPr>
              <w:pStyle w:val="TopHeader"/>
              <w:spacing w:before="0"/>
              <w:rPr>
                <w:sz w:val="20"/>
                <w:lang w:val="fr-FR"/>
              </w:rPr>
            </w:pPr>
          </w:p>
        </w:tc>
      </w:tr>
      <w:tr w:rsidR="00931298" w:rsidRPr="00202EB4" w14:paraId="59D6DD30" w14:textId="77777777" w:rsidTr="00C30155">
        <w:trPr>
          <w:cantSplit/>
        </w:trPr>
        <w:tc>
          <w:tcPr>
            <w:tcW w:w="9811" w:type="dxa"/>
            <w:gridSpan w:val="4"/>
          </w:tcPr>
          <w:p w14:paraId="0CDEC922" w14:textId="37A4B389" w:rsidR="00931298" w:rsidRPr="00202EB4" w:rsidRDefault="00444712" w:rsidP="00C30155">
            <w:pPr>
              <w:pStyle w:val="Source"/>
              <w:rPr>
                <w:highlight w:val="yellow"/>
                <w:lang w:val="fr-FR"/>
              </w:rPr>
            </w:pPr>
            <w:r w:rsidRPr="00202EB4">
              <w:rPr>
                <w:lang w:val="fr-FR"/>
              </w:rPr>
              <w:t>Présidente du SCV</w:t>
            </w:r>
          </w:p>
        </w:tc>
      </w:tr>
      <w:tr w:rsidR="00931298" w:rsidRPr="00202EB4" w14:paraId="7D394748" w14:textId="77777777" w:rsidTr="00C30155">
        <w:trPr>
          <w:cantSplit/>
        </w:trPr>
        <w:tc>
          <w:tcPr>
            <w:tcW w:w="9811" w:type="dxa"/>
            <w:gridSpan w:val="4"/>
          </w:tcPr>
          <w:p w14:paraId="22F0715A" w14:textId="3CF68A37" w:rsidR="00931298" w:rsidRPr="00202EB4" w:rsidRDefault="00444712" w:rsidP="00C30155">
            <w:pPr>
              <w:pStyle w:val="Title1"/>
              <w:rPr>
                <w:highlight w:val="yellow"/>
                <w:lang w:val="fr-FR"/>
              </w:rPr>
            </w:pPr>
            <w:r w:rsidRPr="00202EB4">
              <w:rPr>
                <w:lang w:val="fr-FR"/>
              </w:rPr>
              <w:t>RAPPORT D'ACTIVITÉ DU COMITÉ DE NORMALISATION POUR LE VOCABULAIRE POUR LA PÉRIODE D'ÉTUDES 2022-2024</w:t>
            </w:r>
          </w:p>
        </w:tc>
      </w:tr>
      <w:tr w:rsidR="00657CDA" w:rsidRPr="00202EB4" w14:paraId="58289439" w14:textId="77777777" w:rsidTr="00657CDA">
        <w:trPr>
          <w:cantSplit/>
        </w:trPr>
        <w:tc>
          <w:tcPr>
            <w:tcW w:w="9811" w:type="dxa"/>
            <w:gridSpan w:val="4"/>
          </w:tcPr>
          <w:p w14:paraId="4BDF7F6F" w14:textId="06A6F6D3" w:rsidR="00657CDA" w:rsidRPr="00202EB4" w:rsidRDefault="00657CDA" w:rsidP="003C33B7">
            <w:pPr>
              <w:pStyle w:val="Title2"/>
              <w:spacing w:before="240"/>
              <w:rPr>
                <w:lang w:val="fr-FR"/>
              </w:rPr>
            </w:pPr>
          </w:p>
        </w:tc>
      </w:tr>
      <w:tr w:rsidR="00657CDA" w:rsidRPr="00202EB4" w14:paraId="396922D0" w14:textId="77777777" w:rsidTr="00657CDA">
        <w:trPr>
          <w:cantSplit/>
        </w:trPr>
        <w:tc>
          <w:tcPr>
            <w:tcW w:w="9811" w:type="dxa"/>
            <w:gridSpan w:val="4"/>
          </w:tcPr>
          <w:p w14:paraId="27CB32D0" w14:textId="77777777" w:rsidR="00657CDA" w:rsidRPr="00202EB4" w:rsidRDefault="00657CDA" w:rsidP="00293F9A">
            <w:pPr>
              <w:pStyle w:val="Agendaitem"/>
              <w:spacing w:before="0"/>
              <w:rPr>
                <w:lang w:val="fr-FR"/>
              </w:rPr>
            </w:pPr>
          </w:p>
        </w:tc>
      </w:tr>
    </w:tbl>
    <w:p w14:paraId="45677F50" w14:textId="77777777" w:rsidR="00931298" w:rsidRPr="00202EB4" w:rsidRDefault="00931298" w:rsidP="00931298">
      <w:pPr>
        <w:rPr>
          <w:lang w:val="fr-FR"/>
        </w:rPr>
      </w:pPr>
    </w:p>
    <w:tbl>
      <w:tblPr>
        <w:tblW w:w="5074" w:type="pct"/>
        <w:tblLayout w:type="fixed"/>
        <w:tblLook w:val="0000" w:firstRow="0" w:lastRow="0" w:firstColumn="0" w:lastColumn="0" w:noHBand="0" w:noVBand="0"/>
      </w:tblPr>
      <w:tblGrid>
        <w:gridCol w:w="1912"/>
        <w:gridCol w:w="3935"/>
        <w:gridCol w:w="3935"/>
      </w:tblGrid>
      <w:tr w:rsidR="00931298" w:rsidRPr="00202EB4" w14:paraId="67054BF5" w14:textId="77777777" w:rsidTr="00C30155">
        <w:trPr>
          <w:cantSplit/>
        </w:trPr>
        <w:tc>
          <w:tcPr>
            <w:tcW w:w="1912" w:type="dxa"/>
          </w:tcPr>
          <w:p w14:paraId="2E8BEDC4" w14:textId="056F1D88" w:rsidR="00931298" w:rsidRPr="00202EB4" w:rsidRDefault="006F0DB7" w:rsidP="00C30155">
            <w:pPr>
              <w:rPr>
                <w:lang w:val="fr-FR"/>
              </w:rPr>
            </w:pPr>
            <w:r w:rsidRPr="00202EB4">
              <w:rPr>
                <w:b/>
                <w:bCs/>
                <w:lang w:val="fr-FR"/>
              </w:rPr>
              <w:t>Résumé:</w:t>
            </w:r>
          </w:p>
        </w:tc>
        <w:tc>
          <w:tcPr>
            <w:tcW w:w="7870" w:type="dxa"/>
            <w:gridSpan w:val="2"/>
          </w:tcPr>
          <w:p w14:paraId="492D398A" w14:textId="0B81C5DC" w:rsidR="00931298" w:rsidRPr="00202EB4" w:rsidRDefault="00444712" w:rsidP="00C30155">
            <w:pPr>
              <w:pStyle w:val="Abstract"/>
              <w:rPr>
                <w:lang w:val="fr-FR"/>
              </w:rPr>
            </w:pPr>
            <w:r w:rsidRPr="00202EB4">
              <w:rPr>
                <w:lang w:val="fr-FR"/>
              </w:rPr>
              <w:t>Le présent document est un résumé des activités menées par le Comité de normalisation pour le vocabulaire (SCV) pour la période d'études 2022-2024.</w:t>
            </w:r>
          </w:p>
        </w:tc>
      </w:tr>
      <w:tr w:rsidR="00931298" w:rsidRPr="00202EB4" w14:paraId="786B86C7" w14:textId="77777777" w:rsidTr="00C30155">
        <w:trPr>
          <w:cantSplit/>
        </w:trPr>
        <w:tc>
          <w:tcPr>
            <w:tcW w:w="1912" w:type="dxa"/>
          </w:tcPr>
          <w:p w14:paraId="513FD443" w14:textId="77777777" w:rsidR="00931298" w:rsidRPr="00202EB4" w:rsidRDefault="00931298" w:rsidP="00C30155">
            <w:pPr>
              <w:rPr>
                <w:b/>
                <w:bCs/>
                <w:szCs w:val="24"/>
                <w:lang w:val="fr-FR"/>
              </w:rPr>
            </w:pPr>
            <w:r w:rsidRPr="00202EB4">
              <w:rPr>
                <w:b/>
                <w:bCs/>
                <w:szCs w:val="24"/>
                <w:lang w:val="fr-FR"/>
              </w:rPr>
              <w:t>Contact:</w:t>
            </w:r>
          </w:p>
        </w:tc>
        <w:tc>
          <w:tcPr>
            <w:tcW w:w="3935" w:type="dxa"/>
          </w:tcPr>
          <w:p w14:paraId="18BEFB83" w14:textId="317C7882" w:rsidR="00FE5494" w:rsidRPr="00202EB4" w:rsidRDefault="00444712" w:rsidP="00E6117A">
            <w:pPr>
              <w:rPr>
                <w:lang w:val="fr-FR"/>
              </w:rPr>
            </w:pPr>
            <w:r w:rsidRPr="00202EB4">
              <w:rPr>
                <w:lang w:val="fr-FR"/>
              </w:rPr>
              <w:t>Mme Rim Belhaj</w:t>
            </w:r>
            <w:r w:rsidR="006F0DB7" w:rsidRPr="00202EB4">
              <w:rPr>
                <w:lang w:val="fr-FR"/>
              </w:rPr>
              <w:br/>
            </w:r>
            <w:r w:rsidRPr="00202EB4">
              <w:rPr>
                <w:lang w:val="fr-FR"/>
              </w:rPr>
              <w:t>Présidente du SCV</w:t>
            </w:r>
            <w:r w:rsidR="006F0DB7" w:rsidRPr="00202EB4">
              <w:rPr>
                <w:lang w:val="fr-FR"/>
              </w:rPr>
              <w:br/>
            </w:r>
            <w:r w:rsidRPr="00202EB4">
              <w:rPr>
                <w:lang w:val="fr-FR"/>
              </w:rPr>
              <w:t>Tunisie</w:t>
            </w:r>
          </w:p>
        </w:tc>
        <w:tc>
          <w:tcPr>
            <w:tcW w:w="3935" w:type="dxa"/>
          </w:tcPr>
          <w:p w14:paraId="71C39D04" w14:textId="6059A736" w:rsidR="00444712" w:rsidRPr="00202EB4" w:rsidRDefault="006F0DB7" w:rsidP="00444712">
            <w:pPr>
              <w:rPr>
                <w:lang w:val="fr-FR"/>
              </w:rPr>
            </w:pPr>
            <w:r w:rsidRPr="00202EB4">
              <w:rPr>
                <w:lang w:val="fr-FR"/>
              </w:rPr>
              <w:t>Courriel:</w:t>
            </w:r>
            <w:r w:rsidR="00202EB4" w:rsidRPr="00202EB4">
              <w:rPr>
                <w:lang w:val="fr-FR"/>
              </w:rPr>
              <w:t xml:space="preserve"> </w:t>
            </w:r>
            <w:hyperlink r:id="rId13" w:history="1">
              <w:r w:rsidR="00444712" w:rsidRPr="00202EB4">
                <w:rPr>
                  <w:rStyle w:val="Hyperlink"/>
                  <w:lang w:val="fr-FR"/>
                </w:rPr>
                <w:t>rym.belhaj@edu.isetcom.tn</w:t>
              </w:r>
            </w:hyperlink>
          </w:p>
        </w:tc>
      </w:tr>
    </w:tbl>
    <w:p w14:paraId="501E88E3" w14:textId="61493CBA" w:rsidR="00A52D1A" w:rsidRPr="00202EB4" w:rsidRDefault="00444712" w:rsidP="00444712">
      <w:pPr>
        <w:pStyle w:val="Heading1"/>
        <w:rPr>
          <w:lang w:val="fr-FR"/>
        </w:rPr>
      </w:pPr>
      <w:r w:rsidRPr="00202EB4">
        <w:rPr>
          <w:lang w:val="fr-FR"/>
        </w:rPr>
        <w:t>1</w:t>
      </w:r>
      <w:r w:rsidRPr="00202EB4">
        <w:rPr>
          <w:lang w:val="fr-FR"/>
        </w:rPr>
        <w:tab/>
        <w:t>Introduction</w:t>
      </w:r>
    </w:p>
    <w:p w14:paraId="64C332CA" w14:textId="50620C37" w:rsidR="00444712" w:rsidRPr="00202EB4" w:rsidRDefault="00444712" w:rsidP="00444712">
      <w:pPr>
        <w:rPr>
          <w:lang w:val="fr-FR"/>
        </w:rPr>
      </w:pPr>
      <w:r w:rsidRPr="00202EB4">
        <w:rPr>
          <w:lang w:val="fr-FR"/>
        </w:rPr>
        <w:t xml:space="preserve">Le Comité de normalisation pour le vocabulaire (SCV), créé en vertu de la </w:t>
      </w:r>
      <w:hyperlink r:id="rId14" w:history="1">
        <w:r w:rsidRPr="00202EB4">
          <w:rPr>
            <w:rStyle w:val="Hyperlink"/>
            <w:lang w:val="fr-FR"/>
          </w:rPr>
          <w:t>Résolution 67 de l'AMNT</w:t>
        </w:r>
      </w:hyperlink>
      <w:r w:rsidRPr="00202EB4">
        <w:rPr>
          <w:lang w:val="fr-FR"/>
        </w:rPr>
        <w:t xml:space="preserve"> (Johannesbourg, 2008), est chargé de veiller à ce que la normalisation des travaux relatifs au vocabulaire à l'UIT-T soit fondée sur les propositions soumises par les commissions d'études en anglais. Le mandat du SCV a été prorogé conformément à la </w:t>
      </w:r>
      <w:hyperlink r:id="rId15" w:history="1">
        <w:r w:rsidRPr="00202EB4">
          <w:rPr>
            <w:rStyle w:val="Hyperlink"/>
            <w:lang w:val="fr-FR"/>
          </w:rPr>
          <w:t>Résolution 67 de l'AMNT</w:t>
        </w:r>
      </w:hyperlink>
      <w:r w:rsidRPr="00202EB4">
        <w:rPr>
          <w:lang w:val="fr-FR"/>
        </w:rPr>
        <w:t xml:space="preserve"> (Rév.</w:t>
      </w:r>
      <w:r w:rsidR="00F43B3D" w:rsidRPr="00202EB4">
        <w:rPr>
          <w:lang w:val="fr-FR"/>
        </w:rPr>
        <w:t> </w:t>
      </w:r>
      <w:r w:rsidRPr="00202EB4">
        <w:rPr>
          <w:lang w:val="fr-FR"/>
        </w:rPr>
        <w:t xml:space="preserve">Genève, 2022). Il se réunit désormais sous l'égide du Comité de coordination pour la terminologie, conformément à la </w:t>
      </w:r>
      <w:hyperlink r:id="rId16" w:history="1">
        <w:r w:rsidRPr="00202EB4">
          <w:rPr>
            <w:rStyle w:val="Hyperlink"/>
            <w:lang w:val="fr-FR"/>
          </w:rPr>
          <w:t xml:space="preserve">Résolution </w:t>
        </w:r>
        <w:r w:rsidRPr="00202EB4">
          <w:rPr>
            <w:rStyle w:val="Hyperlink"/>
            <w:lang w:val="fr-FR"/>
          </w:rPr>
          <w:t>1</w:t>
        </w:r>
        <w:r w:rsidRPr="00202EB4">
          <w:rPr>
            <w:rStyle w:val="Hyperlink"/>
            <w:lang w:val="fr-FR"/>
          </w:rPr>
          <w:t>386</w:t>
        </w:r>
      </w:hyperlink>
      <w:r w:rsidRPr="00202EB4">
        <w:rPr>
          <w:lang w:val="fr-FR"/>
        </w:rPr>
        <w:t xml:space="preserve"> du Conseil.</w:t>
      </w:r>
    </w:p>
    <w:p w14:paraId="2F805510" w14:textId="77777777" w:rsidR="00444712" w:rsidRPr="00202EB4" w:rsidRDefault="00444712" w:rsidP="00444712">
      <w:pPr>
        <w:rPr>
          <w:lang w:val="fr-FR"/>
        </w:rPr>
      </w:pPr>
      <w:r w:rsidRPr="00202EB4">
        <w:rPr>
          <w:lang w:val="fr-FR"/>
        </w:rPr>
        <w:t>Le SCV est composé de spécialistes dans les différentes langues officielles ainsi que de membres désignés par les administrations et autres participants aux travaux de l'UIT-T qui souhaitent participer, avec la participation des Rapporteurs pour le vocabulaire désignés par les commissions d'études de l'UIT-T ainsi que des fonctionnaires concernés de l'UIT. Le présent document rend compte des activités pertinentes menées pendant la période d'études 2022-2024.</w:t>
      </w:r>
    </w:p>
    <w:p w14:paraId="6E750EF4" w14:textId="694C0CF1" w:rsidR="00444712" w:rsidRPr="00202EB4" w:rsidRDefault="00444712" w:rsidP="00444712">
      <w:pPr>
        <w:pStyle w:val="Heading1"/>
        <w:rPr>
          <w:lang w:val="fr-FR"/>
        </w:rPr>
      </w:pPr>
      <w:r w:rsidRPr="00202EB4">
        <w:rPr>
          <w:lang w:val="fr-FR"/>
        </w:rPr>
        <w:lastRenderedPageBreak/>
        <w:t>2</w:t>
      </w:r>
      <w:r w:rsidRPr="00202EB4">
        <w:rPr>
          <w:lang w:val="fr-FR"/>
        </w:rPr>
        <w:tab/>
        <w:t>Équipe de direction</w:t>
      </w:r>
    </w:p>
    <w:p w14:paraId="0CA49759" w14:textId="77777777" w:rsidR="00444712" w:rsidRPr="00202EB4" w:rsidRDefault="00444712" w:rsidP="00FA2612">
      <w:pPr>
        <w:pStyle w:val="Normalbeforetable"/>
        <w:rPr>
          <w:lang w:val="fr-FR"/>
        </w:rPr>
      </w:pPr>
      <w:r w:rsidRPr="00202EB4">
        <w:rPr>
          <w:lang w:val="fr-FR"/>
        </w:rPr>
        <w:t>Le tableau 1 décrit l'équipe de direction du SCV de l'UIT-T pour la période d'études 2022-2024.</w:t>
      </w:r>
    </w:p>
    <w:p w14:paraId="214EE795" w14:textId="77777777" w:rsidR="00444712" w:rsidRPr="00202EB4" w:rsidRDefault="00444712" w:rsidP="00F43B3D">
      <w:pPr>
        <w:pStyle w:val="Tabletitle"/>
        <w:spacing w:before="120"/>
        <w:rPr>
          <w:lang w:val="fr-FR"/>
        </w:rPr>
      </w:pPr>
      <w:r w:rsidRPr="00202EB4">
        <w:rPr>
          <w:lang w:val="fr-FR"/>
        </w:rPr>
        <w:t>Tableau 1 – Équipe de direction du SCV de l'UIT-T pour la période d'études 2022-2024</w:t>
      </w:r>
    </w:p>
    <w:tbl>
      <w:tblPr>
        <w:tblStyle w:val="TableGrid"/>
        <w:tblW w:w="5000" w:type="pct"/>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9"/>
        <w:gridCol w:w="1708"/>
        <w:gridCol w:w="1751"/>
        <w:gridCol w:w="2679"/>
        <w:gridCol w:w="1762"/>
      </w:tblGrid>
      <w:tr w:rsidR="00444712" w:rsidRPr="00202EB4" w14:paraId="7A3548CA" w14:textId="77777777" w:rsidTr="00150D13">
        <w:trPr>
          <w:tblHeader/>
          <w:jc w:val="center"/>
        </w:trPr>
        <w:tc>
          <w:tcPr>
            <w:tcW w:w="1778" w:type="pct"/>
            <w:gridSpan w:val="2"/>
            <w:tcBorders>
              <w:top w:val="single" w:sz="12" w:space="0" w:color="auto"/>
              <w:bottom w:val="single" w:sz="12" w:space="0" w:color="auto"/>
            </w:tcBorders>
            <w:shd w:val="clear" w:color="auto" w:fill="auto"/>
          </w:tcPr>
          <w:p w14:paraId="5567540F" w14:textId="77777777" w:rsidR="00444712" w:rsidRPr="00202EB4" w:rsidRDefault="00444712" w:rsidP="00150D13">
            <w:pPr>
              <w:pStyle w:val="Tablehead"/>
              <w:rPr>
                <w:lang w:val="fr-FR"/>
              </w:rPr>
            </w:pPr>
            <w:r w:rsidRPr="00202EB4">
              <w:rPr>
                <w:lang w:val="fr-FR"/>
              </w:rPr>
              <w:t>Nom</w:t>
            </w:r>
          </w:p>
        </w:tc>
        <w:tc>
          <w:tcPr>
            <w:tcW w:w="911" w:type="pct"/>
            <w:tcBorders>
              <w:top w:val="single" w:sz="12" w:space="0" w:color="auto"/>
              <w:bottom w:val="single" w:sz="12" w:space="0" w:color="auto"/>
            </w:tcBorders>
            <w:shd w:val="clear" w:color="auto" w:fill="auto"/>
          </w:tcPr>
          <w:p w14:paraId="78109D49" w14:textId="77777777" w:rsidR="00444712" w:rsidRPr="00202EB4" w:rsidRDefault="00444712" w:rsidP="00150D13">
            <w:pPr>
              <w:pStyle w:val="Tablehead"/>
              <w:rPr>
                <w:lang w:val="fr-FR"/>
              </w:rPr>
            </w:pPr>
            <w:r w:rsidRPr="00202EB4">
              <w:rPr>
                <w:lang w:val="fr-FR"/>
              </w:rPr>
              <w:t>Entreprise (pays)</w:t>
            </w:r>
          </w:p>
        </w:tc>
        <w:tc>
          <w:tcPr>
            <w:tcW w:w="1394" w:type="pct"/>
            <w:tcBorders>
              <w:top w:val="single" w:sz="12" w:space="0" w:color="auto"/>
              <w:bottom w:val="single" w:sz="12" w:space="0" w:color="auto"/>
            </w:tcBorders>
            <w:shd w:val="clear" w:color="auto" w:fill="auto"/>
          </w:tcPr>
          <w:p w14:paraId="306EFFF1" w14:textId="77777777" w:rsidR="00444712" w:rsidRPr="00202EB4" w:rsidRDefault="00444712" w:rsidP="00150D13">
            <w:pPr>
              <w:pStyle w:val="Tablehead"/>
              <w:rPr>
                <w:lang w:val="fr-FR"/>
              </w:rPr>
            </w:pPr>
            <w:r w:rsidRPr="00202EB4">
              <w:rPr>
                <w:lang w:val="fr-FR"/>
              </w:rPr>
              <w:t>Rôle actuel</w:t>
            </w:r>
          </w:p>
        </w:tc>
        <w:tc>
          <w:tcPr>
            <w:tcW w:w="917" w:type="pct"/>
            <w:tcBorders>
              <w:top w:val="single" w:sz="12" w:space="0" w:color="auto"/>
              <w:bottom w:val="single" w:sz="12" w:space="0" w:color="auto"/>
            </w:tcBorders>
            <w:shd w:val="clear" w:color="auto" w:fill="auto"/>
          </w:tcPr>
          <w:p w14:paraId="2D5D954C" w14:textId="77777777" w:rsidR="00444712" w:rsidRPr="00202EB4" w:rsidRDefault="00444712" w:rsidP="00150D13">
            <w:pPr>
              <w:pStyle w:val="Tablehead"/>
              <w:rPr>
                <w:lang w:val="fr-FR"/>
              </w:rPr>
            </w:pPr>
            <w:r w:rsidRPr="00202EB4">
              <w:rPr>
                <w:lang w:val="fr-FR"/>
              </w:rPr>
              <w:t>Région représentée</w:t>
            </w:r>
          </w:p>
        </w:tc>
      </w:tr>
      <w:tr w:rsidR="00444712" w:rsidRPr="00202EB4" w14:paraId="41BC7C14" w14:textId="77777777" w:rsidTr="00150D13">
        <w:trPr>
          <w:jc w:val="center"/>
        </w:trPr>
        <w:tc>
          <w:tcPr>
            <w:tcW w:w="889" w:type="pct"/>
            <w:tcBorders>
              <w:top w:val="single" w:sz="12" w:space="0" w:color="auto"/>
            </w:tcBorders>
            <w:shd w:val="clear" w:color="auto" w:fill="auto"/>
          </w:tcPr>
          <w:p w14:paraId="693678D2" w14:textId="77777777" w:rsidR="00444712" w:rsidRPr="00202EB4" w:rsidRDefault="00444712" w:rsidP="00150D13">
            <w:pPr>
              <w:pStyle w:val="Tabletext"/>
              <w:keepNext/>
              <w:rPr>
                <w:lang w:val="fr-FR"/>
              </w:rPr>
            </w:pPr>
            <w:r w:rsidRPr="00202EB4">
              <w:rPr>
                <w:lang w:val="fr-FR"/>
              </w:rPr>
              <w:t>Mme Rim</w:t>
            </w:r>
          </w:p>
        </w:tc>
        <w:tc>
          <w:tcPr>
            <w:tcW w:w="889" w:type="pct"/>
            <w:tcBorders>
              <w:top w:val="single" w:sz="12" w:space="0" w:color="auto"/>
            </w:tcBorders>
            <w:shd w:val="clear" w:color="auto" w:fill="auto"/>
          </w:tcPr>
          <w:p w14:paraId="69C611D6" w14:textId="77777777" w:rsidR="00444712" w:rsidRPr="00202EB4" w:rsidRDefault="00444712" w:rsidP="00150D13">
            <w:pPr>
              <w:pStyle w:val="Tabletext"/>
              <w:keepNext/>
              <w:rPr>
                <w:lang w:val="fr-FR"/>
              </w:rPr>
            </w:pPr>
            <w:r w:rsidRPr="00202EB4">
              <w:rPr>
                <w:lang w:val="fr-FR"/>
              </w:rPr>
              <w:t>BELHAJ</w:t>
            </w:r>
          </w:p>
        </w:tc>
        <w:tc>
          <w:tcPr>
            <w:tcW w:w="911" w:type="pct"/>
            <w:tcBorders>
              <w:top w:val="single" w:sz="12" w:space="0" w:color="auto"/>
            </w:tcBorders>
            <w:shd w:val="clear" w:color="auto" w:fill="auto"/>
          </w:tcPr>
          <w:p w14:paraId="6EA7411D" w14:textId="77777777" w:rsidR="00444712" w:rsidRPr="00202EB4" w:rsidRDefault="00444712" w:rsidP="00150D13">
            <w:pPr>
              <w:pStyle w:val="Tabletext"/>
              <w:keepNext/>
              <w:rPr>
                <w:lang w:val="fr-FR"/>
              </w:rPr>
            </w:pPr>
            <w:r w:rsidRPr="00202EB4">
              <w:rPr>
                <w:lang w:val="fr-FR"/>
              </w:rPr>
              <w:t>Tunisie</w:t>
            </w:r>
          </w:p>
        </w:tc>
        <w:tc>
          <w:tcPr>
            <w:tcW w:w="1394" w:type="pct"/>
            <w:tcBorders>
              <w:top w:val="single" w:sz="12" w:space="0" w:color="auto"/>
            </w:tcBorders>
            <w:shd w:val="clear" w:color="auto" w:fill="auto"/>
          </w:tcPr>
          <w:p w14:paraId="2179F7D6" w14:textId="77777777" w:rsidR="00444712" w:rsidRPr="00202EB4" w:rsidRDefault="00444712" w:rsidP="00150D13">
            <w:pPr>
              <w:pStyle w:val="Tabletext"/>
              <w:keepNext/>
              <w:rPr>
                <w:lang w:val="fr-FR"/>
              </w:rPr>
            </w:pPr>
            <w:r w:rsidRPr="00202EB4">
              <w:rPr>
                <w:lang w:val="fr-FR"/>
              </w:rPr>
              <w:t>Présidente (français)</w:t>
            </w:r>
          </w:p>
        </w:tc>
        <w:tc>
          <w:tcPr>
            <w:tcW w:w="917" w:type="pct"/>
            <w:tcBorders>
              <w:top w:val="single" w:sz="12" w:space="0" w:color="auto"/>
            </w:tcBorders>
            <w:shd w:val="clear" w:color="auto" w:fill="auto"/>
          </w:tcPr>
          <w:p w14:paraId="5F25A1C9" w14:textId="77777777" w:rsidR="00444712" w:rsidRPr="00202EB4" w:rsidRDefault="00444712" w:rsidP="00150D13">
            <w:pPr>
              <w:pStyle w:val="Tabletext"/>
              <w:keepNext/>
              <w:rPr>
                <w:lang w:val="fr-FR"/>
              </w:rPr>
            </w:pPr>
            <w:r w:rsidRPr="00202EB4">
              <w:rPr>
                <w:lang w:val="fr-FR"/>
              </w:rPr>
              <w:t>ARB</w:t>
            </w:r>
          </w:p>
        </w:tc>
      </w:tr>
      <w:tr w:rsidR="00444712" w:rsidRPr="00202EB4" w14:paraId="2A03978D" w14:textId="77777777" w:rsidTr="00150D13">
        <w:trPr>
          <w:jc w:val="center"/>
        </w:trPr>
        <w:tc>
          <w:tcPr>
            <w:tcW w:w="889" w:type="pct"/>
            <w:shd w:val="clear" w:color="auto" w:fill="auto"/>
          </w:tcPr>
          <w:p w14:paraId="76F0DFDB" w14:textId="77777777" w:rsidR="00444712" w:rsidRPr="00202EB4" w:rsidRDefault="00444712" w:rsidP="00150D13">
            <w:pPr>
              <w:pStyle w:val="Tabletext"/>
              <w:keepNext/>
              <w:rPr>
                <w:lang w:val="fr-FR"/>
              </w:rPr>
            </w:pPr>
            <w:r w:rsidRPr="00202EB4">
              <w:rPr>
                <w:lang w:val="fr-FR"/>
              </w:rPr>
              <w:t>M. Paul</w:t>
            </w:r>
          </w:p>
        </w:tc>
        <w:tc>
          <w:tcPr>
            <w:tcW w:w="889" w:type="pct"/>
            <w:shd w:val="clear" w:color="auto" w:fill="auto"/>
          </w:tcPr>
          <w:p w14:paraId="11C8D789" w14:textId="77777777" w:rsidR="00444712" w:rsidRPr="00202EB4" w:rsidRDefault="00444712" w:rsidP="00150D13">
            <w:pPr>
              <w:pStyle w:val="Tabletext"/>
              <w:keepNext/>
              <w:rPr>
                <w:lang w:val="fr-FR"/>
              </w:rPr>
            </w:pPr>
            <w:r w:rsidRPr="00202EB4">
              <w:rPr>
                <w:lang w:val="fr-FR"/>
              </w:rPr>
              <w:t>NAJARIAN</w:t>
            </w:r>
          </w:p>
        </w:tc>
        <w:tc>
          <w:tcPr>
            <w:tcW w:w="911" w:type="pct"/>
            <w:shd w:val="clear" w:color="auto" w:fill="auto"/>
          </w:tcPr>
          <w:p w14:paraId="610169BA" w14:textId="77777777" w:rsidR="00444712" w:rsidRPr="00202EB4" w:rsidRDefault="00444712" w:rsidP="00150D13">
            <w:pPr>
              <w:pStyle w:val="Tabletext"/>
              <w:keepNext/>
              <w:rPr>
                <w:lang w:val="fr-FR"/>
              </w:rPr>
            </w:pPr>
            <w:r w:rsidRPr="00202EB4">
              <w:rPr>
                <w:lang w:val="fr-FR"/>
              </w:rPr>
              <w:t>États-Unis</w:t>
            </w:r>
          </w:p>
        </w:tc>
        <w:tc>
          <w:tcPr>
            <w:tcW w:w="1394" w:type="pct"/>
            <w:shd w:val="clear" w:color="auto" w:fill="auto"/>
          </w:tcPr>
          <w:p w14:paraId="0E41DEF0" w14:textId="77777777" w:rsidR="00444712" w:rsidRPr="00202EB4" w:rsidRDefault="00444712" w:rsidP="00150D13">
            <w:pPr>
              <w:pStyle w:val="Tabletext"/>
              <w:keepNext/>
              <w:rPr>
                <w:lang w:val="fr-FR"/>
              </w:rPr>
            </w:pPr>
            <w:r w:rsidRPr="00202EB4">
              <w:rPr>
                <w:lang w:val="fr-FR"/>
              </w:rPr>
              <w:t>Vice-Président (anglais)</w:t>
            </w:r>
          </w:p>
        </w:tc>
        <w:tc>
          <w:tcPr>
            <w:tcW w:w="917" w:type="pct"/>
            <w:shd w:val="clear" w:color="auto" w:fill="auto"/>
          </w:tcPr>
          <w:p w14:paraId="101252EA" w14:textId="77777777" w:rsidR="00444712" w:rsidRPr="00202EB4" w:rsidRDefault="00444712" w:rsidP="00150D13">
            <w:pPr>
              <w:pStyle w:val="Tabletext"/>
              <w:keepNext/>
              <w:rPr>
                <w:lang w:val="fr-FR"/>
              </w:rPr>
            </w:pPr>
            <w:r w:rsidRPr="00202EB4">
              <w:rPr>
                <w:lang w:val="fr-FR"/>
              </w:rPr>
              <w:t>CITEL</w:t>
            </w:r>
          </w:p>
        </w:tc>
      </w:tr>
      <w:tr w:rsidR="00444712" w:rsidRPr="00202EB4" w14:paraId="2D2B850C" w14:textId="77777777" w:rsidTr="00150D13">
        <w:trPr>
          <w:jc w:val="center"/>
        </w:trPr>
        <w:tc>
          <w:tcPr>
            <w:tcW w:w="889" w:type="pct"/>
            <w:shd w:val="clear" w:color="auto" w:fill="auto"/>
          </w:tcPr>
          <w:p w14:paraId="66D9CD11" w14:textId="77777777" w:rsidR="00444712" w:rsidRPr="00202EB4" w:rsidRDefault="00444712" w:rsidP="00150D13">
            <w:pPr>
              <w:pStyle w:val="Tabletext"/>
              <w:keepNext/>
              <w:rPr>
                <w:lang w:val="fr-FR"/>
              </w:rPr>
            </w:pPr>
            <w:r w:rsidRPr="00202EB4">
              <w:rPr>
                <w:lang w:val="fr-FR"/>
              </w:rPr>
              <w:t>Vacant</w:t>
            </w:r>
          </w:p>
        </w:tc>
        <w:tc>
          <w:tcPr>
            <w:tcW w:w="889" w:type="pct"/>
            <w:shd w:val="clear" w:color="auto" w:fill="auto"/>
          </w:tcPr>
          <w:p w14:paraId="4C9D0501" w14:textId="77777777" w:rsidR="00444712" w:rsidRPr="00202EB4" w:rsidRDefault="00444712" w:rsidP="00150D13">
            <w:pPr>
              <w:pStyle w:val="Tabletext"/>
              <w:keepNext/>
              <w:rPr>
                <w:lang w:val="fr-FR"/>
              </w:rPr>
            </w:pPr>
          </w:p>
        </w:tc>
        <w:tc>
          <w:tcPr>
            <w:tcW w:w="911" w:type="pct"/>
            <w:shd w:val="clear" w:color="auto" w:fill="auto"/>
          </w:tcPr>
          <w:p w14:paraId="3ED5CC8F" w14:textId="77777777" w:rsidR="00444712" w:rsidRPr="00202EB4" w:rsidRDefault="00444712" w:rsidP="00150D13">
            <w:pPr>
              <w:pStyle w:val="Tabletext"/>
              <w:keepNext/>
              <w:rPr>
                <w:lang w:val="fr-FR"/>
              </w:rPr>
            </w:pPr>
          </w:p>
        </w:tc>
        <w:tc>
          <w:tcPr>
            <w:tcW w:w="1394" w:type="pct"/>
            <w:shd w:val="clear" w:color="auto" w:fill="auto"/>
          </w:tcPr>
          <w:p w14:paraId="2B155195" w14:textId="77777777" w:rsidR="00444712" w:rsidRPr="00202EB4" w:rsidRDefault="00444712" w:rsidP="00150D13">
            <w:pPr>
              <w:pStyle w:val="Tabletext"/>
              <w:keepNext/>
              <w:rPr>
                <w:lang w:val="fr-FR"/>
              </w:rPr>
            </w:pPr>
            <w:r w:rsidRPr="00202EB4">
              <w:rPr>
                <w:lang w:val="fr-FR"/>
              </w:rPr>
              <w:t>Vice-Président (arabe)</w:t>
            </w:r>
          </w:p>
        </w:tc>
        <w:tc>
          <w:tcPr>
            <w:tcW w:w="917" w:type="pct"/>
            <w:shd w:val="clear" w:color="auto" w:fill="auto"/>
          </w:tcPr>
          <w:p w14:paraId="6BE78D7A" w14:textId="77777777" w:rsidR="00444712" w:rsidRPr="00202EB4" w:rsidRDefault="00444712" w:rsidP="00150D13">
            <w:pPr>
              <w:pStyle w:val="Tabletext"/>
              <w:keepNext/>
              <w:rPr>
                <w:lang w:val="fr-FR"/>
              </w:rPr>
            </w:pPr>
          </w:p>
        </w:tc>
      </w:tr>
      <w:tr w:rsidR="00444712" w:rsidRPr="00202EB4" w14:paraId="1F6865B4" w14:textId="77777777" w:rsidTr="00150D13">
        <w:trPr>
          <w:jc w:val="center"/>
        </w:trPr>
        <w:tc>
          <w:tcPr>
            <w:tcW w:w="889" w:type="pct"/>
            <w:shd w:val="clear" w:color="auto" w:fill="auto"/>
          </w:tcPr>
          <w:p w14:paraId="799BDD6B" w14:textId="77777777" w:rsidR="00444712" w:rsidRPr="00202EB4" w:rsidRDefault="00444712" w:rsidP="00150D13">
            <w:pPr>
              <w:pStyle w:val="Tabletext"/>
              <w:keepNext/>
              <w:rPr>
                <w:lang w:val="fr-FR"/>
              </w:rPr>
            </w:pPr>
            <w:r w:rsidRPr="00202EB4">
              <w:rPr>
                <w:lang w:val="fr-FR"/>
              </w:rPr>
              <w:t>M. Tong</w:t>
            </w:r>
          </w:p>
        </w:tc>
        <w:tc>
          <w:tcPr>
            <w:tcW w:w="889" w:type="pct"/>
            <w:shd w:val="clear" w:color="auto" w:fill="auto"/>
          </w:tcPr>
          <w:p w14:paraId="6B8A5DAF" w14:textId="77777777" w:rsidR="00444712" w:rsidRPr="00202EB4" w:rsidRDefault="00444712" w:rsidP="00150D13">
            <w:pPr>
              <w:pStyle w:val="Tabletext"/>
              <w:keepNext/>
              <w:rPr>
                <w:lang w:val="fr-FR"/>
              </w:rPr>
            </w:pPr>
            <w:r w:rsidRPr="00202EB4">
              <w:rPr>
                <w:lang w:val="fr-FR"/>
              </w:rPr>
              <w:t>WU</w:t>
            </w:r>
          </w:p>
        </w:tc>
        <w:tc>
          <w:tcPr>
            <w:tcW w:w="911" w:type="pct"/>
            <w:shd w:val="clear" w:color="auto" w:fill="auto"/>
          </w:tcPr>
          <w:p w14:paraId="363900AE" w14:textId="77777777" w:rsidR="00444712" w:rsidRPr="00202EB4" w:rsidRDefault="00444712" w:rsidP="00150D13">
            <w:pPr>
              <w:pStyle w:val="Tabletext"/>
              <w:keepNext/>
              <w:rPr>
                <w:lang w:val="fr-FR"/>
              </w:rPr>
            </w:pPr>
            <w:r w:rsidRPr="00202EB4">
              <w:rPr>
                <w:lang w:val="fr-FR"/>
              </w:rPr>
              <w:t>Chine (Rép. populaire de)</w:t>
            </w:r>
          </w:p>
        </w:tc>
        <w:tc>
          <w:tcPr>
            <w:tcW w:w="1394" w:type="pct"/>
            <w:shd w:val="clear" w:color="auto" w:fill="auto"/>
          </w:tcPr>
          <w:p w14:paraId="43DBE1A9" w14:textId="77777777" w:rsidR="00444712" w:rsidRPr="00202EB4" w:rsidRDefault="00444712" w:rsidP="00150D13">
            <w:pPr>
              <w:pStyle w:val="Tabletext"/>
              <w:keepNext/>
              <w:rPr>
                <w:lang w:val="fr-FR"/>
              </w:rPr>
            </w:pPr>
            <w:r w:rsidRPr="00202EB4">
              <w:rPr>
                <w:lang w:val="fr-FR"/>
              </w:rPr>
              <w:t>Vice-Président (chinois)</w:t>
            </w:r>
          </w:p>
        </w:tc>
        <w:tc>
          <w:tcPr>
            <w:tcW w:w="917" w:type="pct"/>
            <w:shd w:val="clear" w:color="auto" w:fill="auto"/>
          </w:tcPr>
          <w:p w14:paraId="656CF10D" w14:textId="77777777" w:rsidR="00444712" w:rsidRPr="00202EB4" w:rsidRDefault="00444712" w:rsidP="00150D13">
            <w:pPr>
              <w:pStyle w:val="Tabletext"/>
              <w:keepNext/>
              <w:rPr>
                <w:lang w:val="fr-FR"/>
              </w:rPr>
            </w:pPr>
            <w:r w:rsidRPr="00202EB4">
              <w:rPr>
                <w:lang w:val="fr-FR"/>
              </w:rPr>
              <w:t>APT</w:t>
            </w:r>
          </w:p>
        </w:tc>
      </w:tr>
      <w:tr w:rsidR="00444712" w:rsidRPr="00202EB4" w14:paraId="5D71C6A7" w14:textId="77777777" w:rsidTr="00150D13">
        <w:trPr>
          <w:jc w:val="center"/>
        </w:trPr>
        <w:tc>
          <w:tcPr>
            <w:tcW w:w="889" w:type="pct"/>
            <w:shd w:val="clear" w:color="auto" w:fill="auto"/>
          </w:tcPr>
          <w:p w14:paraId="0312660A" w14:textId="77777777" w:rsidR="00444712" w:rsidRPr="00202EB4" w:rsidRDefault="00444712" w:rsidP="00150D13">
            <w:pPr>
              <w:pStyle w:val="Tabletext"/>
              <w:keepNext/>
              <w:rPr>
                <w:lang w:val="fr-FR"/>
              </w:rPr>
            </w:pPr>
            <w:r w:rsidRPr="00202EB4">
              <w:rPr>
                <w:lang w:val="fr-FR"/>
              </w:rPr>
              <w:t>Vacant</w:t>
            </w:r>
          </w:p>
        </w:tc>
        <w:tc>
          <w:tcPr>
            <w:tcW w:w="889" w:type="pct"/>
            <w:shd w:val="clear" w:color="auto" w:fill="auto"/>
          </w:tcPr>
          <w:p w14:paraId="73E13139" w14:textId="77777777" w:rsidR="00444712" w:rsidRPr="00202EB4" w:rsidRDefault="00444712" w:rsidP="00150D13">
            <w:pPr>
              <w:pStyle w:val="Tabletext"/>
              <w:keepNext/>
              <w:rPr>
                <w:lang w:val="fr-FR"/>
              </w:rPr>
            </w:pPr>
          </w:p>
        </w:tc>
        <w:tc>
          <w:tcPr>
            <w:tcW w:w="911" w:type="pct"/>
            <w:shd w:val="clear" w:color="auto" w:fill="auto"/>
          </w:tcPr>
          <w:p w14:paraId="212A3C44" w14:textId="77777777" w:rsidR="00444712" w:rsidRPr="00202EB4" w:rsidRDefault="00444712" w:rsidP="00150D13">
            <w:pPr>
              <w:pStyle w:val="Tabletext"/>
              <w:keepNext/>
              <w:rPr>
                <w:lang w:val="fr-FR"/>
              </w:rPr>
            </w:pPr>
          </w:p>
        </w:tc>
        <w:tc>
          <w:tcPr>
            <w:tcW w:w="1394" w:type="pct"/>
            <w:shd w:val="clear" w:color="auto" w:fill="auto"/>
          </w:tcPr>
          <w:p w14:paraId="6C56BE1D" w14:textId="77777777" w:rsidR="00444712" w:rsidRPr="00202EB4" w:rsidRDefault="00444712" w:rsidP="00150D13">
            <w:pPr>
              <w:pStyle w:val="Tabletext"/>
              <w:keepNext/>
              <w:rPr>
                <w:lang w:val="fr-FR"/>
              </w:rPr>
            </w:pPr>
            <w:r w:rsidRPr="00202EB4">
              <w:rPr>
                <w:lang w:val="fr-FR"/>
              </w:rPr>
              <w:t>Vice-Président (espagnol)</w:t>
            </w:r>
          </w:p>
        </w:tc>
        <w:tc>
          <w:tcPr>
            <w:tcW w:w="917" w:type="pct"/>
            <w:shd w:val="clear" w:color="auto" w:fill="auto"/>
          </w:tcPr>
          <w:p w14:paraId="56C84E54" w14:textId="77777777" w:rsidR="00444712" w:rsidRPr="00202EB4" w:rsidRDefault="00444712" w:rsidP="00150D13">
            <w:pPr>
              <w:pStyle w:val="Tabletext"/>
              <w:keepNext/>
              <w:rPr>
                <w:lang w:val="fr-FR"/>
              </w:rPr>
            </w:pPr>
          </w:p>
        </w:tc>
      </w:tr>
      <w:tr w:rsidR="00444712" w:rsidRPr="00202EB4" w14:paraId="3DFFA7F4" w14:textId="77777777" w:rsidTr="00150D13">
        <w:trPr>
          <w:jc w:val="center"/>
        </w:trPr>
        <w:tc>
          <w:tcPr>
            <w:tcW w:w="889" w:type="pct"/>
            <w:shd w:val="clear" w:color="auto" w:fill="auto"/>
          </w:tcPr>
          <w:p w14:paraId="70DEE236" w14:textId="77777777" w:rsidR="00444712" w:rsidRPr="00202EB4" w:rsidRDefault="00444712" w:rsidP="00150D13">
            <w:pPr>
              <w:pStyle w:val="Tabletext"/>
              <w:rPr>
                <w:lang w:val="fr-FR"/>
              </w:rPr>
            </w:pPr>
            <w:r w:rsidRPr="00202EB4">
              <w:rPr>
                <w:lang w:val="fr-FR"/>
              </w:rPr>
              <w:t>Vacant</w:t>
            </w:r>
          </w:p>
        </w:tc>
        <w:tc>
          <w:tcPr>
            <w:tcW w:w="889" w:type="pct"/>
            <w:shd w:val="clear" w:color="auto" w:fill="auto"/>
          </w:tcPr>
          <w:p w14:paraId="319920E3" w14:textId="77777777" w:rsidR="00444712" w:rsidRPr="00202EB4" w:rsidRDefault="00444712" w:rsidP="00150D13">
            <w:pPr>
              <w:pStyle w:val="Tabletext"/>
              <w:rPr>
                <w:lang w:val="fr-FR"/>
              </w:rPr>
            </w:pPr>
          </w:p>
        </w:tc>
        <w:tc>
          <w:tcPr>
            <w:tcW w:w="911" w:type="pct"/>
            <w:shd w:val="clear" w:color="auto" w:fill="auto"/>
          </w:tcPr>
          <w:p w14:paraId="5A8F7443" w14:textId="77777777" w:rsidR="00444712" w:rsidRPr="00202EB4" w:rsidRDefault="00444712" w:rsidP="00150D13">
            <w:pPr>
              <w:pStyle w:val="Tabletext"/>
              <w:rPr>
                <w:lang w:val="fr-FR"/>
              </w:rPr>
            </w:pPr>
          </w:p>
        </w:tc>
        <w:tc>
          <w:tcPr>
            <w:tcW w:w="1394" w:type="pct"/>
            <w:shd w:val="clear" w:color="auto" w:fill="auto"/>
          </w:tcPr>
          <w:p w14:paraId="4C6C1956" w14:textId="77777777" w:rsidR="00444712" w:rsidRPr="00202EB4" w:rsidRDefault="00444712" w:rsidP="00150D13">
            <w:pPr>
              <w:pStyle w:val="Tabletext"/>
              <w:rPr>
                <w:lang w:val="fr-FR"/>
              </w:rPr>
            </w:pPr>
            <w:r w:rsidRPr="00202EB4">
              <w:rPr>
                <w:lang w:val="fr-FR"/>
              </w:rPr>
              <w:t>Vice-Président (russe)</w:t>
            </w:r>
          </w:p>
        </w:tc>
        <w:tc>
          <w:tcPr>
            <w:tcW w:w="917" w:type="pct"/>
            <w:shd w:val="clear" w:color="auto" w:fill="auto"/>
          </w:tcPr>
          <w:p w14:paraId="6A14E0C4" w14:textId="77777777" w:rsidR="00444712" w:rsidRPr="00202EB4" w:rsidRDefault="00444712" w:rsidP="00150D13">
            <w:pPr>
              <w:pStyle w:val="Tabletext"/>
              <w:rPr>
                <w:lang w:val="fr-FR"/>
              </w:rPr>
            </w:pPr>
          </w:p>
        </w:tc>
      </w:tr>
    </w:tbl>
    <w:p w14:paraId="241D21C0" w14:textId="5D8B3AF1" w:rsidR="00444712" w:rsidRPr="00202EB4" w:rsidRDefault="00444712" w:rsidP="00444712">
      <w:pPr>
        <w:pStyle w:val="Heading1"/>
        <w:rPr>
          <w:lang w:val="fr-FR"/>
        </w:rPr>
      </w:pPr>
      <w:r w:rsidRPr="00202EB4">
        <w:rPr>
          <w:lang w:val="fr-FR"/>
        </w:rPr>
        <w:t>3</w:t>
      </w:r>
      <w:r w:rsidRPr="00202EB4">
        <w:rPr>
          <w:lang w:val="fr-FR"/>
        </w:rPr>
        <w:tab/>
        <w:t>Principaux résultats</w:t>
      </w:r>
    </w:p>
    <w:p w14:paraId="2CD95B54" w14:textId="18C17AEA" w:rsidR="00FA2612" w:rsidRPr="00202EB4" w:rsidRDefault="00FA2612" w:rsidP="00A41C2E">
      <w:pPr>
        <w:rPr>
          <w:lang w:val="fr-FR"/>
        </w:rPr>
      </w:pPr>
      <w:r w:rsidRPr="00202EB4">
        <w:rPr>
          <w:lang w:val="fr-FR"/>
        </w:rPr>
        <w:t>Au cours de la période d'études, le SCV s'est réuni à 10 reprises (deux réunions propres au SCV et huit dans le cadre du CCT) et a rempli ses fonctions telles qu'elles sont définies dans la Résolution</w:t>
      </w:r>
      <w:r w:rsidR="00F43B3D" w:rsidRPr="00202EB4">
        <w:rPr>
          <w:lang w:val="fr-FR"/>
        </w:rPr>
        <w:t> </w:t>
      </w:r>
      <w:r w:rsidRPr="00202EB4">
        <w:rPr>
          <w:lang w:val="fr-FR"/>
        </w:rPr>
        <w:t>67 de l'AMNT. Il a coordonné les questions de terminologie au sein des commissions d'études de l'UIT-T et a été consulté quant aux termes et définitions devant être adoptés dans les Recommandations de l'UIT-T. Le SCV a également fourni des avis concernant l'harmonisation des définitions entre les différentes commissions d'études de l'UIT-T et les différents Secteurs de l'UIT.</w:t>
      </w:r>
    </w:p>
    <w:p w14:paraId="299175A6" w14:textId="77777777" w:rsidR="00FA2612" w:rsidRPr="00202EB4" w:rsidRDefault="00FA2612" w:rsidP="00FA2612">
      <w:pPr>
        <w:rPr>
          <w:lang w:val="fr-FR"/>
        </w:rPr>
      </w:pPr>
      <w:bookmarkStart w:id="0" w:name="lt_pId036"/>
      <w:r w:rsidRPr="00202EB4">
        <w:rPr>
          <w:lang w:val="fr-FR"/>
        </w:rPr>
        <w:t>Les réunions du SCV se tiennent de manière virtuelle, et conformément à la Résolution 1386 du Conseil portant création du Comité de coordination pour la terminologie (CCT), toutes les réunions du SCV qui ont eu lieu se sont tenues sous l'égide du CCT, qui est composé du SCV, du Comité de coordination pour le vocabulaire de l'UIT-R (CCV) et de représentants de l'UIT-D.</w:t>
      </w:r>
      <w:bookmarkEnd w:id="0"/>
    </w:p>
    <w:p w14:paraId="4C5B2A79" w14:textId="77777777" w:rsidR="00FA2612" w:rsidRPr="00202EB4" w:rsidRDefault="00FA2612" w:rsidP="00FA2612">
      <w:pPr>
        <w:rPr>
          <w:lang w:val="fr-FR"/>
        </w:rPr>
      </w:pPr>
      <w:bookmarkStart w:id="1" w:name="lt_pId037"/>
      <w:r w:rsidRPr="00202EB4">
        <w:rPr>
          <w:lang w:val="fr-FR"/>
        </w:rPr>
        <w:t>Au cours de la période d'études, le SCV a également optimisé ses méthodes de travail, après consultation du GCNT, pour remplir plus efficacement sa mission, et s'est employé tout particulièrement à rationaliser ses communications avec les commissions d'études.</w:t>
      </w:r>
      <w:bookmarkEnd w:id="1"/>
    </w:p>
    <w:p w14:paraId="607938E3" w14:textId="32703440" w:rsidR="00FA2612" w:rsidRPr="00202EB4" w:rsidRDefault="00FA2612" w:rsidP="00FA2612">
      <w:pPr>
        <w:rPr>
          <w:lang w:val="fr-FR"/>
        </w:rPr>
      </w:pPr>
      <w:r w:rsidRPr="00202EB4">
        <w:rPr>
          <w:lang w:val="fr-FR"/>
        </w:rPr>
        <w:t>Un nouvel outil a été élaboré pour faciliter le suivi des termes et définitions reçus, y compris les commentaires et les observations des commissions d'études.</w:t>
      </w:r>
    </w:p>
    <w:p w14:paraId="25884537" w14:textId="0E29E35F" w:rsidR="00FA2612" w:rsidRPr="00202EB4" w:rsidRDefault="00FA2612" w:rsidP="00FA2612">
      <w:pPr>
        <w:rPr>
          <w:lang w:val="fr-FR"/>
        </w:rPr>
      </w:pPr>
      <w:r w:rsidRPr="00202EB4">
        <w:rPr>
          <w:lang w:val="fr-FR"/>
        </w:rPr>
        <w:t>Le site web du SCV, qui comprend un espace d'échange SharePoint, a été transféré vers le nouveau site web du CCT et placé sous la responsabilité du Secrétariat général. Ce nouveau site web est accessible depuis les pages web du SCV et du CCV, ainsi que depuis la page web consacrée à la coordination intersectorielle, depuis la page sur le multilinguisme et depuis la section Liens rapides de la page d'accueil principale du Secrétariat général.</w:t>
      </w:r>
    </w:p>
    <w:p w14:paraId="4383658F" w14:textId="22F84429" w:rsidR="003F5328" w:rsidRPr="00202EB4" w:rsidRDefault="00FA2612" w:rsidP="00FA2612">
      <w:pPr>
        <w:rPr>
          <w:lang w:val="fr-FR"/>
        </w:rPr>
      </w:pPr>
      <w:r w:rsidRPr="00202EB4">
        <w:rPr>
          <w:lang w:val="fr-FR"/>
        </w:rPr>
        <w:t>La traduction des termes validés dans les six langues de l'Union est effective depuis avril 2024 et a figuré à l'ordre du jour des trois dernières réunions. Le processus de validation a fait appel à la participation des Vice-Présidents et des Rapporteurs pour le vocabulaire du SCV et du CCV.</w:t>
      </w:r>
    </w:p>
    <w:p w14:paraId="20CD165C" w14:textId="50A0CA72" w:rsidR="00FA2612" w:rsidRPr="00202EB4" w:rsidRDefault="00FA2612" w:rsidP="00FA2612">
      <w:pPr>
        <w:rPr>
          <w:lang w:val="fr-FR"/>
        </w:rPr>
      </w:pPr>
      <w:r w:rsidRPr="00202EB4">
        <w:rPr>
          <w:lang w:val="fr-FR"/>
        </w:rPr>
        <w:t>Le SCV/CCT a traité plus de 400 termes et définitions en anglais en les analysant et en formulant des avis et a validé les traductions de 68 termes et définitions dans les cinq autres langues de l'Union.</w:t>
      </w:r>
    </w:p>
    <w:p w14:paraId="76DF9379" w14:textId="6A360DEA" w:rsidR="00FA2612" w:rsidRPr="00202EB4" w:rsidRDefault="00FA2612" w:rsidP="00A41C2E">
      <w:pPr>
        <w:pStyle w:val="Normalbeforetable"/>
        <w:keepLines/>
        <w:rPr>
          <w:lang w:val="fr-FR"/>
        </w:rPr>
      </w:pPr>
      <w:r w:rsidRPr="00202EB4">
        <w:rPr>
          <w:lang w:val="fr-FR"/>
        </w:rPr>
        <w:lastRenderedPageBreak/>
        <w:t>Le Tableau 2 résume les principales activités du SCV pendant la période d'études.</w:t>
      </w:r>
    </w:p>
    <w:p w14:paraId="7A2970CE" w14:textId="77777777" w:rsidR="00FA2612" w:rsidRPr="00202EB4" w:rsidRDefault="00FA2612" w:rsidP="00EF005E">
      <w:pPr>
        <w:pStyle w:val="Tabletitle"/>
        <w:rPr>
          <w:lang w:val="fr-FR"/>
        </w:rPr>
      </w:pPr>
      <w:r w:rsidRPr="00202EB4">
        <w:rPr>
          <w:lang w:val="fr-FR"/>
        </w:rPr>
        <w:t>Tableau 2 – Principales activités du SCV pendant la période d'études</w:t>
      </w: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088"/>
        <w:gridCol w:w="3969"/>
      </w:tblGrid>
      <w:tr w:rsidR="00FA2612" w:rsidRPr="00202EB4" w14:paraId="519DD327" w14:textId="77777777" w:rsidTr="00150D13">
        <w:trPr>
          <w:jc w:val="center"/>
        </w:trPr>
        <w:tc>
          <w:tcPr>
            <w:tcW w:w="5088" w:type="dxa"/>
            <w:shd w:val="clear" w:color="auto" w:fill="auto"/>
          </w:tcPr>
          <w:p w14:paraId="22D985C0" w14:textId="77777777" w:rsidR="00FA2612" w:rsidRPr="00202EB4" w:rsidRDefault="00FA2612" w:rsidP="00A41C2E">
            <w:pPr>
              <w:pStyle w:val="Tabletext"/>
              <w:keepNext/>
              <w:keepLines/>
              <w:rPr>
                <w:lang w:val="fr-FR"/>
              </w:rPr>
            </w:pPr>
            <w:r w:rsidRPr="00202EB4">
              <w:rPr>
                <w:lang w:val="fr-FR"/>
              </w:rPr>
              <w:t>Nombre de réunions</w:t>
            </w:r>
          </w:p>
        </w:tc>
        <w:tc>
          <w:tcPr>
            <w:tcW w:w="3969" w:type="dxa"/>
            <w:shd w:val="clear" w:color="auto" w:fill="auto"/>
          </w:tcPr>
          <w:p w14:paraId="0DECD46B" w14:textId="77777777" w:rsidR="00FA2612" w:rsidRPr="00202EB4" w:rsidRDefault="00FA2612" w:rsidP="00A41C2E">
            <w:pPr>
              <w:pStyle w:val="Tabletext"/>
              <w:keepNext/>
              <w:keepLines/>
              <w:rPr>
                <w:lang w:val="fr-FR"/>
              </w:rPr>
            </w:pPr>
            <w:r w:rsidRPr="00202EB4">
              <w:rPr>
                <w:lang w:val="fr-FR"/>
              </w:rPr>
              <w:t>Dix (dont deux propres au SCV)</w:t>
            </w:r>
          </w:p>
        </w:tc>
      </w:tr>
      <w:tr w:rsidR="00FA2612" w:rsidRPr="00202EB4" w14:paraId="1DB5283C" w14:textId="77777777" w:rsidTr="00150D13">
        <w:trPr>
          <w:jc w:val="center"/>
        </w:trPr>
        <w:tc>
          <w:tcPr>
            <w:tcW w:w="5088" w:type="dxa"/>
            <w:shd w:val="clear" w:color="auto" w:fill="auto"/>
          </w:tcPr>
          <w:p w14:paraId="2EBA678B" w14:textId="77777777" w:rsidR="00FA2612" w:rsidRPr="00202EB4" w:rsidRDefault="00FA2612" w:rsidP="00A41C2E">
            <w:pPr>
              <w:pStyle w:val="Tabletext"/>
              <w:keepNext/>
              <w:keepLines/>
              <w:rPr>
                <w:lang w:val="fr-FR"/>
              </w:rPr>
            </w:pPr>
            <w:r w:rsidRPr="00202EB4">
              <w:rPr>
                <w:lang w:val="fr-FR"/>
              </w:rPr>
              <w:t xml:space="preserve">Nombre de documents reçus </w:t>
            </w:r>
          </w:p>
        </w:tc>
        <w:tc>
          <w:tcPr>
            <w:tcW w:w="3969" w:type="dxa"/>
            <w:shd w:val="clear" w:color="auto" w:fill="auto"/>
          </w:tcPr>
          <w:p w14:paraId="40231A4F" w14:textId="77777777" w:rsidR="00FA2612" w:rsidRPr="00202EB4" w:rsidRDefault="00FA2612" w:rsidP="00A41C2E">
            <w:pPr>
              <w:pStyle w:val="Tabletext"/>
              <w:keepNext/>
              <w:keepLines/>
              <w:rPr>
                <w:lang w:val="fr-FR"/>
              </w:rPr>
            </w:pPr>
            <w:r w:rsidRPr="00202EB4">
              <w:rPr>
                <w:lang w:val="fr-FR"/>
              </w:rPr>
              <w:t>83 notes de liaison</w:t>
            </w:r>
          </w:p>
        </w:tc>
      </w:tr>
      <w:tr w:rsidR="00FA2612" w:rsidRPr="00202EB4" w14:paraId="581887B4" w14:textId="77777777" w:rsidTr="00150D13">
        <w:trPr>
          <w:jc w:val="center"/>
        </w:trPr>
        <w:tc>
          <w:tcPr>
            <w:tcW w:w="5088" w:type="dxa"/>
            <w:shd w:val="clear" w:color="auto" w:fill="auto"/>
          </w:tcPr>
          <w:p w14:paraId="49D54FFA" w14:textId="77777777" w:rsidR="00FA2612" w:rsidRPr="00202EB4" w:rsidRDefault="00FA2612" w:rsidP="00A41C2E">
            <w:pPr>
              <w:pStyle w:val="Tabletext"/>
              <w:keepNext/>
              <w:keepLines/>
              <w:rPr>
                <w:lang w:val="fr-FR"/>
              </w:rPr>
            </w:pPr>
            <w:r w:rsidRPr="00202EB4">
              <w:rPr>
                <w:lang w:val="fr-FR"/>
              </w:rPr>
              <w:t>Nombre de notes de liaison envoyées</w:t>
            </w:r>
          </w:p>
        </w:tc>
        <w:tc>
          <w:tcPr>
            <w:tcW w:w="3969" w:type="dxa"/>
            <w:shd w:val="clear" w:color="auto" w:fill="auto"/>
          </w:tcPr>
          <w:p w14:paraId="1769FCEB" w14:textId="77777777" w:rsidR="00FA2612" w:rsidRPr="00202EB4" w:rsidRDefault="00FA2612" w:rsidP="00A41C2E">
            <w:pPr>
              <w:pStyle w:val="Tabletext"/>
              <w:keepNext/>
              <w:keepLines/>
              <w:rPr>
                <w:lang w:val="fr-FR"/>
              </w:rPr>
            </w:pPr>
            <w:r w:rsidRPr="00202EB4">
              <w:rPr>
                <w:lang w:val="fr-FR"/>
              </w:rPr>
              <w:t>39</w:t>
            </w:r>
          </w:p>
        </w:tc>
      </w:tr>
      <w:tr w:rsidR="00FA2612" w:rsidRPr="00202EB4" w14:paraId="326E9376" w14:textId="77777777" w:rsidTr="00150D13">
        <w:trPr>
          <w:jc w:val="center"/>
        </w:trPr>
        <w:tc>
          <w:tcPr>
            <w:tcW w:w="5088" w:type="dxa"/>
            <w:shd w:val="clear" w:color="auto" w:fill="auto"/>
          </w:tcPr>
          <w:p w14:paraId="401AF768" w14:textId="77777777" w:rsidR="00FA2612" w:rsidRPr="00202EB4" w:rsidRDefault="00FA2612" w:rsidP="00A41C2E">
            <w:pPr>
              <w:pStyle w:val="Tabletext"/>
              <w:keepNext/>
              <w:keepLines/>
              <w:rPr>
                <w:lang w:val="fr-FR"/>
              </w:rPr>
            </w:pPr>
            <w:r w:rsidRPr="00202EB4">
              <w:rPr>
                <w:lang w:val="fr-FR"/>
              </w:rPr>
              <w:t>Nombre de termes et définitions en anglais traités</w:t>
            </w:r>
          </w:p>
        </w:tc>
        <w:tc>
          <w:tcPr>
            <w:tcW w:w="3969" w:type="dxa"/>
            <w:shd w:val="clear" w:color="auto" w:fill="auto"/>
          </w:tcPr>
          <w:p w14:paraId="659223A6" w14:textId="77777777" w:rsidR="00FA2612" w:rsidRPr="00202EB4" w:rsidRDefault="00FA2612" w:rsidP="00A41C2E">
            <w:pPr>
              <w:pStyle w:val="Tabletext"/>
              <w:keepNext/>
              <w:keepLines/>
              <w:rPr>
                <w:lang w:val="fr-FR"/>
              </w:rPr>
            </w:pPr>
            <w:r w:rsidRPr="00202EB4">
              <w:rPr>
                <w:lang w:val="fr-FR"/>
              </w:rPr>
              <w:t>400+</w:t>
            </w:r>
          </w:p>
        </w:tc>
      </w:tr>
      <w:tr w:rsidR="00FA2612" w:rsidRPr="00202EB4" w14:paraId="7EC0D630" w14:textId="77777777" w:rsidTr="00150D13">
        <w:trPr>
          <w:jc w:val="center"/>
        </w:trPr>
        <w:tc>
          <w:tcPr>
            <w:tcW w:w="5088" w:type="dxa"/>
            <w:shd w:val="clear" w:color="auto" w:fill="auto"/>
          </w:tcPr>
          <w:p w14:paraId="571BEEE2" w14:textId="77777777" w:rsidR="00FA2612" w:rsidRPr="00202EB4" w:rsidRDefault="00FA2612" w:rsidP="00150D13">
            <w:pPr>
              <w:pStyle w:val="Tabletext"/>
              <w:rPr>
                <w:lang w:val="fr-FR"/>
              </w:rPr>
            </w:pPr>
            <w:r w:rsidRPr="00202EB4">
              <w:rPr>
                <w:lang w:val="fr-FR"/>
              </w:rPr>
              <w:t>Nombre de termes et définitions en anglais validés</w:t>
            </w:r>
          </w:p>
        </w:tc>
        <w:tc>
          <w:tcPr>
            <w:tcW w:w="3969" w:type="dxa"/>
            <w:shd w:val="clear" w:color="auto" w:fill="auto"/>
          </w:tcPr>
          <w:p w14:paraId="65A825D9" w14:textId="77777777" w:rsidR="00FA2612" w:rsidRPr="00202EB4" w:rsidRDefault="00FA2612" w:rsidP="00150D13">
            <w:pPr>
              <w:pStyle w:val="Tabletext"/>
              <w:rPr>
                <w:lang w:val="fr-FR"/>
              </w:rPr>
            </w:pPr>
            <w:r w:rsidRPr="00202EB4">
              <w:rPr>
                <w:lang w:val="fr-FR"/>
              </w:rPr>
              <w:t>90</w:t>
            </w:r>
          </w:p>
        </w:tc>
      </w:tr>
      <w:tr w:rsidR="00FA2612" w:rsidRPr="00202EB4" w14:paraId="4BE5CB78" w14:textId="77777777" w:rsidTr="00150D13">
        <w:trPr>
          <w:jc w:val="center"/>
        </w:trPr>
        <w:tc>
          <w:tcPr>
            <w:tcW w:w="5088" w:type="dxa"/>
            <w:shd w:val="clear" w:color="auto" w:fill="auto"/>
          </w:tcPr>
          <w:p w14:paraId="46E5DFE8" w14:textId="77777777" w:rsidR="00FA2612" w:rsidRPr="00202EB4" w:rsidRDefault="00FA2612" w:rsidP="00150D13">
            <w:pPr>
              <w:pStyle w:val="Tabletext"/>
              <w:rPr>
                <w:lang w:val="fr-FR"/>
              </w:rPr>
            </w:pPr>
            <w:r w:rsidRPr="00202EB4">
              <w:rPr>
                <w:lang w:val="fr-FR"/>
              </w:rPr>
              <w:t>Nombre de termes et définitions traduits validés</w:t>
            </w:r>
          </w:p>
        </w:tc>
        <w:tc>
          <w:tcPr>
            <w:tcW w:w="3969" w:type="dxa"/>
            <w:shd w:val="clear" w:color="auto" w:fill="auto"/>
          </w:tcPr>
          <w:p w14:paraId="7BCB937B" w14:textId="77777777" w:rsidR="00FA2612" w:rsidRPr="00202EB4" w:rsidRDefault="00FA2612" w:rsidP="00150D13">
            <w:pPr>
              <w:pStyle w:val="Tabletext"/>
              <w:rPr>
                <w:lang w:val="fr-FR"/>
              </w:rPr>
            </w:pPr>
            <w:r w:rsidRPr="00202EB4">
              <w:rPr>
                <w:lang w:val="fr-FR"/>
              </w:rPr>
              <w:t>68 (plus 22 en cours)</w:t>
            </w:r>
          </w:p>
        </w:tc>
      </w:tr>
    </w:tbl>
    <w:p w14:paraId="389C1679" w14:textId="77777777" w:rsidR="00FA2612" w:rsidRPr="00202EB4" w:rsidRDefault="00FA2612">
      <w:pPr>
        <w:jc w:val="center"/>
        <w:rPr>
          <w:lang w:val="fr-FR"/>
        </w:rPr>
      </w:pPr>
      <w:r w:rsidRPr="00202EB4">
        <w:rPr>
          <w:lang w:val="fr-FR"/>
        </w:rPr>
        <w:t>______________</w:t>
      </w:r>
    </w:p>
    <w:sectPr w:rsidR="00FA2612" w:rsidRPr="00202EB4" w:rsidSect="0078609B">
      <w:headerReference w:type="default" r:id="rId17"/>
      <w:footerReference w:type="even" r:id="rId18"/>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1546C" w14:textId="77777777" w:rsidR="00D449A9" w:rsidRDefault="00D449A9">
      <w:r>
        <w:separator/>
      </w:r>
    </w:p>
  </w:endnote>
  <w:endnote w:type="continuationSeparator" w:id="0">
    <w:p w14:paraId="53AE09DB" w14:textId="77777777" w:rsidR="00D449A9" w:rsidRDefault="00D449A9">
      <w:r>
        <w:continuationSeparator/>
      </w:r>
    </w:p>
  </w:endnote>
  <w:endnote w:type="continuationNotice" w:id="1">
    <w:p w14:paraId="282318F4" w14:textId="77777777" w:rsidR="00D449A9" w:rsidRDefault="00D449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C25A" w14:textId="77777777" w:rsidR="009D4900" w:rsidRDefault="009D4900">
    <w:pPr>
      <w:framePr w:wrap="around" w:vAnchor="text" w:hAnchor="margin" w:xAlign="right" w:y="1"/>
    </w:pPr>
    <w:r>
      <w:fldChar w:fldCharType="begin"/>
    </w:r>
    <w:r>
      <w:instrText xml:space="preserve">PAGE  </w:instrText>
    </w:r>
    <w:r>
      <w:fldChar w:fldCharType="end"/>
    </w:r>
  </w:p>
  <w:p w14:paraId="27DCD5EE" w14:textId="3D1349A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43B3D">
      <w:rPr>
        <w:noProof/>
      </w:rPr>
      <w:t>02.10.24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B7C0" w14:textId="77777777" w:rsidR="00D449A9" w:rsidRDefault="00D449A9">
      <w:r>
        <w:rPr>
          <w:b/>
        </w:rPr>
        <w:t>_______________</w:t>
      </w:r>
    </w:p>
  </w:footnote>
  <w:footnote w:type="continuationSeparator" w:id="0">
    <w:p w14:paraId="66984B10" w14:textId="77777777" w:rsidR="00D449A9" w:rsidRDefault="00D449A9">
      <w:r>
        <w:continuationSeparator/>
      </w:r>
    </w:p>
  </w:footnote>
  <w:footnote w:type="continuationNotice" w:id="1">
    <w:p w14:paraId="2ABB5C20" w14:textId="77777777" w:rsidR="00D449A9" w:rsidRDefault="00D449A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5808B" w14:textId="77777777" w:rsidR="00A52D1A" w:rsidRDefault="00A52D1A" w:rsidP="00150D13">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13E150A8" w14:textId="6D4E6BF2" w:rsidR="00A52D1A" w:rsidRPr="00A52D1A" w:rsidRDefault="00F43B3D" w:rsidP="00F43B3D">
    <w:pPr>
      <w:pStyle w:val="Header"/>
    </w:pPr>
    <w:r>
      <w:t>WTSA-24/</w:t>
    </w:r>
    <w:r>
      <w:rPr>
        <w:noProof/>
      </w:rPr>
      <w:t>23-F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34546492">
    <w:abstractNumId w:val="8"/>
  </w:num>
  <w:num w:numId="2" w16cid:durableId="73762787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92940219">
    <w:abstractNumId w:val="9"/>
  </w:num>
  <w:num w:numId="4" w16cid:durableId="1151679663">
    <w:abstractNumId w:val="7"/>
  </w:num>
  <w:num w:numId="5" w16cid:durableId="151141198">
    <w:abstractNumId w:val="6"/>
  </w:num>
  <w:num w:numId="6" w16cid:durableId="1635021298">
    <w:abstractNumId w:val="5"/>
  </w:num>
  <w:num w:numId="7" w16cid:durableId="1132284031">
    <w:abstractNumId w:val="4"/>
  </w:num>
  <w:num w:numId="8" w16cid:durableId="971861464">
    <w:abstractNumId w:val="3"/>
  </w:num>
  <w:num w:numId="9" w16cid:durableId="1783919294">
    <w:abstractNumId w:val="2"/>
  </w:num>
  <w:num w:numId="10" w16cid:durableId="756361300">
    <w:abstractNumId w:val="1"/>
  </w:num>
  <w:num w:numId="11" w16cid:durableId="1064371422">
    <w:abstractNumId w:val="0"/>
  </w:num>
  <w:num w:numId="12" w16cid:durableId="612135195">
    <w:abstractNumId w:val="12"/>
  </w:num>
  <w:num w:numId="13" w16cid:durableId="12351173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50D13"/>
    <w:rsid w:val="00161472"/>
    <w:rsid w:val="00163E58"/>
    <w:rsid w:val="0017074E"/>
    <w:rsid w:val="00182117"/>
    <w:rsid w:val="0018215C"/>
    <w:rsid w:val="00187BD9"/>
    <w:rsid w:val="00190B55"/>
    <w:rsid w:val="001C3B5F"/>
    <w:rsid w:val="001D058F"/>
    <w:rsid w:val="001E6F73"/>
    <w:rsid w:val="002009EA"/>
    <w:rsid w:val="00202CA0"/>
    <w:rsid w:val="00202EB4"/>
    <w:rsid w:val="00216B6D"/>
    <w:rsid w:val="00227927"/>
    <w:rsid w:val="00236EBA"/>
    <w:rsid w:val="00245127"/>
    <w:rsid w:val="00246525"/>
    <w:rsid w:val="00250AF4"/>
    <w:rsid w:val="00260B50"/>
    <w:rsid w:val="00263354"/>
    <w:rsid w:val="00263BE8"/>
    <w:rsid w:val="0027050E"/>
    <w:rsid w:val="00271316"/>
    <w:rsid w:val="002767E5"/>
    <w:rsid w:val="00290F83"/>
    <w:rsid w:val="002931F4"/>
    <w:rsid w:val="00293F9A"/>
    <w:rsid w:val="002957A7"/>
    <w:rsid w:val="002A1D23"/>
    <w:rsid w:val="002A5392"/>
    <w:rsid w:val="002B100E"/>
    <w:rsid w:val="002B230B"/>
    <w:rsid w:val="002C0298"/>
    <w:rsid w:val="002C4DC4"/>
    <w:rsid w:val="002C6531"/>
    <w:rsid w:val="002D151C"/>
    <w:rsid w:val="002D58BE"/>
    <w:rsid w:val="002E3AEE"/>
    <w:rsid w:val="002E561F"/>
    <w:rsid w:val="002F2D0C"/>
    <w:rsid w:val="00316B80"/>
    <w:rsid w:val="003251EA"/>
    <w:rsid w:val="00336B4E"/>
    <w:rsid w:val="0034635C"/>
    <w:rsid w:val="00377BD3"/>
    <w:rsid w:val="00384088"/>
    <w:rsid w:val="003879F0"/>
    <w:rsid w:val="0039169B"/>
    <w:rsid w:val="00394470"/>
    <w:rsid w:val="003A7F8C"/>
    <w:rsid w:val="003B09A1"/>
    <w:rsid w:val="003B532E"/>
    <w:rsid w:val="003C33B7"/>
    <w:rsid w:val="003C4C73"/>
    <w:rsid w:val="003D0F8B"/>
    <w:rsid w:val="003F020A"/>
    <w:rsid w:val="003F5328"/>
    <w:rsid w:val="0041348E"/>
    <w:rsid w:val="004142ED"/>
    <w:rsid w:val="00420EDB"/>
    <w:rsid w:val="004373CA"/>
    <w:rsid w:val="004420C9"/>
    <w:rsid w:val="00443CCE"/>
    <w:rsid w:val="00444712"/>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5140B"/>
    <w:rsid w:val="00553247"/>
    <w:rsid w:val="0056747D"/>
    <w:rsid w:val="00581B01"/>
    <w:rsid w:val="00587F8C"/>
    <w:rsid w:val="00595780"/>
    <w:rsid w:val="005964AB"/>
    <w:rsid w:val="005A1A6A"/>
    <w:rsid w:val="005C099A"/>
    <w:rsid w:val="005C31A5"/>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6F68E5"/>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6D49"/>
    <w:rsid w:val="00800972"/>
    <w:rsid w:val="00804475"/>
    <w:rsid w:val="00811633"/>
    <w:rsid w:val="00822B56"/>
    <w:rsid w:val="00840F52"/>
    <w:rsid w:val="008508D8"/>
    <w:rsid w:val="00850EEE"/>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2E"/>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2197"/>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17A"/>
    <w:rsid w:val="00E765C9"/>
    <w:rsid w:val="00E82677"/>
    <w:rsid w:val="00E870AC"/>
    <w:rsid w:val="00E94DBA"/>
    <w:rsid w:val="00E976C1"/>
    <w:rsid w:val="00EA12E5"/>
    <w:rsid w:val="00EB55C6"/>
    <w:rsid w:val="00EC7F04"/>
    <w:rsid w:val="00ED30BC"/>
    <w:rsid w:val="00EF005E"/>
    <w:rsid w:val="00F00DDC"/>
    <w:rsid w:val="00F01223"/>
    <w:rsid w:val="00F02766"/>
    <w:rsid w:val="00F05BD4"/>
    <w:rsid w:val="00F2404A"/>
    <w:rsid w:val="00F3630D"/>
    <w:rsid w:val="00F43B3D"/>
    <w:rsid w:val="00F4677D"/>
    <w:rsid w:val="00F528B4"/>
    <w:rsid w:val="00F60D05"/>
    <w:rsid w:val="00F6155B"/>
    <w:rsid w:val="00F65C19"/>
    <w:rsid w:val="00F7356B"/>
    <w:rsid w:val="00F80977"/>
    <w:rsid w:val="00F83F75"/>
    <w:rsid w:val="00F972D2"/>
    <w:rsid w:val="00FA2612"/>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5C0BF"/>
  <w15:docId w15:val="{64AF3C13-0C6B-4AC2-87E1-2EE259BF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ym.belhaj@edu.isetcom.t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S24-CL-C-0137/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pub/T-RES-T.67-2008/f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T-RES-T.67-2008/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760</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WTSA-24 Document Template (French)</vt:lpstr>
    </vt:vector>
  </TitlesOfParts>
  <Manager>General Secretariat - Pool</Manager>
  <Company>International Telecommunication Union (ITU)</Company>
  <LinksUpToDate>false</LinksUpToDate>
  <CharactersWithSpaces>5124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(French)</dc:title>
  <dc:subject>World Telecommunication Standardization Assembly</dc:subject>
  <dc:creator>Simão Campos-Neto</dc:creator>
  <cp:keywords>Template v2024.01.30 (draft)</cp:keywords>
  <dc:description/>
  <cp:lastModifiedBy>French</cp:lastModifiedBy>
  <cp:revision>3</cp:revision>
  <cp:lastPrinted>2016-06-06T07:49:00Z</cp:lastPrinted>
  <dcterms:created xsi:type="dcterms:W3CDTF">2024-10-01T12:48:00Z</dcterms:created>
  <dcterms:modified xsi:type="dcterms:W3CDTF">2024-10-02T06:37:00Z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