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6520"/>
        <w:gridCol w:w="1843"/>
      </w:tblGrid>
      <w:tr w:rsidR="00297434" w:rsidRPr="001D6067" w14:paraId="09746A05" w14:textId="77777777" w:rsidTr="00751BDC">
        <w:trPr>
          <w:cantSplit/>
        </w:trPr>
        <w:tc>
          <w:tcPr>
            <w:tcW w:w="1418" w:type="dxa"/>
            <w:vAlign w:val="center"/>
          </w:tcPr>
          <w:p w14:paraId="1B6F2353" w14:textId="77777777" w:rsidR="00297434" w:rsidRPr="0038423C" w:rsidRDefault="008526FF" w:rsidP="00297434">
            <w:pPr>
              <w:tabs>
                <w:tab w:val="right" w:pos="8732"/>
              </w:tabs>
              <w:spacing w:before="0"/>
              <w:jc w:val="center"/>
              <w:rPr>
                <w:rFonts w:ascii="Verdana" w:hAnsi="Verdana"/>
                <w:b/>
                <w:bCs/>
                <w:iCs/>
                <w:color w:val="FFFFFF"/>
                <w:sz w:val="26"/>
                <w:szCs w:val="26"/>
                <w:lang w:val="ru-RU"/>
              </w:rPr>
            </w:pPr>
            <w:r w:rsidRPr="0038423C">
              <w:rPr>
                <w:noProof/>
                <w:lang w:val="ru-RU"/>
              </w:rPr>
              <w:drawing>
                <wp:inline distT="0" distB="0" distL="0" distR="0" wp14:anchorId="6D0B3ED1" wp14:editId="6375B7AF">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0" w:type="dxa"/>
            <w:vAlign w:val="center"/>
          </w:tcPr>
          <w:p w14:paraId="11AAECD7" w14:textId="77777777" w:rsidR="00297434" w:rsidRPr="0038423C" w:rsidRDefault="00297434" w:rsidP="00297434">
            <w:pPr>
              <w:spacing w:before="0"/>
              <w:rPr>
                <w:rFonts w:cs="Times New Roman Bold"/>
                <w:b/>
                <w:bCs/>
                <w:iCs/>
                <w:smallCaps/>
                <w:sz w:val="32"/>
                <w:szCs w:val="32"/>
                <w:lang w:val="ru-RU"/>
              </w:rPr>
            </w:pPr>
            <w:r w:rsidRPr="0038423C">
              <w:rPr>
                <w:rFonts w:cs="Times New Roman Bold"/>
                <w:b/>
                <w:bCs/>
                <w:iCs/>
                <w:smallCaps/>
                <w:sz w:val="32"/>
                <w:szCs w:val="32"/>
                <w:lang w:val="ru-RU"/>
              </w:rPr>
              <w:t>Международный союз электросвязи</w:t>
            </w:r>
          </w:p>
          <w:p w14:paraId="654CA4BB" w14:textId="77777777" w:rsidR="00297434" w:rsidRPr="0038423C" w:rsidRDefault="00297434" w:rsidP="00297434">
            <w:pPr>
              <w:tabs>
                <w:tab w:val="right" w:pos="8732"/>
              </w:tabs>
              <w:rPr>
                <w:rFonts w:ascii="Verdana" w:hAnsi="Verdana"/>
                <w:b/>
                <w:bCs/>
                <w:iCs/>
                <w:color w:val="FFFFFF"/>
                <w:sz w:val="26"/>
                <w:szCs w:val="26"/>
                <w:lang w:val="ru-RU"/>
              </w:rPr>
            </w:pPr>
            <w:r w:rsidRPr="0038423C">
              <w:rPr>
                <w:rFonts w:cs="Times New Roman Bold"/>
                <w:b/>
                <w:bCs/>
                <w:iCs/>
                <w:smallCaps/>
                <w:sz w:val="26"/>
                <w:szCs w:val="26"/>
                <w:lang w:val="ru-RU"/>
              </w:rPr>
              <w:t>Бюро стандартизации электросвязи</w:t>
            </w:r>
          </w:p>
        </w:tc>
        <w:tc>
          <w:tcPr>
            <w:tcW w:w="1843" w:type="dxa"/>
            <w:vAlign w:val="center"/>
          </w:tcPr>
          <w:p w14:paraId="485895B7" w14:textId="77777777" w:rsidR="00297434" w:rsidRPr="0038423C" w:rsidRDefault="00297434" w:rsidP="00297434">
            <w:pPr>
              <w:spacing w:before="0"/>
              <w:jc w:val="right"/>
              <w:rPr>
                <w:rFonts w:ascii="Verdana" w:hAnsi="Verdana"/>
                <w:color w:val="FFFFFF"/>
                <w:sz w:val="26"/>
                <w:szCs w:val="26"/>
                <w:lang w:val="ru-RU"/>
              </w:rPr>
            </w:pPr>
          </w:p>
        </w:tc>
      </w:tr>
    </w:tbl>
    <w:p w14:paraId="5FCCEFED" w14:textId="39F62EED" w:rsidR="001629DC" w:rsidRPr="0038423C" w:rsidRDefault="001629DC" w:rsidP="00EF0B2C">
      <w:pPr>
        <w:tabs>
          <w:tab w:val="clear" w:pos="794"/>
          <w:tab w:val="clear" w:pos="1191"/>
          <w:tab w:val="clear" w:pos="1588"/>
          <w:tab w:val="clear" w:pos="1985"/>
          <w:tab w:val="left" w:pos="5529"/>
        </w:tabs>
        <w:spacing w:before="240" w:after="240"/>
        <w:rPr>
          <w:lang w:val="ru-RU"/>
        </w:rPr>
      </w:pPr>
      <w:r w:rsidRPr="0038423C">
        <w:rPr>
          <w:lang w:val="ru-RU"/>
        </w:rPr>
        <w:tab/>
        <w:t>Женева,</w:t>
      </w:r>
      <w:r w:rsidR="00B54B88" w:rsidRPr="0038423C">
        <w:rPr>
          <w:lang w:val="ru-RU"/>
        </w:rPr>
        <w:t xml:space="preserve"> </w:t>
      </w:r>
      <w:r w:rsidR="00B533DE">
        <w:rPr>
          <w:lang w:val="en-GB"/>
        </w:rPr>
        <w:t>27</w:t>
      </w:r>
      <w:r w:rsidR="005F04B7">
        <w:rPr>
          <w:lang w:val="ru-RU"/>
        </w:rPr>
        <w:t xml:space="preserve"> </w:t>
      </w:r>
      <w:r w:rsidR="00B533DE">
        <w:rPr>
          <w:lang w:val="ru-RU"/>
        </w:rPr>
        <w:t>сентября</w:t>
      </w:r>
      <w:r w:rsidR="00DB6ECD" w:rsidRPr="0038423C">
        <w:rPr>
          <w:lang w:val="ru-RU"/>
        </w:rPr>
        <w:t xml:space="preserve"> </w:t>
      </w:r>
      <w:r w:rsidR="00CD765A" w:rsidRPr="0038423C">
        <w:rPr>
          <w:lang w:val="ru-RU"/>
        </w:rPr>
        <w:t>20</w:t>
      </w:r>
      <w:r w:rsidR="00DB6ECD" w:rsidRPr="0038423C">
        <w:rPr>
          <w:lang w:val="ru-RU"/>
        </w:rPr>
        <w:t>2</w:t>
      </w:r>
      <w:r w:rsidR="00B533DE">
        <w:rPr>
          <w:lang w:val="ru-RU"/>
        </w:rPr>
        <w:t>4</w:t>
      </w:r>
      <w:r w:rsidR="007D4F1A" w:rsidRPr="0038423C">
        <w:rPr>
          <w:lang w:val="ru-RU"/>
        </w:rPr>
        <w:t> </w:t>
      </w:r>
      <w:r w:rsidR="00A32FD5" w:rsidRPr="0038423C">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3544"/>
        <w:gridCol w:w="4809"/>
      </w:tblGrid>
      <w:tr w:rsidR="001629DC" w:rsidRPr="0038423C" w14:paraId="7F7B14CE" w14:textId="77777777" w:rsidTr="00D4378F">
        <w:trPr>
          <w:cantSplit/>
        </w:trPr>
        <w:tc>
          <w:tcPr>
            <w:tcW w:w="1418" w:type="dxa"/>
          </w:tcPr>
          <w:p w14:paraId="541D3CA0" w14:textId="77777777" w:rsidR="001629DC" w:rsidRPr="0038423C" w:rsidRDefault="001629DC" w:rsidP="00867192">
            <w:pPr>
              <w:spacing w:before="0"/>
              <w:rPr>
                <w:b/>
                <w:bCs/>
                <w:lang w:val="ru-RU"/>
              </w:rPr>
            </w:pPr>
            <w:r w:rsidRPr="0038423C">
              <w:rPr>
                <w:b/>
                <w:bCs/>
                <w:lang w:val="ru-RU"/>
              </w:rPr>
              <w:t>Осн</w:t>
            </w:r>
            <w:r w:rsidRPr="0038423C">
              <w:rPr>
                <w:lang w:val="ru-RU"/>
              </w:rPr>
              <w:t>.:</w:t>
            </w:r>
          </w:p>
        </w:tc>
        <w:tc>
          <w:tcPr>
            <w:tcW w:w="3544" w:type="dxa"/>
          </w:tcPr>
          <w:p w14:paraId="00ABA4B0" w14:textId="5340A5BD" w:rsidR="001629DC" w:rsidRPr="005F04B7" w:rsidRDefault="001629DC" w:rsidP="00595195">
            <w:pPr>
              <w:spacing w:before="0"/>
              <w:rPr>
                <w:lang w:val="ru-RU"/>
              </w:rPr>
            </w:pPr>
            <w:r w:rsidRPr="0038423C">
              <w:rPr>
                <w:b/>
                <w:bCs/>
                <w:lang w:val="ru-RU"/>
              </w:rPr>
              <w:t xml:space="preserve">Циркуляр </w:t>
            </w:r>
            <w:r w:rsidR="00B533DE">
              <w:rPr>
                <w:b/>
                <w:bCs/>
                <w:lang w:val="ru-RU"/>
              </w:rPr>
              <w:t>236</w:t>
            </w:r>
            <w:r w:rsidRPr="0038423C">
              <w:rPr>
                <w:b/>
                <w:bCs/>
                <w:lang w:val="ru-RU"/>
              </w:rPr>
              <w:t xml:space="preserve"> БСЭ</w:t>
            </w:r>
            <w:r w:rsidR="00867192" w:rsidRPr="0038423C">
              <w:rPr>
                <w:b/>
                <w:bCs/>
                <w:lang w:val="ru-RU"/>
              </w:rPr>
              <w:br/>
            </w:r>
            <w:r w:rsidR="007D1544" w:rsidRPr="0038423C">
              <w:rPr>
                <w:lang w:val="ru-RU"/>
              </w:rPr>
              <w:t>SG</w:t>
            </w:r>
            <w:r w:rsidR="005F04B7">
              <w:rPr>
                <w:lang w:val="ru-RU"/>
              </w:rPr>
              <w:t>20</w:t>
            </w:r>
            <w:r w:rsidR="007D1544" w:rsidRPr="0038423C">
              <w:rPr>
                <w:lang w:val="ru-RU"/>
              </w:rPr>
              <w:t>/</w:t>
            </w:r>
            <w:r w:rsidR="005F04B7">
              <w:t>CB</w:t>
            </w:r>
          </w:p>
        </w:tc>
        <w:tc>
          <w:tcPr>
            <w:tcW w:w="4809" w:type="dxa"/>
          </w:tcPr>
          <w:p w14:paraId="53D9B041" w14:textId="77777777" w:rsidR="008526FF" w:rsidRPr="0038423C" w:rsidRDefault="008526FF" w:rsidP="00B54B88">
            <w:pPr>
              <w:tabs>
                <w:tab w:val="clear" w:pos="794"/>
                <w:tab w:val="clear" w:pos="1191"/>
                <w:tab w:val="clear" w:pos="1588"/>
                <w:tab w:val="clear" w:pos="1985"/>
                <w:tab w:val="left" w:pos="284"/>
              </w:tabs>
              <w:spacing w:before="0"/>
              <w:ind w:left="284" w:hanging="284"/>
              <w:rPr>
                <w:lang w:val="ru-RU"/>
              </w:rPr>
            </w:pPr>
            <w:r w:rsidRPr="0038423C">
              <w:rPr>
                <w:b/>
                <w:bCs/>
                <w:lang w:val="ru-RU"/>
              </w:rPr>
              <w:t>Кому</w:t>
            </w:r>
            <w:r w:rsidRPr="0038423C">
              <w:rPr>
                <w:lang w:val="ru-RU"/>
              </w:rPr>
              <w:t>:</w:t>
            </w:r>
          </w:p>
          <w:p w14:paraId="614B8FEB" w14:textId="77777777" w:rsidR="001629DC" w:rsidRPr="0038423C" w:rsidRDefault="001629DC" w:rsidP="00B54B88">
            <w:pPr>
              <w:tabs>
                <w:tab w:val="clear" w:pos="794"/>
                <w:tab w:val="clear" w:pos="1191"/>
                <w:tab w:val="clear" w:pos="1588"/>
                <w:tab w:val="clear" w:pos="1985"/>
                <w:tab w:val="left" w:pos="284"/>
              </w:tabs>
              <w:spacing w:before="0"/>
              <w:ind w:left="284" w:hanging="284"/>
              <w:rPr>
                <w:lang w:val="ru-RU"/>
              </w:rPr>
            </w:pPr>
            <w:r w:rsidRPr="0038423C">
              <w:rPr>
                <w:lang w:val="ru-RU"/>
              </w:rPr>
              <w:t>–</w:t>
            </w:r>
            <w:r w:rsidRPr="0038423C">
              <w:rPr>
                <w:lang w:val="ru-RU"/>
              </w:rPr>
              <w:tab/>
              <w:t>Администрациям Государств – Членов Союза</w:t>
            </w:r>
          </w:p>
          <w:p w14:paraId="2ADD1BAA" w14:textId="77777777" w:rsidR="008F5FAF" w:rsidRPr="0038423C" w:rsidRDefault="008F5FAF" w:rsidP="0045726D">
            <w:pPr>
              <w:tabs>
                <w:tab w:val="clear" w:pos="794"/>
                <w:tab w:val="clear" w:pos="1191"/>
                <w:tab w:val="clear" w:pos="1588"/>
                <w:tab w:val="clear" w:pos="1985"/>
                <w:tab w:val="left" w:pos="284"/>
              </w:tabs>
              <w:spacing w:before="0"/>
              <w:ind w:left="284" w:hanging="284"/>
              <w:rPr>
                <w:lang w:val="ru-RU"/>
              </w:rPr>
            </w:pPr>
          </w:p>
        </w:tc>
      </w:tr>
      <w:tr w:rsidR="001629DC" w:rsidRPr="001D6067" w14:paraId="75A5890E" w14:textId="77777777" w:rsidTr="00D4378F">
        <w:trPr>
          <w:cantSplit/>
        </w:trPr>
        <w:tc>
          <w:tcPr>
            <w:tcW w:w="1418" w:type="dxa"/>
          </w:tcPr>
          <w:p w14:paraId="2FDA310D" w14:textId="1BAA0BDF" w:rsidR="001629DC" w:rsidRPr="0038423C" w:rsidRDefault="001629DC" w:rsidP="00867192">
            <w:pPr>
              <w:spacing w:before="0"/>
              <w:rPr>
                <w:b/>
                <w:bCs/>
                <w:lang w:val="ru-RU"/>
              </w:rPr>
            </w:pPr>
            <w:r w:rsidRPr="0038423C">
              <w:rPr>
                <w:b/>
                <w:bCs/>
                <w:lang w:val="ru-RU"/>
              </w:rPr>
              <w:t>Тел</w:t>
            </w:r>
            <w:r w:rsidRPr="0038423C">
              <w:rPr>
                <w:lang w:val="ru-RU"/>
              </w:rPr>
              <w:t>.:</w:t>
            </w:r>
            <w:r w:rsidR="00867192" w:rsidRPr="0038423C">
              <w:rPr>
                <w:lang w:val="ru-RU"/>
              </w:rPr>
              <w:br/>
            </w:r>
            <w:r w:rsidRPr="0038423C">
              <w:rPr>
                <w:b/>
                <w:bCs/>
                <w:lang w:val="ru-RU"/>
              </w:rPr>
              <w:t>Факс</w:t>
            </w:r>
            <w:r w:rsidRPr="0038423C">
              <w:rPr>
                <w:lang w:val="ru-RU"/>
              </w:rPr>
              <w:t>:</w:t>
            </w:r>
            <w:r w:rsidR="00867192" w:rsidRPr="0038423C">
              <w:rPr>
                <w:lang w:val="ru-RU"/>
              </w:rPr>
              <w:br/>
            </w:r>
            <w:r w:rsidRPr="0038423C">
              <w:rPr>
                <w:b/>
                <w:bCs/>
                <w:lang w:val="ru-RU"/>
              </w:rPr>
              <w:t>Эл. почта</w:t>
            </w:r>
            <w:r w:rsidRPr="0038423C">
              <w:rPr>
                <w:lang w:val="ru-RU"/>
              </w:rPr>
              <w:t>:</w:t>
            </w:r>
          </w:p>
        </w:tc>
        <w:tc>
          <w:tcPr>
            <w:tcW w:w="3544" w:type="dxa"/>
          </w:tcPr>
          <w:p w14:paraId="60989045" w14:textId="60862A9F" w:rsidR="001629DC" w:rsidRPr="0038423C" w:rsidRDefault="009C743B" w:rsidP="008526FF">
            <w:pPr>
              <w:spacing w:before="0"/>
              <w:rPr>
                <w:lang w:val="ru-RU"/>
              </w:rPr>
            </w:pPr>
            <w:r w:rsidRPr="0078395B">
              <w:rPr>
                <w:szCs w:val="22"/>
              </w:rPr>
              <w:t>+41 22 730 6301</w:t>
            </w:r>
            <w:r w:rsidR="001629DC" w:rsidRPr="0038423C">
              <w:rPr>
                <w:lang w:val="ru-RU"/>
              </w:rPr>
              <w:br/>
            </w:r>
            <w:r w:rsidRPr="0078395B">
              <w:rPr>
                <w:szCs w:val="22"/>
              </w:rPr>
              <w:t>+41 22 730 5853</w:t>
            </w:r>
            <w:r w:rsidR="00867192" w:rsidRPr="0038423C">
              <w:rPr>
                <w:lang w:val="ru-RU"/>
              </w:rPr>
              <w:br/>
            </w:r>
            <w:hyperlink r:id="rId9" w:history="1">
              <w:r w:rsidR="00DA76B3" w:rsidRPr="00DA76B3">
                <w:rPr>
                  <w:rStyle w:val="Hyperlink"/>
                  <w:lang w:val="ru-RU"/>
                </w:rPr>
                <w:t>tsbsg20@itu.int</w:t>
              </w:r>
            </w:hyperlink>
          </w:p>
        </w:tc>
        <w:tc>
          <w:tcPr>
            <w:tcW w:w="4809" w:type="dxa"/>
          </w:tcPr>
          <w:p w14:paraId="57E38B05" w14:textId="77777777" w:rsidR="001629DC" w:rsidRPr="0038423C" w:rsidRDefault="001629DC" w:rsidP="00B54B88">
            <w:pPr>
              <w:tabs>
                <w:tab w:val="clear" w:pos="794"/>
                <w:tab w:val="clear" w:pos="1191"/>
                <w:tab w:val="clear" w:pos="1588"/>
                <w:tab w:val="clear" w:pos="1985"/>
                <w:tab w:val="left" w:pos="284"/>
              </w:tabs>
              <w:spacing w:before="0"/>
              <w:ind w:left="284" w:hanging="284"/>
              <w:rPr>
                <w:lang w:val="ru-RU"/>
              </w:rPr>
            </w:pPr>
            <w:r w:rsidRPr="0038423C">
              <w:rPr>
                <w:b/>
                <w:bCs/>
                <w:lang w:val="ru-RU"/>
              </w:rPr>
              <w:t>Копии</w:t>
            </w:r>
            <w:r w:rsidRPr="0038423C">
              <w:rPr>
                <w:lang w:val="ru-RU"/>
              </w:rPr>
              <w:t>:</w:t>
            </w:r>
          </w:p>
          <w:p w14:paraId="4F59247E" w14:textId="5912AA20" w:rsidR="007D1544" w:rsidRPr="0038423C" w:rsidRDefault="007D1544" w:rsidP="007D1544">
            <w:pPr>
              <w:tabs>
                <w:tab w:val="clear" w:pos="794"/>
                <w:tab w:val="clear" w:pos="1191"/>
                <w:tab w:val="clear" w:pos="1588"/>
                <w:tab w:val="clear" w:pos="1985"/>
                <w:tab w:val="left" w:pos="284"/>
              </w:tabs>
              <w:spacing w:before="0"/>
              <w:ind w:left="284" w:hanging="284"/>
              <w:rPr>
                <w:lang w:val="ru-RU"/>
              </w:rPr>
            </w:pPr>
            <w:r w:rsidRPr="0038423C">
              <w:rPr>
                <w:lang w:val="ru-RU"/>
              </w:rPr>
              <w:t>–</w:t>
            </w:r>
            <w:r w:rsidRPr="0038423C">
              <w:rPr>
                <w:lang w:val="ru-RU"/>
              </w:rPr>
              <w:tab/>
              <w:t>Членам Сектора МСЭ-Т</w:t>
            </w:r>
          </w:p>
          <w:p w14:paraId="29D9E245" w14:textId="48F9232C" w:rsidR="007D1544" w:rsidRPr="0038423C" w:rsidRDefault="007D1544" w:rsidP="00E82757">
            <w:pPr>
              <w:tabs>
                <w:tab w:val="clear" w:pos="794"/>
                <w:tab w:val="clear" w:pos="1191"/>
                <w:tab w:val="clear" w:pos="1588"/>
                <w:tab w:val="clear" w:pos="1985"/>
                <w:tab w:val="left" w:pos="284"/>
              </w:tabs>
              <w:spacing w:before="0"/>
              <w:ind w:left="284" w:hanging="284"/>
              <w:rPr>
                <w:lang w:val="ru-RU"/>
              </w:rPr>
            </w:pPr>
            <w:r w:rsidRPr="0038423C">
              <w:rPr>
                <w:lang w:val="ru-RU"/>
              </w:rPr>
              <w:t>–</w:t>
            </w:r>
            <w:r w:rsidRPr="0038423C">
              <w:rPr>
                <w:lang w:val="ru-RU"/>
              </w:rPr>
              <w:tab/>
            </w:r>
            <w:r w:rsidR="00B533DE" w:rsidRPr="00B533DE">
              <w:rPr>
                <w:lang w:val="ru-RU"/>
              </w:rPr>
              <w:t>Ассоциированным членам 20</w:t>
            </w:r>
            <w:r w:rsidR="00B533DE" w:rsidRPr="00B533DE">
              <w:rPr>
                <w:lang w:val="ru-RU"/>
              </w:rPr>
              <w:noBreakHyphen/>
              <w:t>й Исследовательской комиссии МСЭ-Т</w:t>
            </w:r>
          </w:p>
          <w:p w14:paraId="26CA4B82" w14:textId="1FD26801" w:rsidR="007D1544" w:rsidRPr="0038423C" w:rsidRDefault="007D1544" w:rsidP="007D1544">
            <w:pPr>
              <w:tabs>
                <w:tab w:val="clear" w:pos="794"/>
                <w:tab w:val="clear" w:pos="1191"/>
                <w:tab w:val="clear" w:pos="1588"/>
                <w:tab w:val="clear" w:pos="1985"/>
                <w:tab w:val="left" w:pos="284"/>
              </w:tabs>
              <w:spacing w:before="0"/>
              <w:ind w:left="284" w:hanging="284"/>
              <w:rPr>
                <w:lang w:val="ru-RU"/>
              </w:rPr>
            </w:pPr>
            <w:r w:rsidRPr="0038423C">
              <w:rPr>
                <w:lang w:val="ru-RU"/>
              </w:rPr>
              <w:t>–</w:t>
            </w:r>
            <w:r w:rsidRPr="0038423C">
              <w:rPr>
                <w:lang w:val="ru-RU"/>
              </w:rPr>
              <w:tab/>
              <w:t>Академическим организациям − Членам МСЭ</w:t>
            </w:r>
          </w:p>
          <w:p w14:paraId="39BF76EB" w14:textId="181C0B33" w:rsidR="007D1544" w:rsidRPr="0038423C" w:rsidRDefault="00E67E1D" w:rsidP="0095157E">
            <w:pPr>
              <w:tabs>
                <w:tab w:val="clear" w:pos="794"/>
                <w:tab w:val="clear" w:pos="1191"/>
                <w:tab w:val="clear" w:pos="1588"/>
                <w:tab w:val="clear" w:pos="1985"/>
                <w:tab w:val="left" w:pos="284"/>
              </w:tabs>
              <w:spacing w:before="0"/>
              <w:ind w:left="284" w:hanging="284"/>
              <w:rPr>
                <w:lang w:val="ru-RU"/>
              </w:rPr>
            </w:pPr>
            <w:r w:rsidRPr="0038423C">
              <w:rPr>
                <w:lang w:val="ru-RU"/>
              </w:rPr>
              <w:t>–</w:t>
            </w:r>
            <w:r w:rsidRPr="0038423C">
              <w:rPr>
                <w:lang w:val="ru-RU"/>
              </w:rPr>
              <w:tab/>
              <w:t xml:space="preserve">Председателю и заместителям </w:t>
            </w:r>
            <w:r w:rsidR="00924CCE" w:rsidRPr="0038423C">
              <w:rPr>
                <w:lang w:val="ru-RU"/>
              </w:rPr>
              <w:t>п</w:t>
            </w:r>
            <w:r w:rsidR="000708F5" w:rsidRPr="0038423C">
              <w:rPr>
                <w:lang w:val="ru-RU"/>
              </w:rPr>
              <w:t xml:space="preserve">редседателя </w:t>
            </w:r>
            <w:r w:rsidR="00626515">
              <w:rPr>
                <w:lang w:val="ru-RU"/>
              </w:rPr>
              <w:t>20</w:t>
            </w:r>
            <w:r w:rsidR="00D4378F" w:rsidRPr="0038423C">
              <w:rPr>
                <w:lang w:val="ru-RU"/>
              </w:rPr>
              <w:noBreakHyphen/>
            </w:r>
            <w:r w:rsidR="007D1544" w:rsidRPr="0038423C">
              <w:rPr>
                <w:lang w:val="ru-RU"/>
              </w:rPr>
              <w:t>й Исследовательской комиссии МСЭ-Т</w:t>
            </w:r>
          </w:p>
          <w:p w14:paraId="0141F429" w14:textId="4317BA9F" w:rsidR="007D1544" w:rsidRPr="0038423C" w:rsidRDefault="007D1544" w:rsidP="007D1544">
            <w:pPr>
              <w:tabs>
                <w:tab w:val="clear" w:pos="794"/>
                <w:tab w:val="clear" w:pos="1191"/>
                <w:tab w:val="clear" w:pos="1588"/>
                <w:tab w:val="clear" w:pos="1985"/>
                <w:tab w:val="left" w:pos="284"/>
              </w:tabs>
              <w:spacing w:before="0"/>
              <w:ind w:left="284" w:hanging="284"/>
              <w:rPr>
                <w:lang w:val="ru-RU"/>
              </w:rPr>
            </w:pPr>
            <w:r w:rsidRPr="0038423C">
              <w:rPr>
                <w:lang w:val="ru-RU"/>
              </w:rPr>
              <w:t>–</w:t>
            </w:r>
            <w:r w:rsidRPr="0038423C">
              <w:rPr>
                <w:lang w:val="ru-RU"/>
              </w:rPr>
              <w:tab/>
              <w:t>Директору Бюро развития электросвязи</w:t>
            </w:r>
          </w:p>
          <w:p w14:paraId="5A4073C1" w14:textId="77777777" w:rsidR="001629DC" w:rsidRPr="0038423C" w:rsidRDefault="007D1544" w:rsidP="007D1544">
            <w:pPr>
              <w:tabs>
                <w:tab w:val="clear" w:pos="794"/>
                <w:tab w:val="clear" w:pos="1191"/>
                <w:tab w:val="clear" w:pos="1588"/>
                <w:tab w:val="clear" w:pos="1985"/>
                <w:tab w:val="left" w:pos="284"/>
              </w:tabs>
              <w:spacing w:before="0"/>
              <w:ind w:left="284" w:hanging="284"/>
              <w:rPr>
                <w:lang w:val="ru-RU"/>
              </w:rPr>
            </w:pPr>
            <w:r w:rsidRPr="0038423C">
              <w:rPr>
                <w:lang w:val="ru-RU"/>
              </w:rPr>
              <w:t>–</w:t>
            </w:r>
            <w:r w:rsidRPr="0038423C">
              <w:rPr>
                <w:lang w:val="ru-RU"/>
              </w:rPr>
              <w:tab/>
              <w:t>Директору Бюро радиосвязи</w:t>
            </w:r>
          </w:p>
        </w:tc>
      </w:tr>
    </w:tbl>
    <w:p w14:paraId="6A87D080" w14:textId="77777777" w:rsidR="001629DC" w:rsidRPr="0038423C" w:rsidRDefault="001629DC" w:rsidP="007E0352">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1D6067" w14:paraId="4EE927C7" w14:textId="77777777" w:rsidTr="006555F5">
        <w:trPr>
          <w:cantSplit/>
        </w:trPr>
        <w:tc>
          <w:tcPr>
            <w:tcW w:w="1418" w:type="dxa"/>
          </w:tcPr>
          <w:p w14:paraId="7756A66C" w14:textId="1248118C" w:rsidR="001629DC" w:rsidRPr="0038423C" w:rsidRDefault="001629DC" w:rsidP="00A16F08">
            <w:pPr>
              <w:spacing w:before="0"/>
              <w:ind w:left="-107"/>
              <w:rPr>
                <w:b/>
                <w:bCs/>
                <w:lang w:val="ru-RU"/>
              </w:rPr>
            </w:pPr>
            <w:r w:rsidRPr="0038423C">
              <w:rPr>
                <w:b/>
                <w:bCs/>
                <w:lang w:val="ru-RU"/>
              </w:rPr>
              <w:t>Предмет</w:t>
            </w:r>
            <w:r w:rsidRPr="0038423C">
              <w:rPr>
                <w:lang w:val="ru-RU"/>
              </w:rPr>
              <w:t>:</w:t>
            </w:r>
          </w:p>
        </w:tc>
        <w:tc>
          <w:tcPr>
            <w:tcW w:w="8363" w:type="dxa"/>
          </w:tcPr>
          <w:p w14:paraId="523B7AF7" w14:textId="5F123D42" w:rsidR="001629DC" w:rsidRPr="0038423C" w:rsidRDefault="00B533DE" w:rsidP="00B533DE">
            <w:pPr>
              <w:tabs>
                <w:tab w:val="clear" w:pos="794"/>
                <w:tab w:val="clear" w:pos="1191"/>
                <w:tab w:val="clear" w:pos="1588"/>
                <w:tab w:val="clear" w:pos="1985"/>
              </w:tabs>
              <w:spacing w:before="0"/>
              <w:ind w:right="89"/>
              <w:rPr>
                <w:b/>
                <w:lang w:val="ru-RU"/>
              </w:rPr>
            </w:pPr>
            <w:r w:rsidRPr="00B533DE">
              <w:rPr>
                <w:b/>
                <w:bCs/>
                <w:lang w:val="ru-RU"/>
              </w:rPr>
              <w:t xml:space="preserve">Консультации с Государствами-Членами по проектам новых Рекомендаций МСЭ-T </w:t>
            </w:r>
            <w:r w:rsidRPr="00B533DE">
              <w:rPr>
                <w:b/>
                <w:lang w:val="ru-RU"/>
              </w:rPr>
              <w:t>Y.4506 (ранее Y.DRI-arch), Y.4229 (ранее Y.IoT-SFFS), Y.4230 (ранее Y.EV-charging), Y.4231 (ранее Y.IoT-Vreqs), Y.4232 (ранее Y.IoT-RTPS), Y.4233 (ранее Y.FSPH), Y.4234 (ранее Y.RemoteEd), Y.4222 (ранее Y.smart-evacuation), Y.4507 (ранее Y.arc</w:t>
            </w:r>
            <w:r w:rsidRPr="00B533DE">
              <w:rPr>
                <w:b/>
                <w:lang w:val="ru-RU"/>
              </w:rPr>
              <w:noBreakHyphen/>
              <w:t>psfws), Y.4508 (ранее Y.DPM-alm-fra), Y.4706 (ранее Y.dem-IoT) и Y.4499 (ранее Y.UIM-cs-framework)</w:t>
            </w:r>
            <w:r w:rsidRPr="00B533DE">
              <w:rPr>
                <w:b/>
                <w:bCs/>
                <w:lang w:val="ru-RU"/>
              </w:rPr>
              <w:t>, по которым сделано заключение и которые предложены для утверждения на собрании 20-й Исследовательской комиссии МСЭ-Т (Женева, 15−24 января 2025 г.)</w:t>
            </w:r>
          </w:p>
        </w:tc>
      </w:tr>
    </w:tbl>
    <w:p w14:paraId="61A7D329" w14:textId="733D6329" w:rsidR="007D1544" w:rsidRPr="0038423C" w:rsidRDefault="007D1544" w:rsidP="008E5344">
      <w:pPr>
        <w:pStyle w:val="Normalaftertitle"/>
        <w:spacing w:before="480"/>
        <w:rPr>
          <w:lang w:val="ru-RU"/>
        </w:rPr>
      </w:pPr>
      <w:r w:rsidRPr="0038423C">
        <w:rPr>
          <w:lang w:val="ru-RU"/>
        </w:rPr>
        <w:t>Уважаемая госпожа,</w:t>
      </w:r>
      <w:r w:rsidRPr="0038423C">
        <w:rPr>
          <w:lang w:val="ru-RU"/>
        </w:rPr>
        <w:br/>
        <w:t>уважаемый господин,</w:t>
      </w:r>
    </w:p>
    <w:p w14:paraId="3E8AF3A0" w14:textId="77777777" w:rsidR="00B533DE" w:rsidRPr="00877259" w:rsidRDefault="00B533DE" w:rsidP="00B533DE">
      <w:pPr>
        <w:jc w:val="both"/>
        <w:rPr>
          <w:spacing w:val="-2"/>
          <w:szCs w:val="22"/>
          <w:lang w:val="ru-RU"/>
        </w:rPr>
      </w:pPr>
      <w:r w:rsidRPr="00877259">
        <w:rPr>
          <w:szCs w:val="22"/>
          <w:lang w:val="ru-RU"/>
        </w:rPr>
        <w:t>1</w:t>
      </w:r>
      <w:r w:rsidRPr="00877259">
        <w:rPr>
          <w:szCs w:val="22"/>
          <w:lang w:val="ru-RU"/>
        </w:rPr>
        <w:tab/>
      </w:r>
      <w:r w:rsidRPr="00877259">
        <w:rPr>
          <w:spacing w:val="-2"/>
          <w:szCs w:val="22"/>
          <w:lang w:val="ru-RU"/>
        </w:rPr>
        <w:t>20-я Исследовательская комиссия (ИК20: Интернет вещей (IoT) и "умные" города и сообщества (SC&amp;C)) намерена применить традиционную процедуру утверждения, описанную в разделе 9 Резолюции 1 (Пересм. Женева, 2022 г.) ВАСЭ, для утверждения указанных выше проектов Рекомендаций на своем следующем собрании в Женеве, Швейцария, которое состоится с 15 по 24 января 2025 года. Повестка дня и вся соответствующая информация, касающаяся собрания 20</w:t>
      </w:r>
      <w:r>
        <w:rPr>
          <w:spacing w:val="-2"/>
          <w:szCs w:val="22"/>
          <w:lang w:val="ru-RU"/>
        </w:rPr>
        <w:noBreakHyphen/>
      </w:r>
      <w:r w:rsidRPr="00877259">
        <w:rPr>
          <w:spacing w:val="-2"/>
          <w:szCs w:val="22"/>
          <w:lang w:val="ru-RU"/>
        </w:rPr>
        <w:t>й</w:t>
      </w:r>
      <w:r>
        <w:rPr>
          <w:spacing w:val="-2"/>
          <w:szCs w:val="22"/>
          <w:lang w:val="ru-RU"/>
        </w:rPr>
        <w:t> </w:t>
      </w:r>
      <w:r w:rsidRPr="00877259">
        <w:rPr>
          <w:spacing w:val="-2"/>
          <w:szCs w:val="22"/>
          <w:lang w:val="ru-RU"/>
        </w:rPr>
        <w:t xml:space="preserve">Исследовательской комиссии МСЭ-Т, будут представлены в </w:t>
      </w:r>
      <w:hyperlink r:id="rId10" w:history="1">
        <w:r w:rsidRPr="00877259">
          <w:rPr>
            <w:rStyle w:val="Hyperlink"/>
            <w:spacing w:val="-2"/>
            <w:szCs w:val="22"/>
            <w:lang w:val="ru-RU"/>
          </w:rPr>
          <w:t>Коллективном письме</w:t>
        </w:r>
        <w:r>
          <w:rPr>
            <w:rStyle w:val="Hyperlink"/>
            <w:spacing w:val="-2"/>
            <w:szCs w:val="22"/>
            <w:lang w:val="ru-RU"/>
          </w:rPr>
          <w:t> 5</w:t>
        </w:r>
        <w:r w:rsidRPr="00877259">
          <w:rPr>
            <w:rStyle w:val="Hyperlink"/>
            <w:spacing w:val="-2"/>
            <w:szCs w:val="22"/>
            <w:lang w:val="ru-RU"/>
          </w:rPr>
          <w:t>/20</w:t>
        </w:r>
      </w:hyperlink>
      <w:r w:rsidRPr="00877259">
        <w:rPr>
          <w:spacing w:val="-2"/>
          <w:szCs w:val="22"/>
          <w:lang w:val="ru-RU"/>
        </w:rPr>
        <w:t>.</w:t>
      </w:r>
    </w:p>
    <w:p w14:paraId="73B11917" w14:textId="77777777" w:rsidR="00B533DE" w:rsidRPr="00DA76B3" w:rsidRDefault="00B533DE" w:rsidP="00B533DE">
      <w:pPr>
        <w:jc w:val="both"/>
        <w:rPr>
          <w:szCs w:val="22"/>
          <w:lang w:val="ru-RU"/>
        </w:rPr>
      </w:pPr>
      <w:r w:rsidRPr="00877259">
        <w:rPr>
          <w:szCs w:val="22"/>
          <w:lang w:val="ru-RU"/>
        </w:rPr>
        <w:t>2</w:t>
      </w:r>
      <w:r w:rsidRPr="00877259">
        <w:rPr>
          <w:szCs w:val="22"/>
          <w:lang w:val="ru-RU"/>
        </w:rPr>
        <w:tab/>
        <w:t>Названия, резюме предлагаемых к утверждению проектов Рекомендаций МСЭ-T Y.4506</w:t>
      </w:r>
      <w:r>
        <w:rPr>
          <w:szCs w:val="22"/>
          <w:lang w:val="ru-RU"/>
        </w:rPr>
        <w:t> </w:t>
      </w:r>
      <w:r w:rsidRPr="00877259">
        <w:rPr>
          <w:szCs w:val="22"/>
          <w:lang w:val="ru-RU"/>
        </w:rPr>
        <w:t>(ранее Y.DRI-arch), Y.4229 (ранее Y.IoT-SFFS), Y.4230 (ранее Y.EV-charging), Y.4231</w:t>
      </w:r>
      <w:r>
        <w:rPr>
          <w:szCs w:val="22"/>
          <w:lang w:val="ru-RU"/>
        </w:rPr>
        <w:t> </w:t>
      </w:r>
      <w:r w:rsidRPr="00877259">
        <w:rPr>
          <w:szCs w:val="22"/>
          <w:lang w:val="ru-RU"/>
        </w:rPr>
        <w:t>(ранее</w:t>
      </w:r>
      <w:r>
        <w:rPr>
          <w:szCs w:val="22"/>
          <w:lang w:val="ru-RU"/>
        </w:rPr>
        <w:t> </w:t>
      </w:r>
      <w:r w:rsidRPr="00877259">
        <w:rPr>
          <w:szCs w:val="22"/>
          <w:lang w:val="ru-RU"/>
        </w:rPr>
        <w:t>Y.IoT</w:t>
      </w:r>
      <w:r>
        <w:rPr>
          <w:szCs w:val="22"/>
          <w:lang w:val="ru-RU"/>
        </w:rPr>
        <w:noBreakHyphen/>
      </w:r>
      <w:r w:rsidRPr="00877259">
        <w:rPr>
          <w:szCs w:val="22"/>
          <w:lang w:val="ru-RU"/>
        </w:rPr>
        <w:t>Vreqs), Y.4232 (ранее Y.IoT-RTPS), Y.4233 (ранее Y.FSPH), Y.4234</w:t>
      </w:r>
      <w:r>
        <w:rPr>
          <w:szCs w:val="22"/>
          <w:lang w:val="ru-RU"/>
        </w:rPr>
        <w:t> </w:t>
      </w:r>
      <w:r w:rsidRPr="00877259">
        <w:rPr>
          <w:szCs w:val="22"/>
          <w:lang w:val="ru-RU"/>
        </w:rPr>
        <w:t>(ранее</w:t>
      </w:r>
      <w:r>
        <w:rPr>
          <w:szCs w:val="22"/>
          <w:lang w:val="ru-RU"/>
        </w:rPr>
        <w:t> </w:t>
      </w:r>
      <w:r w:rsidRPr="00877259">
        <w:rPr>
          <w:szCs w:val="22"/>
          <w:lang w:val="ru-RU"/>
        </w:rPr>
        <w:t>Y.RemoteEd), Y.4222 (ранее Y.smart-evacuation), Y.4507 (ранее Y.arc-psfws), Y.4508</w:t>
      </w:r>
      <w:r>
        <w:rPr>
          <w:szCs w:val="22"/>
          <w:lang w:val="ru-RU"/>
        </w:rPr>
        <w:t> </w:t>
      </w:r>
      <w:r w:rsidRPr="00877259">
        <w:rPr>
          <w:szCs w:val="22"/>
          <w:lang w:val="ru-RU"/>
        </w:rPr>
        <w:t>(ранее</w:t>
      </w:r>
      <w:r>
        <w:rPr>
          <w:szCs w:val="22"/>
          <w:lang w:val="ru-RU"/>
        </w:rPr>
        <w:t> </w:t>
      </w:r>
      <w:r w:rsidRPr="00877259">
        <w:rPr>
          <w:szCs w:val="22"/>
          <w:lang w:val="ru-RU"/>
        </w:rPr>
        <w:t>Y.DPM-alm-fra), Y.4706</w:t>
      </w:r>
      <w:r>
        <w:rPr>
          <w:szCs w:val="22"/>
          <w:lang w:val="ru-RU"/>
        </w:rPr>
        <w:t> </w:t>
      </w:r>
      <w:r w:rsidRPr="00877259">
        <w:rPr>
          <w:szCs w:val="22"/>
          <w:lang w:val="ru-RU"/>
        </w:rPr>
        <w:t xml:space="preserve">(ранее Y.dem-IoT) </w:t>
      </w:r>
      <w:r>
        <w:rPr>
          <w:szCs w:val="22"/>
          <w:lang w:val="ru-RU"/>
        </w:rPr>
        <w:t>и</w:t>
      </w:r>
      <w:r w:rsidRPr="00877259">
        <w:rPr>
          <w:szCs w:val="22"/>
          <w:lang w:val="ru-RU"/>
        </w:rPr>
        <w:t xml:space="preserve"> Y.4499 (ранее Y.UIM-cs-framework) и</w:t>
      </w:r>
      <w:r>
        <w:rPr>
          <w:szCs w:val="22"/>
          <w:lang w:val="ru-RU"/>
        </w:rPr>
        <w:t> </w:t>
      </w:r>
      <w:r w:rsidRPr="00877259">
        <w:rPr>
          <w:szCs w:val="22"/>
          <w:lang w:val="ru-RU"/>
        </w:rPr>
        <w:t>указание на место их</w:t>
      </w:r>
      <w:r>
        <w:rPr>
          <w:szCs w:val="22"/>
          <w:lang w:val="ru-RU"/>
        </w:rPr>
        <w:t> </w:t>
      </w:r>
      <w:r w:rsidRPr="00877259">
        <w:rPr>
          <w:szCs w:val="22"/>
          <w:lang w:val="ru-RU"/>
        </w:rPr>
        <w:t xml:space="preserve">размещения содержатся в </w:t>
      </w:r>
      <w:r w:rsidRPr="00877259">
        <w:rPr>
          <w:b/>
          <w:bCs/>
          <w:szCs w:val="22"/>
          <w:lang w:val="ru-RU"/>
        </w:rPr>
        <w:t>Приложении 1</w:t>
      </w:r>
      <w:r w:rsidRPr="00DA76B3">
        <w:rPr>
          <w:szCs w:val="22"/>
          <w:lang w:val="ru-RU"/>
        </w:rPr>
        <w:t>.</w:t>
      </w:r>
    </w:p>
    <w:p w14:paraId="6C1C6AA2" w14:textId="77777777" w:rsidR="00B533DE" w:rsidRPr="00877259" w:rsidRDefault="00B533DE" w:rsidP="00B533DE">
      <w:pPr>
        <w:jc w:val="both"/>
        <w:rPr>
          <w:szCs w:val="22"/>
          <w:lang w:val="ru-RU"/>
        </w:rPr>
      </w:pPr>
      <w:r w:rsidRPr="00877259">
        <w:rPr>
          <w:szCs w:val="22"/>
          <w:lang w:val="ru-RU"/>
        </w:rPr>
        <w:t>3</w:t>
      </w:r>
      <w:r w:rsidRPr="00877259">
        <w:rPr>
          <w:szCs w:val="22"/>
          <w:lang w:val="ru-RU"/>
        </w:rPr>
        <w:tab/>
        <w:t xml:space="preserve">Настоящий Циркуляр открывает официальные консультации с Государствами – Членами МСЭ относительно возможности рассмотрения этих текстов с целью их утверждения на предстоящем собрании в соответствии с п. 9.4 Резолюции 1. Государствам-Членам предлагается заполнить содержащуюся в Приложении 2 форму и вернуть ее не позднее 23 час. 59 мин. UTC </w:t>
      </w:r>
      <w:r w:rsidRPr="00877259">
        <w:rPr>
          <w:b/>
          <w:bCs/>
          <w:szCs w:val="22"/>
          <w:lang w:val="ru-RU"/>
        </w:rPr>
        <w:t>3 января 2025 года</w:t>
      </w:r>
      <w:r w:rsidRPr="00877259">
        <w:rPr>
          <w:szCs w:val="22"/>
          <w:lang w:val="ru-RU"/>
        </w:rPr>
        <w:t xml:space="preserve">. </w:t>
      </w:r>
    </w:p>
    <w:p w14:paraId="1933BC9E" w14:textId="77777777" w:rsidR="00B533DE" w:rsidRPr="00877259" w:rsidRDefault="00B533DE" w:rsidP="00B533DE">
      <w:pPr>
        <w:jc w:val="both"/>
        <w:rPr>
          <w:szCs w:val="22"/>
          <w:lang w:val="ru-RU"/>
        </w:rPr>
      </w:pPr>
      <w:r w:rsidRPr="00877259">
        <w:rPr>
          <w:szCs w:val="22"/>
          <w:lang w:val="ru-RU"/>
        </w:rPr>
        <w:t>4</w:t>
      </w:r>
      <w:r w:rsidRPr="00877259">
        <w:rPr>
          <w:szCs w:val="22"/>
          <w:lang w:val="ru-RU"/>
        </w:rPr>
        <w:tab/>
        <w:t xml:space="preserve">Если в своих ответах 70% или более Государств-Членов поддержат рассмотрение с целью утверждения, то одно пленарное заседание будет посвящено применению процедуры утверждения. Государства-Члены, которые не предоставят полномочий для осуществления процедуры, должны </w:t>
      </w:r>
      <w:r w:rsidRPr="00877259">
        <w:rPr>
          <w:szCs w:val="22"/>
          <w:lang w:val="ru-RU"/>
        </w:rPr>
        <w:lastRenderedPageBreak/>
        <w:t>сообщить Директору БСЭ причины такого мнения и указать, какие возможные изменения могли бы способствовать продолжению работы.</w:t>
      </w:r>
    </w:p>
    <w:p w14:paraId="70D7C54C" w14:textId="77777777" w:rsidR="00B533DE" w:rsidRPr="00877259" w:rsidRDefault="00B533DE" w:rsidP="00B533DE">
      <w:pPr>
        <w:keepNext/>
        <w:jc w:val="both"/>
        <w:rPr>
          <w:szCs w:val="22"/>
          <w:lang w:val="ru-RU"/>
        </w:rPr>
      </w:pPr>
      <w:r w:rsidRPr="00877259">
        <w:rPr>
          <w:szCs w:val="22"/>
          <w:lang w:val="ru-RU"/>
        </w:rPr>
        <w:t>ПРИМЕЧАНИЕ 1. – На дату настоящего Циркуляра БСЭ не получило заявлений по ПИС, касающихся этих проектов текстов. Для получения актуальной информации членам предлагается обращаться к</w:t>
      </w:r>
      <w:r>
        <w:rPr>
          <w:szCs w:val="22"/>
          <w:lang w:val="ru-RU"/>
        </w:rPr>
        <w:t> </w:t>
      </w:r>
      <w:r w:rsidRPr="00877259">
        <w:rPr>
          <w:szCs w:val="22"/>
          <w:lang w:val="ru-RU"/>
        </w:rPr>
        <w:t xml:space="preserve">базе данных ПИС по адресу: </w:t>
      </w:r>
      <w:hyperlink r:id="rId11" w:history="1">
        <w:r w:rsidRPr="00877259">
          <w:rPr>
            <w:rStyle w:val="Hyperlink"/>
            <w:szCs w:val="22"/>
            <w:lang w:val="ru-RU"/>
          </w:rPr>
          <w:t>www.itu.int/ipr/</w:t>
        </w:r>
      </w:hyperlink>
      <w:r w:rsidRPr="00877259">
        <w:rPr>
          <w:szCs w:val="22"/>
          <w:lang w:val="ru-RU"/>
        </w:rPr>
        <w:t>.</w:t>
      </w:r>
    </w:p>
    <w:p w14:paraId="3691FB2C" w14:textId="3D4565DA" w:rsidR="006D34FD" w:rsidRPr="0038423C" w:rsidRDefault="006D34FD" w:rsidP="00B51A92">
      <w:pPr>
        <w:spacing w:before="360"/>
        <w:jc w:val="both"/>
        <w:rPr>
          <w:lang w:val="ru-RU"/>
        </w:rPr>
      </w:pPr>
      <w:r w:rsidRPr="0038423C">
        <w:rPr>
          <w:lang w:val="ru-RU"/>
        </w:rPr>
        <w:t>С уважением,</w:t>
      </w:r>
    </w:p>
    <w:p w14:paraId="24DCD3F0" w14:textId="2A61385C" w:rsidR="00A74A82" w:rsidRPr="0038423C" w:rsidRDefault="000972B0" w:rsidP="001D6067">
      <w:pPr>
        <w:keepNext/>
        <w:keepLines/>
        <w:spacing w:before="840"/>
        <w:rPr>
          <w:szCs w:val="22"/>
          <w:lang w:val="ru-RU"/>
        </w:rPr>
      </w:pPr>
      <w:r>
        <w:rPr>
          <w:noProof/>
          <w:szCs w:val="22"/>
          <w:lang w:val="ru-RU"/>
        </w:rPr>
        <w:drawing>
          <wp:anchor distT="0" distB="0" distL="114300" distR="114300" simplePos="0" relativeHeight="251658240" behindDoc="1" locked="0" layoutInCell="1" allowOverlap="1" wp14:anchorId="482F9F08" wp14:editId="23B62700">
            <wp:simplePos x="0" y="0"/>
            <wp:positionH relativeFrom="column">
              <wp:posOffset>3810</wp:posOffset>
            </wp:positionH>
            <wp:positionV relativeFrom="paragraph">
              <wp:posOffset>95885</wp:posOffset>
            </wp:positionV>
            <wp:extent cx="746039" cy="400050"/>
            <wp:effectExtent l="0" t="0" r="0" b="0"/>
            <wp:wrapNone/>
            <wp:docPr id="105785628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56281" name="Picture 2"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46039" cy="400050"/>
                    </a:xfrm>
                    <a:prstGeom prst="rect">
                      <a:avLst/>
                    </a:prstGeom>
                  </pic:spPr>
                </pic:pic>
              </a:graphicData>
            </a:graphic>
            <wp14:sizeRelH relativeFrom="margin">
              <wp14:pctWidth>0</wp14:pctWidth>
            </wp14:sizeRelH>
            <wp14:sizeRelV relativeFrom="margin">
              <wp14:pctHeight>0</wp14:pctHeight>
            </wp14:sizeRelV>
          </wp:anchor>
        </w:drawing>
      </w:r>
      <w:r w:rsidR="005A6BFA">
        <w:rPr>
          <w:szCs w:val="22"/>
          <w:lang w:val="ru-RU"/>
        </w:rPr>
        <w:t>Сейдзо Оноэ</w:t>
      </w:r>
      <w:r w:rsidR="005A6BFA">
        <w:rPr>
          <w:szCs w:val="22"/>
          <w:lang w:val="ru-RU"/>
        </w:rPr>
        <w:br/>
      </w:r>
      <w:r w:rsidR="00A74A82" w:rsidRPr="0038423C">
        <w:rPr>
          <w:szCs w:val="22"/>
          <w:lang w:val="ru-RU"/>
        </w:rPr>
        <w:t>Директор Бюро</w:t>
      </w:r>
      <w:r w:rsidR="00A74A82" w:rsidRPr="0038423C">
        <w:rPr>
          <w:szCs w:val="22"/>
          <w:lang w:val="ru-RU"/>
        </w:rPr>
        <w:br/>
        <w:t>стандартизации электросвязи</w:t>
      </w:r>
    </w:p>
    <w:p w14:paraId="60F24A90" w14:textId="1BB39528" w:rsidR="00532367" w:rsidRPr="0038423C" w:rsidRDefault="00532367" w:rsidP="0024594A">
      <w:pPr>
        <w:spacing w:before="1440"/>
        <w:rPr>
          <w:szCs w:val="22"/>
          <w:lang w:val="ru-RU"/>
        </w:rPr>
      </w:pPr>
      <w:r w:rsidRPr="0038423C">
        <w:rPr>
          <w:b/>
          <w:bCs/>
          <w:szCs w:val="22"/>
          <w:lang w:val="ru-RU"/>
        </w:rPr>
        <w:t>Приложения</w:t>
      </w:r>
      <w:r w:rsidRPr="0038423C">
        <w:rPr>
          <w:szCs w:val="22"/>
          <w:lang w:val="ru-RU"/>
        </w:rPr>
        <w:t>: 2</w:t>
      </w:r>
    </w:p>
    <w:p w14:paraId="536DD973" w14:textId="383BFA47" w:rsidR="00532367" w:rsidRPr="0038423C" w:rsidRDefault="00532367">
      <w:pPr>
        <w:tabs>
          <w:tab w:val="clear" w:pos="794"/>
          <w:tab w:val="clear" w:pos="1191"/>
          <w:tab w:val="clear" w:pos="1588"/>
          <w:tab w:val="clear" w:pos="1985"/>
        </w:tabs>
        <w:spacing w:before="0"/>
        <w:rPr>
          <w:szCs w:val="22"/>
          <w:lang w:val="ru-RU"/>
        </w:rPr>
      </w:pPr>
      <w:r w:rsidRPr="0038423C">
        <w:rPr>
          <w:szCs w:val="22"/>
          <w:lang w:val="ru-RU"/>
        </w:rPr>
        <w:br w:type="page"/>
      </w:r>
    </w:p>
    <w:p w14:paraId="0EC4D5E8" w14:textId="6E138753" w:rsidR="008E5344" w:rsidRPr="0038423C" w:rsidRDefault="008E5344" w:rsidP="008E5344">
      <w:pPr>
        <w:pStyle w:val="AnnexNo"/>
        <w:rPr>
          <w:lang w:val="ru-RU"/>
        </w:rPr>
      </w:pPr>
      <w:r w:rsidRPr="0038423C">
        <w:rPr>
          <w:lang w:val="ru-RU"/>
        </w:rPr>
        <w:lastRenderedPageBreak/>
        <w:t>ПРИЛОЖЕНИЕ 1</w:t>
      </w:r>
    </w:p>
    <w:p w14:paraId="7EA3EDC7" w14:textId="77777777" w:rsidR="00B533DE" w:rsidRPr="00877259" w:rsidRDefault="00B533DE" w:rsidP="00B533DE">
      <w:pPr>
        <w:pStyle w:val="Annextitle0"/>
        <w:spacing w:before="0"/>
        <w:rPr>
          <w:szCs w:val="26"/>
          <w:lang w:val="ru-RU"/>
        </w:rPr>
      </w:pPr>
      <w:r w:rsidRPr="00877259">
        <w:rPr>
          <w:bCs/>
          <w:szCs w:val="26"/>
          <w:lang w:val="ru-RU"/>
        </w:rPr>
        <w:t xml:space="preserve">Резюме и указание на место размещения проектов новых Рекомендаций МСЭ-T </w:t>
      </w:r>
      <w:bookmarkStart w:id="0" w:name="_Hlk181181375"/>
      <w:r w:rsidRPr="00877259">
        <w:rPr>
          <w:szCs w:val="26"/>
          <w:lang w:val="ru-RU"/>
        </w:rPr>
        <w:t>Y.4506 (ранее Y.DRI-arch), Y.4229 (ранее Y.IoT-SFFS), Y.4230 (ранее Y.EV-charging), Y.4231 (ранее Y.IoT-Vreqs), Y.4232 (ранее Y.IoT-RTPS), Y.4233 (ранее Y.FSPH), Y.4234</w:t>
      </w:r>
      <w:r>
        <w:rPr>
          <w:szCs w:val="26"/>
          <w:lang w:val="ru-RU"/>
        </w:rPr>
        <w:t> </w:t>
      </w:r>
      <w:r w:rsidRPr="00877259">
        <w:rPr>
          <w:szCs w:val="26"/>
          <w:lang w:val="ru-RU"/>
        </w:rPr>
        <w:t xml:space="preserve">(ранее Y.RemoteEd), Y.4222 (ранее Y.smart-evacuation), </w:t>
      </w:r>
      <w:r>
        <w:rPr>
          <w:szCs w:val="26"/>
          <w:lang w:val="ru-RU"/>
        </w:rPr>
        <w:br/>
      </w:r>
      <w:r w:rsidRPr="00877259">
        <w:rPr>
          <w:szCs w:val="26"/>
          <w:lang w:val="ru-RU"/>
        </w:rPr>
        <w:t xml:space="preserve">Y.4507 (ранее Y.arc-psfws), Y.4508 (ранее Y.DPM-alm-fra), Y.4706 (ранее Y.dem-IoT) </w:t>
      </w:r>
      <w:r>
        <w:rPr>
          <w:szCs w:val="26"/>
          <w:lang w:val="ru-RU"/>
        </w:rPr>
        <w:t>и </w:t>
      </w:r>
      <w:r w:rsidRPr="00877259">
        <w:rPr>
          <w:szCs w:val="26"/>
          <w:lang w:val="ru-RU"/>
        </w:rPr>
        <w:t>Y.4499 (ранее Y.UIM-cs-framework)</w:t>
      </w:r>
      <w:r w:rsidRPr="00877259">
        <w:rPr>
          <w:bCs/>
          <w:szCs w:val="26"/>
          <w:lang w:val="ru-RU"/>
        </w:rPr>
        <w:t>, по которым сделано заключение</w:t>
      </w:r>
      <w:r w:rsidRPr="00877259">
        <w:rPr>
          <w:szCs w:val="26"/>
          <w:lang w:val="ru-RU"/>
        </w:rPr>
        <w:t xml:space="preserve"> </w:t>
      </w:r>
      <w:bookmarkEnd w:id="0"/>
    </w:p>
    <w:p w14:paraId="71E5F250" w14:textId="77777777" w:rsidR="00B533DE" w:rsidRPr="001021D8" w:rsidRDefault="00B533DE" w:rsidP="00B533DE">
      <w:pPr>
        <w:pStyle w:val="Heading1"/>
        <w:rPr>
          <w:lang w:val="ru-RU"/>
        </w:rPr>
      </w:pPr>
      <w:r w:rsidRPr="001021D8">
        <w:rPr>
          <w:lang w:val="ru-RU"/>
        </w:rPr>
        <w:t>1</w:t>
      </w:r>
      <w:r w:rsidRPr="001021D8">
        <w:rPr>
          <w:lang w:val="ru-RU"/>
        </w:rPr>
        <w:tab/>
        <w:t xml:space="preserve">Проект новой Рекомендации МСЭ-Т </w:t>
      </w:r>
      <w:r w:rsidRPr="00877259">
        <w:t>Y</w:t>
      </w:r>
      <w:r w:rsidRPr="001021D8">
        <w:rPr>
          <w:lang w:val="ru-RU"/>
        </w:rPr>
        <w:t xml:space="preserve">.4506 (ранее </w:t>
      </w:r>
      <w:r w:rsidRPr="00877259">
        <w:t>Y</w:t>
      </w:r>
      <w:r w:rsidRPr="001021D8">
        <w:rPr>
          <w:lang w:val="ru-RU"/>
        </w:rPr>
        <w:t>.</w:t>
      </w:r>
      <w:r w:rsidRPr="00877259">
        <w:t>DRI</w:t>
      </w:r>
      <w:r w:rsidRPr="001021D8">
        <w:rPr>
          <w:lang w:val="ru-RU"/>
        </w:rPr>
        <w:t>-</w:t>
      </w:r>
      <w:r w:rsidRPr="00877259">
        <w:t>arch</w:t>
      </w:r>
      <w:r w:rsidRPr="001021D8">
        <w:rPr>
          <w:lang w:val="ru-RU"/>
        </w:rPr>
        <w:t>): [</w:t>
      </w:r>
      <w:hyperlink r:id="rId13" w:history="1">
        <w:r w:rsidRPr="00877259">
          <w:rPr>
            <w:rStyle w:val="Hyperlink"/>
            <w:rFonts w:cs="Calibri"/>
            <w:szCs w:val="22"/>
            <w:lang w:val="ru-RU"/>
          </w:rPr>
          <w:t>R21</w:t>
        </w:r>
      </w:hyperlink>
      <w:r w:rsidRPr="001021D8">
        <w:rPr>
          <w:lang w:val="ru-RU"/>
        </w:rPr>
        <w:t>]</w:t>
      </w:r>
    </w:p>
    <w:p w14:paraId="1D8DCD31" w14:textId="77777777" w:rsidR="00B533DE" w:rsidRPr="001021D8" w:rsidRDefault="00B533DE" w:rsidP="00B533DE">
      <w:pPr>
        <w:pStyle w:val="Headingb"/>
        <w:rPr>
          <w:lang w:val="ru-RU"/>
        </w:rPr>
      </w:pPr>
      <w:r w:rsidRPr="001021D8">
        <w:rPr>
          <w:lang w:val="ru-RU"/>
        </w:rPr>
        <w:t>Эталонная архитектура для взаимодействия автономных городских роботов-доставщиков</w:t>
      </w:r>
    </w:p>
    <w:p w14:paraId="64059A74" w14:textId="77777777" w:rsidR="00B533DE" w:rsidRPr="001021D8" w:rsidRDefault="00B533DE" w:rsidP="00B533DE">
      <w:pPr>
        <w:pStyle w:val="Headingb"/>
        <w:rPr>
          <w:lang w:val="ru-RU"/>
        </w:rPr>
      </w:pPr>
      <w:r w:rsidRPr="001021D8">
        <w:rPr>
          <w:lang w:val="ru-RU"/>
        </w:rPr>
        <w:t>Резюме</w:t>
      </w:r>
    </w:p>
    <w:p w14:paraId="4603432F" w14:textId="77777777" w:rsidR="00B533DE" w:rsidRPr="00877259" w:rsidRDefault="00B533DE" w:rsidP="00B533DE">
      <w:pPr>
        <w:tabs>
          <w:tab w:val="clear" w:pos="1191"/>
          <w:tab w:val="left" w:pos="0"/>
        </w:tabs>
        <w:outlineLvl w:val="0"/>
        <w:rPr>
          <w:rFonts w:eastAsia="Malgun Gothic" w:cs="Calibri"/>
          <w:iCs/>
          <w:szCs w:val="22"/>
          <w:lang w:val="ru-RU" w:eastAsia="ko-KR"/>
        </w:rPr>
      </w:pPr>
      <w:r w:rsidRPr="00877259">
        <w:rPr>
          <w:rFonts w:eastAsia="Malgun Gothic" w:cs="Calibri"/>
          <w:iCs/>
          <w:szCs w:val="22"/>
          <w:lang w:val="ru-RU" w:eastAsia="ko-KR"/>
        </w:rPr>
        <w:t>В настоящей Рекомендации определена основанная на Рекомендации МСЭ-T Y.4607 эталонная архитектура для автономных роботов-доставщиков, которые взаимодействуют с поставщиком услуг роботов-доставщиков, пользовательскими устройствами и городской инфраструктурой с целью упрощения доставки товаров без участия человека.</w:t>
      </w:r>
    </w:p>
    <w:p w14:paraId="06354343" w14:textId="77777777" w:rsidR="00B533DE" w:rsidRPr="001021D8" w:rsidRDefault="00B533DE" w:rsidP="00B533DE">
      <w:pPr>
        <w:pStyle w:val="Heading1"/>
        <w:rPr>
          <w:lang w:val="ru-RU"/>
        </w:rPr>
      </w:pPr>
      <w:r w:rsidRPr="001021D8">
        <w:rPr>
          <w:lang w:val="ru-RU"/>
        </w:rPr>
        <w:t>2</w:t>
      </w:r>
      <w:r w:rsidRPr="001021D8">
        <w:rPr>
          <w:lang w:val="ru-RU"/>
        </w:rPr>
        <w:tab/>
        <w:t xml:space="preserve">Проект новой Рекомендации МСЭ-Т </w:t>
      </w:r>
      <w:r w:rsidRPr="00877259">
        <w:t>Y</w:t>
      </w:r>
      <w:r w:rsidRPr="001021D8">
        <w:rPr>
          <w:lang w:val="ru-RU"/>
        </w:rPr>
        <w:t xml:space="preserve">.4229 (ранее </w:t>
      </w:r>
      <w:r w:rsidRPr="00877259">
        <w:t>Y</w:t>
      </w:r>
      <w:r w:rsidRPr="001021D8">
        <w:rPr>
          <w:lang w:val="ru-RU"/>
        </w:rPr>
        <w:t>.</w:t>
      </w:r>
      <w:r w:rsidRPr="00877259">
        <w:t>IoT</w:t>
      </w:r>
      <w:r w:rsidRPr="001021D8">
        <w:rPr>
          <w:lang w:val="ru-RU"/>
        </w:rPr>
        <w:t>-</w:t>
      </w:r>
      <w:r w:rsidRPr="00877259">
        <w:t>SFFS</w:t>
      </w:r>
      <w:r w:rsidRPr="001021D8">
        <w:rPr>
          <w:lang w:val="ru-RU"/>
        </w:rPr>
        <w:t>): [</w:t>
      </w:r>
      <w:hyperlink r:id="rId14" w:history="1">
        <w:r w:rsidRPr="00877259">
          <w:rPr>
            <w:rStyle w:val="Hyperlink"/>
            <w:rFonts w:cs="Calibri"/>
            <w:szCs w:val="22"/>
            <w:lang w:val="ru-RU"/>
          </w:rPr>
          <w:t>R22</w:t>
        </w:r>
      </w:hyperlink>
      <w:r w:rsidRPr="001021D8">
        <w:rPr>
          <w:lang w:val="ru-RU"/>
        </w:rPr>
        <w:t>]</w:t>
      </w:r>
    </w:p>
    <w:p w14:paraId="44620501" w14:textId="77777777" w:rsidR="00B533DE" w:rsidRPr="001021D8" w:rsidRDefault="00B533DE" w:rsidP="00B533DE">
      <w:pPr>
        <w:pStyle w:val="Headingb"/>
        <w:rPr>
          <w:lang w:val="ru-RU"/>
        </w:rPr>
      </w:pPr>
      <w:r w:rsidRPr="001021D8">
        <w:rPr>
          <w:lang w:val="ru-RU"/>
        </w:rPr>
        <w:t xml:space="preserve">Требования к "умной" системе тушения лесных пожаров на основе </w:t>
      </w:r>
      <w:r w:rsidRPr="00877259">
        <w:t>IoT</w:t>
      </w:r>
      <w:r w:rsidRPr="001021D8">
        <w:rPr>
          <w:lang w:val="ru-RU"/>
        </w:rPr>
        <w:t xml:space="preserve"> и ее эталонная функциональная модель</w:t>
      </w:r>
    </w:p>
    <w:p w14:paraId="7F66E2E2" w14:textId="77777777" w:rsidR="00B533DE" w:rsidRPr="001021D8" w:rsidRDefault="00B533DE" w:rsidP="00B533DE">
      <w:pPr>
        <w:pStyle w:val="Headingb"/>
        <w:rPr>
          <w:lang w:val="ru-RU"/>
        </w:rPr>
      </w:pPr>
      <w:r w:rsidRPr="001021D8">
        <w:rPr>
          <w:lang w:val="ru-RU"/>
        </w:rPr>
        <w:t>Резюме</w:t>
      </w:r>
    </w:p>
    <w:p w14:paraId="291AEB0B" w14:textId="77777777" w:rsidR="00B533DE" w:rsidRPr="00877259" w:rsidRDefault="00B533DE" w:rsidP="00B533DE">
      <w:pPr>
        <w:rPr>
          <w:rFonts w:cs="Calibri"/>
          <w:szCs w:val="22"/>
          <w:lang w:val="ru-RU" w:eastAsia="zh-CN"/>
        </w:rPr>
      </w:pPr>
      <w:bookmarkStart w:id="1" w:name="_Hlk53129002"/>
      <w:r w:rsidRPr="00877259">
        <w:rPr>
          <w:rFonts w:cs="Calibri"/>
          <w:szCs w:val="22"/>
          <w:lang w:val="ru-RU" w:eastAsia="zh-CN"/>
        </w:rPr>
        <w:t>В Рекомендации Y.4229 представлена "умная" система тушения лесных пожаров на основе интернета вещей (IoT), для которой определена эталонная функциональная модель и требования. Рекомендация Y.4229 предназначена в качестве руководства при проектировании, разработке и реализации основанной на IoT "умной" системы пожаротушения лесов.</w:t>
      </w:r>
    </w:p>
    <w:p w14:paraId="08B7D10D" w14:textId="77777777" w:rsidR="00B533DE" w:rsidRPr="00877259" w:rsidRDefault="00B533DE" w:rsidP="00B533DE">
      <w:pPr>
        <w:rPr>
          <w:rFonts w:cstheme="minorHAnsi"/>
          <w:szCs w:val="22"/>
          <w:lang w:val="ru-RU"/>
        </w:rPr>
      </w:pPr>
      <w:r w:rsidRPr="00877259">
        <w:rPr>
          <w:rFonts w:cstheme="minorHAnsi"/>
          <w:szCs w:val="22"/>
          <w:lang w:val="ru-RU"/>
        </w:rPr>
        <w:t>Частые лесные пожары стали проблемой мирового масштаба. При том что многие страны направили значительные средства на реализацию многочисленных мер противодействия, ряд проблем еще предстоит преодолеть. Эти проблемы включают наличие обширных площадей лесных массивов, которые не поддаются полномасштабному мониторингу, и неполное покрытие сетью лесов, препятствующее эффективной передаче информации. Наряду с этим рабочие характеристики типовых устройств IoT часто не отвечает реальным требованиям приложений, предназначенных для лесных территорий. Кроме того, отсутствуют системы раннего предупреждения о надвигающихся лесных пожарах, что задерживает тушение пожаров и спасательные работы при возникновении пожаров, а также отсутствует адекватная оценка и инспекция послепожарных возможностей.</w:t>
      </w:r>
    </w:p>
    <w:p w14:paraId="0EDBA137" w14:textId="77777777" w:rsidR="00B533DE" w:rsidRPr="00877259" w:rsidRDefault="00B533DE" w:rsidP="00B533DE">
      <w:pPr>
        <w:rPr>
          <w:rFonts w:cs="Calibri"/>
          <w:szCs w:val="22"/>
          <w:lang w:val="ru-RU" w:eastAsia="zh-CN"/>
        </w:rPr>
      </w:pPr>
      <w:r w:rsidRPr="00877259">
        <w:rPr>
          <w:rFonts w:cs="Calibri"/>
          <w:szCs w:val="22"/>
          <w:lang w:val="ru-RU" w:eastAsia="zh-CN"/>
        </w:rPr>
        <w:t>С развитием IoT и искусственного интеллекта системы тушения лесных пожаров становятся "умнее". В лесных массивах развернуты "умные" системы тушения лесных пожаров, обеспечивающие мониторинг в режиме реального времени и раннее предупреждение до возникновения лесных пожаров. Такие системы могут осуществлять прогнозирование, локализацию, оценку и тушение пожаров при возникновении возгорания, а также проводить инспекцию и оценку ущерба после пожара.</w:t>
      </w:r>
    </w:p>
    <w:bookmarkEnd w:id="1"/>
    <w:p w14:paraId="1AC46505" w14:textId="77777777" w:rsidR="00B533DE" w:rsidRPr="001021D8" w:rsidRDefault="00B533DE" w:rsidP="00B533DE">
      <w:pPr>
        <w:pStyle w:val="Heading1"/>
        <w:rPr>
          <w:lang w:val="ru-RU"/>
        </w:rPr>
      </w:pPr>
      <w:r w:rsidRPr="001021D8">
        <w:rPr>
          <w:lang w:val="ru-RU"/>
        </w:rPr>
        <w:lastRenderedPageBreak/>
        <w:t>3</w:t>
      </w:r>
      <w:r w:rsidRPr="001021D8">
        <w:rPr>
          <w:lang w:val="ru-RU"/>
        </w:rPr>
        <w:tab/>
        <w:t xml:space="preserve">Проект новой Рекомендации МСЭ-Т </w:t>
      </w:r>
      <w:r w:rsidRPr="00877259">
        <w:t>Y</w:t>
      </w:r>
      <w:r w:rsidRPr="001021D8">
        <w:rPr>
          <w:lang w:val="ru-RU"/>
        </w:rPr>
        <w:t xml:space="preserve">.4230 (ранее </w:t>
      </w:r>
      <w:r w:rsidRPr="00877259">
        <w:t>Y</w:t>
      </w:r>
      <w:r w:rsidRPr="001021D8">
        <w:rPr>
          <w:lang w:val="ru-RU"/>
        </w:rPr>
        <w:t>.</w:t>
      </w:r>
      <w:r w:rsidRPr="00877259">
        <w:t>EV</w:t>
      </w:r>
      <w:r w:rsidRPr="001021D8">
        <w:rPr>
          <w:lang w:val="ru-RU"/>
        </w:rPr>
        <w:t>-</w:t>
      </w:r>
      <w:r w:rsidRPr="00877259">
        <w:t>charging</w:t>
      </w:r>
      <w:r w:rsidRPr="001021D8">
        <w:rPr>
          <w:lang w:val="ru-RU"/>
        </w:rPr>
        <w:t>): [</w:t>
      </w:r>
      <w:hyperlink r:id="rId15" w:history="1">
        <w:r w:rsidRPr="00877259">
          <w:rPr>
            <w:rStyle w:val="Hyperlink"/>
            <w:rFonts w:cs="Calibri"/>
            <w:szCs w:val="22"/>
            <w:lang w:val="ru-RU"/>
          </w:rPr>
          <w:t>R23</w:t>
        </w:r>
      </w:hyperlink>
      <w:r w:rsidRPr="001021D8">
        <w:rPr>
          <w:lang w:val="ru-RU"/>
        </w:rPr>
        <w:t>]</w:t>
      </w:r>
    </w:p>
    <w:p w14:paraId="7B642078" w14:textId="77777777" w:rsidR="00B533DE" w:rsidRPr="001021D8" w:rsidRDefault="00B533DE" w:rsidP="00B533DE">
      <w:pPr>
        <w:pStyle w:val="Headingb"/>
        <w:rPr>
          <w:lang w:val="ru-RU"/>
        </w:rPr>
      </w:pPr>
      <w:r w:rsidRPr="001021D8">
        <w:rPr>
          <w:lang w:val="ru-RU"/>
        </w:rPr>
        <w:t xml:space="preserve">Требования </w:t>
      </w:r>
      <w:bookmarkStart w:id="2" w:name="_Hlk181039233"/>
      <w:r w:rsidRPr="001021D8">
        <w:rPr>
          <w:lang w:val="ru-RU"/>
        </w:rPr>
        <w:t>к общедоступной услуге "умной" зарядки для электрических транспортных средств и структура ее возможностей</w:t>
      </w:r>
      <w:bookmarkEnd w:id="2"/>
    </w:p>
    <w:p w14:paraId="4B3E8983" w14:textId="77777777" w:rsidR="00B533DE" w:rsidRPr="001021D8" w:rsidRDefault="00B533DE" w:rsidP="00B533DE">
      <w:pPr>
        <w:pStyle w:val="Headingb"/>
        <w:rPr>
          <w:lang w:val="ru-RU"/>
        </w:rPr>
      </w:pPr>
      <w:r w:rsidRPr="001021D8">
        <w:rPr>
          <w:lang w:val="ru-RU"/>
        </w:rPr>
        <w:t>Резюме</w:t>
      </w:r>
    </w:p>
    <w:p w14:paraId="392E526A" w14:textId="77777777" w:rsidR="00B533DE" w:rsidRPr="00DA76B3" w:rsidRDefault="00B533DE" w:rsidP="00B533DE">
      <w:pPr>
        <w:rPr>
          <w:rFonts w:cs="Calibri"/>
          <w:szCs w:val="22"/>
          <w:lang w:val="ru-RU"/>
        </w:rPr>
      </w:pPr>
      <w:r w:rsidRPr="00DA76B3">
        <w:rPr>
          <w:rFonts w:cs="Calibri"/>
          <w:szCs w:val="22"/>
          <w:lang w:val="ru-RU"/>
        </w:rPr>
        <w:t>С быстрым ростом использования населением электрических транспортных средств (EV) в городской среде все больше пользователей EV нуждаются в общедоступных услугах зарядки. Вследствие этого общедоступная услуга "умной" зарядки для EV – это будущее направление развития и важная часть "умного" города. По сравнению с традиционной услугой зарядки, общедоступная услуга "умной" зарядка имеет преимущество системы, характеризующейся высоким уровнем сетевого соединения и цифровизации, а также гибкостью и удобством с интеллектуальным управлением электроэнергией. Общедоступная услуга "умной" зарядки будет реализована в инфраструктуре "умного" города и в будущем станет незаменимой для "умных" городов.</w:t>
      </w:r>
    </w:p>
    <w:p w14:paraId="411C6E98" w14:textId="77777777" w:rsidR="00B533DE" w:rsidRPr="00877259" w:rsidRDefault="00B533DE" w:rsidP="00B533DE">
      <w:pPr>
        <w:rPr>
          <w:rFonts w:cs="Calibri"/>
          <w:szCs w:val="22"/>
          <w:lang w:val="ru-RU"/>
        </w:rPr>
      </w:pPr>
      <w:r w:rsidRPr="00877259">
        <w:rPr>
          <w:rFonts w:cs="Calibri"/>
          <w:szCs w:val="22"/>
          <w:lang w:val="ru-RU"/>
        </w:rPr>
        <w:t>В настоящей Рекомендации определены требования к общедоступной услуге "умной" зарядки для EV и структура ее возможностей с целью оптимизации процесса предоставления услуги зарядки EV и повышения оценки качества услуги зарядки EV пользователями EV.</w:t>
      </w:r>
    </w:p>
    <w:p w14:paraId="7ACB9EFF" w14:textId="77777777" w:rsidR="00B533DE" w:rsidRPr="001021D8" w:rsidRDefault="00B533DE" w:rsidP="00B533DE">
      <w:pPr>
        <w:pStyle w:val="Heading1"/>
        <w:rPr>
          <w:lang w:val="ru-RU"/>
        </w:rPr>
      </w:pPr>
      <w:r w:rsidRPr="001021D8">
        <w:rPr>
          <w:lang w:val="ru-RU"/>
        </w:rPr>
        <w:t>4</w:t>
      </w:r>
      <w:r w:rsidRPr="001021D8">
        <w:rPr>
          <w:lang w:val="ru-RU"/>
        </w:rPr>
        <w:tab/>
        <w:t xml:space="preserve">Проект новой Рекомендации МСЭ-Т </w:t>
      </w:r>
      <w:r w:rsidRPr="00877259">
        <w:rPr>
          <w:bCs/>
          <w:lang w:eastAsia="zh-CN"/>
        </w:rPr>
        <w:t>Y</w:t>
      </w:r>
      <w:r w:rsidRPr="001021D8">
        <w:rPr>
          <w:bCs/>
          <w:lang w:val="ru-RU" w:eastAsia="zh-CN"/>
        </w:rPr>
        <w:t xml:space="preserve">.4231 (ранее </w:t>
      </w:r>
      <w:r w:rsidRPr="00877259">
        <w:rPr>
          <w:bCs/>
          <w:lang w:eastAsia="zh-CN"/>
        </w:rPr>
        <w:t>Y</w:t>
      </w:r>
      <w:r w:rsidRPr="001021D8">
        <w:rPr>
          <w:bCs/>
          <w:lang w:val="ru-RU" w:eastAsia="zh-CN"/>
        </w:rPr>
        <w:t>.</w:t>
      </w:r>
      <w:r w:rsidRPr="00877259">
        <w:rPr>
          <w:bCs/>
          <w:lang w:eastAsia="zh-CN"/>
        </w:rPr>
        <w:t>IoT</w:t>
      </w:r>
      <w:r w:rsidRPr="001021D8">
        <w:rPr>
          <w:bCs/>
          <w:lang w:val="ru-RU" w:eastAsia="zh-CN"/>
        </w:rPr>
        <w:t>-</w:t>
      </w:r>
      <w:r w:rsidRPr="00877259">
        <w:rPr>
          <w:bCs/>
          <w:lang w:eastAsia="zh-CN"/>
        </w:rPr>
        <w:t>Vreqs</w:t>
      </w:r>
      <w:r w:rsidRPr="001021D8">
        <w:rPr>
          <w:bCs/>
          <w:lang w:val="ru-RU" w:eastAsia="zh-CN"/>
        </w:rPr>
        <w:t>)</w:t>
      </w:r>
      <w:r w:rsidRPr="001021D8">
        <w:rPr>
          <w:lang w:val="ru-RU"/>
        </w:rPr>
        <w:t>: [</w:t>
      </w:r>
      <w:hyperlink r:id="rId16" w:history="1">
        <w:r w:rsidRPr="00877259">
          <w:rPr>
            <w:rStyle w:val="Hyperlink"/>
            <w:rFonts w:cs="Calibri"/>
            <w:szCs w:val="22"/>
            <w:lang w:val="ru-RU"/>
          </w:rPr>
          <w:t>R24</w:t>
        </w:r>
      </w:hyperlink>
      <w:r w:rsidRPr="001021D8">
        <w:rPr>
          <w:lang w:val="ru-RU"/>
        </w:rPr>
        <w:t>]</w:t>
      </w:r>
    </w:p>
    <w:p w14:paraId="709F9E69" w14:textId="17520285" w:rsidR="00B533DE" w:rsidRPr="001021D8" w:rsidRDefault="00B533DE" w:rsidP="00B533DE">
      <w:pPr>
        <w:pStyle w:val="Headingb"/>
        <w:rPr>
          <w:lang w:val="ru-RU"/>
        </w:rPr>
      </w:pPr>
      <w:r w:rsidRPr="001021D8">
        <w:rPr>
          <w:lang w:val="ru-RU"/>
        </w:rPr>
        <w:t xml:space="preserve">Требования </w:t>
      </w:r>
      <w:bookmarkStart w:id="3" w:name="_Hlk181077145"/>
      <w:r w:rsidRPr="001021D8">
        <w:rPr>
          <w:lang w:val="ru-RU"/>
        </w:rPr>
        <w:t>к интернету вещей для зрительной функции и структура его возможностей</w:t>
      </w:r>
      <w:bookmarkEnd w:id="3"/>
    </w:p>
    <w:p w14:paraId="368D1310" w14:textId="77777777" w:rsidR="00B533DE" w:rsidRPr="001021D8" w:rsidRDefault="00B533DE" w:rsidP="00B533DE">
      <w:pPr>
        <w:pStyle w:val="Headingb"/>
        <w:rPr>
          <w:lang w:val="ru-RU"/>
        </w:rPr>
      </w:pPr>
      <w:r w:rsidRPr="001021D8">
        <w:rPr>
          <w:lang w:val="ru-RU"/>
        </w:rPr>
        <w:t>Резюме</w:t>
      </w:r>
    </w:p>
    <w:p w14:paraId="5D211C76" w14:textId="77777777" w:rsidR="00B533DE" w:rsidRPr="00877259" w:rsidRDefault="00B533DE" w:rsidP="00B533DE">
      <w:pPr>
        <w:outlineLvl w:val="0"/>
        <w:rPr>
          <w:rFonts w:eastAsia="SimSun" w:cs="Calibri"/>
          <w:szCs w:val="22"/>
          <w:lang w:val="ru-RU" w:eastAsia="zh-CN"/>
        </w:rPr>
      </w:pPr>
      <w:r w:rsidRPr="00877259">
        <w:rPr>
          <w:rFonts w:eastAsia="SimSun" w:cs="Calibri"/>
          <w:szCs w:val="22"/>
          <w:lang w:val="ru-RU" w:eastAsia="zh-CN"/>
        </w:rPr>
        <w:t>В настоящей Рекомендации представлены требования к интернету вещей (IoT) для зрительной функции и структура его возможностей, типовой рабочий процесс приложения IoT для зрительной функции, а также некоторые соответствующие сценарии использования IoT для зрительной функции.</w:t>
      </w:r>
    </w:p>
    <w:p w14:paraId="5A4DB7ED" w14:textId="77777777" w:rsidR="00B533DE" w:rsidRPr="00877259" w:rsidRDefault="00B533DE" w:rsidP="00B533DE">
      <w:pPr>
        <w:outlineLvl w:val="0"/>
        <w:rPr>
          <w:rFonts w:eastAsia="SimSun" w:cs="Calibri"/>
          <w:szCs w:val="22"/>
          <w:lang w:val="ru-RU" w:eastAsia="zh-CN"/>
        </w:rPr>
      </w:pPr>
      <w:r w:rsidRPr="00877259">
        <w:rPr>
          <w:rFonts w:eastAsia="SimSun" w:cs="Calibri"/>
          <w:szCs w:val="22"/>
          <w:lang w:val="ru-RU" w:eastAsia="zh-CN"/>
        </w:rPr>
        <w:t>По мере популяризации и развития "умных" городов и многочисленных вертикально ориентированных отраслей на базе IoT значение интернета вещей (IoT) расширяется и более не ограничивается простым сбором и анализом данных датчиков.</w:t>
      </w:r>
    </w:p>
    <w:p w14:paraId="7295EFDD" w14:textId="4C7077C9" w:rsidR="00B533DE" w:rsidRPr="00877259" w:rsidRDefault="00B533DE" w:rsidP="00B533DE">
      <w:pPr>
        <w:outlineLvl w:val="0"/>
        <w:rPr>
          <w:rFonts w:eastAsia="SimSun" w:cs="Calibri"/>
          <w:szCs w:val="22"/>
          <w:lang w:val="ru-RU" w:eastAsia="zh-CN"/>
        </w:rPr>
      </w:pPr>
      <w:r w:rsidRPr="00877259">
        <w:rPr>
          <w:rFonts w:eastAsia="SimSun" w:cs="Calibri"/>
          <w:szCs w:val="22"/>
          <w:lang w:val="ru-RU" w:eastAsia="zh-CN"/>
        </w:rPr>
        <w:t>IoT для зрительной функции – одно из основных направлений развития IoT, в котором используются цифровые камеры и другие типы датчиков для анализа интересующих объектов (включая людей, транспортные средства, животных и т. д.) с целью их восприятия для различных приложений.</w:t>
      </w:r>
    </w:p>
    <w:p w14:paraId="7D1FD948" w14:textId="77777777" w:rsidR="00B533DE" w:rsidRPr="001021D8" w:rsidRDefault="00B533DE" w:rsidP="00B533DE">
      <w:pPr>
        <w:pStyle w:val="Heading1"/>
        <w:rPr>
          <w:lang w:val="ru-RU"/>
        </w:rPr>
      </w:pPr>
      <w:r w:rsidRPr="001021D8">
        <w:rPr>
          <w:lang w:val="ru-RU"/>
        </w:rPr>
        <w:t>5</w:t>
      </w:r>
      <w:r w:rsidRPr="001021D8">
        <w:rPr>
          <w:lang w:val="ru-RU"/>
        </w:rPr>
        <w:tab/>
        <w:t xml:space="preserve">Проект новой Рекомендации МСЭ-Т </w:t>
      </w:r>
      <w:r w:rsidRPr="00877259">
        <w:t>Y</w:t>
      </w:r>
      <w:r w:rsidRPr="001021D8">
        <w:rPr>
          <w:lang w:val="ru-RU"/>
        </w:rPr>
        <w:t xml:space="preserve">.4232 (ранее </w:t>
      </w:r>
      <w:r w:rsidRPr="00877259">
        <w:t>Y</w:t>
      </w:r>
      <w:r w:rsidRPr="001021D8">
        <w:rPr>
          <w:lang w:val="ru-RU"/>
        </w:rPr>
        <w:t>.</w:t>
      </w:r>
      <w:r w:rsidRPr="00877259">
        <w:t>IoT</w:t>
      </w:r>
      <w:r w:rsidRPr="001021D8">
        <w:rPr>
          <w:lang w:val="ru-RU"/>
        </w:rPr>
        <w:t>-</w:t>
      </w:r>
      <w:r w:rsidRPr="00877259">
        <w:t>RTPS</w:t>
      </w:r>
      <w:r w:rsidRPr="001021D8">
        <w:rPr>
          <w:lang w:val="ru-RU"/>
        </w:rPr>
        <w:t>): [</w:t>
      </w:r>
      <w:hyperlink r:id="rId17" w:history="1">
        <w:r w:rsidRPr="00877259">
          <w:rPr>
            <w:rStyle w:val="Hyperlink"/>
            <w:rFonts w:cs="Calibri"/>
            <w:szCs w:val="22"/>
            <w:lang w:val="ru-RU"/>
          </w:rPr>
          <w:t>R25</w:t>
        </w:r>
      </w:hyperlink>
      <w:r w:rsidRPr="001021D8">
        <w:rPr>
          <w:lang w:val="ru-RU"/>
        </w:rPr>
        <w:t>]</w:t>
      </w:r>
    </w:p>
    <w:p w14:paraId="49DFA3DB" w14:textId="77777777" w:rsidR="00B533DE" w:rsidRPr="001021D8" w:rsidRDefault="00B533DE" w:rsidP="00B533DE">
      <w:pPr>
        <w:pStyle w:val="Headingb"/>
        <w:rPr>
          <w:lang w:val="ru-RU"/>
        </w:rPr>
      </w:pPr>
      <w:r w:rsidRPr="001021D8">
        <w:rPr>
          <w:lang w:val="ru-RU"/>
        </w:rPr>
        <w:t>Требования к инфраструктуре интернета вещей в системе восприятия дорожного движения посредством придорожной инфраструктуры, ее возможности и сценарии использования</w:t>
      </w:r>
    </w:p>
    <w:p w14:paraId="239DD669" w14:textId="77777777" w:rsidR="00B533DE" w:rsidRPr="001021D8" w:rsidRDefault="00B533DE" w:rsidP="00B533DE">
      <w:pPr>
        <w:pStyle w:val="Headingb"/>
        <w:rPr>
          <w:lang w:val="ru-RU"/>
        </w:rPr>
      </w:pPr>
      <w:r w:rsidRPr="001021D8">
        <w:rPr>
          <w:lang w:val="ru-RU"/>
        </w:rPr>
        <w:t>Резюме</w:t>
      </w:r>
    </w:p>
    <w:p w14:paraId="7937496A" w14:textId="2F3576EF" w:rsidR="00B533DE" w:rsidRPr="00877259" w:rsidRDefault="00B533DE" w:rsidP="00B533DE">
      <w:pPr>
        <w:tabs>
          <w:tab w:val="clear" w:pos="1191"/>
          <w:tab w:val="left" w:pos="0"/>
        </w:tabs>
        <w:outlineLvl w:val="0"/>
        <w:rPr>
          <w:rFonts w:eastAsia="SimSun" w:cs="Calibri"/>
          <w:iCs/>
          <w:szCs w:val="22"/>
          <w:lang w:val="ru-RU" w:eastAsia="ko-KR"/>
        </w:rPr>
      </w:pPr>
      <w:r w:rsidRPr="00877259">
        <w:rPr>
          <w:rFonts w:eastAsia="SimSun" w:cs="Calibri"/>
          <w:iCs/>
          <w:szCs w:val="22"/>
          <w:lang w:val="ru-RU" w:eastAsia="ko-KR"/>
        </w:rPr>
        <w:t>Система восприятия дорожного движения посредством придорожной инфраструктуры (RTPS) – это система, состоящая из элементов инфраструктуры интернета вещей (IoT), включая сенсорные устройства, облачные средства, интеллектуальные светофоры и "умные" дорожные знаки. Используя технологии IoT, система восприятия дорожного движения посредством придорожной инфраструктуры может повысить безопасность и эффективность дорожного движения благодаря возможностям своих компонентов.</w:t>
      </w:r>
    </w:p>
    <w:p w14:paraId="59086E74" w14:textId="77777777" w:rsidR="00B533DE" w:rsidRPr="00877259" w:rsidRDefault="00B533DE" w:rsidP="00B533DE">
      <w:pPr>
        <w:tabs>
          <w:tab w:val="clear" w:pos="1191"/>
          <w:tab w:val="left" w:pos="0"/>
        </w:tabs>
        <w:outlineLvl w:val="0"/>
        <w:rPr>
          <w:rFonts w:eastAsia="SimSun" w:cs="Calibri"/>
          <w:iCs/>
          <w:szCs w:val="22"/>
          <w:lang w:val="ru-RU" w:eastAsia="ko-KR"/>
        </w:rPr>
      </w:pPr>
      <w:r w:rsidRPr="00877259">
        <w:rPr>
          <w:rFonts w:eastAsia="SimSun" w:cs="Calibri"/>
          <w:iCs/>
          <w:szCs w:val="22"/>
          <w:lang w:val="ru-RU" w:eastAsia="ko-KR"/>
        </w:rPr>
        <w:t>Для повышения безопасности и эффективности дорожного движения необходимо, чтобы элементы инфраструктуры IoT в RTPS взаимодействовали друг с другом с использованием технологий IoT. Вследствие этого в Рекомендации МСЭ-T Y.4232 представлены общие и конкретные требования к элементам инфраструктуры IoT и их возможности. Наряду с этим в Дополнении также приведены сценарии использования RTPS.</w:t>
      </w:r>
    </w:p>
    <w:p w14:paraId="3382373A" w14:textId="77777777" w:rsidR="00B533DE" w:rsidRPr="001021D8" w:rsidRDefault="00B533DE" w:rsidP="00B533DE">
      <w:pPr>
        <w:pStyle w:val="Heading1"/>
        <w:rPr>
          <w:lang w:val="ru-RU"/>
        </w:rPr>
      </w:pPr>
      <w:r w:rsidRPr="001021D8">
        <w:rPr>
          <w:lang w:val="ru-RU"/>
        </w:rPr>
        <w:lastRenderedPageBreak/>
        <w:t>6</w:t>
      </w:r>
      <w:r w:rsidRPr="001021D8">
        <w:rPr>
          <w:lang w:val="ru-RU"/>
        </w:rPr>
        <w:tab/>
        <w:t xml:space="preserve">Проект новой Рекомендации МСЭ-Т </w:t>
      </w:r>
      <w:r w:rsidRPr="00877259">
        <w:t>Y</w:t>
      </w:r>
      <w:r w:rsidRPr="001021D8">
        <w:rPr>
          <w:lang w:val="ru-RU"/>
        </w:rPr>
        <w:t xml:space="preserve">.4233 (ранее </w:t>
      </w:r>
      <w:r w:rsidRPr="00877259">
        <w:t>Y</w:t>
      </w:r>
      <w:r w:rsidRPr="001021D8">
        <w:rPr>
          <w:lang w:val="ru-RU"/>
        </w:rPr>
        <w:t>.</w:t>
      </w:r>
      <w:r w:rsidRPr="00877259">
        <w:t>FSPH</w:t>
      </w:r>
      <w:r w:rsidRPr="001021D8">
        <w:rPr>
          <w:lang w:val="ru-RU"/>
        </w:rPr>
        <w:t>): [</w:t>
      </w:r>
      <w:hyperlink r:id="rId18" w:history="1">
        <w:r w:rsidRPr="00877259">
          <w:rPr>
            <w:rStyle w:val="Hyperlink"/>
            <w:rFonts w:cs="Calibri"/>
            <w:szCs w:val="22"/>
            <w:lang w:val="ru-RU"/>
          </w:rPr>
          <w:t>R26</w:t>
        </w:r>
      </w:hyperlink>
      <w:r w:rsidRPr="001021D8">
        <w:rPr>
          <w:lang w:val="ru-RU"/>
        </w:rPr>
        <w:t>]</w:t>
      </w:r>
    </w:p>
    <w:p w14:paraId="258D72CE" w14:textId="77777777" w:rsidR="00B533DE" w:rsidRPr="001021D8" w:rsidRDefault="00B533DE" w:rsidP="00B533DE">
      <w:pPr>
        <w:pStyle w:val="Headingb"/>
        <w:rPr>
          <w:lang w:val="ru-RU"/>
        </w:rPr>
      </w:pPr>
      <w:r w:rsidRPr="001021D8">
        <w:rPr>
          <w:lang w:val="ru-RU"/>
        </w:rPr>
        <w:t>Структура "умного" управления чрезвычайными ситуациями в области здравоохранения</w:t>
      </w:r>
      <w:r w:rsidRPr="001021D8" w:rsidDel="00EC7CB2">
        <w:rPr>
          <w:lang w:val="ru-RU"/>
        </w:rPr>
        <w:t xml:space="preserve"> </w:t>
      </w:r>
      <w:r w:rsidRPr="001021D8">
        <w:rPr>
          <w:lang w:val="ru-RU"/>
        </w:rPr>
        <w:t>в</w:t>
      </w:r>
      <w:r>
        <w:t> </w:t>
      </w:r>
      <w:r w:rsidRPr="001021D8">
        <w:rPr>
          <w:lang w:val="ru-RU"/>
        </w:rPr>
        <w:t>"умных" и устойчивых городах</w:t>
      </w:r>
    </w:p>
    <w:p w14:paraId="3E7A0E4B" w14:textId="77777777" w:rsidR="00B533DE" w:rsidRPr="001021D8" w:rsidRDefault="00B533DE" w:rsidP="00B533DE">
      <w:pPr>
        <w:pStyle w:val="Headingb"/>
        <w:rPr>
          <w:lang w:val="ru-RU"/>
        </w:rPr>
      </w:pPr>
      <w:r w:rsidRPr="001021D8">
        <w:rPr>
          <w:lang w:val="ru-RU"/>
        </w:rPr>
        <w:t>Резюме</w:t>
      </w:r>
    </w:p>
    <w:p w14:paraId="6B833BB2" w14:textId="77777777" w:rsidR="00B533DE" w:rsidRPr="00877259" w:rsidRDefault="00B533DE" w:rsidP="00B533DE">
      <w:pPr>
        <w:rPr>
          <w:rFonts w:cs="Calibri"/>
          <w:szCs w:val="22"/>
          <w:lang w:val="ru-RU" w:eastAsia="zh-CN"/>
        </w:rPr>
      </w:pPr>
      <w:r w:rsidRPr="00877259">
        <w:rPr>
          <w:rFonts w:cs="Calibri"/>
          <w:szCs w:val="22"/>
          <w:lang w:val="ru-RU" w:eastAsia="zh-CN"/>
        </w:rPr>
        <w:t>В настоящей Рекомендации определена структура "умного" управления чрезвычайными ситуациями в области здравоохранения в "умных" устойчивых городах (SSC).</w:t>
      </w:r>
    </w:p>
    <w:p w14:paraId="2495FD73" w14:textId="77777777" w:rsidR="00B533DE" w:rsidRPr="00877259" w:rsidRDefault="00B533DE" w:rsidP="00B533DE">
      <w:pPr>
        <w:rPr>
          <w:rFonts w:cs="Calibri"/>
          <w:szCs w:val="22"/>
          <w:lang w:val="ru-RU" w:eastAsia="zh-CN"/>
        </w:rPr>
      </w:pPr>
      <w:r w:rsidRPr="00877259">
        <w:rPr>
          <w:rFonts w:cs="Calibri"/>
          <w:szCs w:val="22"/>
          <w:lang w:val="ru-RU" w:eastAsia="zh-CN"/>
        </w:rPr>
        <w:t xml:space="preserve">SSC обладают потенциалом способствовать развитию "умных" приложений на основе данных для управления ограниченными ресурсами и их внедрения для предотвращения возникновения в будущем пандемий такого масштаба, как пандемия COVID-19. Увязка SSC с системами общественного здравоохранения для борьбы с будущими пандемиями и эпидемиями, а также для достижения ЦУР (ЦУР 3 "Хорошее здоровье", ЦУР 1 "Ликвидация нищеты" и ЦУР 11 "Обеспечение открытости, безопасности, жизнестойкости и экологической устойчивости городов") и выполнения Сендайской рамочной программы по снижению риска бедствий представляет собой сложную задачу и служит двойной цели. При использовании надлежащей связи в чрезвычайных ситуациях и систем общественного здравоохранения упростится разработка моделей для прогнозирования распространения заболеваний, определения источника заболеваний, координации карантинных мер, выявления симптомов и сообщения о симптомах, выявления штаммов вируса и оказания дистанционной помощи при необходимости с ограниченным участием человека через инфраструктуру, основанную на интернете вещей. </w:t>
      </w:r>
    </w:p>
    <w:p w14:paraId="2928D9E7" w14:textId="77777777" w:rsidR="00B533DE" w:rsidRPr="00877259" w:rsidRDefault="00B533DE" w:rsidP="00B533DE">
      <w:pPr>
        <w:rPr>
          <w:rFonts w:cs="Calibri"/>
          <w:szCs w:val="22"/>
          <w:lang w:val="ru-RU" w:eastAsia="zh-CN"/>
        </w:rPr>
      </w:pPr>
      <w:r w:rsidRPr="00877259">
        <w:rPr>
          <w:rFonts w:cs="Calibri"/>
          <w:szCs w:val="22"/>
          <w:lang w:val="ru-RU" w:eastAsia="zh-CN"/>
        </w:rPr>
        <w:t>Настоящая Рекомендация базируется на итоговом документе U4SSC "«Умное» управление чрезвычайными ситуациями в области общественного здравоохранения и внедрение ИКТ" (см. [b</w:t>
      </w:r>
      <w:r>
        <w:rPr>
          <w:rFonts w:cs="Calibri"/>
          <w:szCs w:val="22"/>
          <w:lang w:val="ru-RU" w:eastAsia="zh-CN"/>
        </w:rPr>
        <w:noBreakHyphen/>
      </w:r>
      <w:r w:rsidRPr="00877259">
        <w:rPr>
          <w:rFonts w:cs="Calibri"/>
          <w:szCs w:val="22"/>
          <w:lang w:val="ru-RU" w:eastAsia="zh-CN"/>
        </w:rPr>
        <w:t>U4SSC-2] в разделе "Библиография") и имеет следующую структуру: она начинается с анализа контекста общественного здравоохранения и соответствующих структур, далее следует общая структура общественного здравоохранения, определяющая жизненный цикл пандемии. Эта общая структура затем увязывается с концепциями SSC и устойчивости города к внешним воздействиям. Далее, с помощью диаграмм унифицированного языка моделирования (UML) показано, каким образом возможно применить эту структуру в среде SSC, и выделены компоненты SSC, которые способствуют применению указанной структуры.</w:t>
      </w:r>
    </w:p>
    <w:p w14:paraId="1F3C4471" w14:textId="77777777" w:rsidR="00B533DE" w:rsidRPr="001021D8" w:rsidRDefault="00B533DE" w:rsidP="00B533DE">
      <w:pPr>
        <w:pStyle w:val="Heading1"/>
        <w:rPr>
          <w:lang w:val="ru-RU"/>
        </w:rPr>
      </w:pPr>
      <w:r w:rsidRPr="001021D8">
        <w:rPr>
          <w:lang w:val="ru-RU"/>
        </w:rPr>
        <w:t>7</w:t>
      </w:r>
      <w:r w:rsidRPr="001021D8">
        <w:rPr>
          <w:lang w:val="ru-RU"/>
        </w:rPr>
        <w:tab/>
        <w:t xml:space="preserve">Проект новой Рекомендации МСЭ-Т </w:t>
      </w:r>
      <w:r w:rsidRPr="00877259">
        <w:rPr>
          <w:lang w:eastAsia="zh-CN"/>
        </w:rPr>
        <w:t>Y</w:t>
      </w:r>
      <w:r w:rsidRPr="001021D8">
        <w:rPr>
          <w:lang w:val="ru-RU" w:eastAsia="zh-CN"/>
        </w:rPr>
        <w:t xml:space="preserve">.4234 (ранее </w:t>
      </w:r>
      <w:r w:rsidRPr="00877259">
        <w:rPr>
          <w:lang w:eastAsia="zh-CN"/>
        </w:rPr>
        <w:t>Y</w:t>
      </w:r>
      <w:r w:rsidRPr="001021D8">
        <w:rPr>
          <w:lang w:val="ru-RU" w:eastAsia="zh-CN"/>
        </w:rPr>
        <w:t>.</w:t>
      </w:r>
      <w:r w:rsidRPr="00877259">
        <w:rPr>
          <w:lang w:eastAsia="zh-CN"/>
        </w:rPr>
        <w:t>RemoteEd</w:t>
      </w:r>
      <w:r w:rsidRPr="001021D8">
        <w:rPr>
          <w:lang w:val="ru-RU" w:eastAsia="zh-CN"/>
        </w:rPr>
        <w:t>): [</w:t>
      </w:r>
      <w:hyperlink r:id="rId19" w:history="1">
        <w:r w:rsidRPr="00877259">
          <w:rPr>
            <w:rStyle w:val="Hyperlink"/>
            <w:rFonts w:cs="Calibri"/>
            <w:szCs w:val="22"/>
            <w:lang w:val="ru-RU" w:eastAsia="zh-CN"/>
          </w:rPr>
          <w:t>R27</w:t>
        </w:r>
      </w:hyperlink>
      <w:r w:rsidRPr="001021D8">
        <w:rPr>
          <w:lang w:val="ru-RU" w:eastAsia="zh-CN"/>
        </w:rPr>
        <w:t>]</w:t>
      </w:r>
    </w:p>
    <w:p w14:paraId="661A6E80" w14:textId="77777777" w:rsidR="00B533DE" w:rsidRPr="001021D8" w:rsidRDefault="00B533DE" w:rsidP="00B533DE">
      <w:pPr>
        <w:pStyle w:val="Headingb"/>
        <w:rPr>
          <w:lang w:val="ru-RU"/>
        </w:rPr>
      </w:pPr>
      <w:r w:rsidRPr="001021D8">
        <w:rPr>
          <w:lang w:val="ru-RU"/>
        </w:rPr>
        <w:t>Требования к электронному обучению в удаленных классных комнатах, его возможности и модели развертывания</w:t>
      </w:r>
    </w:p>
    <w:p w14:paraId="1F0E2155" w14:textId="77777777" w:rsidR="00B533DE" w:rsidRPr="001021D8" w:rsidRDefault="00B533DE" w:rsidP="00B533DE">
      <w:pPr>
        <w:pStyle w:val="Headingb"/>
        <w:rPr>
          <w:lang w:val="ru-RU"/>
        </w:rPr>
      </w:pPr>
      <w:r w:rsidRPr="001021D8">
        <w:rPr>
          <w:lang w:val="ru-RU"/>
        </w:rPr>
        <w:t>Резюме</w:t>
      </w:r>
    </w:p>
    <w:p w14:paraId="7C2184E1" w14:textId="77777777" w:rsidR="00B533DE" w:rsidRPr="00877259" w:rsidRDefault="00B533DE" w:rsidP="00B533DE">
      <w:pPr>
        <w:outlineLvl w:val="0"/>
        <w:rPr>
          <w:rFonts w:cs="Calibri"/>
          <w:szCs w:val="22"/>
          <w:lang w:val="ru-RU" w:eastAsia="zh-CN"/>
        </w:rPr>
      </w:pPr>
      <w:r w:rsidRPr="00877259">
        <w:rPr>
          <w:rFonts w:cs="Calibri"/>
          <w:szCs w:val="22"/>
          <w:lang w:val="ru-RU" w:eastAsia="zh-CN" w:bidi="hi-IN"/>
        </w:rPr>
        <w:t>В настоящей Рекомендации представлена концепция электронного обучения в удаленных классных комнатах, т. е. в местах, где учащимся для самообразования доступна инфраструктура информационно-коммуникационных технологий (ИКТ) и средства электронного обучения, такие как цифровые соединения, компьютеры, компьютерные приложения, виртуальное сотрудничество, онлайновые и цифровые каталоги учебных ресурсов.</w:t>
      </w:r>
    </w:p>
    <w:p w14:paraId="2CF3A520" w14:textId="77777777" w:rsidR="00B533DE" w:rsidRPr="00877259" w:rsidRDefault="00B533DE" w:rsidP="00B533DE">
      <w:pPr>
        <w:outlineLvl w:val="0"/>
        <w:rPr>
          <w:rFonts w:cs="Calibri"/>
          <w:szCs w:val="22"/>
          <w:lang w:val="ru-RU" w:eastAsia="zh-CN"/>
        </w:rPr>
      </w:pPr>
      <w:r w:rsidRPr="00877259">
        <w:rPr>
          <w:rFonts w:cs="Calibri"/>
          <w:szCs w:val="22"/>
          <w:lang w:val="ru-RU" w:eastAsia="zh-CN" w:bidi="hi-IN"/>
        </w:rPr>
        <w:t>В большинстве стран существует значительное и возрастающее неравенство в доступе к качественному образованию между отдаленными и сельскими районами и городскими районами. Различные международные организации (например, Организация Объединенных Наций (ООН), Международный союз электросвязи (МСЭ) и т. д.) и национальные органы (например, министерства) во всем мире признали необходимость срочных и согласованных усилий по реализации перспективы универсализации образования.</w:t>
      </w:r>
    </w:p>
    <w:p w14:paraId="1A1279FE" w14:textId="77777777" w:rsidR="00B533DE" w:rsidRPr="00877259" w:rsidRDefault="00B533DE" w:rsidP="00B533DE">
      <w:pPr>
        <w:outlineLvl w:val="0"/>
        <w:rPr>
          <w:rFonts w:cs="Calibri"/>
          <w:szCs w:val="22"/>
          <w:lang w:val="ru-RU" w:eastAsia="zh-CN"/>
        </w:rPr>
      </w:pPr>
      <w:r w:rsidRPr="00877259">
        <w:rPr>
          <w:rFonts w:cs="Calibri"/>
          <w:szCs w:val="22"/>
          <w:lang w:val="ru-RU" w:eastAsia="zh-CN" w:bidi="hi-IN"/>
        </w:rPr>
        <w:lastRenderedPageBreak/>
        <w:t>Также совершенно очевидно, что в будущее образования является цифровым и иммерсивным и что образование завтрашнего дня будет в значительной степени зависеть от доступа к соответствующей инфраструктуре ИКТ и наличия возможности установления соединений.</w:t>
      </w:r>
    </w:p>
    <w:p w14:paraId="51DED60C" w14:textId="77777777" w:rsidR="00B533DE" w:rsidRPr="00877259" w:rsidRDefault="00B533DE" w:rsidP="00B533DE">
      <w:pPr>
        <w:outlineLvl w:val="0"/>
        <w:rPr>
          <w:rFonts w:cs="Calibri"/>
          <w:szCs w:val="22"/>
          <w:cs/>
          <w:lang w:val="ru-RU" w:eastAsia="zh-CN" w:bidi="hi-IN"/>
        </w:rPr>
      </w:pPr>
      <w:r w:rsidRPr="00877259">
        <w:rPr>
          <w:rFonts w:cs="Calibri"/>
          <w:szCs w:val="22"/>
          <w:lang w:val="ru-RU" w:eastAsia="zh-CN" w:bidi="hi-IN"/>
        </w:rPr>
        <w:t>В то же время как в развитых, так и в развивающихся странах существует острая нехватка квалифицированных преподавательских кадров, причем в значительно худшем положении находятся отдаленные и обслуживаемые в недостаточной степени районы. В большинстве таких мест очень мало учителей, и лишь немногие из них способны удовлетворять требованиям быстро меняющихся учебных программ.</w:t>
      </w:r>
      <w:r w:rsidRPr="00877259">
        <w:rPr>
          <w:lang w:val="ru-RU"/>
        </w:rPr>
        <w:t xml:space="preserve"> </w:t>
      </w:r>
      <w:r w:rsidRPr="00877259">
        <w:rPr>
          <w:rFonts w:cs="Calibri"/>
          <w:szCs w:val="22"/>
          <w:lang w:val="ru-RU" w:eastAsia="zh-CN" w:bidi="hi-IN"/>
        </w:rPr>
        <w:t>Наряду с образованием и обучением, эти отдаленные районы находятся в невыгодном положении из-за отсутствия доступа к другим услугам, включая здравоохранение и повышение профессиональных навыков. Требуются новые стандарты, способствующие преодолению цифрового разрыва и смягчению растущего неравенства путем обеспечения справедливого предоставления все большего числа онлайновых услуг в отдаленных и обслуживаемых в недостаточной степени районах.</w:t>
      </w:r>
    </w:p>
    <w:p w14:paraId="6CC65CDA" w14:textId="77777777" w:rsidR="00B533DE" w:rsidRPr="00877259" w:rsidRDefault="00B533DE" w:rsidP="00B533DE">
      <w:pPr>
        <w:outlineLvl w:val="0"/>
        <w:rPr>
          <w:rFonts w:cs="Calibri"/>
          <w:szCs w:val="22"/>
          <w:cs/>
          <w:lang w:val="ru-RU" w:eastAsia="zh-CN"/>
        </w:rPr>
      </w:pPr>
      <w:r w:rsidRPr="00877259">
        <w:rPr>
          <w:rFonts w:cs="Calibri"/>
          <w:szCs w:val="22"/>
          <w:lang w:val="ru-RU" w:eastAsia="zh-CN"/>
        </w:rPr>
        <w:t>В настоящей Рекомендации описаны проблемы и аспекты обеспечения цифрового образования в школах, находящихся в отдаленных районах, а также определены требования, возможности и модели развертывания для предоставления высококачественных услуг электронного обучения в удаленных классных комнатах в сельских и отдаленных районах.</w:t>
      </w:r>
    </w:p>
    <w:p w14:paraId="10E516E0" w14:textId="77777777" w:rsidR="00B533DE" w:rsidRPr="001021D8" w:rsidRDefault="00B533DE" w:rsidP="00B533DE">
      <w:pPr>
        <w:pStyle w:val="Heading1"/>
        <w:rPr>
          <w:lang w:val="ru-RU"/>
        </w:rPr>
      </w:pPr>
      <w:r w:rsidRPr="001021D8">
        <w:rPr>
          <w:lang w:val="ru-RU"/>
        </w:rPr>
        <w:t>8</w:t>
      </w:r>
      <w:r w:rsidRPr="001021D8">
        <w:rPr>
          <w:lang w:val="ru-RU"/>
        </w:rPr>
        <w:tab/>
        <w:t xml:space="preserve">Проект новой Рекомендации МСЭ-Т </w:t>
      </w:r>
      <w:r w:rsidRPr="00877259">
        <w:t>Y</w:t>
      </w:r>
      <w:r w:rsidRPr="001021D8">
        <w:rPr>
          <w:lang w:val="ru-RU"/>
        </w:rPr>
        <w:t xml:space="preserve">.4222 (ранее </w:t>
      </w:r>
      <w:r w:rsidRPr="00877259">
        <w:t>Y</w:t>
      </w:r>
      <w:r w:rsidRPr="001021D8">
        <w:rPr>
          <w:lang w:val="ru-RU"/>
        </w:rPr>
        <w:t>.</w:t>
      </w:r>
      <w:r w:rsidRPr="00877259">
        <w:t>smart</w:t>
      </w:r>
      <w:r w:rsidRPr="001021D8">
        <w:rPr>
          <w:lang w:val="ru-RU"/>
        </w:rPr>
        <w:t>-</w:t>
      </w:r>
      <w:r w:rsidRPr="00877259">
        <w:t>evacuation</w:t>
      </w:r>
      <w:r w:rsidRPr="001021D8">
        <w:rPr>
          <w:lang w:val="ru-RU"/>
        </w:rPr>
        <w:t>): [</w:t>
      </w:r>
      <w:hyperlink r:id="rId20" w:history="1">
        <w:r w:rsidRPr="00877259">
          <w:rPr>
            <w:rStyle w:val="Hyperlink"/>
            <w:rFonts w:cs="Calibri"/>
            <w:szCs w:val="22"/>
            <w:lang w:val="ru-RU"/>
          </w:rPr>
          <w:t>R28</w:t>
        </w:r>
      </w:hyperlink>
      <w:r w:rsidRPr="001021D8">
        <w:rPr>
          <w:lang w:val="ru-RU"/>
        </w:rPr>
        <w:t>]</w:t>
      </w:r>
    </w:p>
    <w:p w14:paraId="3FAB56A2" w14:textId="77777777" w:rsidR="00B533DE" w:rsidRPr="001021D8" w:rsidRDefault="00B533DE" w:rsidP="00B533DE">
      <w:pPr>
        <w:pStyle w:val="Headingb"/>
        <w:rPr>
          <w:lang w:val="ru-RU"/>
        </w:rPr>
      </w:pPr>
      <w:r w:rsidRPr="001021D8">
        <w:rPr>
          <w:lang w:val="ru-RU"/>
        </w:rPr>
        <w:t>Основа для "умной" эвакуации в случае бедствия или чрезвычайной ситуации в "умных" городах и сообществах</w:t>
      </w:r>
    </w:p>
    <w:p w14:paraId="2B2754BA" w14:textId="77777777" w:rsidR="00B533DE" w:rsidRPr="001021D8" w:rsidRDefault="00B533DE" w:rsidP="00B533DE">
      <w:pPr>
        <w:pStyle w:val="Headingb"/>
        <w:rPr>
          <w:lang w:val="ru-RU"/>
        </w:rPr>
      </w:pPr>
      <w:r w:rsidRPr="001021D8">
        <w:rPr>
          <w:lang w:val="ru-RU"/>
        </w:rPr>
        <w:t>Резюме</w:t>
      </w:r>
    </w:p>
    <w:p w14:paraId="1EEA2F2D" w14:textId="77777777" w:rsidR="00B533DE" w:rsidRPr="00877259" w:rsidRDefault="00B533DE" w:rsidP="00DA76B3">
      <w:pPr>
        <w:rPr>
          <w:rFonts w:cs="Calibri"/>
          <w:color w:val="000000"/>
          <w:u w:color="000000"/>
          <w:bdr w:val="nil"/>
          <w:lang w:val="ru-RU"/>
          <w14:textOutline w14:w="12700" w14:cap="flat" w14:cmpd="sng" w14:algn="ctr">
            <w14:noFill/>
            <w14:prstDash w14:val="solid"/>
            <w14:miter w14:lim="400000"/>
          </w14:textOutline>
        </w:rPr>
      </w:pPr>
      <w:r w:rsidRPr="00877259">
        <w:rPr>
          <w:lang w:val="ru-RU"/>
        </w:rPr>
        <w:t>"Умная" эвакуация способствует организации эффективных и действенных решений для людей, находящихся в зоне бедствия или чрезвычайной ситуации, а также для людей, которым необходимо попасть в такую зону в рамках реагирования. Для обеспечения "умной" эвакуации во время стихийного бедствия или чрезвычайной ситуации возможно использовать интернет вещей (IoT) и технологии "умных" городов и сообществ.</w:t>
      </w:r>
    </w:p>
    <w:p w14:paraId="19208F64" w14:textId="77777777" w:rsidR="00B533DE" w:rsidRPr="00877259" w:rsidRDefault="00B533DE" w:rsidP="00DA76B3">
      <w:pPr>
        <w:rPr>
          <w:rFonts w:cs="Calibri"/>
          <w:color w:val="000000"/>
          <w:u w:color="000000"/>
          <w:bdr w:val="nil"/>
          <w:lang w:val="ru-RU"/>
          <w14:textOutline w14:w="12700" w14:cap="flat" w14:cmpd="sng" w14:algn="ctr">
            <w14:noFill/>
            <w14:prstDash w14:val="solid"/>
            <w14:miter w14:lim="400000"/>
          </w14:textOutline>
        </w:rPr>
      </w:pPr>
      <w:r w:rsidRPr="00877259">
        <w:rPr>
          <w:rFonts w:cs="Calibri"/>
          <w:lang w:val="ru-RU"/>
        </w:rPr>
        <w:t>В настоящей Рекомендации описаны концепции и функции управления "умной" эвакуацией в случае бедствия или чрезвычайной ситуации. Определены требования высокого уровня и инфраструктура ИКТ для "умной" эвакуации, а также сценарии использования при стихийных бедствиях и чрезвычайных ситуациях.</w:t>
      </w:r>
    </w:p>
    <w:p w14:paraId="1129B218" w14:textId="77777777" w:rsidR="00B533DE" w:rsidRPr="00877259" w:rsidRDefault="00B533DE" w:rsidP="00DA76B3">
      <w:pPr>
        <w:rPr>
          <w:rFonts w:cs="Calibri"/>
          <w:u w:color="000000"/>
          <w:bdr w:val="nil"/>
          <w:lang w:val="ru-RU"/>
          <w14:textOutline w14:w="12700" w14:cap="flat" w14:cmpd="sng" w14:algn="ctr">
            <w14:noFill/>
            <w14:prstDash w14:val="solid"/>
            <w14:miter w14:lim="400000"/>
          </w14:textOutline>
        </w:rPr>
      </w:pPr>
      <w:r w:rsidRPr="00877259">
        <w:rPr>
          <w:rFonts w:cs="Calibri"/>
          <w:lang w:val="ru-RU"/>
        </w:rPr>
        <w:t>Внедрение услуги "умной" эвакуации позволит сохранить уровень комфорта для населения, достигнутый в "умном" городе, даже в случае возникновения чрезвычайной ситуации. Этот аспект имеет принципиальное значение для обоснования существенных материальных затрат на стремительное развитие "умных" городов по всему миру</w:t>
      </w:r>
      <w:r w:rsidRPr="00877259">
        <w:rPr>
          <w:lang w:val="ru-RU"/>
        </w:rPr>
        <w:t xml:space="preserve"> </w:t>
      </w:r>
      <w:r w:rsidRPr="00877259">
        <w:rPr>
          <w:rFonts w:cs="Calibri"/>
          <w:lang w:val="ru-RU"/>
        </w:rPr>
        <w:t>на фоне участившихся во всем мире чрезвычайных ситуаций.</w:t>
      </w:r>
    </w:p>
    <w:p w14:paraId="07A1F021" w14:textId="77777777" w:rsidR="00B533DE" w:rsidRPr="001021D8" w:rsidRDefault="00B533DE" w:rsidP="00B533DE">
      <w:pPr>
        <w:pStyle w:val="Heading1"/>
        <w:rPr>
          <w:lang w:val="ru-RU"/>
        </w:rPr>
      </w:pPr>
      <w:r w:rsidRPr="001021D8">
        <w:rPr>
          <w:lang w:val="ru-RU"/>
        </w:rPr>
        <w:t>9</w:t>
      </w:r>
      <w:r w:rsidRPr="001021D8">
        <w:rPr>
          <w:lang w:val="ru-RU"/>
        </w:rPr>
        <w:tab/>
        <w:t xml:space="preserve">Проект новой Рекомендации МСЭ-Т </w:t>
      </w:r>
      <w:r w:rsidRPr="00877259">
        <w:t>Y</w:t>
      </w:r>
      <w:r w:rsidRPr="001021D8">
        <w:rPr>
          <w:lang w:val="ru-RU"/>
        </w:rPr>
        <w:t xml:space="preserve">.4507 (ранее </w:t>
      </w:r>
      <w:r w:rsidRPr="00877259">
        <w:t>Y</w:t>
      </w:r>
      <w:r w:rsidRPr="001021D8">
        <w:rPr>
          <w:lang w:val="ru-RU"/>
        </w:rPr>
        <w:t>.</w:t>
      </w:r>
      <w:r w:rsidRPr="00877259">
        <w:t>arc</w:t>
      </w:r>
      <w:r w:rsidRPr="001021D8">
        <w:rPr>
          <w:lang w:val="ru-RU"/>
        </w:rPr>
        <w:t>-</w:t>
      </w:r>
      <w:r w:rsidRPr="00877259">
        <w:t>psfws</w:t>
      </w:r>
      <w:r w:rsidRPr="001021D8">
        <w:rPr>
          <w:lang w:val="ru-RU"/>
        </w:rPr>
        <w:t>): [</w:t>
      </w:r>
      <w:hyperlink r:id="rId21" w:history="1">
        <w:r w:rsidRPr="00877259">
          <w:rPr>
            <w:rStyle w:val="Hyperlink"/>
            <w:rFonts w:cs="Calibri"/>
            <w:szCs w:val="22"/>
            <w:lang w:val="ru-RU"/>
          </w:rPr>
          <w:t>R29</w:t>
        </w:r>
      </w:hyperlink>
      <w:r w:rsidRPr="001021D8">
        <w:rPr>
          <w:lang w:val="ru-RU"/>
        </w:rPr>
        <w:t>]</w:t>
      </w:r>
    </w:p>
    <w:p w14:paraId="6A85D84F" w14:textId="77777777" w:rsidR="00B533DE" w:rsidRPr="001021D8" w:rsidRDefault="00B533DE" w:rsidP="00B533DE">
      <w:pPr>
        <w:pStyle w:val="Headingb"/>
        <w:rPr>
          <w:lang w:val="ru-RU"/>
        </w:rPr>
      </w:pPr>
      <w:r w:rsidRPr="001021D8">
        <w:rPr>
          <w:lang w:val="ru-RU"/>
        </w:rPr>
        <w:t>Функциональная архитектура системы оповещения объектов электроснабжения</w:t>
      </w:r>
    </w:p>
    <w:p w14:paraId="2BC842FD" w14:textId="77777777" w:rsidR="00B533DE" w:rsidRPr="001021D8" w:rsidRDefault="00B533DE" w:rsidP="00B533DE">
      <w:pPr>
        <w:pStyle w:val="Headingb"/>
        <w:rPr>
          <w:lang w:val="ru-RU"/>
        </w:rPr>
      </w:pPr>
      <w:r w:rsidRPr="001021D8">
        <w:rPr>
          <w:lang w:val="ru-RU"/>
        </w:rPr>
        <w:t>Резюме</w:t>
      </w:r>
    </w:p>
    <w:p w14:paraId="3CBEBA27" w14:textId="77777777" w:rsidR="00B533DE" w:rsidRPr="00877259" w:rsidRDefault="00B533DE" w:rsidP="00B533DE">
      <w:pPr>
        <w:rPr>
          <w:rFonts w:cs="Calibri"/>
          <w:szCs w:val="22"/>
          <w:lang w:val="ru-RU" w:eastAsia="zh-CN"/>
        </w:rPr>
      </w:pPr>
      <w:r w:rsidRPr="00877259">
        <w:rPr>
          <w:rFonts w:cs="Calibri"/>
          <w:bCs/>
          <w:szCs w:val="22"/>
          <w:lang w:val="ru-RU" w:eastAsia="zh-CN"/>
        </w:rPr>
        <w:t xml:space="preserve">Система раннего предупреждения объектов энергоснабжения на основе технологии интернета вещей позволяет получать параметры состояния энергооборудования в режиме реального времени и осуществлять прогнозирование состояния оборудования и раннее предупреждение о неисправностях, используя модель оценки состояния и раннего предупреждения. Это позволяет повысить экономичность эксплуатации активов и обеспечить надежность электроснабжения. Необходимо предусмотреть систему оповещения для объектов электроснабжения. В настоящей </w:t>
      </w:r>
      <w:r w:rsidRPr="00877259">
        <w:rPr>
          <w:rFonts w:cs="Calibri"/>
          <w:bCs/>
          <w:szCs w:val="22"/>
          <w:lang w:val="ru-RU" w:eastAsia="zh-CN"/>
        </w:rPr>
        <w:lastRenderedPageBreak/>
        <w:t>Рекомендации представлена функциональная архитектура системы предупреждения объектов электроснабжения, сценарии использования и потоки данных.</w:t>
      </w:r>
    </w:p>
    <w:p w14:paraId="7BF846A0" w14:textId="77777777" w:rsidR="00B533DE" w:rsidRPr="001021D8" w:rsidRDefault="00B533DE" w:rsidP="00B533DE">
      <w:pPr>
        <w:pStyle w:val="Heading1"/>
        <w:rPr>
          <w:lang w:val="ru-RU"/>
        </w:rPr>
      </w:pPr>
      <w:r w:rsidRPr="001021D8">
        <w:rPr>
          <w:lang w:val="ru-RU"/>
        </w:rPr>
        <w:t>10</w:t>
      </w:r>
      <w:r w:rsidRPr="001021D8">
        <w:rPr>
          <w:lang w:val="ru-RU"/>
        </w:rPr>
        <w:tab/>
        <w:t xml:space="preserve">Проект новой Рекомендации МСЭ-Т </w:t>
      </w:r>
      <w:r w:rsidRPr="00877259">
        <w:t>Y</w:t>
      </w:r>
      <w:r w:rsidRPr="001021D8">
        <w:rPr>
          <w:lang w:val="ru-RU"/>
        </w:rPr>
        <w:t xml:space="preserve">.4508 (ранее </w:t>
      </w:r>
      <w:r w:rsidRPr="00877259">
        <w:t>Y</w:t>
      </w:r>
      <w:r w:rsidRPr="001021D8">
        <w:rPr>
          <w:lang w:val="ru-RU"/>
        </w:rPr>
        <w:t>.</w:t>
      </w:r>
      <w:r w:rsidRPr="00877259">
        <w:t>DPM</w:t>
      </w:r>
      <w:r w:rsidRPr="001021D8">
        <w:rPr>
          <w:lang w:val="ru-RU"/>
        </w:rPr>
        <w:t>-</w:t>
      </w:r>
      <w:r w:rsidRPr="00877259">
        <w:t>alm</w:t>
      </w:r>
      <w:r w:rsidRPr="001021D8">
        <w:rPr>
          <w:lang w:val="ru-RU"/>
        </w:rPr>
        <w:t>-</w:t>
      </w:r>
      <w:r w:rsidRPr="00877259">
        <w:t>fra</w:t>
      </w:r>
      <w:r w:rsidRPr="001021D8">
        <w:rPr>
          <w:lang w:val="ru-RU"/>
        </w:rPr>
        <w:t>): [</w:t>
      </w:r>
      <w:hyperlink r:id="rId22" w:history="1">
        <w:r w:rsidRPr="00877259">
          <w:rPr>
            <w:rStyle w:val="Hyperlink"/>
            <w:rFonts w:cs="Calibri"/>
            <w:szCs w:val="22"/>
            <w:lang w:val="ru-RU"/>
          </w:rPr>
          <w:t>R30</w:t>
        </w:r>
      </w:hyperlink>
      <w:r w:rsidRPr="001021D8">
        <w:rPr>
          <w:lang w:val="ru-RU"/>
        </w:rPr>
        <w:t>]</w:t>
      </w:r>
    </w:p>
    <w:p w14:paraId="7EBA6DDE" w14:textId="77777777" w:rsidR="00B533DE" w:rsidRPr="001021D8" w:rsidRDefault="00B533DE" w:rsidP="00B533DE">
      <w:pPr>
        <w:pStyle w:val="Headingb"/>
        <w:rPr>
          <w:lang w:val="ru-RU"/>
        </w:rPr>
      </w:pPr>
      <w:r w:rsidRPr="001021D8">
        <w:rPr>
          <w:lang w:val="ru-RU"/>
        </w:rPr>
        <w:t>Функциональные требования и архитектура управления журналами операций на основе блокчейна для обработки данных интернета вещей (</w:t>
      </w:r>
      <w:r w:rsidRPr="00877259">
        <w:t>IoT</w:t>
      </w:r>
      <w:r w:rsidRPr="001021D8">
        <w:rPr>
          <w:lang w:val="ru-RU"/>
        </w:rPr>
        <w:t>) и управления ими</w:t>
      </w:r>
    </w:p>
    <w:p w14:paraId="5115E6B1" w14:textId="77777777" w:rsidR="00B533DE" w:rsidRPr="001021D8" w:rsidRDefault="00B533DE" w:rsidP="00B533DE">
      <w:pPr>
        <w:pStyle w:val="Headingb"/>
        <w:rPr>
          <w:lang w:val="ru-RU"/>
        </w:rPr>
      </w:pPr>
      <w:r w:rsidRPr="001021D8">
        <w:rPr>
          <w:lang w:val="ru-RU"/>
        </w:rPr>
        <w:t>Резюме</w:t>
      </w:r>
    </w:p>
    <w:p w14:paraId="503FF6AE" w14:textId="77777777" w:rsidR="00B533DE" w:rsidRPr="00877259" w:rsidRDefault="00B533DE" w:rsidP="00B533DE">
      <w:pPr>
        <w:rPr>
          <w:rFonts w:cs="Calibri"/>
          <w:szCs w:val="22"/>
          <w:lang w:val="ru-RU"/>
        </w:rPr>
      </w:pPr>
      <w:r w:rsidRPr="00877259">
        <w:rPr>
          <w:rFonts w:cs="Calibri"/>
          <w:szCs w:val="22"/>
          <w:lang w:val="ru-RU"/>
        </w:rPr>
        <w:t>Существует множество платформ интернета вещей (IoT), которые предназначены для обработки одних и тех же данных IoT и управления ими на разных этапах и в разных областях. В традиционных решениях каждая из платформ IoT обычно хранит журналы своих операций по обработке данных IoT и управлению ими (IoT DPM) отдельно в своем хранилище данных. Эти журналы операций разделены платформами IoT и управляются ими. Таким образом, доступность и надежность этих журналов операций не гарантируется, и непросто отследить операции, связанные с DPM IoT, на протяжении всего жизненного цикла журналов операций, которые хранятся и управляются различными платформами IoT.</w:t>
      </w:r>
    </w:p>
    <w:p w14:paraId="40E75E02" w14:textId="77777777" w:rsidR="00B533DE" w:rsidRPr="00877259" w:rsidRDefault="00B533DE" w:rsidP="00B533DE">
      <w:pPr>
        <w:rPr>
          <w:rFonts w:cs="Calibri"/>
          <w:szCs w:val="22"/>
          <w:lang w:val="ru-RU"/>
        </w:rPr>
      </w:pPr>
      <w:r w:rsidRPr="00877259">
        <w:rPr>
          <w:rFonts w:cs="Calibri"/>
          <w:szCs w:val="22"/>
          <w:lang w:val="ru-RU" w:eastAsia="zh-CN"/>
        </w:rPr>
        <w:t>Для отслеживания операций, связанных с DPM IoT, различные платформы IoT могут использовать одно и то же пространство для хранения журналов операций и соответствующие функциональные возможности. Управление журналом операций (ALM) на основе технологий блокчейна предоставляет функциональные возможности для управления журналами операций по DPM IoT на платформах IoT на протяжении всего жизненного цикла. Различные платформы IoT могут индивидуально сохранять журналы действий по IoT DPM в надежном общем хранилище через ALM для IoT DPM.</w:t>
      </w:r>
      <w:r w:rsidRPr="00877259">
        <w:rPr>
          <w:lang w:val="ru-RU"/>
        </w:rPr>
        <w:t xml:space="preserve"> </w:t>
      </w:r>
      <w:r w:rsidRPr="00877259">
        <w:rPr>
          <w:rFonts w:cs="Calibri"/>
          <w:szCs w:val="22"/>
          <w:lang w:val="ru-RU" w:eastAsia="zh-CN"/>
        </w:rPr>
        <w:t>При считывании журналов операций по IoT DPM через ALM, они могут получать все соответствующие журналы операций по IoT DPM за полный жизненный цикл из надежного общего хранилища через ALM для IoT DPM, если на это имеется разрешение. ALM и надежное общее хранилище основаны на технологии блокчейна и могут обеспечить защиту журналов операций от несанкционированного доступа. ALM может способствовать прозрачному и надежному хранению и отслеживанию журналов операций по IoT DPM на платформах IoT на протяжении всего жизненного цикла.</w:t>
      </w:r>
    </w:p>
    <w:p w14:paraId="070E42AE" w14:textId="77777777" w:rsidR="00B533DE" w:rsidRPr="00877259" w:rsidRDefault="00B533DE" w:rsidP="00B533DE">
      <w:pPr>
        <w:rPr>
          <w:rFonts w:cs="Calibri"/>
          <w:szCs w:val="22"/>
          <w:lang w:val="ru-RU" w:eastAsia="zh-CN"/>
        </w:rPr>
      </w:pPr>
      <w:r w:rsidRPr="00877259">
        <w:rPr>
          <w:rFonts w:cs="Calibri"/>
          <w:szCs w:val="22"/>
          <w:lang w:val="ru-RU"/>
        </w:rPr>
        <w:t>В настоящей Рекомендации представлено ALM на основе блокчейна для обработки данных IoT и управления ими, определены его характеристики, функциональные требования и архитектура.</w:t>
      </w:r>
    </w:p>
    <w:p w14:paraId="4920B96B" w14:textId="77777777" w:rsidR="00B533DE" w:rsidRPr="001021D8" w:rsidRDefault="00B533DE" w:rsidP="00B533DE">
      <w:pPr>
        <w:pStyle w:val="Heading1"/>
        <w:rPr>
          <w:lang w:val="ru-RU"/>
        </w:rPr>
      </w:pPr>
      <w:r w:rsidRPr="001021D8">
        <w:rPr>
          <w:lang w:val="ru-RU"/>
        </w:rPr>
        <w:t>11</w:t>
      </w:r>
      <w:r w:rsidRPr="001021D8">
        <w:rPr>
          <w:lang w:val="ru-RU"/>
        </w:rPr>
        <w:tab/>
        <w:t xml:space="preserve">Проект новой Рекомендации МСЭ-Т </w:t>
      </w:r>
      <w:r w:rsidRPr="00877259">
        <w:t>Y</w:t>
      </w:r>
      <w:r w:rsidRPr="001021D8">
        <w:rPr>
          <w:lang w:val="ru-RU"/>
        </w:rPr>
        <w:t xml:space="preserve">.4706 (ранее </w:t>
      </w:r>
      <w:r w:rsidRPr="00877259">
        <w:t>Y</w:t>
      </w:r>
      <w:r w:rsidRPr="001021D8">
        <w:rPr>
          <w:lang w:val="ru-RU"/>
        </w:rPr>
        <w:t>.</w:t>
      </w:r>
      <w:r w:rsidRPr="00877259">
        <w:t>dem</w:t>
      </w:r>
      <w:r w:rsidRPr="001021D8">
        <w:rPr>
          <w:lang w:val="ru-RU"/>
        </w:rPr>
        <w:t>-</w:t>
      </w:r>
      <w:r w:rsidRPr="00877259">
        <w:t>IoT</w:t>
      </w:r>
      <w:r w:rsidRPr="001021D8">
        <w:rPr>
          <w:lang w:val="ru-RU"/>
        </w:rPr>
        <w:t>): [</w:t>
      </w:r>
      <w:hyperlink r:id="rId23" w:history="1">
        <w:r w:rsidRPr="00877259">
          <w:rPr>
            <w:rStyle w:val="Hyperlink"/>
            <w:rFonts w:cs="Calibri"/>
            <w:szCs w:val="22"/>
            <w:lang w:val="ru-RU"/>
          </w:rPr>
          <w:t>R31</w:t>
        </w:r>
      </w:hyperlink>
      <w:r w:rsidRPr="001021D8">
        <w:rPr>
          <w:lang w:val="ru-RU"/>
        </w:rPr>
        <w:t>]</w:t>
      </w:r>
    </w:p>
    <w:p w14:paraId="07761E28" w14:textId="77777777" w:rsidR="00B533DE" w:rsidRPr="001021D8" w:rsidRDefault="00B533DE" w:rsidP="00B533DE">
      <w:pPr>
        <w:pStyle w:val="Headingb"/>
        <w:rPr>
          <w:lang w:val="ru-RU"/>
        </w:rPr>
      </w:pPr>
      <w:r w:rsidRPr="001021D8">
        <w:rPr>
          <w:lang w:val="ru-RU"/>
        </w:rPr>
        <w:t>Модель обмена данными для устройств интернета вещей (</w:t>
      </w:r>
      <w:r w:rsidRPr="00877259">
        <w:t>IoT</w:t>
      </w:r>
      <w:r w:rsidRPr="001021D8">
        <w:rPr>
          <w:lang w:val="ru-RU"/>
        </w:rPr>
        <w:t>) в составе оборудования для</w:t>
      </w:r>
      <w:r>
        <w:t> </w:t>
      </w:r>
      <w:r w:rsidRPr="001021D8">
        <w:rPr>
          <w:lang w:val="ru-RU"/>
        </w:rPr>
        <w:t>передачи и преобразования электроэнергии</w:t>
      </w:r>
    </w:p>
    <w:p w14:paraId="596FA7AA" w14:textId="77777777" w:rsidR="00B533DE" w:rsidRPr="001021D8" w:rsidRDefault="00B533DE" w:rsidP="00B533DE">
      <w:pPr>
        <w:pStyle w:val="Headingb"/>
        <w:rPr>
          <w:lang w:val="ru-RU"/>
        </w:rPr>
      </w:pPr>
      <w:r w:rsidRPr="001021D8">
        <w:rPr>
          <w:lang w:val="ru-RU"/>
        </w:rPr>
        <w:t>Резюме</w:t>
      </w:r>
    </w:p>
    <w:p w14:paraId="2B801B5F" w14:textId="77777777" w:rsidR="00B533DE" w:rsidRPr="00877259" w:rsidRDefault="00B533DE" w:rsidP="00B533DE">
      <w:pPr>
        <w:tabs>
          <w:tab w:val="clear" w:pos="1191"/>
          <w:tab w:val="left" w:pos="0"/>
        </w:tabs>
        <w:outlineLvl w:val="0"/>
        <w:rPr>
          <w:rFonts w:cs="Calibri"/>
          <w:szCs w:val="22"/>
          <w:lang w:val="ru-RU" w:eastAsia="zh-CN"/>
        </w:rPr>
      </w:pPr>
      <w:r w:rsidRPr="00877259">
        <w:rPr>
          <w:rFonts w:cs="Calibri"/>
          <w:szCs w:val="22"/>
          <w:lang w:val="ru-RU" w:eastAsia="zh-CN"/>
        </w:rPr>
        <w:t>Устройства интернета вещей (IoT), используемые в составе оборудования для передачи и преобразования электроэнергии, могут удовлетворить спрос на получение полных и точных данных о таком оборудовании. Разработка модели обмена данными, которая учитывала бы использование приложений, а также функции совместного использования и координации, имеет существенное значение для построения системы, предназначенной для оборудования передачи и преобразования энергии на базе IoT.</w:t>
      </w:r>
    </w:p>
    <w:p w14:paraId="6CA6D397" w14:textId="77777777" w:rsidR="00B533DE" w:rsidRPr="00877259" w:rsidRDefault="00B533DE" w:rsidP="00B533DE">
      <w:pPr>
        <w:tabs>
          <w:tab w:val="clear" w:pos="1191"/>
          <w:tab w:val="left" w:pos="0"/>
        </w:tabs>
        <w:outlineLvl w:val="0"/>
        <w:rPr>
          <w:rFonts w:cs="Calibri"/>
          <w:szCs w:val="22"/>
          <w:lang w:val="ru-RU" w:eastAsia="zh-CN"/>
        </w:rPr>
      </w:pPr>
      <w:r w:rsidRPr="00877259">
        <w:rPr>
          <w:rFonts w:cs="Calibri"/>
          <w:szCs w:val="22"/>
          <w:lang w:val="ru-RU" w:eastAsia="zh-CN"/>
        </w:rPr>
        <w:t>В настоящей Рекомендации представлены требования и модель, применимые к обмену данными IoT в оборудовании для передачи и преобразования энергии.</w:t>
      </w:r>
    </w:p>
    <w:p w14:paraId="57103E04" w14:textId="77777777" w:rsidR="00B533DE" w:rsidRPr="001021D8" w:rsidRDefault="00B533DE" w:rsidP="00B533DE">
      <w:pPr>
        <w:pStyle w:val="Heading1"/>
        <w:rPr>
          <w:lang w:val="ru-RU"/>
        </w:rPr>
      </w:pPr>
      <w:r w:rsidRPr="001021D8">
        <w:rPr>
          <w:lang w:val="ru-RU"/>
        </w:rPr>
        <w:lastRenderedPageBreak/>
        <w:t>12</w:t>
      </w:r>
      <w:r w:rsidRPr="001021D8">
        <w:rPr>
          <w:lang w:val="ru-RU"/>
        </w:rPr>
        <w:tab/>
        <w:t xml:space="preserve">Проект новой Рекомендации МСЭ-Т </w:t>
      </w:r>
      <w:r w:rsidRPr="00877259">
        <w:rPr>
          <w:lang w:eastAsia="zh-CN"/>
        </w:rPr>
        <w:t>Y</w:t>
      </w:r>
      <w:r w:rsidRPr="001021D8">
        <w:rPr>
          <w:lang w:val="ru-RU" w:eastAsia="zh-CN"/>
        </w:rPr>
        <w:t xml:space="preserve">.4499 (ранее </w:t>
      </w:r>
      <w:r w:rsidRPr="00877259">
        <w:rPr>
          <w:lang w:eastAsia="zh-CN"/>
        </w:rPr>
        <w:t>Y</w:t>
      </w:r>
      <w:r w:rsidRPr="001021D8">
        <w:rPr>
          <w:lang w:val="ru-RU" w:eastAsia="zh-CN"/>
        </w:rPr>
        <w:t>.</w:t>
      </w:r>
      <w:r w:rsidRPr="00877259">
        <w:rPr>
          <w:lang w:eastAsia="zh-CN"/>
        </w:rPr>
        <w:t>UIM</w:t>
      </w:r>
      <w:r w:rsidRPr="001021D8">
        <w:rPr>
          <w:lang w:val="ru-RU" w:eastAsia="zh-CN"/>
        </w:rPr>
        <w:t>-</w:t>
      </w:r>
      <w:r w:rsidRPr="00877259">
        <w:rPr>
          <w:lang w:eastAsia="zh-CN"/>
        </w:rPr>
        <w:t>cs</w:t>
      </w:r>
      <w:r w:rsidRPr="001021D8">
        <w:rPr>
          <w:lang w:val="ru-RU" w:eastAsia="zh-CN"/>
        </w:rPr>
        <w:t>-</w:t>
      </w:r>
      <w:r w:rsidRPr="00877259">
        <w:rPr>
          <w:lang w:eastAsia="zh-CN"/>
        </w:rPr>
        <w:t>framework</w:t>
      </w:r>
      <w:r w:rsidRPr="001021D8">
        <w:rPr>
          <w:lang w:val="ru-RU" w:eastAsia="zh-CN"/>
        </w:rPr>
        <w:t>)</w:t>
      </w:r>
      <w:r w:rsidRPr="001021D8">
        <w:rPr>
          <w:lang w:val="ru-RU"/>
        </w:rPr>
        <w:t>: [</w:t>
      </w:r>
      <w:hyperlink r:id="rId24" w:history="1">
        <w:r w:rsidRPr="00877259">
          <w:rPr>
            <w:rStyle w:val="Hyperlink"/>
            <w:rFonts w:cs="Calibri"/>
            <w:szCs w:val="22"/>
            <w:lang w:val="ru-RU"/>
          </w:rPr>
          <w:t>R32</w:t>
        </w:r>
      </w:hyperlink>
      <w:r w:rsidRPr="001021D8">
        <w:rPr>
          <w:lang w:val="ru-RU"/>
        </w:rPr>
        <w:t>]</w:t>
      </w:r>
    </w:p>
    <w:p w14:paraId="25280A87" w14:textId="77777777" w:rsidR="00B533DE" w:rsidRPr="001021D8" w:rsidRDefault="00B533DE" w:rsidP="00B533DE">
      <w:pPr>
        <w:pStyle w:val="Headingb"/>
        <w:rPr>
          <w:lang w:val="ru-RU"/>
        </w:rPr>
      </w:pPr>
      <w:r w:rsidRPr="001021D8">
        <w:rPr>
          <w:lang w:val="ru-RU"/>
        </w:rPr>
        <w:t>Структура мониторинга городской инфраструктуры на основе краудсорсинга</w:t>
      </w:r>
    </w:p>
    <w:p w14:paraId="0C28A62D" w14:textId="77777777" w:rsidR="00B533DE" w:rsidRPr="001021D8" w:rsidRDefault="00B533DE" w:rsidP="00B533DE">
      <w:pPr>
        <w:pStyle w:val="Headingb"/>
        <w:rPr>
          <w:lang w:val="ru-RU"/>
        </w:rPr>
      </w:pPr>
      <w:r w:rsidRPr="001021D8">
        <w:rPr>
          <w:lang w:val="ru-RU"/>
        </w:rPr>
        <w:t>Резюме</w:t>
      </w:r>
    </w:p>
    <w:p w14:paraId="0E7BCA9E" w14:textId="77777777" w:rsidR="00B533DE" w:rsidRPr="00877259" w:rsidRDefault="00B533DE" w:rsidP="00B533DE">
      <w:pPr>
        <w:rPr>
          <w:rFonts w:eastAsia="SimSun" w:cs="Calibri"/>
          <w:szCs w:val="22"/>
          <w:lang w:val="ru-RU" w:eastAsia="zh-CN"/>
        </w:rPr>
      </w:pPr>
      <w:r w:rsidRPr="00877259">
        <w:rPr>
          <w:rFonts w:cs="Calibri"/>
          <w:szCs w:val="22"/>
          <w:lang w:val="ru-RU" w:eastAsia="zh-CN"/>
        </w:rPr>
        <w:t>В Рекомендации МСЭ-T Y.4499 определена структура мониторинга городской инфраструктуры на основе краудсорсинга, в том числе требования, функциональная архитектура, общие процедуры, а также приведены соображения по безопасности и конфиденциальности.</w:t>
      </w:r>
    </w:p>
    <w:p w14:paraId="3E18C0B4" w14:textId="77777777" w:rsidR="00B533DE" w:rsidRPr="00877259" w:rsidRDefault="00B533DE" w:rsidP="00B533DE">
      <w:pPr>
        <w:rPr>
          <w:rFonts w:cs="Calibri"/>
          <w:szCs w:val="22"/>
          <w:lang w:val="ru-RU" w:eastAsia="zh-CN"/>
        </w:rPr>
      </w:pPr>
      <w:r w:rsidRPr="00877259">
        <w:rPr>
          <w:rFonts w:cs="Calibri"/>
          <w:szCs w:val="22"/>
          <w:lang w:val="ru-RU" w:eastAsia="zh-CN"/>
        </w:rPr>
        <w:t xml:space="preserve">К городской инфраструктуре относятся физические объекты и системы, которыми должен обладать город для функционирования и развития. </w:t>
      </w:r>
      <w:r w:rsidRPr="00877259">
        <w:rPr>
          <w:rFonts w:ascii="Segoe UI" w:hAnsi="Segoe UI" w:cs="Segoe UI"/>
          <w:color w:val="000000"/>
          <w:sz w:val="20"/>
          <w:shd w:val="clear" w:color="auto" w:fill="FFFFFF"/>
          <w:lang w:val="ru-RU"/>
        </w:rPr>
        <w:t>Она характеризуется большим количеством объектов, широкой распространенностью и высокой сложностью управления</w:t>
      </w:r>
      <w:r w:rsidRPr="00877259">
        <w:rPr>
          <w:rFonts w:cs="Calibri"/>
          <w:szCs w:val="22"/>
          <w:lang w:val="ru-RU" w:eastAsia="zh-CN"/>
        </w:rPr>
        <w:t>. Краудсорсинг – это практика привлечения группы людей для достижения общей цели. Он может служить масштабируемым и экономически целесообразным методом мониторинга городской инфраструктуры.</w:t>
      </w:r>
    </w:p>
    <w:p w14:paraId="5AFB23F3" w14:textId="47041DCB" w:rsidR="008E5344" w:rsidRPr="00626515" w:rsidRDefault="008E5344" w:rsidP="00A505E1">
      <w:pPr>
        <w:pStyle w:val="AnnexNo"/>
        <w:pageBreakBefore/>
        <w:rPr>
          <w:lang w:val="ru-RU"/>
        </w:rPr>
      </w:pPr>
      <w:r w:rsidRPr="0038423C">
        <w:rPr>
          <w:lang w:val="ru-RU"/>
        </w:rPr>
        <w:lastRenderedPageBreak/>
        <w:t>ПРИЛОЖЕНИЕ</w:t>
      </w:r>
      <w:r w:rsidRPr="00626515">
        <w:rPr>
          <w:lang w:val="ru-RU"/>
        </w:rPr>
        <w:t xml:space="preserve"> 2</w:t>
      </w:r>
    </w:p>
    <w:p w14:paraId="7ED34FB3" w14:textId="77777777" w:rsidR="00B533DE" w:rsidRPr="00877259" w:rsidRDefault="00B533DE" w:rsidP="00B533DE">
      <w:pPr>
        <w:pStyle w:val="Annextitle0"/>
        <w:spacing w:before="0"/>
        <w:rPr>
          <w:szCs w:val="26"/>
          <w:lang w:val="ru-RU"/>
        </w:rPr>
      </w:pPr>
      <w:r w:rsidRPr="00877259">
        <w:rPr>
          <w:bCs/>
          <w:szCs w:val="26"/>
          <w:lang w:val="ru-RU"/>
        </w:rPr>
        <w:t xml:space="preserve">Предмет: ответ Государств-Членов на Циркуляр 236 БСЭ </w:t>
      </w:r>
      <w:r w:rsidRPr="00877259">
        <w:rPr>
          <w:bCs/>
          <w:szCs w:val="26"/>
          <w:lang w:val="ru-RU"/>
        </w:rPr>
        <w:br/>
        <w:t xml:space="preserve">Консультации по проектам новых Рекомендаций МСЭ-T </w:t>
      </w:r>
      <w:r w:rsidRPr="00877259">
        <w:rPr>
          <w:szCs w:val="26"/>
          <w:lang w:val="ru-RU"/>
        </w:rPr>
        <w:t xml:space="preserve">Y.4506 (ранее Y.DRI-arch), Y.4229 (ранее Y.IoT-SFFS), Y.4230 (ранее Y.EV-charging), Y.4231 (ранее Y.IoT-Vreqs), Y.4232 (ранее Y.IoT-RTPS), Y.4233 (ранее Y.FSPH), Y.4234 (ранее Y.RemoteEd), Y.4222 (ранее Y.smart-evacuation), Y.4507 (ранее Y.arc-psfws), </w:t>
      </w:r>
      <w:r>
        <w:rPr>
          <w:szCs w:val="26"/>
          <w:lang w:val="ru-RU"/>
        </w:rPr>
        <w:br/>
      </w:r>
      <w:r w:rsidRPr="00877259">
        <w:rPr>
          <w:szCs w:val="26"/>
          <w:lang w:val="ru-RU"/>
        </w:rPr>
        <w:t xml:space="preserve">Y.4508 (ранее Y.DPM-alm-fra), Y.4706 (ранее Y.dem-IoT) </w:t>
      </w:r>
      <w:r>
        <w:rPr>
          <w:szCs w:val="26"/>
          <w:lang w:val="ru-RU"/>
        </w:rPr>
        <w:br/>
        <w:t>и </w:t>
      </w:r>
      <w:r w:rsidRPr="00877259">
        <w:rPr>
          <w:szCs w:val="26"/>
          <w:lang w:val="ru-RU"/>
        </w:rPr>
        <w:t>Y.4499 (ранее Y.UIM-cs-framework)</w:t>
      </w:r>
      <w:r w:rsidRPr="00877259">
        <w:rPr>
          <w:bCs/>
          <w:szCs w:val="26"/>
          <w:lang w:val="ru-RU"/>
        </w:rPr>
        <w:t xml:space="preserve">, </w:t>
      </w:r>
      <w:r>
        <w:rPr>
          <w:bCs/>
          <w:szCs w:val="26"/>
          <w:lang w:val="ru-RU"/>
        </w:rPr>
        <w:br/>
      </w:r>
      <w:r w:rsidRPr="00877259">
        <w:rPr>
          <w:bCs/>
          <w:szCs w:val="26"/>
          <w:lang w:val="ru-RU"/>
        </w:rPr>
        <w:t>по которым сделано заключение</w:t>
      </w:r>
    </w:p>
    <w:tbl>
      <w:tblPr>
        <w:tblW w:w="5000" w:type="pct"/>
        <w:tblLook w:val="04A0" w:firstRow="1" w:lastRow="0" w:firstColumn="1" w:lastColumn="0" w:noHBand="0" w:noVBand="1"/>
      </w:tblPr>
      <w:tblGrid>
        <w:gridCol w:w="973"/>
        <w:gridCol w:w="303"/>
        <w:gridCol w:w="3834"/>
        <w:gridCol w:w="1236"/>
        <w:gridCol w:w="3293"/>
      </w:tblGrid>
      <w:tr w:rsidR="00B533DE" w:rsidRPr="001D6067" w14:paraId="5E8E6DF0" w14:textId="77777777" w:rsidTr="00D975B6">
        <w:tc>
          <w:tcPr>
            <w:tcW w:w="662" w:type="pct"/>
            <w:gridSpan w:val="2"/>
            <w:shd w:val="clear" w:color="auto" w:fill="auto"/>
          </w:tcPr>
          <w:p w14:paraId="0BA5906C" w14:textId="77777777" w:rsidR="00B533DE" w:rsidRPr="00877259" w:rsidRDefault="00B533DE" w:rsidP="00423D85">
            <w:pPr>
              <w:jc w:val="right"/>
              <w:rPr>
                <w:b/>
                <w:bCs/>
                <w:szCs w:val="22"/>
                <w:lang w:val="ru-RU"/>
              </w:rPr>
            </w:pPr>
            <w:r w:rsidRPr="00877259">
              <w:rPr>
                <w:b/>
                <w:bCs/>
                <w:szCs w:val="22"/>
                <w:lang w:val="ru-RU"/>
              </w:rPr>
              <w:t>Кому</w:t>
            </w:r>
            <w:r w:rsidRPr="00083E56">
              <w:rPr>
                <w:szCs w:val="22"/>
                <w:lang w:val="ru-RU"/>
              </w:rPr>
              <w:t>:</w:t>
            </w:r>
          </w:p>
        </w:tc>
        <w:tc>
          <w:tcPr>
            <w:tcW w:w="1989" w:type="pct"/>
            <w:tcBorders>
              <w:right w:val="single" w:sz="8" w:space="0" w:color="auto"/>
            </w:tcBorders>
            <w:shd w:val="clear" w:color="auto" w:fill="auto"/>
          </w:tcPr>
          <w:p w14:paraId="69A24597" w14:textId="77777777" w:rsidR="00B533DE" w:rsidRPr="00877259" w:rsidRDefault="00B533DE" w:rsidP="00423D85">
            <w:pPr>
              <w:rPr>
                <w:szCs w:val="22"/>
                <w:lang w:val="ru-RU"/>
              </w:rPr>
            </w:pPr>
            <w:r w:rsidRPr="00877259">
              <w:rPr>
                <w:szCs w:val="22"/>
                <w:lang w:val="ru-RU"/>
              </w:rPr>
              <w:t xml:space="preserve">Директору </w:t>
            </w:r>
            <w:r w:rsidRPr="00877259">
              <w:rPr>
                <w:szCs w:val="22"/>
                <w:lang w:val="ru-RU"/>
              </w:rPr>
              <w:br/>
              <w:t>Бюро стандартизации электросвязи</w:t>
            </w:r>
          </w:p>
          <w:p w14:paraId="1154A134" w14:textId="77777777" w:rsidR="00B533DE" w:rsidRPr="00877259" w:rsidRDefault="00B533DE" w:rsidP="00423D85">
            <w:pPr>
              <w:spacing w:before="0"/>
              <w:rPr>
                <w:szCs w:val="22"/>
                <w:lang w:val="ru-RU"/>
              </w:rPr>
            </w:pPr>
            <w:r w:rsidRPr="00877259">
              <w:rPr>
                <w:szCs w:val="22"/>
                <w:lang w:val="ru-RU"/>
              </w:rPr>
              <w:t>Международный союз электросвязи</w:t>
            </w:r>
          </w:p>
          <w:p w14:paraId="76B8F837" w14:textId="77777777" w:rsidR="00B533DE" w:rsidRPr="00B533DE" w:rsidRDefault="00B533DE" w:rsidP="00423D85">
            <w:pPr>
              <w:spacing w:before="0"/>
              <w:rPr>
                <w:szCs w:val="22"/>
                <w:lang w:val="en-GB"/>
              </w:rPr>
            </w:pPr>
            <w:r w:rsidRPr="00B533DE">
              <w:rPr>
                <w:szCs w:val="22"/>
                <w:lang w:val="en-GB"/>
              </w:rPr>
              <w:t>Place des Nations</w:t>
            </w:r>
          </w:p>
          <w:p w14:paraId="31175C41" w14:textId="77777777" w:rsidR="00B533DE" w:rsidRPr="00B533DE" w:rsidRDefault="00B533DE" w:rsidP="00423D85">
            <w:pPr>
              <w:spacing w:before="0"/>
              <w:rPr>
                <w:szCs w:val="22"/>
                <w:lang w:val="en-GB"/>
              </w:rPr>
            </w:pPr>
            <w:r w:rsidRPr="00B533DE">
              <w:rPr>
                <w:szCs w:val="22"/>
                <w:lang w:val="en-GB"/>
              </w:rPr>
              <w:t>CH 1211 Geneva 20, Switzerland</w:t>
            </w:r>
          </w:p>
        </w:tc>
        <w:tc>
          <w:tcPr>
            <w:tcW w:w="641" w:type="pct"/>
            <w:tcBorders>
              <w:left w:val="single" w:sz="8" w:space="0" w:color="auto"/>
            </w:tcBorders>
            <w:shd w:val="clear" w:color="auto" w:fill="auto"/>
          </w:tcPr>
          <w:p w14:paraId="683AF045" w14:textId="77777777" w:rsidR="00B533DE" w:rsidRPr="00877259" w:rsidRDefault="00B533DE" w:rsidP="00D975B6">
            <w:pPr>
              <w:rPr>
                <w:b/>
                <w:bCs/>
                <w:szCs w:val="22"/>
                <w:lang w:val="ru-RU"/>
              </w:rPr>
            </w:pPr>
            <w:r w:rsidRPr="00877259">
              <w:rPr>
                <w:b/>
                <w:bCs/>
                <w:szCs w:val="22"/>
                <w:lang w:val="ru-RU"/>
              </w:rPr>
              <w:t>От</w:t>
            </w:r>
            <w:r w:rsidRPr="00083E56">
              <w:rPr>
                <w:szCs w:val="22"/>
                <w:lang w:val="ru-RU"/>
              </w:rPr>
              <w:t>:</w:t>
            </w:r>
          </w:p>
        </w:tc>
        <w:tc>
          <w:tcPr>
            <w:tcW w:w="1708" w:type="pct"/>
            <w:shd w:val="clear" w:color="auto" w:fill="auto"/>
          </w:tcPr>
          <w:p w14:paraId="38206BEC" w14:textId="77777777" w:rsidR="00B533DE" w:rsidRPr="00877259" w:rsidRDefault="00B533DE" w:rsidP="00423D85">
            <w:pPr>
              <w:rPr>
                <w:szCs w:val="22"/>
                <w:highlight w:val="green"/>
                <w:lang w:val="ru-RU"/>
              </w:rPr>
            </w:pPr>
            <w:r w:rsidRPr="00877259">
              <w:rPr>
                <w:szCs w:val="22"/>
                <w:highlight w:val="green"/>
                <w:lang w:val="ru-RU"/>
              </w:rPr>
              <w:t>[Фамилия]</w:t>
            </w:r>
          </w:p>
          <w:p w14:paraId="4ED902F1" w14:textId="77777777" w:rsidR="00B533DE" w:rsidRPr="00877259" w:rsidRDefault="00B533DE" w:rsidP="00423D85">
            <w:pPr>
              <w:spacing w:before="0"/>
              <w:rPr>
                <w:szCs w:val="22"/>
                <w:highlight w:val="green"/>
                <w:lang w:val="ru-RU"/>
              </w:rPr>
            </w:pPr>
            <w:r w:rsidRPr="00877259">
              <w:rPr>
                <w:szCs w:val="22"/>
                <w:highlight w:val="green"/>
                <w:lang w:val="ru-RU"/>
              </w:rPr>
              <w:t>[Официальная должность/титул]</w:t>
            </w:r>
          </w:p>
          <w:p w14:paraId="7652B8F4" w14:textId="77777777" w:rsidR="00B533DE" w:rsidRPr="00877259" w:rsidRDefault="00B533DE" w:rsidP="00423D85">
            <w:pPr>
              <w:spacing w:before="0"/>
              <w:rPr>
                <w:szCs w:val="22"/>
                <w:lang w:val="ru-RU"/>
              </w:rPr>
            </w:pPr>
            <w:r w:rsidRPr="00877259">
              <w:rPr>
                <w:szCs w:val="22"/>
                <w:highlight w:val="green"/>
                <w:lang w:val="ru-RU"/>
              </w:rPr>
              <w:t>[Адрес]</w:t>
            </w:r>
          </w:p>
        </w:tc>
      </w:tr>
      <w:tr w:rsidR="00B533DE" w:rsidRPr="00877259" w14:paraId="738682CF" w14:textId="77777777" w:rsidTr="00D975B6">
        <w:tc>
          <w:tcPr>
            <w:tcW w:w="662" w:type="pct"/>
            <w:gridSpan w:val="2"/>
            <w:shd w:val="clear" w:color="auto" w:fill="auto"/>
          </w:tcPr>
          <w:p w14:paraId="191C6F6D" w14:textId="77777777" w:rsidR="00B533DE" w:rsidRPr="00877259" w:rsidRDefault="00B533DE" w:rsidP="00423D85">
            <w:pPr>
              <w:spacing w:before="0"/>
              <w:jc w:val="right"/>
              <w:rPr>
                <w:b/>
                <w:bCs/>
                <w:szCs w:val="22"/>
                <w:lang w:val="ru-RU"/>
              </w:rPr>
            </w:pPr>
            <w:r w:rsidRPr="00877259">
              <w:rPr>
                <w:b/>
                <w:bCs/>
                <w:szCs w:val="22"/>
                <w:lang w:val="ru-RU"/>
              </w:rPr>
              <w:t>Факс</w:t>
            </w:r>
            <w:r w:rsidRPr="00083E56">
              <w:rPr>
                <w:szCs w:val="22"/>
                <w:lang w:val="ru-RU"/>
              </w:rPr>
              <w:t>:</w:t>
            </w:r>
          </w:p>
          <w:p w14:paraId="72EB56E7" w14:textId="77777777" w:rsidR="00B533DE" w:rsidRPr="00877259" w:rsidRDefault="00B533DE" w:rsidP="00423D85">
            <w:pPr>
              <w:spacing w:before="0"/>
              <w:jc w:val="right"/>
              <w:rPr>
                <w:b/>
                <w:bCs/>
                <w:szCs w:val="22"/>
                <w:lang w:val="ru-RU"/>
              </w:rPr>
            </w:pPr>
            <w:r w:rsidRPr="00877259">
              <w:rPr>
                <w:b/>
                <w:bCs/>
                <w:szCs w:val="22"/>
                <w:lang w:val="ru-RU"/>
              </w:rPr>
              <w:t>Эл. почта</w:t>
            </w:r>
            <w:r w:rsidRPr="00083E56">
              <w:rPr>
                <w:szCs w:val="22"/>
                <w:lang w:val="ru-RU"/>
              </w:rPr>
              <w:t>:</w:t>
            </w:r>
          </w:p>
        </w:tc>
        <w:tc>
          <w:tcPr>
            <w:tcW w:w="1989" w:type="pct"/>
            <w:tcBorders>
              <w:right w:val="single" w:sz="8" w:space="0" w:color="auto"/>
            </w:tcBorders>
            <w:shd w:val="clear" w:color="auto" w:fill="auto"/>
          </w:tcPr>
          <w:p w14:paraId="4971BF7F" w14:textId="77777777" w:rsidR="00B533DE" w:rsidRPr="00877259" w:rsidRDefault="00B533DE" w:rsidP="00423D85">
            <w:pPr>
              <w:spacing w:before="0"/>
              <w:rPr>
                <w:szCs w:val="22"/>
                <w:lang w:val="ru-RU"/>
              </w:rPr>
            </w:pPr>
            <w:r w:rsidRPr="00877259">
              <w:rPr>
                <w:szCs w:val="22"/>
                <w:lang w:val="ru-RU"/>
              </w:rPr>
              <w:t>+41-22-730-5853</w:t>
            </w:r>
          </w:p>
          <w:p w14:paraId="2BCC546A" w14:textId="77777777" w:rsidR="00B533DE" w:rsidRPr="00877259" w:rsidRDefault="000972B0" w:rsidP="00423D85">
            <w:pPr>
              <w:spacing w:before="0"/>
              <w:rPr>
                <w:szCs w:val="22"/>
                <w:lang w:val="ru-RU"/>
              </w:rPr>
            </w:pPr>
            <w:hyperlink r:id="rId25" w:history="1">
              <w:r w:rsidR="00B533DE" w:rsidRPr="00877259">
                <w:rPr>
                  <w:rStyle w:val="Hyperlink"/>
                  <w:szCs w:val="22"/>
                  <w:lang w:val="ru-RU"/>
                </w:rPr>
                <w:t>tsbdir@itu.int</w:t>
              </w:r>
            </w:hyperlink>
          </w:p>
        </w:tc>
        <w:tc>
          <w:tcPr>
            <w:tcW w:w="641" w:type="pct"/>
            <w:tcBorders>
              <w:left w:val="single" w:sz="8" w:space="0" w:color="auto"/>
            </w:tcBorders>
            <w:shd w:val="clear" w:color="auto" w:fill="auto"/>
          </w:tcPr>
          <w:p w14:paraId="58CF21DA" w14:textId="77777777" w:rsidR="00B533DE" w:rsidRPr="00877259" w:rsidRDefault="00B533DE" w:rsidP="00D975B6">
            <w:pPr>
              <w:spacing w:before="0"/>
              <w:rPr>
                <w:b/>
                <w:bCs/>
                <w:szCs w:val="22"/>
                <w:lang w:val="ru-RU"/>
              </w:rPr>
            </w:pPr>
            <w:r w:rsidRPr="00877259">
              <w:rPr>
                <w:b/>
                <w:bCs/>
                <w:szCs w:val="22"/>
                <w:lang w:val="ru-RU"/>
              </w:rPr>
              <w:t>Факс</w:t>
            </w:r>
            <w:r w:rsidRPr="00083E56">
              <w:rPr>
                <w:szCs w:val="22"/>
                <w:lang w:val="ru-RU"/>
              </w:rPr>
              <w:t>:</w:t>
            </w:r>
          </w:p>
          <w:p w14:paraId="1D527CA4" w14:textId="77777777" w:rsidR="00B533DE" w:rsidRPr="00877259" w:rsidRDefault="00B533DE" w:rsidP="00D975B6">
            <w:pPr>
              <w:spacing w:before="0"/>
              <w:rPr>
                <w:b/>
                <w:bCs/>
                <w:szCs w:val="22"/>
                <w:lang w:val="ru-RU"/>
              </w:rPr>
            </w:pPr>
            <w:r w:rsidRPr="00877259">
              <w:rPr>
                <w:b/>
                <w:bCs/>
                <w:szCs w:val="22"/>
                <w:lang w:val="ru-RU"/>
              </w:rPr>
              <w:t>Эл. почта</w:t>
            </w:r>
            <w:r w:rsidRPr="00083E56">
              <w:rPr>
                <w:szCs w:val="22"/>
                <w:lang w:val="ru-RU"/>
              </w:rPr>
              <w:t>:</w:t>
            </w:r>
          </w:p>
        </w:tc>
        <w:tc>
          <w:tcPr>
            <w:tcW w:w="1708" w:type="pct"/>
            <w:shd w:val="clear" w:color="auto" w:fill="auto"/>
          </w:tcPr>
          <w:p w14:paraId="00846E42" w14:textId="77777777" w:rsidR="00B533DE" w:rsidRPr="00877259" w:rsidRDefault="00B533DE" w:rsidP="00423D85">
            <w:pPr>
              <w:spacing w:before="0"/>
              <w:rPr>
                <w:szCs w:val="22"/>
                <w:lang w:val="ru-RU"/>
              </w:rPr>
            </w:pPr>
          </w:p>
        </w:tc>
      </w:tr>
      <w:tr w:rsidR="00B533DE" w:rsidRPr="00877259" w14:paraId="0CD53BE9" w14:textId="77777777" w:rsidTr="00D975B6">
        <w:tc>
          <w:tcPr>
            <w:tcW w:w="505" w:type="pct"/>
            <w:shd w:val="clear" w:color="auto" w:fill="auto"/>
          </w:tcPr>
          <w:p w14:paraId="0A553F2E" w14:textId="77777777" w:rsidR="00B533DE" w:rsidRPr="00877259" w:rsidRDefault="00B533DE" w:rsidP="00423D85">
            <w:pPr>
              <w:spacing w:before="0"/>
              <w:jc w:val="right"/>
              <w:rPr>
                <w:szCs w:val="22"/>
                <w:lang w:val="ru-RU"/>
              </w:rPr>
            </w:pPr>
          </w:p>
        </w:tc>
        <w:tc>
          <w:tcPr>
            <w:tcW w:w="2146" w:type="pct"/>
            <w:gridSpan w:val="2"/>
            <w:tcBorders>
              <w:right w:val="single" w:sz="8" w:space="0" w:color="auto"/>
            </w:tcBorders>
            <w:shd w:val="clear" w:color="auto" w:fill="auto"/>
          </w:tcPr>
          <w:p w14:paraId="03659005" w14:textId="77777777" w:rsidR="00B533DE" w:rsidRPr="00877259" w:rsidRDefault="00B533DE" w:rsidP="00423D85">
            <w:pPr>
              <w:spacing w:before="0"/>
              <w:rPr>
                <w:szCs w:val="22"/>
                <w:lang w:val="ru-RU"/>
              </w:rPr>
            </w:pPr>
          </w:p>
        </w:tc>
        <w:tc>
          <w:tcPr>
            <w:tcW w:w="641" w:type="pct"/>
            <w:tcBorders>
              <w:left w:val="single" w:sz="8" w:space="0" w:color="auto"/>
            </w:tcBorders>
            <w:shd w:val="clear" w:color="auto" w:fill="auto"/>
          </w:tcPr>
          <w:p w14:paraId="6A52CE28" w14:textId="77777777" w:rsidR="00B533DE" w:rsidRPr="00877259" w:rsidRDefault="00B533DE" w:rsidP="00D975B6">
            <w:pPr>
              <w:spacing w:before="0"/>
              <w:rPr>
                <w:b/>
                <w:bCs/>
                <w:szCs w:val="22"/>
                <w:lang w:val="ru-RU"/>
              </w:rPr>
            </w:pPr>
            <w:r w:rsidRPr="00877259">
              <w:rPr>
                <w:b/>
                <w:bCs/>
                <w:szCs w:val="22"/>
                <w:lang w:val="ru-RU"/>
              </w:rPr>
              <w:t>Дата</w:t>
            </w:r>
            <w:r w:rsidRPr="00083E56">
              <w:rPr>
                <w:szCs w:val="22"/>
                <w:lang w:val="ru-RU"/>
              </w:rPr>
              <w:t>:</w:t>
            </w:r>
          </w:p>
        </w:tc>
        <w:tc>
          <w:tcPr>
            <w:tcW w:w="1708" w:type="pct"/>
            <w:shd w:val="clear" w:color="auto" w:fill="auto"/>
          </w:tcPr>
          <w:p w14:paraId="05BBB32B" w14:textId="77777777" w:rsidR="00B533DE" w:rsidRPr="00877259" w:rsidRDefault="00B533DE" w:rsidP="00423D85">
            <w:pPr>
              <w:spacing w:before="0"/>
              <w:rPr>
                <w:szCs w:val="22"/>
                <w:lang w:val="ru-RU"/>
              </w:rPr>
            </w:pPr>
            <w:r w:rsidRPr="00877259">
              <w:rPr>
                <w:szCs w:val="22"/>
                <w:highlight w:val="green"/>
                <w:lang w:val="ru-RU"/>
              </w:rPr>
              <w:t>[Место,] [Дата]</w:t>
            </w:r>
          </w:p>
        </w:tc>
      </w:tr>
    </w:tbl>
    <w:p w14:paraId="6B681177" w14:textId="77777777" w:rsidR="00B533DE" w:rsidRPr="00877259" w:rsidRDefault="00B533DE" w:rsidP="00B533DE">
      <w:pPr>
        <w:spacing w:before="360"/>
        <w:rPr>
          <w:szCs w:val="22"/>
          <w:lang w:val="ru-RU"/>
        </w:rPr>
      </w:pPr>
      <w:r w:rsidRPr="00877259">
        <w:rPr>
          <w:szCs w:val="22"/>
          <w:lang w:val="ru-RU"/>
        </w:rPr>
        <w:t xml:space="preserve">Уважаемая госпожа, </w:t>
      </w:r>
      <w:r w:rsidRPr="00877259">
        <w:rPr>
          <w:szCs w:val="22"/>
          <w:lang w:val="ru-RU"/>
        </w:rPr>
        <w:br/>
        <w:t>уважаемый господин,</w:t>
      </w:r>
    </w:p>
    <w:p w14:paraId="1272E870" w14:textId="77777777" w:rsidR="00B533DE" w:rsidRPr="00877259" w:rsidRDefault="00B533DE" w:rsidP="00B533DE">
      <w:pPr>
        <w:spacing w:after="120"/>
        <w:rPr>
          <w:szCs w:val="22"/>
          <w:lang w:val="ru-RU"/>
        </w:rPr>
      </w:pPr>
      <w:r w:rsidRPr="00877259">
        <w:rPr>
          <w:szCs w:val="22"/>
          <w:lang w:val="ru-RU"/>
        </w:rPr>
        <w:t>В рамках консультаций с Государствами-Членами по указанным в Циркуляре 236 БСЭ проектам текстов, по которым сделано заключение, я хотел/хотела бы сообщить вам мнение администрации, изложенное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14"/>
      </w:tblGrid>
      <w:tr w:rsidR="00B533DE" w:rsidRPr="001D6067" w14:paraId="495F4968" w14:textId="77777777" w:rsidTr="00423D85">
        <w:trPr>
          <w:cantSplit/>
          <w:tblHeader/>
        </w:trPr>
        <w:tc>
          <w:tcPr>
            <w:tcW w:w="2405" w:type="dxa"/>
            <w:shd w:val="clear" w:color="auto" w:fill="auto"/>
            <w:vAlign w:val="center"/>
          </w:tcPr>
          <w:p w14:paraId="5D4BBADF" w14:textId="77777777" w:rsidR="00B533DE" w:rsidRPr="00877259" w:rsidRDefault="00B533DE" w:rsidP="00423D85">
            <w:pPr>
              <w:spacing w:after="120"/>
              <w:jc w:val="center"/>
              <w:rPr>
                <w:b/>
                <w:bCs/>
                <w:szCs w:val="22"/>
                <w:lang w:val="ru-RU"/>
              </w:rPr>
            </w:pPr>
          </w:p>
        </w:tc>
        <w:tc>
          <w:tcPr>
            <w:tcW w:w="7314" w:type="dxa"/>
            <w:shd w:val="clear" w:color="auto" w:fill="auto"/>
            <w:vAlign w:val="center"/>
          </w:tcPr>
          <w:p w14:paraId="3D4CE0F7" w14:textId="77777777" w:rsidR="00B533DE" w:rsidRPr="00877259" w:rsidRDefault="00B533DE" w:rsidP="00423D85">
            <w:pPr>
              <w:tabs>
                <w:tab w:val="clear" w:pos="794"/>
                <w:tab w:val="clear" w:pos="1191"/>
                <w:tab w:val="clear" w:pos="1588"/>
                <w:tab w:val="clear" w:pos="1985"/>
              </w:tabs>
              <w:spacing w:after="120"/>
              <w:ind w:left="939" w:hanging="459"/>
              <w:jc w:val="center"/>
              <w:rPr>
                <w:b/>
                <w:bCs/>
                <w:szCs w:val="22"/>
                <w:lang w:val="ru-RU"/>
              </w:rPr>
            </w:pPr>
            <w:r w:rsidRPr="00877259">
              <w:rPr>
                <w:b/>
                <w:bCs/>
                <w:szCs w:val="22"/>
                <w:lang w:val="ru-RU"/>
              </w:rPr>
              <w:t>Выбрать одну из двух ячеек</w:t>
            </w:r>
          </w:p>
        </w:tc>
      </w:tr>
      <w:tr w:rsidR="00B533DE" w:rsidRPr="001D6067" w14:paraId="56187863" w14:textId="77777777" w:rsidTr="00423D85">
        <w:trPr>
          <w:cantSplit/>
        </w:trPr>
        <w:tc>
          <w:tcPr>
            <w:tcW w:w="2405" w:type="dxa"/>
            <w:vMerge w:val="restart"/>
            <w:shd w:val="clear" w:color="auto" w:fill="auto"/>
            <w:vAlign w:val="center"/>
          </w:tcPr>
          <w:p w14:paraId="67900746"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Y.4506 </w:t>
            </w:r>
            <w:r>
              <w:rPr>
                <w:b/>
                <w:bCs/>
                <w:szCs w:val="22"/>
                <w:lang w:val="ru-RU"/>
              </w:rPr>
              <w:br/>
            </w:r>
            <w:r w:rsidRPr="00877259">
              <w:rPr>
                <w:b/>
                <w:bCs/>
                <w:szCs w:val="22"/>
                <w:lang w:val="ru-RU"/>
              </w:rPr>
              <w:t>(ранее Y.DRI-arch)</w:t>
            </w:r>
          </w:p>
        </w:tc>
        <w:tc>
          <w:tcPr>
            <w:tcW w:w="7314" w:type="dxa"/>
            <w:shd w:val="clear" w:color="auto" w:fill="auto"/>
            <w:vAlign w:val="center"/>
          </w:tcPr>
          <w:p w14:paraId="1B74093C"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4D92FF7D"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1B603D32"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0DFB814E" w14:textId="77777777" w:rsidTr="00423D85">
        <w:trPr>
          <w:cantSplit/>
        </w:trPr>
        <w:tc>
          <w:tcPr>
            <w:tcW w:w="2405" w:type="dxa"/>
            <w:vMerge/>
            <w:shd w:val="clear" w:color="auto" w:fill="auto"/>
            <w:vAlign w:val="center"/>
          </w:tcPr>
          <w:p w14:paraId="03CF43E9"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416D023C"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46F0430B" w14:textId="77777777" w:rsidTr="00423D85">
        <w:trPr>
          <w:cantSplit/>
          <w:tblHeader/>
        </w:trPr>
        <w:tc>
          <w:tcPr>
            <w:tcW w:w="2405" w:type="dxa"/>
            <w:vMerge w:val="restart"/>
            <w:shd w:val="clear" w:color="auto" w:fill="auto"/>
            <w:vAlign w:val="center"/>
          </w:tcPr>
          <w:p w14:paraId="049C4815"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Y.4229 </w:t>
            </w:r>
            <w:r>
              <w:rPr>
                <w:b/>
                <w:bCs/>
                <w:szCs w:val="22"/>
                <w:lang w:val="ru-RU"/>
              </w:rPr>
              <w:br/>
            </w:r>
            <w:r w:rsidRPr="00877259">
              <w:rPr>
                <w:b/>
                <w:bCs/>
                <w:szCs w:val="22"/>
                <w:lang w:val="ru-RU"/>
              </w:rPr>
              <w:t>(ранее Y.IoT-SFFS)</w:t>
            </w:r>
          </w:p>
        </w:tc>
        <w:tc>
          <w:tcPr>
            <w:tcW w:w="7314" w:type="dxa"/>
            <w:shd w:val="clear" w:color="auto" w:fill="auto"/>
            <w:vAlign w:val="center"/>
          </w:tcPr>
          <w:p w14:paraId="7A8610B0"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043B1F96"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6B37637B"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0580B688" w14:textId="77777777" w:rsidTr="00423D85">
        <w:trPr>
          <w:cantSplit/>
        </w:trPr>
        <w:tc>
          <w:tcPr>
            <w:tcW w:w="2405" w:type="dxa"/>
            <w:vMerge/>
            <w:shd w:val="clear" w:color="auto" w:fill="auto"/>
            <w:vAlign w:val="center"/>
          </w:tcPr>
          <w:p w14:paraId="0A48E36D"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29498BB0"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1F7F520B" w14:textId="77777777" w:rsidTr="00423D85">
        <w:trPr>
          <w:cantSplit/>
          <w:tblHeader/>
        </w:trPr>
        <w:tc>
          <w:tcPr>
            <w:tcW w:w="2405" w:type="dxa"/>
            <w:vMerge w:val="restart"/>
            <w:shd w:val="clear" w:color="auto" w:fill="auto"/>
            <w:vAlign w:val="center"/>
          </w:tcPr>
          <w:p w14:paraId="35E73FD8" w14:textId="77777777" w:rsidR="00B533DE" w:rsidRPr="00877259" w:rsidRDefault="00B533DE" w:rsidP="00423D85">
            <w:pPr>
              <w:spacing w:before="60" w:after="60"/>
              <w:jc w:val="center"/>
              <w:rPr>
                <w:b/>
                <w:bCs/>
                <w:szCs w:val="22"/>
                <w:lang w:val="ru-RU"/>
              </w:rPr>
            </w:pPr>
            <w:r w:rsidRPr="00877259">
              <w:rPr>
                <w:b/>
                <w:bCs/>
                <w:szCs w:val="22"/>
                <w:lang w:val="ru-RU"/>
              </w:rPr>
              <w:lastRenderedPageBreak/>
              <w:t xml:space="preserve">Проект новой Рекомендации </w:t>
            </w:r>
            <w:r>
              <w:rPr>
                <w:b/>
                <w:bCs/>
                <w:szCs w:val="22"/>
                <w:lang w:val="ru-RU"/>
              </w:rPr>
              <w:br/>
            </w:r>
            <w:r w:rsidRPr="00877259">
              <w:rPr>
                <w:b/>
                <w:bCs/>
                <w:szCs w:val="22"/>
                <w:lang w:val="ru-RU"/>
              </w:rPr>
              <w:t xml:space="preserve">МСЭ-Т Y.4230 </w:t>
            </w:r>
            <w:r>
              <w:rPr>
                <w:b/>
                <w:bCs/>
                <w:szCs w:val="22"/>
                <w:lang w:val="ru-RU"/>
              </w:rPr>
              <w:br/>
            </w:r>
            <w:r w:rsidRPr="00877259">
              <w:rPr>
                <w:b/>
                <w:bCs/>
                <w:szCs w:val="22"/>
                <w:lang w:val="ru-RU"/>
              </w:rPr>
              <w:t>(ранее Y.EV-charging)</w:t>
            </w:r>
          </w:p>
        </w:tc>
        <w:tc>
          <w:tcPr>
            <w:tcW w:w="7314" w:type="dxa"/>
            <w:shd w:val="clear" w:color="auto" w:fill="auto"/>
            <w:vAlign w:val="center"/>
          </w:tcPr>
          <w:p w14:paraId="03892367"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3F1FE967"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4649FD18"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7B32F3CA" w14:textId="77777777" w:rsidTr="00423D85">
        <w:trPr>
          <w:cantSplit/>
        </w:trPr>
        <w:tc>
          <w:tcPr>
            <w:tcW w:w="2405" w:type="dxa"/>
            <w:vMerge/>
            <w:shd w:val="clear" w:color="auto" w:fill="auto"/>
            <w:vAlign w:val="center"/>
          </w:tcPr>
          <w:p w14:paraId="727B3F0B"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7D2E7B09"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4B05184F" w14:textId="77777777" w:rsidTr="00423D85">
        <w:trPr>
          <w:cantSplit/>
          <w:tblHeader/>
        </w:trPr>
        <w:tc>
          <w:tcPr>
            <w:tcW w:w="2405" w:type="dxa"/>
            <w:vMerge w:val="restart"/>
            <w:shd w:val="clear" w:color="auto" w:fill="auto"/>
            <w:vAlign w:val="center"/>
          </w:tcPr>
          <w:p w14:paraId="6CBF7F65"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Y.4231 </w:t>
            </w:r>
            <w:r>
              <w:rPr>
                <w:b/>
                <w:bCs/>
                <w:szCs w:val="22"/>
                <w:lang w:val="ru-RU"/>
              </w:rPr>
              <w:br/>
            </w:r>
            <w:r w:rsidRPr="00877259">
              <w:rPr>
                <w:b/>
                <w:bCs/>
                <w:szCs w:val="22"/>
                <w:lang w:val="ru-RU"/>
              </w:rPr>
              <w:t>(ранее Y.IoT-Vreqs)</w:t>
            </w:r>
          </w:p>
        </w:tc>
        <w:tc>
          <w:tcPr>
            <w:tcW w:w="7314" w:type="dxa"/>
            <w:shd w:val="clear" w:color="auto" w:fill="auto"/>
            <w:vAlign w:val="center"/>
          </w:tcPr>
          <w:p w14:paraId="09873F01"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2488BFD7"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2D34509B"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5BBD204E" w14:textId="77777777" w:rsidTr="00423D85">
        <w:trPr>
          <w:cantSplit/>
        </w:trPr>
        <w:tc>
          <w:tcPr>
            <w:tcW w:w="2405" w:type="dxa"/>
            <w:vMerge/>
            <w:shd w:val="clear" w:color="auto" w:fill="auto"/>
            <w:vAlign w:val="center"/>
          </w:tcPr>
          <w:p w14:paraId="1D826BEA"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2F72A1FC"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165FF861" w14:textId="77777777" w:rsidTr="00423D85">
        <w:trPr>
          <w:cantSplit/>
          <w:tblHeader/>
        </w:trPr>
        <w:tc>
          <w:tcPr>
            <w:tcW w:w="2405" w:type="dxa"/>
            <w:vMerge w:val="restart"/>
            <w:shd w:val="clear" w:color="auto" w:fill="auto"/>
            <w:vAlign w:val="center"/>
          </w:tcPr>
          <w:p w14:paraId="018D2F6D"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Y.4232 </w:t>
            </w:r>
            <w:r>
              <w:rPr>
                <w:b/>
                <w:bCs/>
                <w:szCs w:val="22"/>
                <w:lang w:val="ru-RU"/>
              </w:rPr>
              <w:br/>
            </w:r>
            <w:r w:rsidRPr="00877259">
              <w:rPr>
                <w:b/>
                <w:bCs/>
                <w:szCs w:val="22"/>
                <w:lang w:val="ru-RU"/>
              </w:rPr>
              <w:t>(ранее Y.IoT-RTPS)</w:t>
            </w:r>
          </w:p>
        </w:tc>
        <w:tc>
          <w:tcPr>
            <w:tcW w:w="7314" w:type="dxa"/>
            <w:shd w:val="clear" w:color="auto" w:fill="auto"/>
            <w:vAlign w:val="center"/>
          </w:tcPr>
          <w:p w14:paraId="206108F8"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45A1D78E"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6CD7302C"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141CC9E8" w14:textId="77777777" w:rsidTr="00423D85">
        <w:trPr>
          <w:cantSplit/>
        </w:trPr>
        <w:tc>
          <w:tcPr>
            <w:tcW w:w="2405" w:type="dxa"/>
            <w:vMerge/>
            <w:shd w:val="clear" w:color="auto" w:fill="auto"/>
            <w:vAlign w:val="center"/>
          </w:tcPr>
          <w:p w14:paraId="7AC86665"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750D23A1"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32E46074" w14:textId="77777777" w:rsidTr="00423D85">
        <w:trPr>
          <w:cantSplit/>
          <w:tblHeader/>
        </w:trPr>
        <w:tc>
          <w:tcPr>
            <w:tcW w:w="2405" w:type="dxa"/>
            <w:vMerge w:val="restart"/>
            <w:shd w:val="clear" w:color="auto" w:fill="auto"/>
            <w:vAlign w:val="center"/>
          </w:tcPr>
          <w:p w14:paraId="2F7A8AD8"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Y.4233 </w:t>
            </w:r>
            <w:r>
              <w:rPr>
                <w:b/>
                <w:bCs/>
                <w:szCs w:val="22"/>
                <w:lang w:val="ru-RU"/>
              </w:rPr>
              <w:br/>
            </w:r>
            <w:r w:rsidRPr="00877259">
              <w:rPr>
                <w:b/>
                <w:bCs/>
                <w:szCs w:val="22"/>
                <w:lang w:val="ru-RU"/>
              </w:rPr>
              <w:t>(ранее Y.FSPH)</w:t>
            </w:r>
          </w:p>
        </w:tc>
        <w:tc>
          <w:tcPr>
            <w:tcW w:w="7314" w:type="dxa"/>
            <w:shd w:val="clear" w:color="auto" w:fill="auto"/>
            <w:vAlign w:val="center"/>
          </w:tcPr>
          <w:p w14:paraId="0B2D57D7"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658F7EA3"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4CFA2182"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1DFF44F1" w14:textId="77777777" w:rsidTr="00423D85">
        <w:trPr>
          <w:cantSplit/>
        </w:trPr>
        <w:tc>
          <w:tcPr>
            <w:tcW w:w="2405" w:type="dxa"/>
            <w:vMerge/>
            <w:shd w:val="clear" w:color="auto" w:fill="auto"/>
            <w:vAlign w:val="center"/>
          </w:tcPr>
          <w:p w14:paraId="7E550F03"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202DF43B"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39E214F3" w14:textId="77777777" w:rsidTr="00423D85">
        <w:trPr>
          <w:cantSplit/>
          <w:tblHeader/>
        </w:trPr>
        <w:tc>
          <w:tcPr>
            <w:tcW w:w="2405" w:type="dxa"/>
            <w:vMerge w:val="restart"/>
            <w:shd w:val="clear" w:color="auto" w:fill="auto"/>
            <w:vAlign w:val="center"/>
          </w:tcPr>
          <w:p w14:paraId="65048C4B"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Y.4234 </w:t>
            </w:r>
            <w:r>
              <w:rPr>
                <w:b/>
                <w:bCs/>
                <w:szCs w:val="22"/>
                <w:lang w:val="ru-RU"/>
              </w:rPr>
              <w:br/>
            </w:r>
            <w:r w:rsidRPr="00877259">
              <w:rPr>
                <w:b/>
                <w:bCs/>
                <w:szCs w:val="22"/>
                <w:lang w:val="ru-RU"/>
              </w:rPr>
              <w:t>(ранее Y.RemoteEd)</w:t>
            </w:r>
          </w:p>
        </w:tc>
        <w:tc>
          <w:tcPr>
            <w:tcW w:w="7314" w:type="dxa"/>
            <w:shd w:val="clear" w:color="auto" w:fill="auto"/>
            <w:vAlign w:val="center"/>
          </w:tcPr>
          <w:p w14:paraId="7A8702AB"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287E49C4"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0FE0B08F"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290E7443" w14:textId="77777777" w:rsidTr="00423D85">
        <w:trPr>
          <w:cantSplit/>
        </w:trPr>
        <w:tc>
          <w:tcPr>
            <w:tcW w:w="2405" w:type="dxa"/>
            <w:vMerge/>
            <w:shd w:val="clear" w:color="auto" w:fill="auto"/>
            <w:vAlign w:val="center"/>
          </w:tcPr>
          <w:p w14:paraId="314A6E31"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0F722552"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4EDEE279" w14:textId="77777777" w:rsidTr="00423D85">
        <w:trPr>
          <w:cantSplit/>
          <w:tblHeader/>
        </w:trPr>
        <w:tc>
          <w:tcPr>
            <w:tcW w:w="2405" w:type="dxa"/>
            <w:vMerge w:val="restart"/>
            <w:shd w:val="clear" w:color="auto" w:fill="auto"/>
            <w:vAlign w:val="center"/>
          </w:tcPr>
          <w:p w14:paraId="2A8EEE08"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МСЭ-Т Y.4222 (ранее Y.smart-evacuation)</w:t>
            </w:r>
          </w:p>
        </w:tc>
        <w:tc>
          <w:tcPr>
            <w:tcW w:w="7314" w:type="dxa"/>
            <w:shd w:val="clear" w:color="auto" w:fill="auto"/>
            <w:vAlign w:val="center"/>
          </w:tcPr>
          <w:p w14:paraId="484E6B84"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037F9327"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503CFDBC"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1BD34D05" w14:textId="77777777" w:rsidTr="00423D85">
        <w:trPr>
          <w:cantSplit/>
        </w:trPr>
        <w:tc>
          <w:tcPr>
            <w:tcW w:w="2405" w:type="dxa"/>
            <w:vMerge/>
            <w:shd w:val="clear" w:color="auto" w:fill="auto"/>
            <w:vAlign w:val="center"/>
          </w:tcPr>
          <w:p w14:paraId="57A3193E"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270C3ED6"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6CDBFD9A" w14:textId="77777777" w:rsidTr="00423D85">
        <w:trPr>
          <w:cantSplit/>
          <w:tblHeader/>
        </w:trPr>
        <w:tc>
          <w:tcPr>
            <w:tcW w:w="2405" w:type="dxa"/>
            <w:vMerge w:val="restart"/>
            <w:shd w:val="clear" w:color="auto" w:fill="auto"/>
            <w:vAlign w:val="center"/>
          </w:tcPr>
          <w:p w14:paraId="143E71EA"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Y.4507 </w:t>
            </w:r>
            <w:r>
              <w:rPr>
                <w:b/>
                <w:bCs/>
                <w:szCs w:val="22"/>
                <w:lang w:val="ru-RU"/>
              </w:rPr>
              <w:br/>
            </w:r>
            <w:r w:rsidRPr="00877259">
              <w:rPr>
                <w:b/>
                <w:bCs/>
                <w:szCs w:val="22"/>
                <w:lang w:val="ru-RU"/>
              </w:rPr>
              <w:t>(ранее Y.arc-psfws)</w:t>
            </w:r>
          </w:p>
        </w:tc>
        <w:tc>
          <w:tcPr>
            <w:tcW w:w="7314" w:type="dxa"/>
            <w:shd w:val="clear" w:color="auto" w:fill="auto"/>
            <w:vAlign w:val="center"/>
          </w:tcPr>
          <w:p w14:paraId="3AA4E138"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6260F88F"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3D2C7046"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6C94BDA9" w14:textId="77777777" w:rsidTr="00423D85">
        <w:trPr>
          <w:cantSplit/>
        </w:trPr>
        <w:tc>
          <w:tcPr>
            <w:tcW w:w="2405" w:type="dxa"/>
            <w:vMerge/>
            <w:shd w:val="clear" w:color="auto" w:fill="auto"/>
            <w:vAlign w:val="center"/>
          </w:tcPr>
          <w:p w14:paraId="4E9CE46C"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73F3D73A"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241BD342" w14:textId="77777777" w:rsidTr="00423D85">
        <w:trPr>
          <w:cantSplit/>
          <w:tblHeader/>
        </w:trPr>
        <w:tc>
          <w:tcPr>
            <w:tcW w:w="2405" w:type="dxa"/>
            <w:vMerge w:val="restart"/>
            <w:shd w:val="clear" w:color="auto" w:fill="auto"/>
            <w:vAlign w:val="center"/>
          </w:tcPr>
          <w:p w14:paraId="213CE453"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Y.4508 </w:t>
            </w:r>
            <w:r>
              <w:rPr>
                <w:b/>
                <w:bCs/>
                <w:szCs w:val="22"/>
                <w:lang w:val="ru-RU"/>
              </w:rPr>
              <w:br/>
            </w:r>
            <w:r w:rsidRPr="00877259">
              <w:rPr>
                <w:b/>
                <w:bCs/>
                <w:szCs w:val="22"/>
                <w:lang w:val="ru-RU"/>
              </w:rPr>
              <w:t>(ранее Y.DPM-alm-fra)</w:t>
            </w:r>
          </w:p>
        </w:tc>
        <w:tc>
          <w:tcPr>
            <w:tcW w:w="7314" w:type="dxa"/>
            <w:shd w:val="clear" w:color="auto" w:fill="auto"/>
            <w:vAlign w:val="center"/>
          </w:tcPr>
          <w:p w14:paraId="380FF53B"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573FB14C"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41819AC8"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2EA20207" w14:textId="77777777" w:rsidTr="00423D85">
        <w:trPr>
          <w:cantSplit/>
        </w:trPr>
        <w:tc>
          <w:tcPr>
            <w:tcW w:w="2405" w:type="dxa"/>
            <w:vMerge/>
            <w:shd w:val="clear" w:color="auto" w:fill="auto"/>
            <w:vAlign w:val="center"/>
          </w:tcPr>
          <w:p w14:paraId="5A845454"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21A4140D"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01F05679" w14:textId="77777777" w:rsidTr="00423D85">
        <w:trPr>
          <w:cantSplit/>
          <w:tblHeader/>
        </w:trPr>
        <w:tc>
          <w:tcPr>
            <w:tcW w:w="2405" w:type="dxa"/>
            <w:vMerge w:val="restart"/>
            <w:shd w:val="clear" w:color="auto" w:fill="auto"/>
            <w:vAlign w:val="center"/>
          </w:tcPr>
          <w:p w14:paraId="18348F14" w14:textId="77777777" w:rsidR="00B533DE" w:rsidRPr="00877259" w:rsidRDefault="00B533DE" w:rsidP="00423D85">
            <w:pPr>
              <w:spacing w:before="60" w:after="60"/>
              <w:jc w:val="center"/>
              <w:rPr>
                <w:b/>
                <w:bCs/>
                <w:szCs w:val="22"/>
                <w:lang w:val="ru-RU"/>
              </w:rPr>
            </w:pPr>
            <w:r w:rsidRPr="00877259">
              <w:rPr>
                <w:b/>
                <w:bCs/>
                <w:szCs w:val="22"/>
                <w:lang w:val="ru-RU"/>
              </w:rPr>
              <w:t xml:space="preserve">Проект новой Рекомендации </w:t>
            </w:r>
            <w:r>
              <w:rPr>
                <w:b/>
                <w:bCs/>
                <w:szCs w:val="22"/>
                <w:lang w:val="ru-RU"/>
              </w:rPr>
              <w:br/>
            </w:r>
            <w:r w:rsidRPr="00877259">
              <w:rPr>
                <w:b/>
                <w:bCs/>
                <w:szCs w:val="22"/>
                <w:lang w:val="ru-RU"/>
              </w:rPr>
              <w:t xml:space="preserve">МСЭ-Т Y.4706 </w:t>
            </w:r>
            <w:r>
              <w:rPr>
                <w:b/>
                <w:bCs/>
                <w:szCs w:val="22"/>
                <w:lang w:val="ru-RU"/>
              </w:rPr>
              <w:br/>
            </w:r>
            <w:r w:rsidRPr="00877259">
              <w:rPr>
                <w:b/>
                <w:bCs/>
                <w:szCs w:val="22"/>
                <w:lang w:val="ru-RU"/>
              </w:rPr>
              <w:t>(ранее Y.dem-IoT)</w:t>
            </w:r>
          </w:p>
        </w:tc>
        <w:tc>
          <w:tcPr>
            <w:tcW w:w="7314" w:type="dxa"/>
            <w:shd w:val="clear" w:color="auto" w:fill="auto"/>
            <w:vAlign w:val="center"/>
          </w:tcPr>
          <w:p w14:paraId="33619F26"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43234713"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3B6A8EAD"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3B9AA149" w14:textId="77777777" w:rsidTr="00423D85">
        <w:trPr>
          <w:cantSplit/>
        </w:trPr>
        <w:tc>
          <w:tcPr>
            <w:tcW w:w="2405" w:type="dxa"/>
            <w:vMerge/>
            <w:shd w:val="clear" w:color="auto" w:fill="auto"/>
            <w:vAlign w:val="center"/>
          </w:tcPr>
          <w:p w14:paraId="7C320857"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2676EE24"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B533DE" w:rsidRPr="001D6067" w14:paraId="32838D14" w14:textId="77777777" w:rsidTr="00423D85">
        <w:trPr>
          <w:cantSplit/>
          <w:tblHeader/>
        </w:trPr>
        <w:tc>
          <w:tcPr>
            <w:tcW w:w="2405" w:type="dxa"/>
            <w:vMerge w:val="restart"/>
            <w:shd w:val="clear" w:color="auto" w:fill="auto"/>
            <w:vAlign w:val="center"/>
          </w:tcPr>
          <w:p w14:paraId="362A4EED" w14:textId="77777777" w:rsidR="00B533DE" w:rsidRPr="00877259" w:rsidRDefault="00B533DE" w:rsidP="00423D85">
            <w:pPr>
              <w:spacing w:before="60" w:after="60"/>
              <w:jc w:val="center"/>
              <w:rPr>
                <w:b/>
                <w:bCs/>
                <w:szCs w:val="22"/>
                <w:lang w:val="ru-RU"/>
              </w:rPr>
            </w:pPr>
            <w:r w:rsidRPr="00877259">
              <w:rPr>
                <w:b/>
                <w:bCs/>
                <w:szCs w:val="22"/>
                <w:lang w:val="ru-RU"/>
              </w:rPr>
              <w:lastRenderedPageBreak/>
              <w:t xml:space="preserve">Проект новой Рекомендации </w:t>
            </w:r>
            <w:r>
              <w:rPr>
                <w:b/>
                <w:bCs/>
                <w:szCs w:val="22"/>
                <w:lang w:val="ru-RU"/>
              </w:rPr>
              <w:br/>
            </w:r>
            <w:r w:rsidRPr="00877259">
              <w:rPr>
                <w:b/>
                <w:bCs/>
                <w:szCs w:val="22"/>
                <w:lang w:val="ru-RU"/>
              </w:rPr>
              <w:t>МСЭ-Т Y.4499 (ранее Y.UIM-cs-framework)</w:t>
            </w:r>
          </w:p>
        </w:tc>
        <w:tc>
          <w:tcPr>
            <w:tcW w:w="7314" w:type="dxa"/>
            <w:shd w:val="clear" w:color="auto" w:fill="auto"/>
            <w:vAlign w:val="center"/>
          </w:tcPr>
          <w:p w14:paraId="1022B909" w14:textId="77777777" w:rsidR="00B533DE" w:rsidRPr="00877259" w:rsidRDefault="00B533DE" w:rsidP="00423D85">
            <w:pPr>
              <w:tabs>
                <w:tab w:val="clear" w:pos="794"/>
                <w:tab w:val="clear" w:pos="1191"/>
                <w:tab w:val="clear" w:pos="1588"/>
                <w:tab w:val="clear" w:pos="1985"/>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szCs w:val="22"/>
                <w:lang w:val="ru-RU"/>
              </w:rPr>
              <w:t>Предоставляет полномочия 20-й Исследовательской комиссии для рассмотрения этого текста с целью его утверждения (в этом случае выбрать один из двух вариантов ⃝):</w:t>
            </w:r>
          </w:p>
          <w:p w14:paraId="1F214711" w14:textId="77777777" w:rsidR="00B533DE" w:rsidRPr="00877259" w:rsidRDefault="00B533DE" w:rsidP="00423D85">
            <w:pPr>
              <w:tabs>
                <w:tab w:val="clear" w:pos="794"/>
                <w:tab w:val="clear" w:pos="1191"/>
                <w:tab w:val="clear" w:pos="1588"/>
                <w:tab w:val="clear" w:pos="1985"/>
              </w:tabs>
              <w:spacing w:before="60" w:after="60"/>
              <w:ind w:left="939" w:hanging="459"/>
              <w:rPr>
                <w:szCs w:val="22"/>
                <w:lang w:val="ru-RU"/>
              </w:rPr>
            </w:pPr>
            <w:r w:rsidRPr="00877259">
              <w:rPr>
                <w:szCs w:val="22"/>
                <w:lang w:val="ru-RU"/>
              </w:rPr>
              <w:t>⃝</w:t>
            </w:r>
            <w:r w:rsidRPr="00877259">
              <w:rPr>
                <w:szCs w:val="22"/>
                <w:lang w:val="ru-RU"/>
              </w:rPr>
              <w:tab/>
              <w:t>Замечания или предлагаемые изменения отсутствуют</w:t>
            </w:r>
          </w:p>
          <w:p w14:paraId="5AB024E0" w14:textId="77777777" w:rsidR="00B533DE" w:rsidRPr="00877259" w:rsidRDefault="00B533DE" w:rsidP="00423D85">
            <w:pPr>
              <w:tabs>
                <w:tab w:val="clear" w:pos="794"/>
              </w:tabs>
              <w:spacing w:before="60" w:after="60"/>
              <w:ind w:left="939" w:hanging="459"/>
              <w:rPr>
                <w:b/>
                <w:bCs/>
                <w:szCs w:val="22"/>
                <w:lang w:val="ru-RU"/>
              </w:rPr>
            </w:pPr>
            <w:r w:rsidRPr="00877259">
              <w:rPr>
                <w:szCs w:val="22"/>
                <w:lang w:val="ru-RU"/>
              </w:rPr>
              <w:t>⃝</w:t>
            </w:r>
            <w:r w:rsidRPr="00877259">
              <w:rPr>
                <w:szCs w:val="22"/>
                <w:lang w:val="ru-RU"/>
              </w:rPr>
              <w:tab/>
              <w:t>Замечания и предлагаемые изменения прилагаются</w:t>
            </w:r>
          </w:p>
        </w:tc>
      </w:tr>
      <w:tr w:rsidR="00B533DE" w:rsidRPr="001D6067" w14:paraId="5E9CA556" w14:textId="77777777" w:rsidTr="00423D85">
        <w:trPr>
          <w:cantSplit/>
        </w:trPr>
        <w:tc>
          <w:tcPr>
            <w:tcW w:w="2405" w:type="dxa"/>
            <w:vMerge/>
            <w:shd w:val="clear" w:color="auto" w:fill="auto"/>
            <w:vAlign w:val="center"/>
          </w:tcPr>
          <w:p w14:paraId="7BC7FAB9" w14:textId="77777777" w:rsidR="00B533DE" w:rsidRPr="00877259" w:rsidRDefault="00B533DE" w:rsidP="00423D85">
            <w:pPr>
              <w:spacing w:before="60" w:after="60"/>
              <w:jc w:val="center"/>
              <w:rPr>
                <w:b/>
                <w:bCs/>
                <w:szCs w:val="22"/>
                <w:lang w:val="ru-RU"/>
              </w:rPr>
            </w:pPr>
          </w:p>
        </w:tc>
        <w:tc>
          <w:tcPr>
            <w:tcW w:w="7314" w:type="dxa"/>
            <w:shd w:val="clear" w:color="auto" w:fill="auto"/>
            <w:vAlign w:val="center"/>
          </w:tcPr>
          <w:p w14:paraId="41EA8FD5" w14:textId="77777777" w:rsidR="00B533DE" w:rsidRPr="00877259" w:rsidRDefault="00B533DE" w:rsidP="00423D85">
            <w:pPr>
              <w:tabs>
                <w:tab w:val="clear" w:pos="794"/>
                <w:tab w:val="clear" w:pos="1191"/>
                <w:tab w:val="clear" w:pos="1588"/>
                <w:tab w:val="clear" w:pos="1985"/>
                <w:tab w:val="left" w:pos="250"/>
              </w:tabs>
              <w:spacing w:before="60" w:after="60"/>
              <w:ind w:left="459" w:hanging="459"/>
              <w:rPr>
                <w:szCs w:val="22"/>
                <w:lang w:val="ru-RU"/>
              </w:rPr>
            </w:pPr>
            <w:r w:rsidRPr="00877259">
              <w:rPr>
                <w:b/>
                <w:bCs/>
                <w:sz w:val="20"/>
                <w:lang w:val="ru-RU"/>
              </w:rPr>
              <w:fldChar w:fldCharType="begin">
                <w:ffData>
                  <w:name w:val="Check1"/>
                  <w:enabled/>
                  <w:calcOnExit w:val="0"/>
                  <w:checkBox>
                    <w:sizeAuto/>
                    <w:default w:val="0"/>
                  </w:checkBox>
                </w:ffData>
              </w:fldChar>
            </w:r>
            <w:r w:rsidRPr="00877259">
              <w:rPr>
                <w:b/>
                <w:bCs/>
                <w:sz w:val="20"/>
                <w:lang w:val="ru-RU"/>
              </w:rPr>
              <w:instrText xml:space="preserve"> FORMCHECKBOX </w:instrText>
            </w:r>
            <w:r w:rsidR="000972B0">
              <w:rPr>
                <w:b/>
                <w:bCs/>
                <w:sz w:val="20"/>
                <w:lang w:val="ru-RU"/>
              </w:rPr>
            </w:r>
            <w:r w:rsidR="000972B0">
              <w:rPr>
                <w:b/>
                <w:bCs/>
                <w:sz w:val="20"/>
                <w:lang w:val="ru-RU"/>
              </w:rPr>
              <w:fldChar w:fldCharType="separate"/>
            </w:r>
            <w:r w:rsidRPr="00877259">
              <w:rPr>
                <w:b/>
                <w:bCs/>
                <w:sz w:val="20"/>
                <w:lang w:val="ru-RU"/>
              </w:rPr>
              <w:fldChar w:fldCharType="end"/>
            </w:r>
            <w:r w:rsidRPr="00877259">
              <w:rPr>
                <w:b/>
                <w:bCs/>
                <w:sz w:val="20"/>
                <w:lang w:val="ru-RU"/>
              </w:rPr>
              <w:tab/>
            </w:r>
            <w:r w:rsidRPr="00877259">
              <w:rPr>
                <w:b/>
                <w:bCs/>
                <w:sz w:val="20"/>
                <w:lang w:val="ru-RU"/>
              </w:rPr>
              <w:tab/>
            </w:r>
            <w:r w:rsidRPr="00877259">
              <w:rPr>
                <w:szCs w:val="22"/>
                <w:lang w:val="ru-RU"/>
              </w:rPr>
              <w:t>Не предоставляет полномочий 20-й Исследовательской комиссии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bl>
    <w:p w14:paraId="4F5A4C65" w14:textId="3F77B83D" w:rsidR="00B533DE" w:rsidRPr="00877259" w:rsidRDefault="00B533DE" w:rsidP="00B533DE">
      <w:pPr>
        <w:spacing w:before="240"/>
        <w:rPr>
          <w:szCs w:val="22"/>
          <w:lang w:val="ru-RU"/>
        </w:rPr>
      </w:pPr>
      <w:r w:rsidRPr="00877259">
        <w:rPr>
          <w:szCs w:val="22"/>
          <w:lang w:val="ru-RU"/>
        </w:rPr>
        <w:t>С уважением</w:t>
      </w:r>
      <w:r>
        <w:rPr>
          <w:szCs w:val="22"/>
          <w:lang w:val="ru-RU"/>
        </w:rPr>
        <w:t>,</w:t>
      </w:r>
    </w:p>
    <w:p w14:paraId="5631A199" w14:textId="4D60341A" w:rsidR="00B533DE" w:rsidRDefault="00B533DE" w:rsidP="00B533DE">
      <w:pPr>
        <w:spacing w:before="360"/>
        <w:rPr>
          <w:szCs w:val="22"/>
          <w:lang w:val="ru-RU"/>
        </w:rPr>
      </w:pPr>
      <w:r w:rsidRPr="00877259">
        <w:rPr>
          <w:szCs w:val="22"/>
          <w:highlight w:val="green"/>
          <w:lang w:val="ru-RU"/>
        </w:rPr>
        <w:t>[Фамилия]</w:t>
      </w:r>
      <w:r w:rsidRPr="00877259">
        <w:rPr>
          <w:szCs w:val="22"/>
          <w:highlight w:val="green"/>
          <w:lang w:val="ru-RU"/>
        </w:rPr>
        <w:br/>
        <w:t>[Официальная должность/титул]</w:t>
      </w:r>
      <w:r w:rsidRPr="00877259">
        <w:rPr>
          <w:szCs w:val="22"/>
          <w:lang w:val="ru-RU"/>
        </w:rPr>
        <w:br/>
        <w:t xml:space="preserve">Администрация </w:t>
      </w:r>
      <w:r w:rsidRPr="00877259">
        <w:rPr>
          <w:szCs w:val="22"/>
          <w:highlight w:val="green"/>
          <w:lang w:val="ru-RU"/>
        </w:rPr>
        <w:t>[Государства-Члена]</w:t>
      </w:r>
    </w:p>
    <w:p w14:paraId="0059EED9" w14:textId="77777777" w:rsidR="00B533DE" w:rsidRPr="00C668DD" w:rsidRDefault="00B533DE" w:rsidP="00B533DE">
      <w:pPr>
        <w:spacing w:before="480"/>
        <w:jc w:val="center"/>
        <w:rPr>
          <w:lang w:val="ru-RU"/>
        </w:rPr>
      </w:pPr>
      <w:r w:rsidRPr="00C668DD">
        <w:rPr>
          <w:lang w:val="ru-RU"/>
        </w:rPr>
        <w:t>_______________</w:t>
      </w:r>
    </w:p>
    <w:sectPr w:rsidR="00B533DE" w:rsidRPr="00C668DD" w:rsidSect="000669F9">
      <w:headerReference w:type="default" r:id="rId26"/>
      <w:footerReference w:type="first" r:id="rId27"/>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6A25" w14:textId="77777777" w:rsidR="00AE7914" w:rsidRDefault="00AE7914">
      <w:r>
        <w:separator/>
      </w:r>
    </w:p>
  </w:endnote>
  <w:endnote w:type="continuationSeparator" w:id="0">
    <w:p w14:paraId="1547073C" w14:textId="77777777" w:rsidR="00AE7914" w:rsidRDefault="00AE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3AB3" w14:textId="77777777" w:rsidR="004B4B1A" w:rsidRPr="004A3E1B" w:rsidRDefault="004B4B1A" w:rsidP="005A1FE2">
    <w:pPr>
      <w:pStyle w:val="FirstFooter"/>
      <w:spacing w:before="0" w:line="240" w:lineRule="auto"/>
      <w:ind w:left="-397" w:right="-397"/>
      <w:jc w:val="center"/>
      <w:rPr>
        <w:color w:val="0070C0"/>
        <w:sz w:val="18"/>
        <w:szCs w:val="18"/>
        <w:u w:val="single"/>
        <w:lang w:val="fr-CH"/>
      </w:rPr>
    </w:pPr>
    <w:r w:rsidRPr="004A3E1B">
      <w:rPr>
        <w:color w:val="0070C0"/>
        <w:sz w:val="18"/>
        <w:szCs w:val="18"/>
        <w:lang w:val="fr-CH"/>
      </w:rPr>
      <w:t>International Telecommunication Union • Place des Nations, CH</w:t>
    </w:r>
    <w:r w:rsidRPr="004A3E1B">
      <w:rPr>
        <w:color w:val="0070C0"/>
        <w:sz w:val="18"/>
        <w:szCs w:val="18"/>
        <w:lang w:val="fr-CH"/>
      </w:rPr>
      <w:noBreakHyphen/>
      <w:t xml:space="preserve">1211 Geneva 20 • Switzerland </w:t>
    </w:r>
    <w:r w:rsidRPr="004A3E1B">
      <w:rPr>
        <w:color w:val="0070C0"/>
        <w:sz w:val="18"/>
        <w:szCs w:val="18"/>
        <w:lang w:val="fr-CH"/>
      </w:rPr>
      <w:br/>
    </w:r>
    <w:r w:rsidRPr="004A3E1B">
      <w:rPr>
        <w:color w:val="0070C0"/>
        <w:sz w:val="18"/>
        <w:szCs w:val="18"/>
        <w:lang w:val="ru-RU"/>
      </w:rPr>
      <w:t>Тел</w:t>
    </w:r>
    <w:r w:rsidRPr="00966181">
      <w:rPr>
        <w:color w:val="0070C0"/>
        <w:sz w:val="18"/>
        <w:szCs w:val="18"/>
      </w:rPr>
      <w:t>.</w:t>
    </w:r>
    <w:r w:rsidRPr="004A3E1B">
      <w:rPr>
        <w:color w:val="0070C0"/>
        <w:sz w:val="18"/>
        <w:szCs w:val="18"/>
        <w:lang w:val="fr-CH"/>
      </w:rPr>
      <w:t xml:space="preserve">: +41 22 730 5111 • </w:t>
    </w:r>
    <w:r w:rsidRPr="004A3E1B">
      <w:rPr>
        <w:color w:val="0070C0"/>
        <w:sz w:val="18"/>
        <w:szCs w:val="18"/>
        <w:lang w:val="ru-RU"/>
      </w:rPr>
      <w:t>Факс</w:t>
    </w:r>
    <w:r w:rsidRPr="004A3E1B">
      <w:rPr>
        <w:color w:val="0070C0"/>
        <w:sz w:val="18"/>
        <w:szCs w:val="18"/>
        <w:lang w:val="fr-CH"/>
      </w:rPr>
      <w:t>: +41 22 733 7256</w:t>
    </w:r>
    <w:r w:rsidRPr="00966181">
      <w:rPr>
        <w:color w:val="0070C0"/>
        <w:sz w:val="18"/>
        <w:szCs w:val="18"/>
      </w:rPr>
      <w:t xml:space="preserve"> </w:t>
    </w:r>
    <w:r w:rsidRPr="004A3E1B">
      <w:rPr>
        <w:color w:val="0070C0"/>
        <w:sz w:val="18"/>
        <w:szCs w:val="18"/>
        <w:lang w:val="fr-CH"/>
      </w:rPr>
      <w:t xml:space="preserve">• </w:t>
    </w:r>
    <w:r w:rsidRPr="004A3E1B">
      <w:rPr>
        <w:color w:val="0070C0"/>
        <w:sz w:val="18"/>
        <w:szCs w:val="18"/>
        <w:lang w:val="ru-RU"/>
      </w:rPr>
      <w:t>Эл</w:t>
    </w:r>
    <w:r w:rsidRPr="00966181">
      <w:rPr>
        <w:color w:val="0070C0"/>
        <w:sz w:val="18"/>
        <w:szCs w:val="18"/>
      </w:rPr>
      <w:t xml:space="preserve">. </w:t>
    </w:r>
    <w:r w:rsidRPr="004A3E1B">
      <w:rPr>
        <w:color w:val="0070C0"/>
        <w:sz w:val="18"/>
        <w:szCs w:val="18"/>
        <w:lang w:val="ru-RU"/>
      </w:rPr>
      <w:t>почта</w:t>
    </w:r>
    <w:r w:rsidRPr="004A3E1B">
      <w:rPr>
        <w:color w:val="0070C0"/>
        <w:sz w:val="18"/>
        <w:szCs w:val="18"/>
        <w:lang w:val="fr-CH"/>
      </w:rPr>
      <w:t xml:space="preserve">: </w:t>
    </w:r>
    <w:hyperlink r:id="rId1" w:history="1">
      <w:r w:rsidRPr="004A3E1B">
        <w:rPr>
          <w:rStyle w:val="Hyperlink"/>
          <w:color w:val="0070C0"/>
          <w:sz w:val="18"/>
          <w:szCs w:val="18"/>
        </w:rPr>
        <w:t>itumail@itu.int</w:t>
      </w:r>
    </w:hyperlink>
    <w:r w:rsidRPr="004A3E1B">
      <w:rPr>
        <w:color w:val="0070C0"/>
        <w:sz w:val="18"/>
        <w:szCs w:val="18"/>
        <w:lang w:val="fr-CH"/>
      </w:rPr>
      <w:t xml:space="preserve"> • </w:t>
    </w:r>
    <w:hyperlink r:id="rId2" w:history="1">
      <w:r w:rsidRPr="004A3E1B">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CBAF" w14:textId="77777777" w:rsidR="00AE7914" w:rsidRDefault="00AE7914">
      <w:r>
        <w:separator/>
      </w:r>
    </w:p>
  </w:footnote>
  <w:footnote w:type="continuationSeparator" w:id="0">
    <w:p w14:paraId="65CBA831" w14:textId="77777777" w:rsidR="00AE7914" w:rsidRDefault="00AE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6687" w14:textId="2DBE294A" w:rsidR="004B4B1A" w:rsidRPr="00604026" w:rsidRDefault="004B4B1A" w:rsidP="00B33C5B">
    <w:pPr>
      <w:pStyle w:val="Header"/>
      <w:rPr>
        <w:lang w:val="ru-RU"/>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53EFA">
          <w:rPr>
            <w:noProof/>
          </w:rPr>
          <w:t>7</w:t>
        </w:r>
        <w:r>
          <w:rPr>
            <w:noProof/>
          </w:rPr>
          <w:fldChar w:fldCharType="end"/>
        </w:r>
        <w:r>
          <w:rPr>
            <w:noProof/>
          </w:rPr>
          <w:t xml:space="preserve"> -</w:t>
        </w:r>
      </w:sdtContent>
    </w:sdt>
    <w:r>
      <w:rPr>
        <w:noProof/>
      </w:rPr>
      <w:br/>
    </w:r>
    <w:r>
      <w:rPr>
        <w:lang w:val="ru-RU"/>
      </w:rPr>
      <w:t>Цирк</w:t>
    </w:r>
    <w:r w:rsidRPr="00AF6FE0">
      <w:rPr>
        <w:lang w:val="ru-RU"/>
      </w:rPr>
      <w:t xml:space="preserve">уляр </w:t>
    </w:r>
    <w:r w:rsidR="00B533DE">
      <w:rPr>
        <w:lang w:val="ru-RU"/>
      </w:rPr>
      <w:t>236</w:t>
    </w:r>
    <w:r w:rsidRPr="00AF6FE0">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CA5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B61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A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924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143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F69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3E90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2C5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F80D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A245A"/>
    <w:lvl w:ilvl="0">
      <w:start w:val="1"/>
      <w:numFmt w:val="bullet"/>
      <w:pStyle w:val="ListBullet"/>
      <w:lvlText w:val=""/>
      <w:lvlJc w:val="left"/>
      <w:pPr>
        <w:tabs>
          <w:tab w:val="num" w:pos="360"/>
        </w:tabs>
        <w:ind w:left="360" w:hanging="360"/>
      </w:pPr>
      <w:rPr>
        <w:rFonts w:ascii="Symbol" w:hAnsi="Symbol" w:hint="default"/>
      </w:rPr>
    </w:lvl>
  </w:abstractNum>
  <w:num w:numId="1" w16cid:durableId="844593485">
    <w:abstractNumId w:val="9"/>
  </w:num>
  <w:num w:numId="2" w16cid:durableId="1128858443">
    <w:abstractNumId w:val="7"/>
  </w:num>
  <w:num w:numId="3" w16cid:durableId="516044864">
    <w:abstractNumId w:val="6"/>
  </w:num>
  <w:num w:numId="4" w16cid:durableId="616836958">
    <w:abstractNumId w:val="5"/>
  </w:num>
  <w:num w:numId="5" w16cid:durableId="1553155652">
    <w:abstractNumId w:val="4"/>
  </w:num>
  <w:num w:numId="6" w16cid:durableId="1106846282">
    <w:abstractNumId w:val="8"/>
  </w:num>
  <w:num w:numId="7" w16cid:durableId="750197020">
    <w:abstractNumId w:val="3"/>
  </w:num>
  <w:num w:numId="8" w16cid:durableId="501429562">
    <w:abstractNumId w:val="2"/>
  </w:num>
  <w:num w:numId="9" w16cid:durableId="1136799022">
    <w:abstractNumId w:val="1"/>
  </w:num>
  <w:num w:numId="10" w16cid:durableId="12225942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4096"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E1"/>
    <w:rsid w:val="00000E8E"/>
    <w:rsid w:val="00007137"/>
    <w:rsid w:val="0000792B"/>
    <w:rsid w:val="00011DBE"/>
    <w:rsid w:val="00015D39"/>
    <w:rsid w:val="00020491"/>
    <w:rsid w:val="00022027"/>
    <w:rsid w:val="00024565"/>
    <w:rsid w:val="000320E6"/>
    <w:rsid w:val="0003235D"/>
    <w:rsid w:val="000345A8"/>
    <w:rsid w:val="000422D3"/>
    <w:rsid w:val="00042A92"/>
    <w:rsid w:val="00044321"/>
    <w:rsid w:val="000452CF"/>
    <w:rsid w:val="0004755D"/>
    <w:rsid w:val="00053EFA"/>
    <w:rsid w:val="00062E38"/>
    <w:rsid w:val="000669F9"/>
    <w:rsid w:val="000708F5"/>
    <w:rsid w:val="000720FA"/>
    <w:rsid w:val="00082B7B"/>
    <w:rsid w:val="00095010"/>
    <w:rsid w:val="00095B50"/>
    <w:rsid w:val="00095EA0"/>
    <w:rsid w:val="000972B0"/>
    <w:rsid w:val="000C084A"/>
    <w:rsid w:val="000C16DC"/>
    <w:rsid w:val="000C2147"/>
    <w:rsid w:val="000C2B57"/>
    <w:rsid w:val="000C397D"/>
    <w:rsid w:val="000C4B98"/>
    <w:rsid w:val="000C5DC8"/>
    <w:rsid w:val="000C6D3D"/>
    <w:rsid w:val="000C7D98"/>
    <w:rsid w:val="000E20DE"/>
    <w:rsid w:val="000E2BEE"/>
    <w:rsid w:val="000E4F60"/>
    <w:rsid w:val="000E6390"/>
    <w:rsid w:val="001009A5"/>
    <w:rsid w:val="001021D8"/>
    <w:rsid w:val="00103310"/>
    <w:rsid w:val="001042ED"/>
    <w:rsid w:val="00105B48"/>
    <w:rsid w:val="00111A87"/>
    <w:rsid w:val="00112CD6"/>
    <w:rsid w:val="00115B49"/>
    <w:rsid w:val="001176E3"/>
    <w:rsid w:val="0012140C"/>
    <w:rsid w:val="0012655D"/>
    <w:rsid w:val="00126A55"/>
    <w:rsid w:val="00127679"/>
    <w:rsid w:val="00133C6C"/>
    <w:rsid w:val="00150755"/>
    <w:rsid w:val="001546F1"/>
    <w:rsid w:val="00157461"/>
    <w:rsid w:val="001629DC"/>
    <w:rsid w:val="00180046"/>
    <w:rsid w:val="00183CC4"/>
    <w:rsid w:val="00184E6D"/>
    <w:rsid w:val="00185945"/>
    <w:rsid w:val="00185A56"/>
    <w:rsid w:val="0019030B"/>
    <w:rsid w:val="001B4A74"/>
    <w:rsid w:val="001C2EA2"/>
    <w:rsid w:val="001C7E50"/>
    <w:rsid w:val="001D0F1B"/>
    <w:rsid w:val="001D261C"/>
    <w:rsid w:val="001D6067"/>
    <w:rsid w:val="001D6AA9"/>
    <w:rsid w:val="001E1C1D"/>
    <w:rsid w:val="001F0165"/>
    <w:rsid w:val="001F1941"/>
    <w:rsid w:val="001F63B2"/>
    <w:rsid w:val="00205108"/>
    <w:rsid w:val="00207341"/>
    <w:rsid w:val="00216D3E"/>
    <w:rsid w:val="0022492E"/>
    <w:rsid w:val="002262CC"/>
    <w:rsid w:val="00227873"/>
    <w:rsid w:val="00227CAA"/>
    <w:rsid w:val="00242803"/>
    <w:rsid w:val="0024281A"/>
    <w:rsid w:val="002435B7"/>
    <w:rsid w:val="00244A03"/>
    <w:rsid w:val="002450CA"/>
    <w:rsid w:val="0024594A"/>
    <w:rsid w:val="00246580"/>
    <w:rsid w:val="0025232B"/>
    <w:rsid w:val="00253743"/>
    <w:rsid w:val="00255F01"/>
    <w:rsid w:val="0025701E"/>
    <w:rsid w:val="0026232A"/>
    <w:rsid w:val="0026781F"/>
    <w:rsid w:val="0027057D"/>
    <w:rsid w:val="002736E9"/>
    <w:rsid w:val="002747CC"/>
    <w:rsid w:val="002773B1"/>
    <w:rsid w:val="00280A3E"/>
    <w:rsid w:val="00292FF5"/>
    <w:rsid w:val="00297434"/>
    <w:rsid w:val="002A5E04"/>
    <w:rsid w:val="002B37F9"/>
    <w:rsid w:val="002B4A2E"/>
    <w:rsid w:val="002B5E17"/>
    <w:rsid w:val="002B68D8"/>
    <w:rsid w:val="002C16A1"/>
    <w:rsid w:val="002C339C"/>
    <w:rsid w:val="002C44D3"/>
    <w:rsid w:val="002C552E"/>
    <w:rsid w:val="002C569A"/>
    <w:rsid w:val="002D06B7"/>
    <w:rsid w:val="002D26FD"/>
    <w:rsid w:val="002D36A6"/>
    <w:rsid w:val="002D7529"/>
    <w:rsid w:val="002E1224"/>
    <w:rsid w:val="002E3F87"/>
    <w:rsid w:val="002E4C41"/>
    <w:rsid w:val="002F50C1"/>
    <w:rsid w:val="002F5BBE"/>
    <w:rsid w:val="0030521B"/>
    <w:rsid w:val="00305585"/>
    <w:rsid w:val="0030770D"/>
    <w:rsid w:val="00307C0F"/>
    <w:rsid w:val="003113A8"/>
    <w:rsid w:val="00312842"/>
    <w:rsid w:val="00314B2D"/>
    <w:rsid w:val="003179FE"/>
    <w:rsid w:val="00321F06"/>
    <w:rsid w:val="00323296"/>
    <w:rsid w:val="00323423"/>
    <w:rsid w:val="0033434F"/>
    <w:rsid w:val="00337770"/>
    <w:rsid w:val="00337F1C"/>
    <w:rsid w:val="00340304"/>
    <w:rsid w:val="003449AA"/>
    <w:rsid w:val="00347947"/>
    <w:rsid w:val="00350496"/>
    <w:rsid w:val="003506E7"/>
    <w:rsid w:val="00353A41"/>
    <w:rsid w:val="00354887"/>
    <w:rsid w:val="003555F3"/>
    <w:rsid w:val="00355DBF"/>
    <w:rsid w:val="00360D8C"/>
    <w:rsid w:val="00365FBA"/>
    <w:rsid w:val="003664DD"/>
    <w:rsid w:val="00367073"/>
    <w:rsid w:val="003701B2"/>
    <w:rsid w:val="00371327"/>
    <w:rsid w:val="003759D0"/>
    <w:rsid w:val="00375F8B"/>
    <w:rsid w:val="003762AB"/>
    <w:rsid w:val="0038423C"/>
    <w:rsid w:val="0038752B"/>
    <w:rsid w:val="003906BF"/>
    <w:rsid w:val="00392BAC"/>
    <w:rsid w:val="00393925"/>
    <w:rsid w:val="0039565C"/>
    <w:rsid w:val="003A291A"/>
    <w:rsid w:val="003A34E4"/>
    <w:rsid w:val="003B0C51"/>
    <w:rsid w:val="003B1F94"/>
    <w:rsid w:val="003B4372"/>
    <w:rsid w:val="003B52C8"/>
    <w:rsid w:val="003C039B"/>
    <w:rsid w:val="003C1C17"/>
    <w:rsid w:val="003D0072"/>
    <w:rsid w:val="003D0B72"/>
    <w:rsid w:val="003D2168"/>
    <w:rsid w:val="003E6336"/>
    <w:rsid w:val="003F25A6"/>
    <w:rsid w:val="003F578A"/>
    <w:rsid w:val="003F5B77"/>
    <w:rsid w:val="003F6BDD"/>
    <w:rsid w:val="00400CEF"/>
    <w:rsid w:val="00403C87"/>
    <w:rsid w:val="004167E6"/>
    <w:rsid w:val="0041688E"/>
    <w:rsid w:val="00424335"/>
    <w:rsid w:val="00424A82"/>
    <w:rsid w:val="00427930"/>
    <w:rsid w:val="00433221"/>
    <w:rsid w:val="00434CF0"/>
    <w:rsid w:val="00437257"/>
    <w:rsid w:val="004405DD"/>
    <w:rsid w:val="00444B73"/>
    <w:rsid w:val="00445B66"/>
    <w:rsid w:val="00452DA7"/>
    <w:rsid w:val="00455EFA"/>
    <w:rsid w:val="00456EB8"/>
    <w:rsid w:val="0045726D"/>
    <w:rsid w:val="00457AC9"/>
    <w:rsid w:val="00461969"/>
    <w:rsid w:val="0046288F"/>
    <w:rsid w:val="004650C7"/>
    <w:rsid w:val="00475A27"/>
    <w:rsid w:val="004805DE"/>
    <w:rsid w:val="00483800"/>
    <w:rsid w:val="00485CEF"/>
    <w:rsid w:val="0049439F"/>
    <w:rsid w:val="00495F13"/>
    <w:rsid w:val="00496288"/>
    <w:rsid w:val="00496A59"/>
    <w:rsid w:val="004A0D07"/>
    <w:rsid w:val="004A3E1B"/>
    <w:rsid w:val="004B0105"/>
    <w:rsid w:val="004B1F5D"/>
    <w:rsid w:val="004B28F6"/>
    <w:rsid w:val="004B4B1A"/>
    <w:rsid w:val="004C019F"/>
    <w:rsid w:val="004C0F71"/>
    <w:rsid w:val="004C1207"/>
    <w:rsid w:val="004C5268"/>
    <w:rsid w:val="004C75D0"/>
    <w:rsid w:val="004D658C"/>
    <w:rsid w:val="004E01AE"/>
    <w:rsid w:val="004E1989"/>
    <w:rsid w:val="004E387F"/>
    <w:rsid w:val="004E46B0"/>
    <w:rsid w:val="004E4DC3"/>
    <w:rsid w:val="004E58C8"/>
    <w:rsid w:val="004E722D"/>
    <w:rsid w:val="004F33DB"/>
    <w:rsid w:val="004F3651"/>
    <w:rsid w:val="004F48F0"/>
    <w:rsid w:val="00503EB6"/>
    <w:rsid w:val="00513D8C"/>
    <w:rsid w:val="00514426"/>
    <w:rsid w:val="00514CD5"/>
    <w:rsid w:val="005162B7"/>
    <w:rsid w:val="00524106"/>
    <w:rsid w:val="00527794"/>
    <w:rsid w:val="00532367"/>
    <w:rsid w:val="00537F14"/>
    <w:rsid w:val="005462DC"/>
    <w:rsid w:val="00547C89"/>
    <w:rsid w:val="00553F5D"/>
    <w:rsid w:val="0055442B"/>
    <w:rsid w:val="00556EED"/>
    <w:rsid w:val="00557049"/>
    <w:rsid w:val="00566DD5"/>
    <w:rsid w:val="00573099"/>
    <w:rsid w:val="005769F6"/>
    <w:rsid w:val="005814CE"/>
    <w:rsid w:val="0058751D"/>
    <w:rsid w:val="005928AA"/>
    <w:rsid w:val="00592D20"/>
    <w:rsid w:val="00595195"/>
    <w:rsid w:val="00596A87"/>
    <w:rsid w:val="00597D94"/>
    <w:rsid w:val="005A0460"/>
    <w:rsid w:val="005A11F3"/>
    <w:rsid w:val="005A1FE2"/>
    <w:rsid w:val="005A2A91"/>
    <w:rsid w:val="005A3201"/>
    <w:rsid w:val="005A6BFA"/>
    <w:rsid w:val="005B4A42"/>
    <w:rsid w:val="005B5216"/>
    <w:rsid w:val="005D044D"/>
    <w:rsid w:val="005D0CD4"/>
    <w:rsid w:val="005D59C3"/>
    <w:rsid w:val="005E0C6E"/>
    <w:rsid w:val="005E2030"/>
    <w:rsid w:val="005E3731"/>
    <w:rsid w:val="005E616E"/>
    <w:rsid w:val="005F04B7"/>
    <w:rsid w:val="005F091D"/>
    <w:rsid w:val="005F237B"/>
    <w:rsid w:val="005F2867"/>
    <w:rsid w:val="005F3609"/>
    <w:rsid w:val="005F5895"/>
    <w:rsid w:val="005F761F"/>
    <w:rsid w:val="00604026"/>
    <w:rsid w:val="00610140"/>
    <w:rsid w:val="006139B2"/>
    <w:rsid w:val="006142DD"/>
    <w:rsid w:val="00620F8E"/>
    <w:rsid w:val="00624739"/>
    <w:rsid w:val="00625BAF"/>
    <w:rsid w:val="00625EE2"/>
    <w:rsid w:val="00626515"/>
    <w:rsid w:val="00636D90"/>
    <w:rsid w:val="00640160"/>
    <w:rsid w:val="0065331E"/>
    <w:rsid w:val="006555F5"/>
    <w:rsid w:val="006639C5"/>
    <w:rsid w:val="006738D1"/>
    <w:rsid w:val="006777D5"/>
    <w:rsid w:val="00683DEE"/>
    <w:rsid w:val="00690982"/>
    <w:rsid w:val="00690DB4"/>
    <w:rsid w:val="00694FF0"/>
    <w:rsid w:val="006B0FB6"/>
    <w:rsid w:val="006B16EC"/>
    <w:rsid w:val="006B1E6B"/>
    <w:rsid w:val="006C1710"/>
    <w:rsid w:val="006C444C"/>
    <w:rsid w:val="006C513D"/>
    <w:rsid w:val="006C5C63"/>
    <w:rsid w:val="006D2838"/>
    <w:rsid w:val="006D34FD"/>
    <w:rsid w:val="006E116C"/>
    <w:rsid w:val="006E2E59"/>
    <w:rsid w:val="006E4068"/>
    <w:rsid w:val="006F1352"/>
    <w:rsid w:val="006F1984"/>
    <w:rsid w:val="006F1DBB"/>
    <w:rsid w:val="00701561"/>
    <w:rsid w:val="007021AC"/>
    <w:rsid w:val="00702AC4"/>
    <w:rsid w:val="0070641D"/>
    <w:rsid w:val="00712516"/>
    <w:rsid w:val="0071361F"/>
    <w:rsid w:val="00714338"/>
    <w:rsid w:val="00717255"/>
    <w:rsid w:val="00720273"/>
    <w:rsid w:val="00722F08"/>
    <w:rsid w:val="00726FFA"/>
    <w:rsid w:val="00733159"/>
    <w:rsid w:val="0073537C"/>
    <w:rsid w:val="0073699C"/>
    <w:rsid w:val="00741C5B"/>
    <w:rsid w:val="0074299E"/>
    <w:rsid w:val="007440B0"/>
    <w:rsid w:val="00744B3C"/>
    <w:rsid w:val="0074606B"/>
    <w:rsid w:val="0074689D"/>
    <w:rsid w:val="007474BA"/>
    <w:rsid w:val="00751BDC"/>
    <w:rsid w:val="00753F18"/>
    <w:rsid w:val="00763FF3"/>
    <w:rsid w:val="0077286C"/>
    <w:rsid w:val="007749F3"/>
    <w:rsid w:val="007752C4"/>
    <w:rsid w:val="00792780"/>
    <w:rsid w:val="00793112"/>
    <w:rsid w:val="0079397B"/>
    <w:rsid w:val="007B0E86"/>
    <w:rsid w:val="007B3B30"/>
    <w:rsid w:val="007B434B"/>
    <w:rsid w:val="007C2483"/>
    <w:rsid w:val="007D0BFA"/>
    <w:rsid w:val="007D1544"/>
    <w:rsid w:val="007D37B3"/>
    <w:rsid w:val="007D39E9"/>
    <w:rsid w:val="007D4F1A"/>
    <w:rsid w:val="007D6A7A"/>
    <w:rsid w:val="007E0352"/>
    <w:rsid w:val="007E6BB5"/>
    <w:rsid w:val="007F0B23"/>
    <w:rsid w:val="007F1123"/>
    <w:rsid w:val="007F4FBC"/>
    <w:rsid w:val="00803BC4"/>
    <w:rsid w:val="00805288"/>
    <w:rsid w:val="00805AE9"/>
    <w:rsid w:val="0080673D"/>
    <w:rsid w:val="00814248"/>
    <w:rsid w:val="00821D13"/>
    <w:rsid w:val="00824CD3"/>
    <w:rsid w:val="00826CB4"/>
    <w:rsid w:val="00831FDC"/>
    <w:rsid w:val="00832A5A"/>
    <w:rsid w:val="008343FF"/>
    <w:rsid w:val="00842681"/>
    <w:rsid w:val="00852337"/>
    <w:rsid w:val="008526FF"/>
    <w:rsid w:val="00866269"/>
    <w:rsid w:val="00867192"/>
    <w:rsid w:val="00870CDB"/>
    <w:rsid w:val="00871131"/>
    <w:rsid w:val="00875ABA"/>
    <w:rsid w:val="00891DCB"/>
    <w:rsid w:val="00892E88"/>
    <w:rsid w:val="00894719"/>
    <w:rsid w:val="008A217A"/>
    <w:rsid w:val="008A5B8B"/>
    <w:rsid w:val="008A70E5"/>
    <w:rsid w:val="008B0BD9"/>
    <w:rsid w:val="008C5191"/>
    <w:rsid w:val="008C5C0E"/>
    <w:rsid w:val="008C630B"/>
    <w:rsid w:val="008C7044"/>
    <w:rsid w:val="008C7C6A"/>
    <w:rsid w:val="008D09D6"/>
    <w:rsid w:val="008D0C80"/>
    <w:rsid w:val="008D5051"/>
    <w:rsid w:val="008D63A1"/>
    <w:rsid w:val="008D7615"/>
    <w:rsid w:val="008E0925"/>
    <w:rsid w:val="008E5344"/>
    <w:rsid w:val="008F5E27"/>
    <w:rsid w:val="008F5FAF"/>
    <w:rsid w:val="00910BE7"/>
    <w:rsid w:val="00914DF3"/>
    <w:rsid w:val="009166E1"/>
    <w:rsid w:val="00917107"/>
    <w:rsid w:val="009242DB"/>
    <w:rsid w:val="00924CCE"/>
    <w:rsid w:val="0092690A"/>
    <w:rsid w:val="00926EAA"/>
    <w:rsid w:val="00931638"/>
    <w:rsid w:val="00932022"/>
    <w:rsid w:val="00933F00"/>
    <w:rsid w:val="009344BF"/>
    <w:rsid w:val="009359C2"/>
    <w:rsid w:val="00936F1B"/>
    <w:rsid w:val="00941471"/>
    <w:rsid w:val="009469D2"/>
    <w:rsid w:val="0095020C"/>
    <w:rsid w:val="009505F3"/>
    <w:rsid w:val="0095157E"/>
    <w:rsid w:val="00951A6C"/>
    <w:rsid w:val="00953E5B"/>
    <w:rsid w:val="00954660"/>
    <w:rsid w:val="00954B9E"/>
    <w:rsid w:val="00960B45"/>
    <w:rsid w:val="00966181"/>
    <w:rsid w:val="00974E5E"/>
    <w:rsid w:val="009907A5"/>
    <w:rsid w:val="009908A0"/>
    <w:rsid w:val="0099450D"/>
    <w:rsid w:val="009949A0"/>
    <w:rsid w:val="009974B4"/>
    <w:rsid w:val="009979B5"/>
    <w:rsid w:val="009A2C9B"/>
    <w:rsid w:val="009A4485"/>
    <w:rsid w:val="009B60D5"/>
    <w:rsid w:val="009B6144"/>
    <w:rsid w:val="009B7217"/>
    <w:rsid w:val="009C0BD5"/>
    <w:rsid w:val="009C743B"/>
    <w:rsid w:val="009D53E2"/>
    <w:rsid w:val="009E2CA9"/>
    <w:rsid w:val="009E48E6"/>
    <w:rsid w:val="009F0D62"/>
    <w:rsid w:val="009F1507"/>
    <w:rsid w:val="00A0075C"/>
    <w:rsid w:val="00A010DF"/>
    <w:rsid w:val="00A0386F"/>
    <w:rsid w:val="00A16F08"/>
    <w:rsid w:val="00A17803"/>
    <w:rsid w:val="00A17818"/>
    <w:rsid w:val="00A17C54"/>
    <w:rsid w:val="00A21DD2"/>
    <w:rsid w:val="00A23DC6"/>
    <w:rsid w:val="00A32FD5"/>
    <w:rsid w:val="00A347C7"/>
    <w:rsid w:val="00A35E79"/>
    <w:rsid w:val="00A36A4F"/>
    <w:rsid w:val="00A47118"/>
    <w:rsid w:val="00A505E1"/>
    <w:rsid w:val="00A52797"/>
    <w:rsid w:val="00A532FC"/>
    <w:rsid w:val="00A56127"/>
    <w:rsid w:val="00A563C7"/>
    <w:rsid w:val="00A57977"/>
    <w:rsid w:val="00A654CA"/>
    <w:rsid w:val="00A664AB"/>
    <w:rsid w:val="00A66C90"/>
    <w:rsid w:val="00A67277"/>
    <w:rsid w:val="00A67506"/>
    <w:rsid w:val="00A67927"/>
    <w:rsid w:val="00A70594"/>
    <w:rsid w:val="00A736EF"/>
    <w:rsid w:val="00A74A82"/>
    <w:rsid w:val="00A8170F"/>
    <w:rsid w:val="00A835A1"/>
    <w:rsid w:val="00A87822"/>
    <w:rsid w:val="00A91EB5"/>
    <w:rsid w:val="00A97C88"/>
    <w:rsid w:val="00AA6A2B"/>
    <w:rsid w:val="00AB6AF8"/>
    <w:rsid w:val="00AB6C9D"/>
    <w:rsid w:val="00AC7B7B"/>
    <w:rsid w:val="00AD08A0"/>
    <w:rsid w:val="00AD3D11"/>
    <w:rsid w:val="00AD62EA"/>
    <w:rsid w:val="00AE7914"/>
    <w:rsid w:val="00AF0BD7"/>
    <w:rsid w:val="00AF2B53"/>
    <w:rsid w:val="00AF4E59"/>
    <w:rsid w:val="00AF6FE0"/>
    <w:rsid w:val="00AF7032"/>
    <w:rsid w:val="00AF7E2D"/>
    <w:rsid w:val="00B059DF"/>
    <w:rsid w:val="00B1306B"/>
    <w:rsid w:val="00B151E8"/>
    <w:rsid w:val="00B27935"/>
    <w:rsid w:val="00B33C5B"/>
    <w:rsid w:val="00B34D84"/>
    <w:rsid w:val="00B467F0"/>
    <w:rsid w:val="00B51A92"/>
    <w:rsid w:val="00B533DE"/>
    <w:rsid w:val="00B54B88"/>
    <w:rsid w:val="00B550FC"/>
    <w:rsid w:val="00B5728B"/>
    <w:rsid w:val="00B666AB"/>
    <w:rsid w:val="00B72648"/>
    <w:rsid w:val="00B74605"/>
    <w:rsid w:val="00B77658"/>
    <w:rsid w:val="00B8379D"/>
    <w:rsid w:val="00B85FD0"/>
    <w:rsid w:val="00BB67D5"/>
    <w:rsid w:val="00BC33B4"/>
    <w:rsid w:val="00BC5DBF"/>
    <w:rsid w:val="00BC7448"/>
    <w:rsid w:val="00BC7FED"/>
    <w:rsid w:val="00BD46D6"/>
    <w:rsid w:val="00BD5076"/>
    <w:rsid w:val="00BE262A"/>
    <w:rsid w:val="00BF64D0"/>
    <w:rsid w:val="00BF68F5"/>
    <w:rsid w:val="00C004DB"/>
    <w:rsid w:val="00C00B16"/>
    <w:rsid w:val="00C037F4"/>
    <w:rsid w:val="00C044C4"/>
    <w:rsid w:val="00C07DDC"/>
    <w:rsid w:val="00C1019F"/>
    <w:rsid w:val="00C11B18"/>
    <w:rsid w:val="00C11D0C"/>
    <w:rsid w:val="00C12552"/>
    <w:rsid w:val="00C13A79"/>
    <w:rsid w:val="00C15FDF"/>
    <w:rsid w:val="00C16CAF"/>
    <w:rsid w:val="00C208C0"/>
    <w:rsid w:val="00C20FE5"/>
    <w:rsid w:val="00C212D0"/>
    <w:rsid w:val="00C22D6C"/>
    <w:rsid w:val="00C22D6E"/>
    <w:rsid w:val="00C2633F"/>
    <w:rsid w:val="00C304A5"/>
    <w:rsid w:val="00C33886"/>
    <w:rsid w:val="00C509F8"/>
    <w:rsid w:val="00C50C28"/>
    <w:rsid w:val="00C5792C"/>
    <w:rsid w:val="00C60E38"/>
    <w:rsid w:val="00C623F1"/>
    <w:rsid w:val="00C63528"/>
    <w:rsid w:val="00C654A6"/>
    <w:rsid w:val="00C73DFC"/>
    <w:rsid w:val="00C860CD"/>
    <w:rsid w:val="00C960F2"/>
    <w:rsid w:val="00CB2D88"/>
    <w:rsid w:val="00CC0651"/>
    <w:rsid w:val="00CC0BAF"/>
    <w:rsid w:val="00CC3EA9"/>
    <w:rsid w:val="00CC4470"/>
    <w:rsid w:val="00CD0457"/>
    <w:rsid w:val="00CD5218"/>
    <w:rsid w:val="00CD572A"/>
    <w:rsid w:val="00CD765A"/>
    <w:rsid w:val="00CE4CA1"/>
    <w:rsid w:val="00CE6BD1"/>
    <w:rsid w:val="00D05D96"/>
    <w:rsid w:val="00D14EC9"/>
    <w:rsid w:val="00D16BED"/>
    <w:rsid w:val="00D171AA"/>
    <w:rsid w:val="00D209A2"/>
    <w:rsid w:val="00D22C75"/>
    <w:rsid w:val="00D31CB8"/>
    <w:rsid w:val="00D4063F"/>
    <w:rsid w:val="00D407BA"/>
    <w:rsid w:val="00D4378F"/>
    <w:rsid w:val="00D46EE1"/>
    <w:rsid w:val="00D47122"/>
    <w:rsid w:val="00D577B0"/>
    <w:rsid w:val="00D60C15"/>
    <w:rsid w:val="00D62554"/>
    <w:rsid w:val="00D63A49"/>
    <w:rsid w:val="00D64809"/>
    <w:rsid w:val="00D67F45"/>
    <w:rsid w:val="00D70F90"/>
    <w:rsid w:val="00D72611"/>
    <w:rsid w:val="00D82D8A"/>
    <w:rsid w:val="00D83022"/>
    <w:rsid w:val="00D911F5"/>
    <w:rsid w:val="00D91DBF"/>
    <w:rsid w:val="00D926C5"/>
    <w:rsid w:val="00D95123"/>
    <w:rsid w:val="00D975B6"/>
    <w:rsid w:val="00DA1127"/>
    <w:rsid w:val="00DA239E"/>
    <w:rsid w:val="00DA4D38"/>
    <w:rsid w:val="00DA76B3"/>
    <w:rsid w:val="00DB1342"/>
    <w:rsid w:val="00DB31F3"/>
    <w:rsid w:val="00DB6ECD"/>
    <w:rsid w:val="00DC5AD6"/>
    <w:rsid w:val="00DC5E7D"/>
    <w:rsid w:val="00DC6716"/>
    <w:rsid w:val="00DD2CE8"/>
    <w:rsid w:val="00DD3D2B"/>
    <w:rsid w:val="00DD5C7F"/>
    <w:rsid w:val="00DD7AE9"/>
    <w:rsid w:val="00DE0985"/>
    <w:rsid w:val="00DE5455"/>
    <w:rsid w:val="00DF012B"/>
    <w:rsid w:val="00DF109B"/>
    <w:rsid w:val="00E05B82"/>
    <w:rsid w:val="00E07386"/>
    <w:rsid w:val="00E14A1A"/>
    <w:rsid w:val="00E16984"/>
    <w:rsid w:val="00E17F1A"/>
    <w:rsid w:val="00E22DBE"/>
    <w:rsid w:val="00E366CB"/>
    <w:rsid w:val="00E45C46"/>
    <w:rsid w:val="00E473CE"/>
    <w:rsid w:val="00E5219F"/>
    <w:rsid w:val="00E60DBB"/>
    <w:rsid w:val="00E63A8F"/>
    <w:rsid w:val="00E645B4"/>
    <w:rsid w:val="00E67E1D"/>
    <w:rsid w:val="00E734D2"/>
    <w:rsid w:val="00E742A4"/>
    <w:rsid w:val="00E74C6C"/>
    <w:rsid w:val="00E76ABA"/>
    <w:rsid w:val="00E80D82"/>
    <w:rsid w:val="00E82757"/>
    <w:rsid w:val="00E82BAA"/>
    <w:rsid w:val="00E90FD9"/>
    <w:rsid w:val="00E9238A"/>
    <w:rsid w:val="00E97992"/>
    <w:rsid w:val="00EA0DA7"/>
    <w:rsid w:val="00EA1BEF"/>
    <w:rsid w:val="00EA2859"/>
    <w:rsid w:val="00EA438E"/>
    <w:rsid w:val="00EA542D"/>
    <w:rsid w:val="00EB24FD"/>
    <w:rsid w:val="00EB43C9"/>
    <w:rsid w:val="00EB44F4"/>
    <w:rsid w:val="00EB62F7"/>
    <w:rsid w:val="00EC5E44"/>
    <w:rsid w:val="00ED1BB3"/>
    <w:rsid w:val="00ED6849"/>
    <w:rsid w:val="00ED78D7"/>
    <w:rsid w:val="00EE4334"/>
    <w:rsid w:val="00EE72A7"/>
    <w:rsid w:val="00EE78DF"/>
    <w:rsid w:val="00EF0B2C"/>
    <w:rsid w:val="00EF273F"/>
    <w:rsid w:val="00EF2DC6"/>
    <w:rsid w:val="00F0101B"/>
    <w:rsid w:val="00F01236"/>
    <w:rsid w:val="00F0382B"/>
    <w:rsid w:val="00F13FE6"/>
    <w:rsid w:val="00F15118"/>
    <w:rsid w:val="00F16960"/>
    <w:rsid w:val="00F16BB4"/>
    <w:rsid w:val="00F205F5"/>
    <w:rsid w:val="00F2581A"/>
    <w:rsid w:val="00F265F4"/>
    <w:rsid w:val="00F27D21"/>
    <w:rsid w:val="00F30B37"/>
    <w:rsid w:val="00F342E5"/>
    <w:rsid w:val="00F35D9B"/>
    <w:rsid w:val="00F3735B"/>
    <w:rsid w:val="00F37E54"/>
    <w:rsid w:val="00F47E6F"/>
    <w:rsid w:val="00F52977"/>
    <w:rsid w:val="00F52981"/>
    <w:rsid w:val="00F62566"/>
    <w:rsid w:val="00F66010"/>
    <w:rsid w:val="00F67CAC"/>
    <w:rsid w:val="00F71941"/>
    <w:rsid w:val="00F746E0"/>
    <w:rsid w:val="00F830DA"/>
    <w:rsid w:val="00F83892"/>
    <w:rsid w:val="00F8473D"/>
    <w:rsid w:val="00F8789D"/>
    <w:rsid w:val="00F91A64"/>
    <w:rsid w:val="00F93AEE"/>
    <w:rsid w:val="00F97062"/>
    <w:rsid w:val="00FA01E2"/>
    <w:rsid w:val="00FA02CD"/>
    <w:rsid w:val="00FA1DDD"/>
    <w:rsid w:val="00FB296B"/>
    <w:rsid w:val="00FB7709"/>
    <w:rsid w:val="00FC019B"/>
    <w:rsid w:val="00FC4DB2"/>
    <w:rsid w:val="00FC5F76"/>
    <w:rsid w:val="00FD0853"/>
    <w:rsid w:val="00FD2329"/>
    <w:rsid w:val="00FD23B4"/>
    <w:rsid w:val="00FD353E"/>
    <w:rsid w:val="00FD3DD6"/>
    <w:rsid w:val="00FE24E7"/>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D0258"/>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38423C"/>
    <w:pPr>
      <w:keepNext/>
      <w:keepLines/>
      <w:overflowPunct w:val="0"/>
      <w:autoSpaceDE w:val="0"/>
      <w:autoSpaceDN w:val="0"/>
      <w:adjustRightInd w:val="0"/>
      <w:spacing w:before="360"/>
      <w:ind w:left="794" w:hanging="794"/>
      <w:textAlignment w:val="baseline"/>
      <w:outlineLvl w:val="0"/>
    </w:pPr>
    <w:rPr>
      <w:rFonts w:ascii="Calibri" w:hAnsi="Calibri"/>
      <w:b/>
      <w:szCs w:val="20"/>
      <w:lang w:val="en-G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footer odd,footer"/>
    <w:basedOn w:val="Normal"/>
    <w:link w:val="FooterChar"/>
    <w:qFormat/>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footer odd Char,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80673D"/>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styleId="ListBullet">
    <w:name w:val="List Bullet"/>
    <w:basedOn w:val="Normal"/>
    <w:unhideWhenUsed/>
    <w:rsid w:val="00793112"/>
    <w:pPr>
      <w:numPr>
        <w:numId w:val="1"/>
      </w:numPr>
      <w:contextualSpacing/>
    </w:pPr>
  </w:style>
  <w:style w:type="paragraph" w:customStyle="1" w:styleId="Note">
    <w:name w:val="Note"/>
    <w:basedOn w:val="Normal"/>
    <w:rsid w:val="0024594A"/>
    <w:pPr>
      <w:tabs>
        <w:tab w:val="left" w:pos="284"/>
      </w:tabs>
      <w:overflowPunct w:val="0"/>
      <w:autoSpaceDE w:val="0"/>
      <w:autoSpaceDN w:val="0"/>
      <w:adjustRightInd w:val="0"/>
      <w:spacing w:before="80"/>
      <w:textAlignment w:val="baseline"/>
    </w:pPr>
    <w:rPr>
      <w:rFonts w:ascii="Calibri" w:hAnsi="Calibri"/>
      <w:sz w:val="20"/>
      <w:szCs w:val="20"/>
      <w:lang w:val="en-GB"/>
    </w:rPr>
  </w:style>
  <w:style w:type="paragraph" w:customStyle="1" w:styleId="Tablehead">
    <w:name w:val="Table_head"/>
    <w:basedOn w:val="Tabletext0"/>
    <w:rsid w:val="00DC5E7D"/>
    <w:pPr>
      <w:tabs>
        <w:tab w:val="clear" w:pos="284"/>
        <w:tab w:val="clear" w:pos="851"/>
        <w:tab w:val="clear" w:pos="1418"/>
        <w:tab w:val="clear" w:pos="1701"/>
        <w:tab w:val="clear" w:pos="2552"/>
        <w:tab w:val="clear" w:pos="2835"/>
        <w:tab w:val="clear" w:pos="3119"/>
        <w:tab w:val="clear" w:pos="3402"/>
        <w:tab w:val="clear" w:pos="3686"/>
        <w:tab w:val="clear" w:pos="3969"/>
      </w:tabs>
      <w:spacing w:before="120" w:after="120"/>
      <w:jc w:val="center"/>
    </w:pPr>
    <w:rPr>
      <w:b/>
      <w:sz w:val="20"/>
      <w:lang w:val="ru-RU"/>
    </w:rPr>
  </w:style>
  <w:style w:type="character" w:customStyle="1" w:styleId="UnresolvedMention1">
    <w:name w:val="Unresolved Mention1"/>
    <w:basedOn w:val="DefaultParagraphFont"/>
    <w:uiPriority w:val="99"/>
    <w:semiHidden/>
    <w:unhideWhenUsed/>
    <w:rsid w:val="007D6A7A"/>
    <w:rPr>
      <w:color w:val="605E5C"/>
      <w:shd w:val="clear" w:color="auto" w:fill="E1DFDD"/>
    </w:rPr>
  </w:style>
  <w:style w:type="character" w:customStyle="1" w:styleId="UnresolvedMention2">
    <w:name w:val="Unresolved Mention2"/>
    <w:basedOn w:val="DefaultParagraphFont"/>
    <w:uiPriority w:val="99"/>
    <w:semiHidden/>
    <w:unhideWhenUsed/>
    <w:rsid w:val="00625EE2"/>
    <w:rPr>
      <w:color w:val="605E5C"/>
      <w:shd w:val="clear" w:color="auto" w:fill="E1DFDD"/>
    </w:rPr>
  </w:style>
  <w:style w:type="character" w:styleId="UnresolvedMention">
    <w:name w:val="Unresolved Mention"/>
    <w:basedOn w:val="DefaultParagraphFont"/>
    <w:uiPriority w:val="99"/>
    <w:semiHidden/>
    <w:unhideWhenUsed/>
    <w:rsid w:val="005F0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21/en" TargetMode="External"/><Relationship Id="rId18" Type="http://schemas.openxmlformats.org/officeDocument/2006/relationships/hyperlink" Target="https://www.itu.int/md/T22-SG20-R-0026/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T22-SG20-R-0029/e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20-R-0025/en" TargetMode="External"/><Relationship Id="rId25"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hyperlink" Target="https://www.itu.int/md/T22-SG20-R-0024/en" TargetMode="External"/><Relationship Id="rId20" Type="http://schemas.openxmlformats.org/officeDocument/2006/relationships/hyperlink" Target="https://www.itu.int/md/T22-SG20-R-002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hyperlink" Target="https://www.itu.int/md/T22-SG20-R-0032/en" TargetMode="External"/><Relationship Id="rId5" Type="http://schemas.openxmlformats.org/officeDocument/2006/relationships/webSettings" Target="webSettings.xml"/><Relationship Id="rId15" Type="http://schemas.openxmlformats.org/officeDocument/2006/relationships/hyperlink" Target="https://www.itu.int/md/T22-SG20-R-0023/en" TargetMode="External"/><Relationship Id="rId23" Type="http://schemas.openxmlformats.org/officeDocument/2006/relationships/hyperlink" Target="https://www.itu.int/md/T22-SG20-R-0031/en" TargetMode="External"/><Relationship Id="rId28" Type="http://schemas.openxmlformats.org/officeDocument/2006/relationships/fontTable" Target="fontTable.xml"/><Relationship Id="rId10" Type="http://schemas.openxmlformats.org/officeDocument/2006/relationships/hyperlink" Target="https://www.itu.int/md/meetingdoc.asp?lang=en&amp;parent=T22-SG20-COL-0005" TargetMode="External"/><Relationship Id="rId19" Type="http://schemas.openxmlformats.org/officeDocument/2006/relationships/hyperlink" Target="https://www.itu.int/md/T22-SG20-R-0027/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22/en" TargetMode="External"/><Relationship Id="rId22" Type="http://schemas.openxmlformats.org/officeDocument/2006/relationships/hyperlink" Target="https://www.itu.int/md/T22-SG20-R-0030/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8288-B7A0-473B-90CC-E65FCB56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12</TotalTime>
  <Pages>12</Pages>
  <Words>4272</Words>
  <Characters>24351</Characters>
  <Application>Microsoft Office Word</Application>
  <DocSecurity>0</DocSecurity>
  <Lines>202</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ITU-T</Manager>
  <Company>International Telecommunication Union (ITU)</Company>
  <LinksUpToDate>false</LinksUpToDate>
  <CharactersWithSpaces>28566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Braud, Olivia</cp:lastModifiedBy>
  <cp:revision>7</cp:revision>
  <cp:lastPrinted>2024-11-06T11:50:00Z</cp:lastPrinted>
  <dcterms:created xsi:type="dcterms:W3CDTF">2024-10-30T13:10:00Z</dcterms:created>
  <dcterms:modified xsi:type="dcterms:W3CDTF">2024-11-06T11:51:00Z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