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261"/>
        <w:gridCol w:w="5189"/>
      </w:tblGrid>
      <w:tr w:rsidR="00EF6A23" w:rsidRPr="0011386A" w14:paraId="3FDAE1F3" w14:textId="77777777" w:rsidTr="003F083D">
        <w:trPr>
          <w:cantSplit/>
        </w:trPr>
        <w:tc>
          <w:tcPr>
            <w:tcW w:w="0" w:type="auto"/>
            <w:vAlign w:val="center"/>
          </w:tcPr>
          <w:p w14:paraId="3DE42CAA" w14:textId="77777777" w:rsidR="00EF6A23" w:rsidRPr="0011386A" w:rsidRDefault="00EF6A23" w:rsidP="00771D96">
            <w:pPr>
              <w:tabs>
                <w:tab w:val="right" w:pos="8732"/>
              </w:tabs>
              <w:spacing w:before="0"/>
              <w:rPr>
                <w:b/>
                <w:bCs/>
                <w:iCs/>
                <w:color w:val="FFFFFF"/>
                <w:sz w:val="30"/>
                <w:szCs w:val="30"/>
              </w:rPr>
            </w:pPr>
            <w:r w:rsidRPr="0011386A">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11386A" w:rsidRDefault="00EF6A23" w:rsidP="00771D96">
            <w:pPr>
              <w:spacing w:before="0"/>
              <w:rPr>
                <w:rFonts w:cs="Times New Roman Bold"/>
                <w:b/>
                <w:bCs/>
                <w:iCs/>
                <w:smallCaps/>
                <w:sz w:val="34"/>
                <w:szCs w:val="34"/>
              </w:rPr>
            </w:pPr>
            <w:r w:rsidRPr="0011386A">
              <w:rPr>
                <w:rFonts w:cs="Times New Roman Bold"/>
                <w:b/>
                <w:bCs/>
                <w:iCs/>
                <w:smallCaps/>
                <w:sz w:val="34"/>
                <w:szCs w:val="34"/>
              </w:rPr>
              <w:t>Union internationale des télécommunications</w:t>
            </w:r>
          </w:p>
          <w:p w14:paraId="089E66D0" w14:textId="77777777" w:rsidR="00EF6A23" w:rsidRPr="0011386A" w:rsidRDefault="00EF6A23" w:rsidP="00771D96">
            <w:pPr>
              <w:spacing w:before="0"/>
              <w:rPr>
                <w:color w:val="FFFFFF"/>
                <w:sz w:val="26"/>
                <w:szCs w:val="26"/>
              </w:rPr>
            </w:pPr>
            <w:r w:rsidRPr="0011386A">
              <w:rPr>
                <w:rFonts w:cs="Times New Roman Bold"/>
                <w:b/>
                <w:bCs/>
                <w:iCs/>
                <w:smallCaps/>
                <w:sz w:val="28"/>
                <w:szCs w:val="28"/>
              </w:rPr>
              <w:t>B</w:t>
            </w:r>
            <w:r w:rsidRPr="0011386A">
              <w:rPr>
                <w:b/>
                <w:bCs/>
                <w:iCs/>
                <w:smallCaps/>
                <w:sz w:val="28"/>
                <w:szCs w:val="28"/>
              </w:rPr>
              <w:t>ureau de la Normalisation des Télécommunications</w:t>
            </w:r>
          </w:p>
        </w:tc>
      </w:tr>
      <w:tr w:rsidR="00036F4F" w:rsidRPr="00B05F7C" w14:paraId="18B25741" w14:textId="77777777" w:rsidTr="00B05F7C">
        <w:trPr>
          <w:cantSplit/>
          <w:trHeight w:val="839"/>
        </w:trPr>
        <w:tc>
          <w:tcPr>
            <w:tcW w:w="0" w:type="auto"/>
          </w:tcPr>
          <w:p w14:paraId="4B1AFD72" w14:textId="77777777" w:rsidR="00036F4F" w:rsidRPr="00B05F7C" w:rsidRDefault="00036F4F" w:rsidP="00771D96">
            <w:pPr>
              <w:tabs>
                <w:tab w:val="left" w:pos="4111"/>
              </w:tabs>
              <w:spacing w:before="10"/>
              <w:ind w:left="57"/>
              <w:rPr>
                <w:sz w:val="22"/>
                <w:szCs w:val="22"/>
              </w:rPr>
            </w:pPr>
          </w:p>
        </w:tc>
        <w:tc>
          <w:tcPr>
            <w:tcW w:w="3273" w:type="dxa"/>
          </w:tcPr>
          <w:p w14:paraId="6579D3E8" w14:textId="77777777" w:rsidR="00036F4F" w:rsidRPr="00B05F7C" w:rsidRDefault="00036F4F" w:rsidP="00771D96">
            <w:pPr>
              <w:tabs>
                <w:tab w:val="left" w:pos="4111"/>
              </w:tabs>
              <w:spacing w:before="10"/>
              <w:ind w:left="57"/>
              <w:rPr>
                <w:b/>
                <w:sz w:val="22"/>
                <w:szCs w:val="22"/>
              </w:rPr>
            </w:pPr>
          </w:p>
        </w:tc>
        <w:tc>
          <w:tcPr>
            <w:tcW w:w="5177" w:type="dxa"/>
          </w:tcPr>
          <w:p w14:paraId="0DC34ECA" w14:textId="6B3F1137" w:rsidR="00036F4F" w:rsidRPr="00B05F7C" w:rsidRDefault="00DE1D7C" w:rsidP="00B05F7C">
            <w:pPr>
              <w:tabs>
                <w:tab w:val="clear" w:pos="794"/>
                <w:tab w:val="clear" w:pos="1191"/>
                <w:tab w:val="clear" w:pos="1588"/>
                <w:tab w:val="clear" w:pos="1985"/>
                <w:tab w:val="left" w:pos="284"/>
              </w:tabs>
              <w:spacing w:after="120"/>
              <w:rPr>
                <w:sz w:val="22"/>
                <w:szCs w:val="22"/>
              </w:rPr>
            </w:pPr>
            <w:r w:rsidRPr="00B05F7C">
              <w:rPr>
                <w:sz w:val="22"/>
                <w:szCs w:val="22"/>
              </w:rPr>
              <w:t>Genève, le 27 septembre 2024</w:t>
            </w:r>
          </w:p>
        </w:tc>
      </w:tr>
      <w:tr w:rsidR="00445B68" w:rsidRPr="00B05F7C" w14:paraId="16CDDFEF" w14:textId="77777777" w:rsidTr="00771D96">
        <w:trPr>
          <w:cantSplit/>
          <w:trHeight w:val="340"/>
        </w:trPr>
        <w:tc>
          <w:tcPr>
            <w:tcW w:w="0" w:type="auto"/>
          </w:tcPr>
          <w:p w14:paraId="3EFF375D" w14:textId="58556577" w:rsidR="00445B68" w:rsidRPr="00B05F7C" w:rsidRDefault="00445B68" w:rsidP="00B05F7C">
            <w:pPr>
              <w:tabs>
                <w:tab w:val="left" w:pos="4111"/>
              </w:tabs>
              <w:spacing w:before="10"/>
              <w:rPr>
                <w:b/>
                <w:bCs/>
                <w:sz w:val="22"/>
                <w:szCs w:val="22"/>
              </w:rPr>
            </w:pPr>
            <w:proofErr w:type="gramStart"/>
            <w:r w:rsidRPr="00B05F7C">
              <w:rPr>
                <w:b/>
                <w:bCs/>
                <w:sz w:val="22"/>
                <w:szCs w:val="22"/>
              </w:rPr>
              <w:t>Réf.:</w:t>
            </w:r>
            <w:proofErr w:type="gramEnd"/>
          </w:p>
        </w:tc>
        <w:tc>
          <w:tcPr>
            <w:tcW w:w="3273" w:type="dxa"/>
          </w:tcPr>
          <w:p w14:paraId="0A4A303F" w14:textId="77777777" w:rsidR="00771D96" w:rsidRPr="00B05F7C" w:rsidRDefault="00445B68" w:rsidP="00771D96">
            <w:pPr>
              <w:tabs>
                <w:tab w:val="left" w:pos="4111"/>
              </w:tabs>
              <w:spacing w:before="10"/>
              <w:ind w:left="57"/>
              <w:rPr>
                <w:b/>
                <w:sz w:val="22"/>
                <w:szCs w:val="22"/>
              </w:rPr>
            </w:pPr>
            <w:r w:rsidRPr="00B05F7C">
              <w:rPr>
                <w:b/>
                <w:sz w:val="22"/>
                <w:szCs w:val="22"/>
              </w:rPr>
              <w:t xml:space="preserve">Circulaire TSB </w:t>
            </w:r>
            <w:r w:rsidR="003668AD" w:rsidRPr="00B05F7C">
              <w:rPr>
                <w:b/>
                <w:sz w:val="22"/>
                <w:szCs w:val="22"/>
              </w:rPr>
              <w:t>2</w:t>
            </w:r>
            <w:r w:rsidR="00DE1D7C" w:rsidRPr="00B05F7C">
              <w:rPr>
                <w:b/>
                <w:sz w:val="22"/>
                <w:szCs w:val="22"/>
              </w:rPr>
              <w:t>36</w:t>
            </w:r>
          </w:p>
          <w:p w14:paraId="577F6DA2" w14:textId="5B299257" w:rsidR="00445B68" w:rsidRPr="00B05F7C" w:rsidRDefault="00DE1D7C" w:rsidP="00771D96">
            <w:pPr>
              <w:tabs>
                <w:tab w:val="left" w:pos="4111"/>
              </w:tabs>
              <w:spacing w:before="10"/>
              <w:ind w:left="57"/>
              <w:rPr>
                <w:b/>
                <w:sz w:val="22"/>
                <w:szCs w:val="22"/>
              </w:rPr>
            </w:pPr>
            <w:r w:rsidRPr="00B05F7C">
              <w:rPr>
                <w:b/>
                <w:bCs/>
                <w:sz w:val="22"/>
                <w:szCs w:val="22"/>
              </w:rPr>
              <w:t>CE 20/CB</w:t>
            </w:r>
          </w:p>
        </w:tc>
        <w:tc>
          <w:tcPr>
            <w:tcW w:w="5177" w:type="dxa"/>
            <w:vMerge w:val="restart"/>
          </w:tcPr>
          <w:p w14:paraId="56FFB697" w14:textId="77777777" w:rsidR="00307FB4" w:rsidRPr="00B05F7C" w:rsidRDefault="00307FB4" w:rsidP="00B05F7C">
            <w:pPr>
              <w:tabs>
                <w:tab w:val="left" w:pos="226"/>
                <w:tab w:val="left" w:pos="4111"/>
              </w:tabs>
              <w:spacing w:before="0" w:after="40"/>
              <w:ind w:left="226" w:hanging="226"/>
              <w:rPr>
                <w:b/>
                <w:bCs/>
                <w:sz w:val="22"/>
                <w:szCs w:val="22"/>
              </w:rPr>
            </w:pPr>
            <w:bookmarkStart w:id="0" w:name="Addressee_F"/>
            <w:bookmarkEnd w:id="0"/>
            <w:proofErr w:type="gramStart"/>
            <w:r w:rsidRPr="00B05F7C">
              <w:rPr>
                <w:b/>
                <w:bCs/>
                <w:sz w:val="22"/>
                <w:szCs w:val="22"/>
              </w:rPr>
              <w:t>Aux:</w:t>
            </w:r>
            <w:proofErr w:type="gramEnd"/>
          </w:p>
          <w:p w14:paraId="35271D8E" w14:textId="5DC7669D" w:rsidR="00307FB4" w:rsidRPr="00B05F7C" w:rsidRDefault="00307FB4" w:rsidP="00B05F7C">
            <w:pPr>
              <w:tabs>
                <w:tab w:val="left" w:pos="4111"/>
              </w:tabs>
              <w:spacing w:before="0" w:after="40"/>
              <w:ind w:left="426" w:hanging="426"/>
              <w:rPr>
                <w:sz w:val="22"/>
                <w:szCs w:val="22"/>
              </w:rPr>
            </w:pPr>
            <w:r w:rsidRPr="00B05F7C">
              <w:rPr>
                <w:sz w:val="22"/>
                <w:szCs w:val="22"/>
              </w:rPr>
              <w:t>–</w:t>
            </w:r>
            <w:r w:rsidRPr="00B05F7C">
              <w:rPr>
                <w:sz w:val="22"/>
                <w:szCs w:val="22"/>
              </w:rPr>
              <w:tab/>
            </w:r>
            <w:r w:rsidR="00DE1D7C" w:rsidRPr="00B05F7C">
              <w:rPr>
                <w:sz w:val="22"/>
                <w:szCs w:val="22"/>
              </w:rPr>
              <w:t>Administrations des États Membres de l'Union</w:t>
            </w:r>
          </w:p>
          <w:p w14:paraId="6E2C616C" w14:textId="77777777" w:rsidR="00445B68" w:rsidRPr="00B05F7C" w:rsidRDefault="00DE1D7C" w:rsidP="00B05F7C">
            <w:pPr>
              <w:tabs>
                <w:tab w:val="left" w:pos="4111"/>
              </w:tabs>
              <w:spacing w:before="0" w:after="40"/>
              <w:ind w:left="426" w:hanging="426"/>
              <w:rPr>
                <w:b/>
                <w:bCs/>
                <w:sz w:val="22"/>
                <w:szCs w:val="22"/>
              </w:rPr>
            </w:pPr>
            <w:proofErr w:type="gramStart"/>
            <w:r w:rsidRPr="00B05F7C">
              <w:rPr>
                <w:b/>
                <w:bCs/>
                <w:sz w:val="22"/>
                <w:szCs w:val="22"/>
              </w:rPr>
              <w:t>Copie:</w:t>
            </w:r>
            <w:proofErr w:type="gramEnd"/>
          </w:p>
          <w:p w14:paraId="3E8A24EF" w14:textId="2BC9E4C9"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Aux Membres du Secteur de l'UIT-</w:t>
            </w:r>
            <w:proofErr w:type="gramStart"/>
            <w:r w:rsidRPr="00B05F7C">
              <w:rPr>
                <w:sz w:val="22"/>
                <w:szCs w:val="22"/>
              </w:rPr>
              <w:t>T;</w:t>
            </w:r>
            <w:proofErr w:type="gramEnd"/>
          </w:p>
          <w:p w14:paraId="54B7C2EF" w14:textId="4D486DA9"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 xml:space="preserve">Aux Associés de l'UIT-T participant aux travaux de la Commission d'études </w:t>
            </w:r>
            <w:proofErr w:type="gramStart"/>
            <w:r w:rsidRPr="00B05F7C">
              <w:rPr>
                <w:sz w:val="22"/>
                <w:szCs w:val="22"/>
              </w:rPr>
              <w:t>20;</w:t>
            </w:r>
            <w:proofErr w:type="gramEnd"/>
          </w:p>
          <w:p w14:paraId="28BE2A0F" w14:textId="442D08CD"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 xml:space="preserve">Aux Établissements universitaires participant aux travaux de </w:t>
            </w:r>
            <w:proofErr w:type="gramStart"/>
            <w:r w:rsidRPr="00B05F7C">
              <w:rPr>
                <w:sz w:val="22"/>
                <w:szCs w:val="22"/>
              </w:rPr>
              <w:t>l'UIT;</w:t>
            </w:r>
            <w:proofErr w:type="gramEnd"/>
          </w:p>
          <w:p w14:paraId="2260561F" w14:textId="3296A14F"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Aux Président et Vice-Présidents de la Commission d'études 20 de l'UIT-</w:t>
            </w:r>
            <w:proofErr w:type="gramStart"/>
            <w:r w:rsidRPr="00B05F7C">
              <w:rPr>
                <w:sz w:val="22"/>
                <w:szCs w:val="22"/>
              </w:rPr>
              <w:t>T;</w:t>
            </w:r>
            <w:proofErr w:type="gramEnd"/>
          </w:p>
          <w:p w14:paraId="64D4A07A" w14:textId="28B14070"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 xml:space="preserve">Au Directeur du Bureau de développement des </w:t>
            </w:r>
            <w:proofErr w:type="gramStart"/>
            <w:r w:rsidRPr="00B05F7C">
              <w:rPr>
                <w:sz w:val="22"/>
                <w:szCs w:val="22"/>
              </w:rPr>
              <w:t>télécommunications;</w:t>
            </w:r>
            <w:proofErr w:type="gramEnd"/>
          </w:p>
          <w:p w14:paraId="461460AE" w14:textId="667C7355" w:rsidR="00DE1D7C" w:rsidRPr="00B05F7C" w:rsidRDefault="00DE1D7C" w:rsidP="00B05F7C">
            <w:pPr>
              <w:tabs>
                <w:tab w:val="left" w:pos="4111"/>
              </w:tabs>
              <w:spacing w:before="0" w:after="40"/>
              <w:ind w:left="426" w:hanging="426"/>
              <w:rPr>
                <w:sz w:val="22"/>
                <w:szCs w:val="22"/>
              </w:rPr>
            </w:pPr>
            <w:r w:rsidRPr="00B05F7C">
              <w:rPr>
                <w:sz w:val="22"/>
                <w:szCs w:val="22"/>
              </w:rPr>
              <w:t>–</w:t>
            </w:r>
            <w:r w:rsidRPr="00B05F7C">
              <w:rPr>
                <w:sz w:val="22"/>
                <w:szCs w:val="22"/>
              </w:rPr>
              <w:tab/>
              <w:t>Au Directeur du Bureau des radiocommunications</w:t>
            </w:r>
          </w:p>
        </w:tc>
      </w:tr>
      <w:tr w:rsidR="00771D96" w:rsidRPr="00B05F7C" w14:paraId="06A3F0E7" w14:textId="77777777" w:rsidTr="00771D96">
        <w:trPr>
          <w:cantSplit/>
          <w:trHeight w:val="340"/>
        </w:trPr>
        <w:tc>
          <w:tcPr>
            <w:tcW w:w="0" w:type="auto"/>
          </w:tcPr>
          <w:p w14:paraId="5CF43A7B" w14:textId="4C3E9D7B" w:rsidR="00771D96" w:rsidRPr="00B05F7C" w:rsidRDefault="00771D96" w:rsidP="00B05F7C">
            <w:pPr>
              <w:tabs>
                <w:tab w:val="left" w:pos="4111"/>
              </w:tabs>
              <w:spacing w:before="10"/>
              <w:rPr>
                <w:b/>
                <w:bCs/>
                <w:sz w:val="22"/>
                <w:szCs w:val="22"/>
              </w:rPr>
            </w:pPr>
            <w:proofErr w:type="gramStart"/>
            <w:r w:rsidRPr="00B05F7C">
              <w:rPr>
                <w:b/>
                <w:bCs/>
                <w:sz w:val="22"/>
                <w:szCs w:val="22"/>
              </w:rPr>
              <w:t>Tél.:</w:t>
            </w:r>
            <w:proofErr w:type="gramEnd"/>
          </w:p>
        </w:tc>
        <w:tc>
          <w:tcPr>
            <w:tcW w:w="3273" w:type="dxa"/>
          </w:tcPr>
          <w:p w14:paraId="2074781F" w14:textId="192C5DAA" w:rsidR="00771D96" w:rsidRPr="00B05F7C" w:rsidRDefault="00771D96" w:rsidP="00771D96">
            <w:pPr>
              <w:tabs>
                <w:tab w:val="left" w:pos="4111"/>
              </w:tabs>
              <w:spacing w:before="10"/>
              <w:ind w:left="57"/>
              <w:rPr>
                <w:b/>
                <w:sz w:val="22"/>
                <w:szCs w:val="22"/>
              </w:rPr>
            </w:pPr>
            <w:r w:rsidRPr="00B05F7C">
              <w:rPr>
                <w:rFonts w:cstheme="minorHAnsi"/>
                <w:bCs/>
                <w:sz w:val="22"/>
                <w:szCs w:val="22"/>
              </w:rPr>
              <w:t>+41 22 730 6301</w:t>
            </w:r>
          </w:p>
        </w:tc>
        <w:tc>
          <w:tcPr>
            <w:tcW w:w="5177" w:type="dxa"/>
            <w:vMerge/>
          </w:tcPr>
          <w:p w14:paraId="2F310545" w14:textId="77777777" w:rsidR="00771D96" w:rsidRPr="00B05F7C" w:rsidRDefault="00771D96" w:rsidP="00771D96">
            <w:pPr>
              <w:tabs>
                <w:tab w:val="clear" w:pos="794"/>
                <w:tab w:val="clear" w:pos="1191"/>
                <w:tab w:val="clear" w:pos="1588"/>
                <w:tab w:val="clear" w:pos="1985"/>
                <w:tab w:val="left" w:pos="284"/>
              </w:tabs>
              <w:spacing w:before="0"/>
              <w:ind w:left="284" w:hanging="227"/>
              <w:rPr>
                <w:sz w:val="22"/>
                <w:szCs w:val="22"/>
              </w:rPr>
            </w:pPr>
          </w:p>
        </w:tc>
      </w:tr>
      <w:tr w:rsidR="00771D96" w:rsidRPr="00B05F7C" w14:paraId="724FD23E" w14:textId="77777777" w:rsidTr="00771D96">
        <w:trPr>
          <w:cantSplit/>
        </w:trPr>
        <w:tc>
          <w:tcPr>
            <w:tcW w:w="0" w:type="auto"/>
          </w:tcPr>
          <w:p w14:paraId="73149CCD" w14:textId="28FF973D" w:rsidR="00771D96" w:rsidRPr="00B05F7C" w:rsidRDefault="00771D96" w:rsidP="00B05F7C">
            <w:pPr>
              <w:tabs>
                <w:tab w:val="left" w:pos="4111"/>
              </w:tabs>
              <w:spacing w:before="10"/>
              <w:rPr>
                <w:b/>
                <w:bCs/>
                <w:sz w:val="22"/>
                <w:szCs w:val="22"/>
              </w:rPr>
            </w:pPr>
            <w:proofErr w:type="gramStart"/>
            <w:r w:rsidRPr="00B05F7C">
              <w:rPr>
                <w:b/>
                <w:bCs/>
                <w:sz w:val="22"/>
                <w:szCs w:val="22"/>
              </w:rPr>
              <w:t>Télécopie:</w:t>
            </w:r>
            <w:proofErr w:type="gramEnd"/>
          </w:p>
        </w:tc>
        <w:tc>
          <w:tcPr>
            <w:tcW w:w="3273" w:type="dxa"/>
          </w:tcPr>
          <w:p w14:paraId="78D06186" w14:textId="48329A81" w:rsidR="00771D96" w:rsidRPr="00B05F7C" w:rsidRDefault="00771D96" w:rsidP="00771D96">
            <w:pPr>
              <w:tabs>
                <w:tab w:val="left" w:pos="4111"/>
              </w:tabs>
              <w:spacing w:before="0"/>
              <w:ind w:left="57"/>
              <w:rPr>
                <w:sz w:val="22"/>
                <w:szCs w:val="22"/>
              </w:rPr>
            </w:pPr>
            <w:r w:rsidRPr="00B05F7C">
              <w:rPr>
                <w:rFonts w:cstheme="minorHAnsi"/>
                <w:bCs/>
                <w:sz w:val="22"/>
                <w:szCs w:val="22"/>
              </w:rPr>
              <w:t>+41 22 730 5853</w:t>
            </w:r>
          </w:p>
        </w:tc>
        <w:tc>
          <w:tcPr>
            <w:tcW w:w="5177" w:type="dxa"/>
            <w:vMerge/>
          </w:tcPr>
          <w:p w14:paraId="6D3A5806" w14:textId="77777777" w:rsidR="00771D96" w:rsidRPr="00B05F7C" w:rsidRDefault="00771D96" w:rsidP="00771D96">
            <w:pPr>
              <w:tabs>
                <w:tab w:val="left" w:pos="226"/>
                <w:tab w:val="left" w:pos="4111"/>
              </w:tabs>
              <w:spacing w:before="0"/>
              <w:ind w:left="226" w:hanging="226"/>
              <w:rPr>
                <w:b/>
                <w:sz w:val="22"/>
                <w:szCs w:val="22"/>
              </w:rPr>
            </w:pPr>
          </w:p>
        </w:tc>
      </w:tr>
      <w:tr w:rsidR="00771D96" w:rsidRPr="00B05F7C" w14:paraId="030F9AE5" w14:textId="77777777" w:rsidTr="00B05F7C">
        <w:trPr>
          <w:cantSplit/>
          <w:trHeight w:val="2550"/>
        </w:trPr>
        <w:tc>
          <w:tcPr>
            <w:tcW w:w="0" w:type="auto"/>
          </w:tcPr>
          <w:p w14:paraId="7B417C4C" w14:textId="12797DFB" w:rsidR="00771D96" w:rsidRPr="00B05F7C" w:rsidRDefault="00771D96" w:rsidP="00B05F7C">
            <w:pPr>
              <w:tabs>
                <w:tab w:val="left" w:pos="4111"/>
              </w:tabs>
              <w:spacing w:before="10"/>
              <w:rPr>
                <w:b/>
                <w:bCs/>
                <w:sz w:val="22"/>
                <w:szCs w:val="22"/>
              </w:rPr>
            </w:pPr>
            <w:proofErr w:type="gramStart"/>
            <w:r w:rsidRPr="00B05F7C">
              <w:rPr>
                <w:b/>
                <w:bCs/>
                <w:sz w:val="22"/>
                <w:szCs w:val="22"/>
              </w:rPr>
              <w:t>Courriel:</w:t>
            </w:r>
            <w:proofErr w:type="gramEnd"/>
          </w:p>
        </w:tc>
        <w:tc>
          <w:tcPr>
            <w:tcW w:w="3273" w:type="dxa"/>
          </w:tcPr>
          <w:p w14:paraId="3A1B6C81" w14:textId="276E9F2C" w:rsidR="00771D96" w:rsidRPr="00B05F7C" w:rsidRDefault="00771D96" w:rsidP="00771D96">
            <w:pPr>
              <w:tabs>
                <w:tab w:val="left" w:pos="4111"/>
              </w:tabs>
              <w:spacing w:before="0"/>
              <w:ind w:left="57"/>
              <w:rPr>
                <w:rStyle w:val="Hyperlink"/>
                <w:sz w:val="22"/>
                <w:szCs w:val="22"/>
              </w:rPr>
            </w:pPr>
            <w:r w:rsidRPr="00B05F7C">
              <w:rPr>
                <w:rStyle w:val="Hyperlink"/>
                <w:sz w:val="22"/>
                <w:szCs w:val="22"/>
              </w:rPr>
              <w:t>tsbsg20@itu.int</w:t>
            </w:r>
          </w:p>
          <w:p w14:paraId="6D178BA4" w14:textId="77777777" w:rsidR="00771D96" w:rsidRPr="00B05F7C" w:rsidRDefault="00771D96" w:rsidP="00771D96">
            <w:pPr>
              <w:tabs>
                <w:tab w:val="left" w:pos="4111"/>
              </w:tabs>
              <w:spacing w:before="0"/>
              <w:ind w:left="57" w:hanging="1334"/>
              <w:rPr>
                <w:rFonts w:cstheme="minorHAnsi"/>
                <w:bCs/>
                <w:sz w:val="22"/>
                <w:szCs w:val="22"/>
              </w:rPr>
            </w:pPr>
          </w:p>
          <w:p w14:paraId="1A4A5F7B" w14:textId="56DF6DB1" w:rsidR="00771D96" w:rsidRPr="00B05F7C" w:rsidRDefault="00771D96" w:rsidP="00771D96">
            <w:pPr>
              <w:tabs>
                <w:tab w:val="left" w:pos="4111"/>
              </w:tabs>
              <w:spacing w:before="0"/>
              <w:ind w:left="57" w:hanging="1334"/>
              <w:rPr>
                <w:sz w:val="22"/>
                <w:szCs w:val="22"/>
              </w:rPr>
            </w:pPr>
          </w:p>
        </w:tc>
        <w:tc>
          <w:tcPr>
            <w:tcW w:w="5177" w:type="dxa"/>
            <w:vMerge/>
          </w:tcPr>
          <w:p w14:paraId="323DAC81" w14:textId="77777777" w:rsidR="00771D96" w:rsidRPr="00B05F7C" w:rsidRDefault="00771D96" w:rsidP="00771D96">
            <w:pPr>
              <w:tabs>
                <w:tab w:val="left" w:pos="226"/>
                <w:tab w:val="left" w:pos="4111"/>
              </w:tabs>
              <w:spacing w:before="0"/>
              <w:ind w:left="226" w:hanging="226"/>
              <w:rPr>
                <w:b/>
                <w:sz w:val="22"/>
                <w:szCs w:val="22"/>
              </w:rPr>
            </w:pPr>
          </w:p>
        </w:tc>
      </w:tr>
      <w:tr w:rsidR="00771D96" w:rsidRPr="00B05F7C" w14:paraId="5435C04A" w14:textId="77777777" w:rsidTr="00C41B89">
        <w:trPr>
          <w:cantSplit/>
          <w:trHeight w:val="397"/>
        </w:trPr>
        <w:tc>
          <w:tcPr>
            <w:tcW w:w="0" w:type="auto"/>
          </w:tcPr>
          <w:p w14:paraId="2A0B9B4F" w14:textId="77777777" w:rsidR="00771D96" w:rsidRPr="00B05F7C" w:rsidRDefault="00771D96" w:rsidP="00B05F7C">
            <w:pPr>
              <w:tabs>
                <w:tab w:val="left" w:pos="4111"/>
              </w:tabs>
              <w:rPr>
                <w:b/>
                <w:bCs/>
                <w:sz w:val="22"/>
                <w:szCs w:val="22"/>
              </w:rPr>
            </w:pPr>
            <w:proofErr w:type="gramStart"/>
            <w:r w:rsidRPr="00B05F7C">
              <w:rPr>
                <w:b/>
                <w:bCs/>
                <w:sz w:val="22"/>
                <w:szCs w:val="22"/>
              </w:rPr>
              <w:t>Objet:</w:t>
            </w:r>
            <w:proofErr w:type="gramEnd"/>
          </w:p>
        </w:tc>
        <w:tc>
          <w:tcPr>
            <w:tcW w:w="0" w:type="auto"/>
            <w:gridSpan w:val="2"/>
          </w:tcPr>
          <w:p w14:paraId="1A51EE75" w14:textId="07F0027C" w:rsidR="00771D96" w:rsidRPr="00B05F7C" w:rsidRDefault="00771D96" w:rsidP="00771D96">
            <w:pPr>
              <w:rPr>
                <w:b/>
                <w:bCs/>
                <w:sz w:val="22"/>
                <w:szCs w:val="22"/>
              </w:rPr>
            </w:pPr>
            <w:r w:rsidRPr="00B05F7C">
              <w:rPr>
                <w:b/>
                <w:bCs/>
                <w:sz w:val="22"/>
                <w:szCs w:val="22"/>
              </w:rPr>
              <w:t>Consultation des États Membres au sujet des textes déterminés des projets de nouvelles Recommandations UIT-T Y.4506 (ex Y.DRI-arch), Y.4229 (ex Y.IoT-SFFS), Y.4230 (ex Y.EV-charging), Y.4231 (ex Y.IoT-Vreqs), Y.4232 (ex Y.IoT-RTPS), Y.4233 (ex Y.FSPH), Y.4234 (ex Y.RemoteEd), Y.4222 (ex Y.smart-evacuation), Y.4507 </w:t>
            </w:r>
            <w:r w:rsidR="0011386A" w:rsidRPr="00B05F7C">
              <w:rPr>
                <w:b/>
                <w:bCs/>
                <w:sz w:val="22"/>
                <w:szCs w:val="22"/>
              </w:rPr>
              <w:t>(</w:t>
            </w:r>
            <w:r w:rsidRPr="00B05F7C">
              <w:rPr>
                <w:b/>
                <w:bCs/>
                <w:sz w:val="22"/>
                <w:szCs w:val="22"/>
              </w:rPr>
              <w:t>ex Y.arc-psfws), Y.4508 (ex Y.DPM-alm-fra), Y.4706 (ex Y.dem-IoT) et Y.4499 (ex Y.UIM-cs-framework) qu'il est proposé d'approuver à la réunion de la Commission d'études 20 de l'UIT-T (Genève, 15-24 janvier 2025)</w:t>
            </w:r>
          </w:p>
        </w:tc>
      </w:tr>
    </w:tbl>
    <w:p w14:paraId="2D1EC328" w14:textId="77777777" w:rsidR="00517A03" w:rsidRPr="00B05F7C" w:rsidRDefault="00517A03" w:rsidP="00771D96">
      <w:pPr>
        <w:pStyle w:val="Normalaftertitle"/>
        <w:rPr>
          <w:sz w:val="22"/>
          <w:szCs w:val="22"/>
        </w:rPr>
      </w:pPr>
      <w:bookmarkStart w:id="1" w:name="StartTyping_F"/>
      <w:bookmarkEnd w:id="1"/>
      <w:r w:rsidRPr="00B05F7C">
        <w:rPr>
          <w:sz w:val="22"/>
          <w:szCs w:val="22"/>
        </w:rPr>
        <w:t>Madame, Monsieur,</w:t>
      </w:r>
    </w:p>
    <w:p w14:paraId="4208A8D7" w14:textId="129918BE" w:rsidR="00A3677D" w:rsidRPr="00B05F7C" w:rsidRDefault="00A3677D" w:rsidP="00771D96">
      <w:pPr>
        <w:rPr>
          <w:sz w:val="22"/>
          <w:szCs w:val="22"/>
        </w:rPr>
      </w:pPr>
      <w:r w:rsidRPr="00B05F7C">
        <w:rPr>
          <w:sz w:val="22"/>
          <w:szCs w:val="22"/>
        </w:rPr>
        <w:t>1</w:t>
      </w:r>
      <w:r w:rsidRPr="00B05F7C">
        <w:rPr>
          <w:sz w:val="22"/>
          <w:szCs w:val="22"/>
        </w:rPr>
        <w:tab/>
        <w:t xml:space="preserve">La Commission d'études 20 de l'UIT-T (CE </w:t>
      </w:r>
      <w:proofErr w:type="gramStart"/>
      <w:r w:rsidRPr="00B05F7C">
        <w:rPr>
          <w:sz w:val="22"/>
          <w:szCs w:val="22"/>
        </w:rPr>
        <w:t>20:</w:t>
      </w:r>
      <w:proofErr w:type="gramEnd"/>
      <w:r w:rsidRPr="00B05F7C">
        <w:rPr>
          <w:sz w:val="22"/>
          <w:szCs w:val="22"/>
        </w:rPr>
        <w:t xml:space="preserve"> L'Internet des objets (IoT) et les villes et les communautés intelligentes (SC&amp;C)) a l'intention d'appliquer la procédure d'approbation traditionnelle énoncée à la section 9 de la Résolution 1 (Rév. Genève, 2022) de l'AMNT pour l'approbation des projets de Recommandations mentionnés ci-dessus, à sa prochaine réunion, qui se tiendra à Genève (Suisse) du 15 au 24 janvier 2025. L'ordre du jour ainsi que tous les renseignements pertinents concernant cette réunion seront disponibles dans la </w:t>
      </w:r>
      <w:hyperlink r:id="rId9" w:history="1">
        <w:r w:rsidR="00771D96" w:rsidRPr="00B05F7C">
          <w:rPr>
            <w:rStyle w:val="Hyperlink"/>
            <w:rFonts w:cs="Calibri"/>
            <w:sz w:val="22"/>
            <w:szCs w:val="22"/>
          </w:rPr>
          <w:t>Lettre collective 5/20</w:t>
        </w:r>
      </w:hyperlink>
      <w:r w:rsidRPr="00B05F7C">
        <w:rPr>
          <w:sz w:val="22"/>
          <w:szCs w:val="22"/>
        </w:rPr>
        <w:t>.</w:t>
      </w:r>
    </w:p>
    <w:p w14:paraId="61420FAD" w14:textId="1F634A58" w:rsidR="00A3677D" w:rsidRPr="00B05F7C" w:rsidRDefault="00A3677D" w:rsidP="00771D96">
      <w:pPr>
        <w:rPr>
          <w:bCs/>
          <w:sz w:val="22"/>
          <w:szCs w:val="22"/>
        </w:rPr>
      </w:pPr>
      <w:r w:rsidRPr="00B05F7C">
        <w:rPr>
          <w:bCs/>
          <w:sz w:val="22"/>
          <w:szCs w:val="22"/>
        </w:rPr>
        <w:t>2</w:t>
      </w:r>
      <w:r w:rsidRPr="00B05F7C">
        <w:rPr>
          <w:bCs/>
          <w:sz w:val="22"/>
          <w:szCs w:val="22"/>
        </w:rPr>
        <w:tab/>
        <w:t xml:space="preserve">Vous trouverez dans l'Annexe 1 le titre, le résumé et la localisation des projets de nouvelles Recommandations UIT-T Y.4506 (ex Y.DRI-arch), Y.4229 (ex </w:t>
      </w:r>
      <w:proofErr w:type="gramStart"/>
      <w:r w:rsidRPr="00B05F7C">
        <w:rPr>
          <w:bCs/>
          <w:sz w:val="22"/>
          <w:szCs w:val="22"/>
        </w:rPr>
        <w:t>Y.IoT</w:t>
      </w:r>
      <w:proofErr w:type="gramEnd"/>
      <w:r w:rsidRPr="00B05F7C">
        <w:rPr>
          <w:bCs/>
          <w:sz w:val="22"/>
          <w:szCs w:val="22"/>
        </w:rPr>
        <w:t>-SFFS), Y.4230 (ex Y.EV-charging), Y.4231 (ex Y.IoT-Vreqs), Y.4232 (ex Y.IoT-RTPS), Y.4233 (ex Y.FSPH), Y.4234 (ex Y.RemoteEd), Y.4222 (ex Y.smart-evacuation), Y.4507 (ex Y.arc-psfws), Y.4508 (ex Y.DPM-alm-fra), Y.4706</w:t>
      </w:r>
      <w:r w:rsidR="00771D96" w:rsidRPr="00B05F7C">
        <w:rPr>
          <w:bCs/>
          <w:sz w:val="22"/>
          <w:szCs w:val="22"/>
        </w:rPr>
        <w:t> </w:t>
      </w:r>
      <w:r w:rsidRPr="00B05F7C">
        <w:rPr>
          <w:bCs/>
          <w:sz w:val="22"/>
          <w:szCs w:val="22"/>
        </w:rPr>
        <w:t>(ex Y.dem-IoT) et Y.4499 (ex Y.UIM-cs-framework), qu'il est proposé d'approuver.</w:t>
      </w:r>
    </w:p>
    <w:p w14:paraId="3E605C4E" w14:textId="7DB574B6" w:rsidR="00A3677D" w:rsidRPr="00B05F7C" w:rsidRDefault="00A3677D" w:rsidP="00771D96">
      <w:pPr>
        <w:rPr>
          <w:sz w:val="22"/>
          <w:szCs w:val="22"/>
        </w:rPr>
      </w:pPr>
      <w:r w:rsidRPr="00B05F7C">
        <w:rPr>
          <w:sz w:val="22"/>
          <w:szCs w:val="22"/>
        </w:rPr>
        <w:t>3</w:t>
      </w:r>
      <w:r w:rsidRPr="00B05F7C">
        <w:rPr>
          <w:sz w:val="22"/>
          <w:szCs w:val="22"/>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w:t>
      </w:r>
      <w:r w:rsidR="00771D96" w:rsidRPr="00B05F7C">
        <w:rPr>
          <w:sz w:val="22"/>
          <w:szCs w:val="22"/>
        </w:rPr>
        <w:t xml:space="preserve"> </w:t>
      </w:r>
      <w:r w:rsidRPr="00B05F7C">
        <w:rPr>
          <w:sz w:val="22"/>
          <w:szCs w:val="22"/>
        </w:rPr>
        <w:t>États</w:t>
      </w:r>
      <w:r w:rsidR="00771D96" w:rsidRPr="00B05F7C">
        <w:rPr>
          <w:sz w:val="22"/>
          <w:szCs w:val="22"/>
        </w:rPr>
        <w:t> </w:t>
      </w:r>
      <w:r w:rsidRPr="00B05F7C">
        <w:rPr>
          <w:sz w:val="22"/>
          <w:szCs w:val="22"/>
        </w:rPr>
        <w:t>Membres sont priés de remplir le formulaire de l'Annexe 2 et de le renvoyer d'ici au</w:t>
      </w:r>
      <w:r w:rsidR="00771D96" w:rsidRPr="00B05F7C">
        <w:rPr>
          <w:sz w:val="22"/>
          <w:szCs w:val="22"/>
        </w:rPr>
        <w:t> </w:t>
      </w:r>
      <w:r w:rsidRPr="00B05F7C">
        <w:rPr>
          <w:b/>
          <w:sz w:val="22"/>
          <w:szCs w:val="22"/>
        </w:rPr>
        <w:t>3</w:t>
      </w:r>
      <w:r w:rsidR="00771D96" w:rsidRPr="00B05F7C">
        <w:rPr>
          <w:b/>
          <w:sz w:val="22"/>
          <w:szCs w:val="22"/>
        </w:rPr>
        <w:t> </w:t>
      </w:r>
      <w:r w:rsidRPr="00B05F7C">
        <w:rPr>
          <w:b/>
          <w:sz w:val="22"/>
          <w:szCs w:val="22"/>
        </w:rPr>
        <w:t>janvier</w:t>
      </w:r>
      <w:r w:rsidR="00771D96" w:rsidRPr="00B05F7C">
        <w:rPr>
          <w:b/>
          <w:sz w:val="22"/>
          <w:szCs w:val="22"/>
        </w:rPr>
        <w:t> </w:t>
      </w:r>
      <w:r w:rsidRPr="00B05F7C">
        <w:rPr>
          <w:b/>
          <w:sz w:val="22"/>
          <w:szCs w:val="22"/>
        </w:rPr>
        <w:t>2025</w:t>
      </w:r>
      <w:r w:rsidRPr="00B05F7C">
        <w:rPr>
          <w:sz w:val="22"/>
          <w:szCs w:val="22"/>
        </w:rPr>
        <w:t xml:space="preserve"> à 23 h 59 (UTC).</w:t>
      </w:r>
    </w:p>
    <w:p w14:paraId="11C1EADD" w14:textId="77777777" w:rsidR="00A3677D" w:rsidRPr="00B05F7C" w:rsidRDefault="00A3677D" w:rsidP="00771D96">
      <w:pPr>
        <w:rPr>
          <w:bCs/>
          <w:sz w:val="22"/>
          <w:szCs w:val="22"/>
        </w:rPr>
      </w:pPr>
      <w:r w:rsidRPr="00B05F7C">
        <w:rPr>
          <w:bCs/>
          <w:sz w:val="22"/>
          <w:szCs w:val="22"/>
        </w:rPr>
        <w:t>4</w:t>
      </w:r>
      <w:r w:rsidRPr="00B05F7C">
        <w:rPr>
          <w:bCs/>
          <w:sz w:val="22"/>
          <w:szCs w:val="22"/>
        </w:rPr>
        <w:tab/>
        <w:t>Si au moins 70% des réponses des États Membres sont en faveur de l'examen, aux fins d'approbation, de ces textes, une séance plénière sera consacrée à l'application de la procédure d'approbation. Les États Membres qui n'autorisent pas le groupe régional à procéder ainsi doivent informer le Directeur du TSB des motifs de cette décision et lui faire part des éventuelles modifications qui permettraient la poursuite des travaux.</w:t>
      </w:r>
    </w:p>
    <w:p w14:paraId="575BE18C" w14:textId="26FC71B3" w:rsidR="00A3677D" w:rsidRPr="00B05F7C" w:rsidRDefault="00A3677D" w:rsidP="00771D96">
      <w:pPr>
        <w:rPr>
          <w:bCs/>
          <w:sz w:val="22"/>
          <w:szCs w:val="22"/>
        </w:rPr>
      </w:pPr>
      <w:r w:rsidRPr="00B05F7C">
        <w:rPr>
          <w:bCs/>
          <w:sz w:val="22"/>
          <w:szCs w:val="22"/>
        </w:rPr>
        <w:lastRenderedPageBreak/>
        <w:t xml:space="preserve">NOTE 1 DU TSB – À la date de la présente Circulaire, le TSB n'avait reçu aucune déclaration concernant les droits de propriété intellectuelle relative à ces projets de textes. Pour obtenir des renseignements actualisés, les membres sont invités à consulter la base de données relative aux droits de propriété intellectuelle à l'adresse </w:t>
      </w:r>
      <w:hyperlink r:id="rId10" w:history="1">
        <w:r w:rsidRPr="00B05F7C">
          <w:rPr>
            <w:rStyle w:val="Hyperlink"/>
            <w:rFonts w:cs="Calibri"/>
            <w:sz w:val="22"/>
            <w:szCs w:val="22"/>
          </w:rPr>
          <w:t>www.itu.int/ipr/</w:t>
        </w:r>
      </w:hyperlink>
      <w:r w:rsidRPr="00B05F7C">
        <w:rPr>
          <w:bCs/>
          <w:sz w:val="22"/>
          <w:szCs w:val="22"/>
        </w:rPr>
        <w:t>.</w:t>
      </w:r>
    </w:p>
    <w:p w14:paraId="6A4CD67F" w14:textId="7AE899B6" w:rsidR="00307FB4" w:rsidRPr="00B05F7C" w:rsidRDefault="00A3677D" w:rsidP="00771D96">
      <w:pPr>
        <w:rPr>
          <w:bCs/>
          <w:sz w:val="22"/>
          <w:szCs w:val="22"/>
        </w:rPr>
      </w:pPr>
      <w:r w:rsidRPr="00B05F7C">
        <w:rPr>
          <w:bCs/>
          <w:sz w:val="22"/>
          <w:szCs w:val="22"/>
        </w:rPr>
        <w:t>Veuillez agréer, Madame, Monsieur, l'assurance de ma considération distinguée.</w:t>
      </w:r>
    </w:p>
    <w:p w14:paraId="558FB742" w14:textId="1F775F5A" w:rsidR="002937DB" w:rsidRPr="00B05F7C" w:rsidRDefault="002F3954" w:rsidP="00B05F7C">
      <w:pPr>
        <w:spacing w:before="840"/>
        <w:rPr>
          <w:bCs/>
          <w:sz w:val="22"/>
          <w:szCs w:val="22"/>
        </w:rPr>
      </w:pPr>
      <w:r>
        <w:rPr>
          <w:bCs/>
          <w:noProof/>
          <w:sz w:val="22"/>
          <w:szCs w:val="22"/>
        </w:rPr>
        <w:drawing>
          <wp:anchor distT="0" distB="0" distL="114300" distR="114300" simplePos="0" relativeHeight="251658240" behindDoc="1" locked="0" layoutInCell="1" allowOverlap="1" wp14:anchorId="4191B2F2" wp14:editId="3C20DA8A">
            <wp:simplePos x="0" y="0"/>
            <wp:positionH relativeFrom="column">
              <wp:posOffset>3810</wp:posOffset>
            </wp:positionH>
            <wp:positionV relativeFrom="paragraph">
              <wp:posOffset>55880</wp:posOffset>
            </wp:positionV>
            <wp:extent cx="609599" cy="457200"/>
            <wp:effectExtent l="0" t="0" r="635" b="0"/>
            <wp:wrapNone/>
            <wp:docPr id="121637370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73709"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9599" cy="457200"/>
                    </a:xfrm>
                    <a:prstGeom prst="rect">
                      <a:avLst/>
                    </a:prstGeom>
                  </pic:spPr>
                </pic:pic>
              </a:graphicData>
            </a:graphic>
            <wp14:sizeRelH relativeFrom="margin">
              <wp14:pctWidth>0</wp14:pctWidth>
            </wp14:sizeRelH>
            <wp14:sizeRelV relativeFrom="margin">
              <wp14:pctHeight>0</wp14:pctHeight>
            </wp14:sizeRelV>
          </wp:anchor>
        </w:drawing>
      </w:r>
      <w:r w:rsidR="00307FB4" w:rsidRPr="00B05F7C">
        <w:rPr>
          <w:bCs/>
          <w:sz w:val="22"/>
          <w:szCs w:val="22"/>
        </w:rPr>
        <w:t>Seizo Onoe</w:t>
      </w:r>
      <w:r w:rsidR="00B60868" w:rsidRPr="00B05F7C">
        <w:rPr>
          <w:bCs/>
          <w:sz w:val="22"/>
          <w:szCs w:val="22"/>
        </w:rPr>
        <w:br/>
      </w:r>
      <w:r w:rsidR="00307FB4" w:rsidRPr="00B05F7C">
        <w:rPr>
          <w:bCs/>
          <w:sz w:val="22"/>
          <w:szCs w:val="22"/>
        </w:rPr>
        <w:t>Directeur du Bureau de la normalisation</w:t>
      </w:r>
      <w:r w:rsidR="00B60868" w:rsidRPr="00B05F7C">
        <w:rPr>
          <w:bCs/>
          <w:sz w:val="22"/>
          <w:szCs w:val="22"/>
        </w:rPr>
        <w:br/>
      </w:r>
      <w:r w:rsidR="00307FB4" w:rsidRPr="00B05F7C">
        <w:rPr>
          <w:bCs/>
          <w:sz w:val="22"/>
          <w:szCs w:val="22"/>
        </w:rPr>
        <w:t>des télécommunications</w:t>
      </w:r>
    </w:p>
    <w:p w14:paraId="670C42CE" w14:textId="6571F9D5" w:rsidR="004B6E18" w:rsidRPr="00B05F7C" w:rsidRDefault="004B6E18" w:rsidP="00771D96">
      <w:pPr>
        <w:spacing w:before="480"/>
        <w:rPr>
          <w:rFonts w:cs="Calibri"/>
          <w:bCs/>
          <w:sz w:val="22"/>
          <w:szCs w:val="22"/>
        </w:rPr>
      </w:pPr>
      <w:proofErr w:type="gramStart"/>
      <w:r w:rsidRPr="00B05F7C">
        <w:rPr>
          <w:rFonts w:cs="Calibri"/>
          <w:b/>
          <w:sz w:val="22"/>
          <w:szCs w:val="22"/>
        </w:rPr>
        <w:t>Annexes:</w:t>
      </w:r>
      <w:proofErr w:type="gramEnd"/>
      <w:r w:rsidR="00B05F7C">
        <w:rPr>
          <w:rFonts w:cs="Calibri"/>
          <w:b/>
          <w:sz w:val="22"/>
          <w:szCs w:val="22"/>
        </w:rPr>
        <w:tab/>
      </w:r>
      <w:r w:rsidRPr="00B05F7C">
        <w:rPr>
          <w:rFonts w:cs="Calibri"/>
          <w:bCs/>
          <w:sz w:val="22"/>
          <w:szCs w:val="22"/>
        </w:rPr>
        <w:t>2</w:t>
      </w:r>
    </w:p>
    <w:p w14:paraId="6F61DB25" w14:textId="49A616A6" w:rsidR="004B6E18" w:rsidRPr="0011386A" w:rsidRDefault="004B6E18" w:rsidP="00771D96">
      <w:pPr>
        <w:rPr>
          <w:rFonts w:cs="Calibri"/>
          <w:bCs/>
          <w:sz w:val="22"/>
          <w:szCs w:val="22"/>
        </w:rPr>
      </w:pPr>
      <w:r w:rsidRPr="0011386A">
        <w:rPr>
          <w:rFonts w:cs="Calibri"/>
          <w:bCs/>
          <w:sz w:val="22"/>
          <w:szCs w:val="22"/>
        </w:rPr>
        <w:br w:type="page"/>
      </w:r>
    </w:p>
    <w:p w14:paraId="50E00B18" w14:textId="77777777" w:rsidR="004B6E18" w:rsidRPr="0011386A" w:rsidRDefault="004B6E18" w:rsidP="00771D96">
      <w:pPr>
        <w:pStyle w:val="AnnexTitle"/>
      </w:pPr>
      <w:r w:rsidRPr="0011386A">
        <w:lastRenderedPageBreak/>
        <w:t>Annexe 1</w:t>
      </w:r>
    </w:p>
    <w:p w14:paraId="3E167B39" w14:textId="1C711C87" w:rsidR="004B6E18" w:rsidRPr="0011386A" w:rsidRDefault="004B6E18" w:rsidP="00771D96">
      <w:pPr>
        <w:pStyle w:val="AnnexTitle"/>
      </w:pPr>
      <w:r w:rsidRPr="0011386A">
        <w:t>Résumé et localisation des textes déterminés des projets de nouvelles Recommandations UIT-T Y.4506 (ex Y.DRI-arch), Y.4229 (ex Y.IoT-SFFS), Y.4230 (ex Y.EV-charging), Y.4231 (ex Y.IoT-Vreqs), Y.4232 (ex Y.IoT-RTPS), Y.4233 (ex Y.FSPH), Y.4234 (ex Y.RemoteEd), Y.4222</w:t>
      </w:r>
      <w:r w:rsidR="00771D96" w:rsidRPr="0011386A">
        <w:t xml:space="preserve"> </w:t>
      </w:r>
      <w:r w:rsidRPr="0011386A">
        <w:t>(ex Y.smart</w:t>
      </w:r>
      <w:r w:rsidR="00771D96" w:rsidRPr="0011386A">
        <w:noBreakHyphen/>
      </w:r>
      <w:r w:rsidRPr="0011386A">
        <w:t>evacuation), Y.4507 (ex Y.arc-psfws), Y.4508 (ex Y.DPM-alm-fra),</w:t>
      </w:r>
      <w:r w:rsidR="00771D96" w:rsidRPr="0011386A">
        <w:br/>
      </w:r>
      <w:r w:rsidRPr="0011386A">
        <w:t>Y.4706 (ex Y.dem-IoT) et Y.4499 (ex Y.UIM-cs-framework)</w:t>
      </w:r>
    </w:p>
    <w:p w14:paraId="7F821BEF" w14:textId="77777777" w:rsidR="004B6E18" w:rsidRPr="0011386A" w:rsidRDefault="004B6E18" w:rsidP="00771D96">
      <w:pPr>
        <w:pStyle w:val="Heading1"/>
      </w:pPr>
      <w:r w:rsidRPr="0011386A">
        <w:t>1</w:t>
      </w:r>
      <w:r w:rsidRPr="0011386A">
        <w:tab/>
        <w:t>Projet de nouvelle Recommandation UIT-T Y.4506 (ex Y.DRI-arch): [</w:t>
      </w:r>
      <w:hyperlink r:id="rId12" w:history="1">
        <w:r w:rsidRPr="0011386A">
          <w:rPr>
            <w:rStyle w:val="Hyperlink"/>
            <w:rFonts w:cs="Calibri"/>
            <w:sz w:val="28"/>
          </w:rPr>
          <w:t>R21</w:t>
        </w:r>
      </w:hyperlink>
      <w:r w:rsidRPr="0011386A">
        <w:t>]</w:t>
      </w:r>
    </w:p>
    <w:p w14:paraId="3D76A50C" w14:textId="77777777" w:rsidR="004B6E18" w:rsidRPr="0011386A" w:rsidRDefault="004B6E18" w:rsidP="00771D96">
      <w:pPr>
        <w:pStyle w:val="headingb"/>
      </w:pPr>
      <w:r w:rsidRPr="0011386A">
        <w:t>Architecture de référence pour l'interfonctionnement des robots de livraison autonomes en milieu urbain</w:t>
      </w:r>
    </w:p>
    <w:p w14:paraId="0BA695B4" w14:textId="77777777" w:rsidR="004B6E18" w:rsidRPr="0011386A" w:rsidRDefault="004B6E18" w:rsidP="00771D96">
      <w:pPr>
        <w:pStyle w:val="headingb"/>
      </w:pPr>
      <w:r w:rsidRPr="0011386A">
        <w:t>Résumé</w:t>
      </w:r>
    </w:p>
    <w:p w14:paraId="10C9D3CA" w14:textId="77777777" w:rsidR="004B6E18" w:rsidRPr="0011386A" w:rsidRDefault="004B6E18" w:rsidP="00771D96">
      <w:pPr>
        <w:rPr>
          <w:rFonts w:eastAsia="Malgun Gothic"/>
          <w:lang w:eastAsia="ko-KR"/>
        </w:rPr>
      </w:pPr>
      <w:r w:rsidRPr="0011386A">
        <w:rPr>
          <w:rFonts w:eastAsia="Malgun Gothic"/>
          <w:lang w:eastAsia="ko-KR"/>
        </w:rPr>
        <w:t>Cette Recommandation définit, sur la base de la Recommandation UIT-T Y.4607, l'architecture de référence des robots de livraison autonomes qui interagissent avec les fournisseurs de services de robots de livraison, les dispositifs d'utilisateur et les infrastructures urbaines, afin de faciliter la livraison de biens sans intervention humaine.</w:t>
      </w:r>
    </w:p>
    <w:p w14:paraId="29CEA51B" w14:textId="77777777" w:rsidR="004B6E18" w:rsidRPr="0011386A" w:rsidRDefault="004B6E18" w:rsidP="00771D96">
      <w:pPr>
        <w:pStyle w:val="Heading1"/>
      </w:pPr>
      <w:r w:rsidRPr="0011386A">
        <w:t>2</w:t>
      </w:r>
      <w:r w:rsidRPr="0011386A">
        <w:tab/>
        <w:t>Projet de nouvelle Recommandation UIT-T Y.4229 (ex Y.IoT-SFFS): [</w:t>
      </w:r>
      <w:hyperlink r:id="rId13" w:history="1">
        <w:r w:rsidRPr="0011386A">
          <w:rPr>
            <w:rStyle w:val="Hyperlink"/>
            <w:rFonts w:cs="Calibri"/>
            <w:sz w:val="28"/>
          </w:rPr>
          <w:t>R22</w:t>
        </w:r>
      </w:hyperlink>
      <w:r w:rsidRPr="0011386A">
        <w:t>]</w:t>
      </w:r>
    </w:p>
    <w:p w14:paraId="77A0C38A" w14:textId="77777777" w:rsidR="004B6E18" w:rsidRPr="0011386A" w:rsidRDefault="004B6E18" w:rsidP="00771D96">
      <w:pPr>
        <w:pStyle w:val="headingb"/>
      </w:pPr>
      <w:r w:rsidRPr="0011386A">
        <w:t xml:space="preserve">Exigences et modèle fonctionnel de référence du </w:t>
      </w:r>
      <w:bookmarkStart w:id="2" w:name="_Hlk179467173"/>
      <w:r w:rsidRPr="0011386A">
        <w:t>système de lutte intelligente contre les feux de forêt fondé sur l'Internet des objets</w:t>
      </w:r>
      <w:bookmarkEnd w:id="2"/>
    </w:p>
    <w:p w14:paraId="6D7A70F4" w14:textId="77777777" w:rsidR="004B6E18" w:rsidRPr="0011386A" w:rsidRDefault="004B6E18" w:rsidP="00771D96">
      <w:pPr>
        <w:pStyle w:val="headingb"/>
      </w:pPr>
      <w:r w:rsidRPr="0011386A">
        <w:t>Résumé</w:t>
      </w:r>
    </w:p>
    <w:p w14:paraId="0D4C292B" w14:textId="109964A0" w:rsidR="004B6E18" w:rsidRPr="0011386A" w:rsidRDefault="004B6E18" w:rsidP="00771D96">
      <w:pPr>
        <w:rPr>
          <w:lang w:eastAsia="zh-CN"/>
        </w:rPr>
      </w:pPr>
      <w:bookmarkStart w:id="3" w:name="_Hlk53129002"/>
      <w:r w:rsidRPr="0011386A">
        <w:rPr>
          <w:lang w:eastAsia="zh-CN"/>
        </w:rPr>
        <w:t>La Recommandation Y.4229 présente un système de lutte intelligente contre les feux de forêt fondé sur l'Internet des objets (IoT) et en définit le modèle fonctionnel de référence et les exigences. La Recommandation Y.4229 a pour but de servir de guide pour la conception, le développement et la mise en œuvre du système intelligent de lutte contre les feux de forêt fondé sur l</w:t>
      </w:r>
      <w:r w:rsidR="00771D96" w:rsidRPr="0011386A">
        <w:rPr>
          <w:lang w:eastAsia="zh-CN"/>
        </w:rPr>
        <w:t>'</w:t>
      </w:r>
      <w:r w:rsidRPr="0011386A">
        <w:rPr>
          <w:lang w:eastAsia="zh-CN"/>
        </w:rPr>
        <w:t>IoT.</w:t>
      </w:r>
    </w:p>
    <w:p w14:paraId="3DD41915" w14:textId="6BB27B30" w:rsidR="004B6E18" w:rsidRPr="0011386A" w:rsidRDefault="004B6E18" w:rsidP="00771D96">
      <w:pPr>
        <w:rPr>
          <w:lang w:eastAsia="zh-CN"/>
        </w:rPr>
      </w:pPr>
      <w:r w:rsidRPr="0011386A">
        <w:rPr>
          <w:lang w:eastAsia="zh-CN"/>
        </w:rPr>
        <w:t>La fréquence des feux de forêt est devenue un problème à l'échelle mondiale. Malgré les importants investissements réalisés par de nombreux pays dans diverses contre-mesures, plusieurs défis restent à surmonter, dont l</w:t>
      </w:r>
      <w:r w:rsidR="00771D96" w:rsidRPr="0011386A">
        <w:rPr>
          <w:lang w:eastAsia="zh-CN"/>
        </w:rPr>
        <w:t>'</w:t>
      </w:r>
      <w:r w:rsidRPr="0011386A">
        <w:rPr>
          <w:lang w:eastAsia="zh-CN"/>
        </w:rPr>
        <w:t>immensité des zones forestières, qui ne peuvent pas être entièrement surveillées, et la couverture réseau incomplète des forêts, qui empêche une transmission efficace des informations. De plus, les performances des dispositifs IoT courants ne répondent pas souvent aux exigences réelles liées à la gestion des zones forestières et il n</w:t>
      </w:r>
      <w:r w:rsidR="00771D96" w:rsidRPr="0011386A">
        <w:rPr>
          <w:lang w:eastAsia="zh-CN"/>
        </w:rPr>
        <w:t>'</w:t>
      </w:r>
      <w:r w:rsidRPr="0011386A">
        <w:rPr>
          <w:lang w:eastAsia="zh-CN"/>
        </w:rPr>
        <w:t>existe pas suffisamment de systèmes d</w:t>
      </w:r>
      <w:r w:rsidR="00771D96" w:rsidRPr="0011386A">
        <w:rPr>
          <w:lang w:eastAsia="zh-CN"/>
        </w:rPr>
        <w:t>'</w:t>
      </w:r>
      <w:r w:rsidRPr="0011386A">
        <w:rPr>
          <w:lang w:eastAsia="zh-CN"/>
        </w:rPr>
        <w:t>alerte avancée contre les feux de forêt imminents, ce qui retarde les opérations d</w:t>
      </w:r>
      <w:r w:rsidR="00771D96" w:rsidRPr="0011386A">
        <w:rPr>
          <w:lang w:eastAsia="zh-CN"/>
        </w:rPr>
        <w:t>'</w:t>
      </w:r>
      <w:r w:rsidRPr="0011386A">
        <w:rPr>
          <w:lang w:eastAsia="zh-CN"/>
        </w:rPr>
        <w:t>extinction et de secours lorsque des feux se déclarent. Enfin l'évaluation et l'inspection des moyens d</w:t>
      </w:r>
      <w:r w:rsidR="00771D96" w:rsidRPr="0011386A">
        <w:rPr>
          <w:lang w:eastAsia="zh-CN"/>
        </w:rPr>
        <w:t>'</w:t>
      </w:r>
      <w:r w:rsidRPr="0011386A">
        <w:rPr>
          <w:lang w:eastAsia="zh-CN"/>
        </w:rPr>
        <w:t>intervention après les feux ne sont pas adéquates.</w:t>
      </w:r>
    </w:p>
    <w:p w14:paraId="0CD318E4" w14:textId="529FBD71" w:rsidR="004B6E18" w:rsidRPr="0011386A" w:rsidRDefault="004B6E18" w:rsidP="00771D96">
      <w:pPr>
        <w:rPr>
          <w:lang w:eastAsia="zh-CN"/>
        </w:rPr>
      </w:pPr>
      <w:r w:rsidRPr="0011386A">
        <w:rPr>
          <w:lang w:eastAsia="zh-CN"/>
        </w:rPr>
        <w:t>Compte tenu du développement de l</w:t>
      </w:r>
      <w:r w:rsidR="00771D96" w:rsidRPr="0011386A">
        <w:rPr>
          <w:lang w:eastAsia="zh-CN"/>
        </w:rPr>
        <w:t>'</w:t>
      </w:r>
      <w:r w:rsidRPr="0011386A">
        <w:rPr>
          <w:lang w:eastAsia="zh-CN"/>
        </w:rPr>
        <w:t>IoT et de l</w:t>
      </w:r>
      <w:r w:rsidR="00771D96" w:rsidRPr="0011386A">
        <w:rPr>
          <w:lang w:eastAsia="zh-CN"/>
        </w:rPr>
        <w:t>'</w:t>
      </w:r>
      <w:r w:rsidRPr="0011386A">
        <w:rPr>
          <w:lang w:eastAsia="zh-CN"/>
        </w:rPr>
        <w:t>intelligence artificielle, les systèmes de lutte contre les feux de forêt sont devenus plus intelligents. Des systèmes intelligents de lutte contre les feux de forêt sont déployés en zones forestières de sorte qu'elles puissent être surveillées en temps réel et que des alertes avancées soient émises avant le début de ces feux. Ces systèmes peuvent permettre de prévoir, de localiser, d'évaluer et d'éteindre un incendie lorsqu'il se déclare, et assurer l</w:t>
      </w:r>
      <w:r w:rsidR="00771D96" w:rsidRPr="0011386A">
        <w:rPr>
          <w:lang w:eastAsia="zh-CN"/>
        </w:rPr>
        <w:t>'</w:t>
      </w:r>
      <w:r w:rsidRPr="0011386A">
        <w:rPr>
          <w:lang w:eastAsia="zh-CN"/>
        </w:rPr>
        <w:t>inspection et l</w:t>
      </w:r>
      <w:r w:rsidR="00771D96" w:rsidRPr="0011386A">
        <w:rPr>
          <w:lang w:eastAsia="zh-CN"/>
        </w:rPr>
        <w:t>'</w:t>
      </w:r>
      <w:r w:rsidRPr="0011386A">
        <w:rPr>
          <w:lang w:eastAsia="zh-CN"/>
        </w:rPr>
        <w:t>évaluation des dommages qui en résultent.</w:t>
      </w:r>
    </w:p>
    <w:bookmarkEnd w:id="3"/>
    <w:p w14:paraId="196EA9A3" w14:textId="77777777" w:rsidR="004B6E18" w:rsidRPr="0011386A" w:rsidRDefault="004B6E18" w:rsidP="00771D96">
      <w:pPr>
        <w:pStyle w:val="Heading1"/>
      </w:pPr>
      <w:r w:rsidRPr="0011386A">
        <w:lastRenderedPageBreak/>
        <w:t>3</w:t>
      </w:r>
      <w:r w:rsidRPr="0011386A">
        <w:tab/>
        <w:t>Projet de nouvelle Recommandation UIT-T Y.4230 (ex Y.EV-charging): [</w:t>
      </w:r>
      <w:hyperlink r:id="rId14" w:history="1">
        <w:r w:rsidRPr="0011386A">
          <w:rPr>
            <w:rStyle w:val="Hyperlink"/>
            <w:rFonts w:cs="Calibri"/>
            <w:sz w:val="28"/>
          </w:rPr>
          <w:t>R23</w:t>
        </w:r>
      </w:hyperlink>
      <w:r w:rsidRPr="0011386A">
        <w:t>]</w:t>
      </w:r>
    </w:p>
    <w:p w14:paraId="456E9EA4" w14:textId="77777777" w:rsidR="004B6E18" w:rsidRPr="0011386A" w:rsidRDefault="004B6E18" w:rsidP="00771D96">
      <w:pPr>
        <w:pStyle w:val="headingb"/>
      </w:pPr>
      <w:r w:rsidRPr="0011386A">
        <w:t xml:space="preserve">Exigences et cadre </w:t>
      </w:r>
      <w:r w:rsidRPr="0011386A">
        <w:rPr>
          <w:szCs w:val="24"/>
        </w:rPr>
        <w:t>des</w:t>
      </w:r>
      <w:r w:rsidRPr="0011386A">
        <w:t xml:space="preserve"> capacités du service public intelligent de recharge des véhicules électriques</w:t>
      </w:r>
    </w:p>
    <w:p w14:paraId="3FC8DDE8" w14:textId="77777777" w:rsidR="004B6E18" w:rsidRPr="0011386A" w:rsidRDefault="004B6E18" w:rsidP="00771D96">
      <w:pPr>
        <w:ind w:left="1134" w:hanging="1134"/>
        <w:outlineLvl w:val="1"/>
        <w:rPr>
          <w:rFonts w:cs="Calibri"/>
          <w:b/>
        </w:rPr>
      </w:pPr>
      <w:r w:rsidRPr="0011386A">
        <w:rPr>
          <w:rFonts w:cs="Calibri"/>
          <w:b/>
        </w:rPr>
        <w:t>Résumé</w:t>
      </w:r>
    </w:p>
    <w:p w14:paraId="17F5EF71" w14:textId="26691E03" w:rsidR="004B6E18" w:rsidRPr="0011386A" w:rsidRDefault="004B6E18" w:rsidP="00771D96">
      <w:r w:rsidRPr="0011386A">
        <w:t>En raison de la popularisation des véhicules électriques (VE) en milieu urbain, de plus en plus d</w:t>
      </w:r>
      <w:r w:rsidR="00771D96" w:rsidRPr="0011386A">
        <w:t>'</w:t>
      </w:r>
      <w:r w:rsidRPr="0011386A">
        <w:t>utilisateurs de VE ont besoin de services de recharge publics. Par conséquent, la mise au point d'un service public de recharge intelligente des véhicules électriques constitue une orientation future en matière de développement et un élément important d</w:t>
      </w:r>
      <w:r w:rsidR="00A83D8A" w:rsidRPr="0011386A">
        <w:t>'</w:t>
      </w:r>
      <w:r w:rsidRPr="0011386A">
        <w:t>une ville intelligente. Par rapport à un service de recharge traditionnel, un service public intelligent de recharge présente l</w:t>
      </w:r>
      <w:r w:rsidR="00A83D8A" w:rsidRPr="0011386A">
        <w:t>'</w:t>
      </w:r>
      <w:r w:rsidRPr="0011386A">
        <w:t>avantage d</w:t>
      </w:r>
      <w:r w:rsidR="00A83D8A" w:rsidRPr="0011386A">
        <w:t>'</w:t>
      </w:r>
      <w:r w:rsidRPr="0011386A">
        <w:t>un système fortement interconnecté et numérisé, ainsi que des fonctionnalités de gestion intelligente de l</w:t>
      </w:r>
      <w:r w:rsidR="00A83D8A" w:rsidRPr="0011386A">
        <w:t>'</w:t>
      </w:r>
      <w:r w:rsidRPr="0011386A">
        <w:t>alimentation électrique, qui le rendent à la fois flexible et pratique. Le service public intelligent de recharge sera mis en œuvre dans l</w:t>
      </w:r>
      <w:r w:rsidR="00A83D8A" w:rsidRPr="0011386A">
        <w:t>'</w:t>
      </w:r>
      <w:r w:rsidRPr="0011386A">
        <w:t>infrastructure des villes intelligentes et sera à l</w:t>
      </w:r>
      <w:r w:rsidR="00A83D8A" w:rsidRPr="0011386A">
        <w:t>'</w:t>
      </w:r>
      <w:r w:rsidRPr="0011386A">
        <w:t>avenir indispensable à ces villes.</w:t>
      </w:r>
    </w:p>
    <w:p w14:paraId="50EF7394" w14:textId="28479EF4" w:rsidR="004B6E18" w:rsidRPr="0011386A" w:rsidRDefault="004B6E18" w:rsidP="00771D96">
      <w:r w:rsidRPr="0011386A">
        <w:t>Cette Recommandation définit les exigences et le cadre des capacités d'un service public intelligent de recharge des véhicules électriques, en vue d'optimiser le processus de ce service ainsi que d'améliorer l</w:t>
      </w:r>
      <w:r w:rsidR="0011386A" w:rsidRPr="0011386A">
        <w:t>'</w:t>
      </w:r>
      <w:r w:rsidRPr="0011386A">
        <w:t>expérience des utilisateurs.</w:t>
      </w:r>
    </w:p>
    <w:p w14:paraId="0D31D115" w14:textId="77777777" w:rsidR="004B6E18" w:rsidRPr="0011386A" w:rsidRDefault="004B6E18" w:rsidP="00A83D8A">
      <w:pPr>
        <w:pStyle w:val="Heading1"/>
      </w:pPr>
      <w:r w:rsidRPr="0011386A">
        <w:t>4</w:t>
      </w:r>
      <w:r w:rsidRPr="0011386A">
        <w:tab/>
        <w:t xml:space="preserve">Projet de nouvelle Recommandation UIT-T </w:t>
      </w:r>
      <w:r w:rsidRPr="0011386A">
        <w:rPr>
          <w:bCs/>
          <w:lang w:eastAsia="zh-CN"/>
        </w:rPr>
        <w:t>Y.4231 (ex Y.IoT-Vreqs)</w:t>
      </w:r>
      <w:r w:rsidRPr="0011386A">
        <w:t>: [</w:t>
      </w:r>
      <w:hyperlink r:id="rId15" w:history="1">
        <w:r w:rsidRPr="0011386A">
          <w:rPr>
            <w:rStyle w:val="Hyperlink"/>
            <w:rFonts w:cs="Calibri"/>
            <w:szCs w:val="24"/>
          </w:rPr>
          <w:t>R24</w:t>
        </w:r>
      </w:hyperlink>
      <w:r w:rsidRPr="0011386A">
        <w:t>]</w:t>
      </w:r>
    </w:p>
    <w:p w14:paraId="4B2EBDB6" w14:textId="77777777" w:rsidR="004B6E18" w:rsidRPr="0011386A" w:rsidRDefault="004B6E18" w:rsidP="00771D96">
      <w:pPr>
        <w:pStyle w:val="headingb"/>
      </w:pPr>
      <w:r w:rsidRPr="0011386A">
        <w:t>Exigences et cadre des capacités de l'Internet des objets pour la perception visuelle</w:t>
      </w:r>
    </w:p>
    <w:p w14:paraId="5B30D9F7" w14:textId="77777777" w:rsidR="004B6E18" w:rsidRPr="0011386A" w:rsidRDefault="004B6E18" w:rsidP="00771D96">
      <w:pPr>
        <w:pStyle w:val="headingb"/>
      </w:pPr>
      <w:r w:rsidRPr="0011386A">
        <w:t>Résumé</w:t>
      </w:r>
    </w:p>
    <w:p w14:paraId="7C26B351" w14:textId="67E4FE1D" w:rsidR="004B6E18" w:rsidRPr="0011386A" w:rsidRDefault="004B6E18" w:rsidP="00771D96">
      <w:pPr>
        <w:outlineLvl w:val="0"/>
        <w:rPr>
          <w:rFonts w:eastAsia="SimSun" w:cs="Calibri"/>
          <w:lang w:eastAsia="zh-CN"/>
        </w:rPr>
      </w:pPr>
      <w:r w:rsidRPr="0011386A">
        <w:rPr>
          <w:rFonts w:eastAsia="SimSun" w:cs="Calibri"/>
          <w:lang w:eastAsia="zh-CN"/>
        </w:rPr>
        <w:t>Cette Recommandation définit les exigences et le cadre des capacités de l</w:t>
      </w:r>
      <w:r w:rsidR="00A83D8A" w:rsidRPr="0011386A">
        <w:rPr>
          <w:rFonts w:eastAsia="SimSun" w:cs="Calibri"/>
          <w:lang w:eastAsia="zh-CN"/>
        </w:rPr>
        <w:t>'</w:t>
      </w:r>
      <w:r w:rsidRPr="0011386A">
        <w:rPr>
          <w:rFonts w:eastAsia="SimSun" w:cs="Calibri"/>
          <w:lang w:eastAsia="zh-CN"/>
        </w:rPr>
        <w:t>Internet des objets (IoT) pour la perception visuelle, un processus type appliquant l'IoT à cette fin ainsi que des cas d</w:t>
      </w:r>
      <w:r w:rsidR="00A83D8A" w:rsidRPr="0011386A">
        <w:rPr>
          <w:rFonts w:eastAsia="SimSun" w:cs="Calibri"/>
          <w:lang w:eastAsia="zh-CN"/>
        </w:rPr>
        <w:t>'</w:t>
      </w:r>
      <w:r w:rsidRPr="0011386A">
        <w:rPr>
          <w:rFonts w:eastAsia="SimSun" w:cs="Calibri"/>
          <w:lang w:eastAsia="zh-CN"/>
        </w:rPr>
        <w:t>utilisation pertinents de l</w:t>
      </w:r>
      <w:r w:rsidR="00A83D8A" w:rsidRPr="0011386A">
        <w:rPr>
          <w:rFonts w:eastAsia="SimSun" w:cs="Calibri"/>
          <w:lang w:eastAsia="zh-CN"/>
        </w:rPr>
        <w:t>'</w:t>
      </w:r>
      <w:r w:rsidRPr="0011386A">
        <w:rPr>
          <w:rFonts w:eastAsia="SimSun" w:cs="Calibri"/>
          <w:lang w:eastAsia="zh-CN"/>
        </w:rPr>
        <w:t>IoT.</w:t>
      </w:r>
    </w:p>
    <w:p w14:paraId="73BA1B6A" w14:textId="56F582F0" w:rsidR="004B6E18" w:rsidRPr="0011386A" w:rsidRDefault="004B6E18" w:rsidP="00771D96">
      <w:pPr>
        <w:outlineLvl w:val="0"/>
        <w:rPr>
          <w:rFonts w:eastAsia="SimSun" w:cs="Calibri"/>
          <w:lang w:eastAsia="zh-CN"/>
        </w:rPr>
      </w:pPr>
      <w:r w:rsidRPr="0011386A">
        <w:rPr>
          <w:rFonts w:eastAsia="SimSun" w:cs="Calibri"/>
          <w:lang w:eastAsia="zh-CN"/>
        </w:rPr>
        <w:t>Avec la popularisation et le développement des villes intelligentes et de secteurs verticaux dans le domaine de l'IoT, le concept d'Internet des objets s'élargit et ne se limite plus simplement à la collecte et à la classification des données de capteurs.</w:t>
      </w:r>
    </w:p>
    <w:p w14:paraId="45BAAE6A" w14:textId="42D742D5" w:rsidR="004B6E18" w:rsidRPr="0011386A" w:rsidRDefault="004B6E18" w:rsidP="00771D96">
      <w:pPr>
        <w:outlineLvl w:val="0"/>
        <w:rPr>
          <w:rFonts w:eastAsia="SimSun" w:cs="Calibri"/>
          <w:lang w:eastAsia="zh-CN"/>
        </w:rPr>
      </w:pPr>
      <w:r w:rsidRPr="0011386A">
        <w:rPr>
          <w:rFonts w:eastAsia="SimSun" w:cs="Calibri"/>
          <w:lang w:eastAsia="zh-CN"/>
        </w:rPr>
        <w:t>L'IoT appliquée à la perception visuelle constitue l'une des principales orientations de développement de l'IoT. Cette application s'appuie sur l'utilisation de caméras numériques et d'autres types de capteurs servant à analyser des objets présentant un intérêt (y compris les êtres humains, les véhicules, les animaux, etc.) afin de les percevoir à des fins diverses.</w:t>
      </w:r>
    </w:p>
    <w:p w14:paraId="25C1EA8E" w14:textId="77777777" w:rsidR="004B6E18" w:rsidRPr="0011386A" w:rsidRDefault="004B6E18" w:rsidP="00A83D8A">
      <w:pPr>
        <w:pStyle w:val="Heading1"/>
      </w:pPr>
      <w:r w:rsidRPr="0011386A">
        <w:t>5</w:t>
      </w:r>
      <w:r w:rsidRPr="0011386A">
        <w:tab/>
        <w:t>Projet de nouvelle Recommandation UIT-T Y.4232 (ex Y.IoT-RTPS): [</w:t>
      </w:r>
      <w:hyperlink r:id="rId16" w:history="1">
        <w:r w:rsidRPr="0011386A">
          <w:rPr>
            <w:rStyle w:val="Hyperlink"/>
            <w:rFonts w:cs="Calibri"/>
            <w:szCs w:val="24"/>
          </w:rPr>
          <w:t>R25</w:t>
        </w:r>
      </w:hyperlink>
      <w:r w:rsidRPr="0011386A">
        <w:t>]</w:t>
      </w:r>
    </w:p>
    <w:p w14:paraId="1B501F75" w14:textId="77777777" w:rsidR="004B6E18" w:rsidRPr="0011386A" w:rsidRDefault="004B6E18" w:rsidP="00A83D8A">
      <w:pPr>
        <w:pStyle w:val="headingb"/>
      </w:pPr>
      <w:r w:rsidRPr="0011386A">
        <w:t>Exigences, capacités et cas d'utilisation des infrastructures de l'Internet des objets dans les systèmes de perception de bord de route</w:t>
      </w:r>
    </w:p>
    <w:p w14:paraId="6BD3851F" w14:textId="77777777" w:rsidR="004B6E18" w:rsidRPr="0011386A" w:rsidRDefault="004B6E18" w:rsidP="00A83D8A">
      <w:pPr>
        <w:pStyle w:val="headingb"/>
      </w:pPr>
      <w:r w:rsidRPr="0011386A">
        <w:t>Résumé</w:t>
      </w:r>
    </w:p>
    <w:p w14:paraId="2CA6EA41" w14:textId="3237414C" w:rsidR="004B6E18" w:rsidRPr="0011386A" w:rsidRDefault="004B6E18" w:rsidP="00956FE6">
      <w:pPr>
        <w:rPr>
          <w:rFonts w:eastAsia="SimSun"/>
          <w:lang w:eastAsia="ko-KR"/>
        </w:rPr>
      </w:pPr>
      <w:r w:rsidRPr="0011386A">
        <w:rPr>
          <w:rFonts w:eastAsia="SimSun"/>
          <w:lang w:eastAsia="ko-KR"/>
        </w:rPr>
        <w:t>Le système de perception de bord de route (RTPS) est un système composé d</w:t>
      </w:r>
      <w:r w:rsidR="00956FE6" w:rsidRPr="0011386A">
        <w:rPr>
          <w:rFonts w:eastAsia="SimSun"/>
          <w:lang w:eastAsia="ko-KR"/>
        </w:rPr>
        <w:t>'</w:t>
      </w:r>
      <w:r w:rsidRPr="0011386A">
        <w:rPr>
          <w:rFonts w:eastAsia="SimSun"/>
          <w:lang w:eastAsia="ko-KR"/>
        </w:rPr>
        <w:t>infrastructures de l</w:t>
      </w:r>
      <w:r w:rsidR="00956FE6" w:rsidRPr="0011386A">
        <w:rPr>
          <w:rFonts w:eastAsia="SimSun"/>
          <w:lang w:eastAsia="ko-KR"/>
        </w:rPr>
        <w:t>'</w:t>
      </w:r>
      <w:r w:rsidRPr="0011386A">
        <w:rPr>
          <w:rFonts w:eastAsia="SimSun"/>
          <w:lang w:eastAsia="ko-KR"/>
        </w:rPr>
        <w:t>Internet des objets (IoT), y compris de capteurs, d'installations en nuage ainsi que de feux et de panneaux de signalisation intelligents. Grâce aux technologies de l'IoT, le système de perception de bord de route peut accroître la sécurité routière et l</w:t>
      </w:r>
      <w:r w:rsidR="0011386A" w:rsidRPr="0011386A">
        <w:rPr>
          <w:rFonts w:eastAsia="SimSun"/>
          <w:lang w:eastAsia="ko-KR"/>
        </w:rPr>
        <w:t>'</w:t>
      </w:r>
      <w:r w:rsidRPr="0011386A">
        <w:rPr>
          <w:rFonts w:eastAsia="SimSun"/>
          <w:lang w:eastAsia="ko-KR"/>
        </w:rPr>
        <w:t>efficacité de la circulation grâce aux capacités de ses composants.</w:t>
      </w:r>
    </w:p>
    <w:p w14:paraId="1A7579FC" w14:textId="49B658F4" w:rsidR="004B6E18" w:rsidRPr="0011386A" w:rsidRDefault="004B6E18" w:rsidP="00956FE6">
      <w:pPr>
        <w:keepLines/>
        <w:rPr>
          <w:rFonts w:eastAsia="SimSun"/>
          <w:lang w:eastAsia="ko-KR"/>
        </w:rPr>
      </w:pPr>
      <w:r w:rsidRPr="0011386A">
        <w:rPr>
          <w:rFonts w:eastAsia="SimSun"/>
          <w:lang w:eastAsia="ko-KR"/>
        </w:rPr>
        <w:lastRenderedPageBreak/>
        <w:t>Pour renforcer la sécurité routière et améliorer l</w:t>
      </w:r>
      <w:r w:rsidR="00956FE6" w:rsidRPr="0011386A">
        <w:rPr>
          <w:rFonts w:eastAsia="SimSun"/>
          <w:lang w:eastAsia="ko-KR"/>
        </w:rPr>
        <w:t>'</w:t>
      </w:r>
      <w:r w:rsidRPr="0011386A">
        <w:rPr>
          <w:rFonts w:eastAsia="SimSun"/>
          <w:lang w:eastAsia="ko-KR"/>
        </w:rPr>
        <w:t>efficacité de la circulation, les infrastructures IoT du RTPS doivent fonctionner ensemble à l</w:t>
      </w:r>
      <w:r w:rsidR="00956FE6" w:rsidRPr="0011386A">
        <w:rPr>
          <w:rFonts w:eastAsia="SimSun"/>
          <w:lang w:eastAsia="ko-KR"/>
        </w:rPr>
        <w:t>'</w:t>
      </w:r>
      <w:r w:rsidRPr="0011386A">
        <w:rPr>
          <w:rFonts w:eastAsia="SimSun"/>
          <w:lang w:eastAsia="ko-KR"/>
        </w:rPr>
        <w:t>aide des technologies IoT. La Recommandation</w:t>
      </w:r>
      <w:r w:rsidR="00956FE6" w:rsidRPr="0011386A">
        <w:rPr>
          <w:rFonts w:eastAsia="SimSun"/>
          <w:lang w:eastAsia="ko-KR"/>
        </w:rPr>
        <w:t xml:space="preserve"> </w:t>
      </w:r>
      <w:r w:rsidRPr="0011386A">
        <w:rPr>
          <w:rFonts w:eastAsia="SimSun"/>
          <w:lang w:eastAsia="ko-KR"/>
        </w:rPr>
        <w:t>UIT</w:t>
      </w:r>
      <w:r w:rsidRPr="0011386A">
        <w:rPr>
          <w:rFonts w:eastAsia="SimSun"/>
          <w:lang w:eastAsia="ko-KR"/>
        </w:rPr>
        <w:noBreakHyphen/>
        <w:t>T Y.4232 présente donc les exigences et les capacités communes et spécifiques d'infrastructures IoT. Des cas d'utilisation du RTPS figurent également dans l'Appendice de ladite Recommandation.</w:t>
      </w:r>
    </w:p>
    <w:p w14:paraId="27D57F22" w14:textId="77777777" w:rsidR="004B6E18" w:rsidRPr="0011386A" w:rsidRDefault="004B6E18" w:rsidP="00956FE6">
      <w:pPr>
        <w:pStyle w:val="Heading1"/>
      </w:pPr>
      <w:r w:rsidRPr="0011386A">
        <w:t>6</w:t>
      </w:r>
      <w:r w:rsidRPr="0011386A">
        <w:tab/>
        <w:t>Projet de nouvelle Recommandation UIT-T Y.4233 (ex Y.FSPH): [</w:t>
      </w:r>
      <w:hyperlink r:id="rId17" w:history="1">
        <w:r w:rsidRPr="0011386A">
          <w:rPr>
            <w:rStyle w:val="Hyperlink"/>
            <w:rFonts w:cs="Calibri"/>
            <w:szCs w:val="24"/>
          </w:rPr>
          <w:t>R26</w:t>
        </w:r>
      </w:hyperlink>
      <w:r w:rsidRPr="0011386A">
        <w:t>]</w:t>
      </w:r>
    </w:p>
    <w:p w14:paraId="447AF2E0" w14:textId="77777777" w:rsidR="004B6E18" w:rsidRPr="0011386A" w:rsidRDefault="004B6E18" w:rsidP="00956FE6">
      <w:pPr>
        <w:pStyle w:val="headingb"/>
      </w:pPr>
      <w:r w:rsidRPr="0011386A">
        <w:t>Cadre de gestion intelligente des urgences de santé publique pour des villes intelligentes et durables</w:t>
      </w:r>
    </w:p>
    <w:p w14:paraId="3BC445B4" w14:textId="77777777" w:rsidR="004B6E18" w:rsidRPr="0011386A" w:rsidRDefault="004B6E18" w:rsidP="00956FE6">
      <w:pPr>
        <w:pStyle w:val="headingb"/>
      </w:pPr>
      <w:r w:rsidRPr="0011386A">
        <w:t>Résumé</w:t>
      </w:r>
    </w:p>
    <w:p w14:paraId="73B2EB6C" w14:textId="77777777" w:rsidR="004B6E18" w:rsidRPr="0011386A" w:rsidRDefault="004B6E18" w:rsidP="00956FE6">
      <w:pPr>
        <w:rPr>
          <w:lang w:eastAsia="zh-CN"/>
        </w:rPr>
      </w:pPr>
      <w:r w:rsidRPr="0011386A">
        <w:rPr>
          <w:lang w:eastAsia="zh-CN"/>
        </w:rPr>
        <w:t>Cette Recommandation définit le cadre de gestion intelligente de la santé publique dans les villes intelligentes et durables.</w:t>
      </w:r>
    </w:p>
    <w:p w14:paraId="31FE70B1" w14:textId="3C5A2927" w:rsidR="004B6E18" w:rsidRPr="0011386A" w:rsidRDefault="004B6E18" w:rsidP="00956FE6">
      <w:pPr>
        <w:rPr>
          <w:lang w:eastAsia="zh-CN"/>
        </w:rPr>
      </w:pPr>
      <w:r w:rsidRPr="0011386A">
        <w:rPr>
          <w:lang w:eastAsia="zh-CN"/>
        </w:rPr>
        <w:t>Les villes intelligentes et durables peuvent tirer parti d</w:t>
      </w:r>
      <w:r w:rsidR="00956FE6" w:rsidRPr="0011386A">
        <w:rPr>
          <w:lang w:eastAsia="zh-CN"/>
        </w:rPr>
        <w:t>'</w:t>
      </w:r>
      <w:r w:rsidRPr="0011386A">
        <w:rPr>
          <w:lang w:eastAsia="zh-CN"/>
        </w:rPr>
        <w:t>applications intelligentes fondées sur les données afin de gérer des ressources limitées et de les mettre en œuvre pour empêcher l'apparition de futures pandémies d</w:t>
      </w:r>
      <w:r w:rsidR="00956FE6" w:rsidRPr="0011386A">
        <w:rPr>
          <w:lang w:eastAsia="zh-CN"/>
        </w:rPr>
        <w:t>'</w:t>
      </w:r>
      <w:r w:rsidRPr="0011386A">
        <w:rPr>
          <w:lang w:eastAsia="zh-CN"/>
        </w:rPr>
        <w:t>une ampleur égale à la pandémie de COVID-19. L'application, dans les villes intelligentes et durables, de cadres de santé publique en vue de gérer de futures pandémies et épidémies et d'atteindre les Objectifs de développement durable (ODD) (ODD 3:</w:t>
      </w:r>
      <w:r w:rsidR="00956FE6" w:rsidRPr="0011386A">
        <w:rPr>
          <w:lang w:eastAsia="zh-CN"/>
        </w:rPr>
        <w:t> </w:t>
      </w:r>
      <w:r w:rsidRPr="0011386A">
        <w:rPr>
          <w:lang w:eastAsia="zh-CN"/>
        </w:rPr>
        <w:t>bonne santé, ODD 1: éradication de la pauvreté, et ODD 11: rendre les villes inclusives, sûres, résilientes et durables), ainsi que du Cadre de Sendai pour la réduction des risques de catastrophe, constitue un défi et sert un double objectif. L</w:t>
      </w:r>
      <w:r w:rsidR="00956FE6" w:rsidRPr="0011386A">
        <w:rPr>
          <w:lang w:eastAsia="zh-CN"/>
        </w:rPr>
        <w:t>'</w:t>
      </w:r>
      <w:r w:rsidRPr="0011386A">
        <w:rPr>
          <w:lang w:eastAsia="zh-CN"/>
        </w:rPr>
        <w:t>utilisation de cadres de communication d</w:t>
      </w:r>
      <w:r w:rsidR="00956FE6" w:rsidRPr="0011386A">
        <w:rPr>
          <w:lang w:eastAsia="zh-CN"/>
        </w:rPr>
        <w:t>'</w:t>
      </w:r>
      <w:r w:rsidRPr="0011386A">
        <w:rPr>
          <w:lang w:eastAsia="zh-CN"/>
        </w:rPr>
        <w:t>urgence et de santé publique appropriés facilitera la mise au point des modèles permettant de prédire la propagation des maladies, d'en déterminer l</w:t>
      </w:r>
      <w:r w:rsidR="00956FE6" w:rsidRPr="0011386A">
        <w:rPr>
          <w:lang w:eastAsia="zh-CN"/>
        </w:rPr>
        <w:t>'</w:t>
      </w:r>
      <w:r w:rsidRPr="0011386A">
        <w:rPr>
          <w:lang w:eastAsia="zh-CN"/>
        </w:rPr>
        <w:t>origine, de coordonner les mesures de confinement, de détecter et de signaler les symptômes, d</w:t>
      </w:r>
      <w:r w:rsidR="00956FE6" w:rsidRPr="0011386A">
        <w:rPr>
          <w:lang w:eastAsia="zh-CN"/>
        </w:rPr>
        <w:t>'</w:t>
      </w:r>
      <w:r w:rsidRPr="0011386A">
        <w:rPr>
          <w:lang w:eastAsia="zh-CN"/>
        </w:rPr>
        <w:t>identifier les souches virales et de fournir l'assistance à distance nécessaire en limitant les interactions humaines, grâce à une infrastructure basée sur l</w:t>
      </w:r>
      <w:r w:rsidR="00956FE6" w:rsidRPr="0011386A">
        <w:rPr>
          <w:lang w:eastAsia="zh-CN"/>
        </w:rPr>
        <w:t>'</w:t>
      </w:r>
      <w:r w:rsidRPr="0011386A">
        <w:rPr>
          <w:lang w:eastAsia="zh-CN"/>
        </w:rPr>
        <w:t>Internet des objets.</w:t>
      </w:r>
    </w:p>
    <w:p w14:paraId="093603DB" w14:textId="4CC8FC35" w:rsidR="004B6E18" w:rsidRPr="0011386A" w:rsidRDefault="004B6E18" w:rsidP="00956FE6">
      <w:pPr>
        <w:rPr>
          <w:lang w:eastAsia="zh-CN"/>
        </w:rPr>
      </w:pPr>
      <w:r w:rsidRPr="0011386A">
        <w:rPr>
          <w:lang w:eastAsia="zh-CN"/>
        </w:rPr>
        <w:t>Cette Recommandation est basée sur le rapport de l'initiative U4SSC intitulé "Gestion intelligente des urgences de santé publique et mises en œuvre des TIC</w:t>
      </w:r>
      <w:r w:rsidR="00956FE6" w:rsidRPr="0011386A">
        <w:rPr>
          <w:lang w:eastAsia="zh-CN"/>
        </w:rPr>
        <w:t>"</w:t>
      </w:r>
      <w:r w:rsidRPr="0011386A">
        <w:rPr>
          <w:lang w:eastAsia="zh-CN"/>
        </w:rPr>
        <w:t xml:space="preserve"> (Document [b-U4SSC-2] mentionné dans la bibliographie) et s</w:t>
      </w:r>
      <w:r w:rsidR="00956FE6" w:rsidRPr="0011386A">
        <w:rPr>
          <w:lang w:eastAsia="zh-CN"/>
        </w:rPr>
        <w:t>'</w:t>
      </w:r>
      <w:r w:rsidRPr="0011386A">
        <w:rPr>
          <w:lang w:eastAsia="zh-CN"/>
        </w:rPr>
        <w:t>articule comme suit: elle s'ouvre sur une analyse du contexte sanitaire et des cadres correspondants et présente un cadre de santé publique générique, qui définit le cycle de vie d'une pandémie. Ce cadre générique est ensuite lié aux concepts de villes intelligentes et durables et de résilience des villes. De plus, cette Recommandation illustre, à l'aide de diagrammes en langage de modélisation unifié (ULM), la façon d'appliquer ce cadre au sein de villes intelligentes et durables et met en avant les composants de ces villes qui contribuent à l'application dudit cadre.</w:t>
      </w:r>
    </w:p>
    <w:p w14:paraId="783E9BF5" w14:textId="77777777" w:rsidR="004B6E18" w:rsidRPr="0011386A" w:rsidRDefault="004B6E18" w:rsidP="00956FE6">
      <w:pPr>
        <w:pStyle w:val="Heading1"/>
      </w:pPr>
      <w:r w:rsidRPr="0011386A">
        <w:t>7</w:t>
      </w:r>
      <w:r w:rsidRPr="0011386A">
        <w:tab/>
        <w:t xml:space="preserve">Projet de nouvelle Recommandation UIT-T </w:t>
      </w:r>
      <w:r w:rsidRPr="0011386A">
        <w:rPr>
          <w:lang w:eastAsia="zh-CN"/>
        </w:rPr>
        <w:t>Y.4234 (ex Y.RemoteEd): [</w:t>
      </w:r>
      <w:hyperlink r:id="rId18" w:history="1">
        <w:r w:rsidRPr="0011386A">
          <w:rPr>
            <w:rStyle w:val="Hyperlink"/>
            <w:rFonts w:cs="Calibri"/>
            <w:szCs w:val="24"/>
            <w:lang w:eastAsia="zh-CN"/>
          </w:rPr>
          <w:t>R27</w:t>
        </w:r>
      </w:hyperlink>
      <w:r w:rsidRPr="0011386A">
        <w:rPr>
          <w:lang w:eastAsia="zh-CN"/>
        </w:rPr>
        <w:t>]</w:t>
      </w:r>
    </w:p>
    <w:p w14:paraId="14F1F713" w14:textId="77777777" w:rsidR="004B6E18" w:rsidRPr="0011386A" w:rsidRDefault="004B6E18" w:rsidP="00956FE6">
      <w:pPr>
        <w:pStyle w:val="headingb"/>
      </w:pPr>
      <w:r w:rsidRPr="0011386A">
        <w:t>Exigences, capacités et modèles de déploiement pour le cyberapprentissage dans le cadre de cours à distance</w:t>
      </w:r>
    </w:p>
    <w:p w14:paraId="21A04B20" w14:textId="77777777" w:rsidR="004B6E18" w:rsidRPr="0011386A" w:rsidRDefault="004B6E18" w:rsidP="00956FE6">
      <w:pPr>
        <w:pStyle w:val="headingb"/>
      </w:pPr>
      <w:r w:rsidRPr="0011386A">
        <w:t>Résumé</w:t>
      </w:r>
    </w:p>
    <w:p w14:paraId="1D6EDF72" w14:textId="43B25B71" w:rsidR="004B6E18" w:rsidRPr="0011386A" w:rsidRDefault="004B6E18" w:rsidP="00771D96">
      <w:pPr>
        <w:outlineLvl w:val="0"/>
        <w:rPr>
          <w:rFonts w:cs="Mangal"/>
          <w:lang w:eastAsia="zh-CN"/>
        </w:rPr>
      </w:pPr>
      <w:r w:rsidRPr="0011386A">
        <w:rPr>
          <w:rFonts w:cs="Calibri"/>
          <w:lang w:eastAsia="zh-CN"/>
        </w:rPr>
        <w:t>La présente Recommandation décrit le concept de cyberapprentissage dans le cadre de cours à distance, c</w:t>
      </w:r>
      <w:r w:rsidR="00956FE6" w:rsidRPr="0011386A">
        <w:rPr>
          <w:rFonts w:cs="Calibri"/>
          <w:lang w:eastAsia="zh-CN"/>
        </w:rPr>
        <w:t>'</w:t>
      </w:r>
      <w:r w:rsidRPr="0011386A">
        <w:rPr>
          <w:rFonts w:cs="Calibri"/>
          <w:lang w:eastAsia="zh-CN"/>
        </w:rPr>
        <w:t>est-à-dire des cours où l</w:t>
      </w:r>
      <w:r w:rsidR="00956FE6" w:rsidRPr="0011386A">
        <w:rPr>
          <w:rFonts w:cs="Calibri"/>
          <w:lang w:eastAsia="zh-CN"/>
        </w:rPr>
        <w:t>'</w:t>
      </w:r>
      <w:r w:rsidRPr="0011386A">
        <w:rPr>
          <w:rFonts w:cs="Calibri"/>
          <w:lang w:eastAsia="zh-CN"/>
        </w:rPr>
        <w:t>infrastructure des technologies de l</w:t>
      </w:r>
      <w:r w:rsidR="00956FE6" w:rsidRPr="0011386A">
        <w:rPr>
          <w:rFonts w:cs="Calibri"/>
          <w:lang w:eastAsia="zh-CN"/>
        </w:rPr>
        <w:t>'</w:t>
      </w:r>
      <w:r w:rsidRPr="0011386A">
        <w:rPr>
          <w:rFonts w:cs="Calibri"/>
          <w:lang w:eastAsia="zh-CN"/>
        </w:rPr>
        <w:t>information et de la communication (TIC) et des moyens de cyberapprentissage, tels que la connectivité numérique, les ordinateurs, les applications informatiques, la collaboration virtuelle et les catalogues éducatifs en ligne et numériques, sont mis à la disposition des apprenants pour qu</w:t>
      </w:r>
      <w:r w:rsidR="0011386A" w:rsidRPr="0011386A">
        <w:rPr>
          <w:rFonts w:cs="Calibri"/>
          <w:lang w:eastAsia="zh-CN"/>
        </w:rPr>
        <w:t>'</w:t>
      </w:r>
      <w:r w:rsidRPr="0011386A">
        <w:rPr>
          <w:rFonts w:cs="Calibri"/>
          <w:lang w:eastAsia="zh-CN"/>
        </w:rPr>
        <w:t>ils puissent se former.</w:t>
      </w:r>
    </w:p>
    <w:p w14:paraId="417EE391" w14:textId="558AF804" w:rsidR="004B6E18" w:rsidRPr="0011386A" w:rsidRDefault="004B6E18" w:rsidP="00956FE6">
      <w:pPr>
        <w:rPr>
          <w:lang w:eastAsia="zh-CN"/>
        </w:rPr>
      </w:pPr>
      <w:r w:rsidRPr="0011386A">
        <w:rPr>
          <w:lang w:eastAsia="zh-CN"/>
        </w:rPr>
        <w:lastRenderedPageBreak/>
        <w:t>Dans la plupart des pays, des disparités importantes et croissantes en matière d</w:t>
      </w:r>
      <w:r w:rsidR="00956FE6" w:rsidRPr="0011386A">
        <w:rPr>
          <w:lang w:eastAsia="zh-CN"/>
        </w:rPr>
        <w:t>'</w:t>
      </w:r>
      <w:r w:rsidRPr="0011386A">
        <w:rPr>
          <w:lang w:eastAsia="zh-CN"/>
        </w:rPr>
        <w:t>accès à une éducation de qualité existent entre les zones rurales et isolées et les zones urbaines. Diverses organisations internationales (par exemple, l</w:t>
      </w:r>
      <w:r w:rsidR="00956FE6" w:rsidRPr="0011386A">
        <w:rPr>
          <w:lang w:eastAsia="zh-CN"/>
        </w:rPr>
        <w:t>'</w:t>
      </w:r>
      <w:r w:rsidRPr="0011386A">
        <w:rPr>
          <w:lang w:eastAsia="zh-CN"/>
        </w:rPr>
        <w:t>Organisation des Nations Unies (ONU), l</w:t>
      </w:r>
      <w:r w:rsidR="00956FE6" w:rsidRPr="0011386A">
        <w:rPr>
          <w:lang w:eastAsia="zh-CN"/>
        </w:rPr>
        <w:t>'</w:t>
      </w:r>
      <w:r w:rsidRPr="0011386A">
        <w:rPr>
          <w:lang w:eastAsia="zh-CN"/>
        </w:rPr>
        <w:t>Union</w:t>
      </w:r>
      <w:r w:rsidR="005E7C27" w:rsidRPr="0011386A">
        <w:rPr>
          <w:lang w:eastAsia="zh-CN"/>
        </w:rPr>
        <w:t> </w:t>
      </w:r>
      <w:r w:rsidRPr="0011386A">
        <w:rPr>
          <w:lang w:eastAsia="zh-CN"/>
        </w:rPr>
        <w:t>internationale des télécommunications (UIT), etc.) et de nombreux organismes nationaux (tels que des ministères) du monde entier ont reconnu la nécessité de déployer urgemment des efforts concertés en vue de concrétiser la promesse d</w:t>
      </w:r>
      <w:r w:rsidR="00956FE6" w:rsidRPr="0011386A">
        <w:rPr>
          <w:lang w:eastAsia="zh-CN"/>
        </w:rPr>
        <w:t>'</w:t>
      </w:r>
      <w:r w:rsidRPr="0011386A">
        <w:rPr>
          <w:lang w:eastAsia="zh-CN"/>
        </w:rPr>
        <w:t>universalisation de l</w:t>
      </w:r>
      <w:r w:rsidR="00956FE6" w:rsidRPr="0011386A">
        <w:rPr>
          <w:lang w:eastAsia="zh-CN"/>
        </w:rPr>
        <w:t>'</w:t>
      </w:r>
      <w:r w:rsidRPr="0011386A">
        <w:rPr>
          <w:lang w:eastAsia="zh-CN"/>
        </w:rPr>
        <w:t>éducation.</w:t>
      </w:r>
    </w:p>
    <w:p w14:paraId="3BED12A2" w14:textId="50AFAEF1" w:rsidR="004B6E18" w:rsidRPr="0011386A" w:rsidRDefault="004B6E18" w:rsidP="00956FE6">
      <w:pPr>
        <w:rPr>
          <w:lang w:eastAsia="zh-CN"/>
        </w:rPr>
      </w:pPr>
      <w:r w:rsidRPr="0011386A">
        <w:rPr>
          <w:lang w:eastAsia="zh-CN"/>
        </w:rPr>
        <w:t>Il est également clair que l</w:t>
      </w:r>
      <w:r w:rsidR="00956FE6" w:rsidRPr="0011386A">
        <w:rPr>
          <w:lang w:eastAsia="zh-CN"/>
        </w:rPr>
        <w:t>'</w:t>
      </w:r>
      <w:r w:rsidRPr="0011386A">
        <w:rPr>
          <w:lang w:eastAsia="zh-CN"/>
        </w:rPr>
        <w:t>avenir de l</w:t>
      </w:r>
      <w:r w:rsidR="00956FE6" w:rsidRPr="0011386A">
        <w:rPr>
          <w:lang w:eastAsia="zh-CN"/>
        </w:rPr>
        <w:t>'</w:t>
      </w:r>
      <w:r w:rsidRPr="0011386A">
        <w:rPr>
          <w:lang w:eastAsia="zh-CN"/>
        </w:rPr>
        <w:t>éducation est numérique et immersif, et que l</w:t>
      </w:r>
      <w:r w:rsidR="00956FE6" w:rsidRPr="0011386A">
        <w:rPr>
          <w:lang w:eastAsia="zh-CN"/>
        </w:rPr>
        <w:t>'</w:t>
      </w:r>
      <w:r w:rsidRPr="0011386A">
        <w:rPr>
          <w:lang w:eastAsia="zh-CN"/>
        </w:rPr>
        <w:t>éducation de demain dépendra fortement de l</w:t>
      </w:r>
      <w:r w:rsidR="00956FE6" w:rsidRPr="0011386A">
        <w:rPr>
          <w:lang w:eastAsia="zh-CN"/>
        </w:rPr>
        <w:t>'</w:t>
      </w:r>
      <w:r w:rsidRPr="0011386A">
        <w:rPr>
          <w:lang w:eastAsia="zh-CN"/>
        </w:rPr>
        <w:t>accès aux infrastructures TIC et à une connectivité appropriées.</w:t>
      </w:r>
    </w:p>
    <w:p w14:paraId="10F0AC58" w14:textId="17F20E22" w:rsidR="004B6E18" w:rsidRPr="0011386A" w:rsidRDefault="004B6E18" w:rsidP="00956FE6">
      <w:pPr>
        <w:rPr>
          <w:cs/>
          <w:lang w:eastAsia="zh-CN" w:bidi="hi-IN"/>
        </w:rPr>
      </w:pPr>
      <w:r w:rsidRPr="0011386A">
        <w:rPr>
          <w:lang w:eastAsia="zh-CN"/>
        </w:rPr>
        <w:t>Dans le même temps, on assiste à une grave pénurie de personnel enseignant qualifié, tant dans les pays développés que dans les pays en développement, et la situation est bien pire dans les zones isolées et mal desservies. La plupart de ces zones comptent peu d</w:t>
      </w:r>
      <w:r w:rsidR="00772460" w:rsidRPr="0011386A">
        <w:rPr>
          <w:lang w:eastAsia="zh-CN"/>
        </w:rPr>
        <w:t>'</w:t>
      </w:r>
      <w:r w:rsidRPr="0011386A">
        <w:rPr>
          <w:lang w:eastAsia="zh-CN"/>
        </w:rPr>
        <w:t>enseignants, et seuls quelques</w:t>
      </w:r>
      <w:r w:rsidR="00772460" w:rsidRPr="0011386A">
        <w:rPr>
          <w:lang w:eastAsia="zh-CN"/>
        </w:rPr>
        <w:noBreakHyphen/>
      </w:r>
      <w:r w:rsidRPr="0011386A">
        <w:rPr>
          <w:lang w:eastAsia="zh-CN"/>
        </w:rPr>
        <w:t>uns sont capables de répondre aux exigences des programmes d</w:t>
      </w:r>
      <w:r w:rsidR="0011386A" w:rsidRPr="0011386A">
        <w:rPr>
          <w:lang w:eastAsia="zh-CN"/>
        </w:rPr>
        <w:t>'</w:t>
      </w:r>
      <w:r w:rsidRPr="0011386A">
        <w:rPr>
          <w:lang w:eastAsia="zh-CN"/>
        </w:rPr>
        <w:t>enseignement, qui évoluent rapidement. Outre l</w:t>
      </w:r>
      <w:r w:rsidR="00772460" w:rsidRPr="0011386A">
        <w:rPr>
          <w:lang w:eastAsia="zh-CN"/>
        </w:rPr>
        <w:t>'</w:t>
      </w:r>
      <w:r w:rsidRPr="0011386A">
        <w:rPr>
          <w:lang w:eastAsia="zh-CN"/>
        </w:rPr>
        <w:t>éducation et l</w:t>
      </w:r>
      <w:r w:rsidR="00772460" w:rsidRPr="0011386A">
        <w:rPr>
          <w:lang w:eastAsia="zh-CN"/>
        </w:rPr>
        <w:t>'</w:t>
      </w:r>
      <w:r w:rsidRPr="0011386A">
        <w:rPr>
          <w:lang w:eastAsia="zh-CN"/>
        </w:rPr>
        <w:t>apprentissage, ces zones isolées sont désavantagées en raison du manque d</w:t>
      </w:r>
      <w:r w:rsidR="00772460" w:rsidRPr="0011386A">
        <w:rPr>
          <w:lang w:eastAsia="zh-CN"/>
        </w:rPr>
        <w:t>'</w:t>
      </w:r>
      <w:r w:rsidRPr="0011386A">
        <w:rPr>
          <w:lang w:eastAsia="zh-CN"/>
        </w:rPr>
        <w:t>accès à d</w:t>
      </w:r>
      <w:r w:rsidR="00772460" w:rsidRPr="0011386A">
        <w:rPr>
          <w:lang w:eastAsia="zh-CN"/>
        </w:rPr>
        <w:t>'</w:t>
      </w:r>
      <w:r w:rsidRPr="0011386A">
        <w:rPr>
          <w:lang w:eastAsia="zh-CN"/>
        </w:rPr>
        <w:t>autres services, notamment de santé et de développement des capacités professionnelles. De nouvelles normes sont nécessaires pour réduire la fracture numérique et atténuer les disparités croissantes, en veillant à ce que de plus en plus de services en ligne soient fournis équitablement dans les zones isolées et mal desservies.</w:t>
      </w:r>
    </w:p>
    <w:p w14:paraId="7C105720" w14:textId="742BEAD8" w:rsidR="004B6E18" w:rsidRPr="0011386A" w:rsidRDefault="004B6E18" w:rsidP="00956FE6">
      <w:pPr>
        <w:rPr>
          <w:cs/>
          <w:lang w:eastAsia="zh-CN"/>
        </w:rPr>
      </w:pPr>
      <w:r w:rsidRPr="0011386A">
        <w:rPr>
          <w:lang w:eastAsia="zh-CN"/>
        </w:rPr>
        <w:t>Cette Recommandation décrit les défis et les considérations liés à la fourniture d</w:t>
      </w:r>
      <w:r w:rsidR="00772460" w:rsidRPr="0011386A">
        <w:rPr>
          <w:lang w:eastAsia="zh-CN"/>
        </w:rPr>
        <w:t>'</w:t>
      </w:r>
      <w:r w:rsidRPr="0011386A">
        <w:rPr>
          <w:lang w:eastAsia="zh-CN"/>
        </w:rPr>
        <w:t>un enseignement numérique dans les écoles isolées, et définit les exigences, les capacités et les modèles de déploiement permettant d'assurer des services d</w:t>
      </w:r>
      <w:r w:rsidR="00772460" w:rsidRPr="0011386A">
        <w:rPr>
          <w:lang w:eastAsia="zh-CN"/>
        </w:rPr>
        <w:t>'</w:t>
      </w:r>
      <w:r w:rsidRPr="0011386A">
        <w:rPr>
          <w:lang w:eastAsia="zh-CN"/>
        </w:rPr>
        <w:t>apprentissage en ligne de haute qualité dans les zones rurales et isolées, au moyen de cours à distance.</w:t>
      </w:r>
    </w:p>
    <w:p w14:paraId="19EB5872" w14:textId="77777777" w:rsidR="004B6E18" w:rsidRPr="0011386A" w:rsidRDefault="004B6E18" w:rsidP="00772460">
      <w:pPr>
        <w:pStyle w:val="Heading1"/>
        <w:rPr>
          <w:sz w:val="28"/>
        </w:rPr>
      </w:pPr>
      <w:r w:rsidRPr="0011386A">
        <w:t>8</w:t>
      </w:r>
      <w:r w:rsidRPr="0011386A">
        <w:tab/>
        <w:t>Projet de nouvelle Recommandation UIT-T Y.4222 (ex Y.smart-evacuation): [</w:t>
      </w:r>
      <w:hyperlink r:id="rId19" w:history="1">
        <w:r w:rsidRPr="0011386A">
          <w:rPr>
            <w:rStyle w:val="Hyperlink"/>
            <w:rFonts w:cs="Calibri"/>
            <w:szCs w:val="24"/>
          </w:rPr>
          <w:t>R28</w:t>
        </w:r>
      </w:hyperlink>
      <w:r w:rsidRPr="0011386A">
        <w:rPr>
          <w:sz w:val="28"/>
        </w:rPr>
        <w:t>]</w:t>
      </w:r>
    </w:p>
    <w:p w14:paraId="74ACBD97" w14:textId="77777777" w:rsidR="004B6E18" w:rsidRPr="0011386A" w:rsidRDefault="004B6E18" w:rsidP="00772460">
      <w:pPr>
        <w:pStyle w:val="headingb"/>
      </w:pPr>
      <w:r w:rsidRPr="0011386A">
        <w:t>Cadre pour des opérations d'évacuation intelligentes en cas de catastrophe ou de situation d'urgence dans les villes et les communautés intelligentes</w:t>
      </w:r>
    </w:p>
    <w:p w14:paraId="21F24231" w14:textId="77777777" w:rsidR="004B6E18" w:rsidRPr="0011386A" w:rsidRDefault="004B6E18" w:rsidP="00772460">
      <w:pPr>
        <w:pStyle w:val="headingb"/>
      </w:pPr>
      <w:r w:rsidRPr="0011386A">
        <w:t>Résumé</w:t>
      </w:r>
    </w:p>
    <w:p w14:paraId="65E220D9" w14:textId="57946197" w:rsidR="004B6E18" w:rsidRPr="0011386A" w:rsidRDefault="004B6E18" w:rsidP="00772460">
      <w:pPr>
        <w:rPr>
          <w:color w:val="000000"/>
          <w:u w:color="000000"/>
          <w:bdr w:val="nil"/>
          <w14:textOutline w14:w="12700" w14:cap="flat" w14:cmpd="sng" w14:algn="ctr">
            <w14:noFill/>
            <w14:prstDash w14:val="solid"/>
            <w14:miter w14:lim="400000"/>
          </w14:textOutline>
        </w:rPr>
      </w:pPr>
      <w:r w:rsidRPr="0011386A">
        <w:rPr>
          <w:color w:val="000000"/>
          <w:u w:color="000000"/>
          <w:bdr w:val="nil"/>
          <w:lang w:eastAsia="ko-KR"/>
          <w14:textOutline w14:w="12700" w14:cap="flat" w14:cmpd="sng" w14:algn="ctr">
            <w14:noFill/>
            <w14:prstDash w14:val="solid"/>
            <w14:miter w14:lim="400000"/>
          </w14:textOutline>
        </w:rPr>
        <w:t xml:space="preserve">Les opérations d'évacuation intelligentes permettent de faciliter la mise en œuvre de solutions efficaces et efficientes pour les personnes se trouvant dans une zone touchée par une catastrophe ou une situation d'urgence, ainsi que pour les personnes qui doivent entrer dans ces zones afin d'y intervenir. </w:t>
      </w:r>
      <w:r w:rsidRPr="0011386A">
        <w:t>L'Internet des objets (IoT) et les technologies relatives aux villes et aux communautés intelligentes pourraient être utilisés pour assurer une évacuation intelligente en cas de catastrophe ou dans une situation d'urgence.</w:t>
      </w:r>
    </w:p>
    <w:p w14:paraId="2F1316E0" w14:textId="77777777" w:rsidR="004B6E18" w:rsidRPr="0011386A" w:rsidRDefault="004B6E18" w:rsidP="00772460">
      <w:pPr>
        <w:rPr>
          <w:color w:val="000000"/>
          <w:u w:color="000000"/>
          <w:bdr w:val="nil"/>
          <w14:textOutline w14:w="12700" w14:cap="flat" w14:cmpd="sng" w14:algn="ctr">
            <w14:noFill/>
            <w14:prstDash w14:val="solid"/>
            <w14:miter w14:lim="400000"/>
          </w14:textOutline>
        </w:rPr>
      </w:pPr>
      <w:r w:rsidRPr="0011386A">
        <w:t>Cette Recommandation décrit les concepts et les caractéristiques de la gestion intelligente des évacuations en cas de catastrophe ou dans une situation d'urgence. Elle définit les exigences de haut niveau et l'infrastructure TIC pour l'évacuation intelligente, ainsi que les cas d'utilisation en cas de catastrophe et dans une situation d'urgence.</w:t>
      </w:r>
    </w:p>
    <w:p w14:paraId="0A615463" w14:textId="77777777" w:rsidR="004B6E18" w:rsidRPr="0011386A" w:rsidRDefault="004B6E18" w:rsidP="00772460">
      <w:pPr>
        <w:rPr>
          <w:u w:color="000000"/>
          <w:bdr w:val="nil"/>
          <w14:textOutline w14:w="12700" w14:cap="flat" w14:cmpd="sng" w14:algn="ctr">
            <w14:noFill/>
            <w14:prstDash w14:val="solid"/>
            <w14:miter w14:lim="400000"/>
          </w14:textOutline>
        </w:rPr>
      </w:pPr>
      <w:r w:rsidRPr="0011386A">
        <w:t>La mise en place d'un service d'évacuation intelligent permettra de maintenir le niveau de confort qu'offrent les villes intelligentes à la population, même lors d'une situation d'urgence. Il s'agit d'un aspect fondamental pour justifier les coûts considérables du matériel qu'exige le développement rapide des villes intelligentes à travers le monde, alors que les situations d'urgence sont de plus en plus fréquentes dans le monde entier.</w:t>
      </w:r>
    </w:p>
    <w:p w14:paraId="52EF189B" w14:textId="77777777" w:rsidR="004B6E18" w:rsidRPr="0011386A" w:rsidRDefault="004B6E18" w:rsidP="00772460">
      <w:pPr>
        <w:pStyle w:val="Heading1"/>
      </w:pPr>
      <w:r w:rsidRPr="0011386A">
        <w:lastRenderedPageBreak/>
        <w:t>9</w:t>
      </w:r>
      <w:r w:rsidRPr="0011386A">
        <w:tab/>
        <w:t>Projet de nouvelle Recommandation UIT-T Y.4507 (ex Y.arc-psfws): [</w:t>
      </w:r>
      <w:hyperlink r:id="rId20" w:history="1">
        <w:r w:rsidRPr="0011386A">
          <w:rPr>
            <w:rStyle w:val="Hyperlink"/>
            <w:rFonts w:cs="Calibri"/>
            <w:szCs w:val="24"/>
          </w:rPr>
          <w:t>R29</w:t>
        </w:r>
      </w:hyperlink>
      <w:r w:rsidRPr="0011386A">
        <w:t>]</w:t>
      </w:r>
    </w:p>
    <w:p w14:paraId="398FC674" w14:textId="77777777" w:rsidR="004B6E18" w:rsidRPr="0011386A" w:rsidRDefault="004B6E18" w:rsidP="00772460">
      <w:pPr>
        <w:pStyle w:val="headingb"/>
      </w:pPr>
      <w:bookmarkStart w:id="4" w:name="_Hlk179541219"/>
      <w:r w:rsidRPr="0011386A">
        <w:t>Architecture fonctionnelle d'un système d'alerte pour les installations d'alimentation électrique</w:t>
      </w:r>
      <w:bookmarkEnd w:id="4"/>
    </w:p>
    <w:p w14:paraId="5BBD294E" w14:textId="77777777" w:rsidR="004B6E18" w:rsidRPr="0011386A" w:rsidRDefault="004B6E18" w:rsidP="00772460">
      <w:pPr>
        <w:pStyle w:val="headingb"/>
      </w:pPr>
      <w:r w:rsidRPr="0011386A">
        <w:t>Résumé</w:t>
      </w:r>
    </w:p>
    <w:p w14:paraId="02E67506" w14:textId="0CAEBF93" w:rsidR="004B6E18" w:rsidRPr="0011386A" w:rsidRDefault="004B6E18" w:rsidP="00772460">
      <w:pPr>
        <w:rPr>
          <w:lang w:eastAsia="zh-CN"/>
        </w:rPr>
      </w:pPr>
      <w:r w:rsidRPr="0011386A">
        <w:rPr>
          <w:lang w:eastAsia="zh-CN"/>
        </w:rPr>
        <w:t>Le système d</w:t>
      </w:r>
      <w:r w:rsidR="00772460" w:rsidRPr="0011386A">
        <w:rPr>
          <w:lang w:eastAsia="zh-CN"/>
        </w:rPr>
        <w:t>'</w:t>
      </w:r>
      <w:r w:rsidRPr="0011386A">
        <w:rPr>
          <w:lang w:eastAsia="zh-CN"/>
        </w:rPr>
        <w:t>alerte avancée des installations d</w:t>
      </w:r>
      <w:r w:rsidR="00772460" w:rsidRPr="0011386A">
        <w:rPr>
          <w:lang w:eastAsia="zh-CN"/>
        </w:rPr>
        <w:t>'</w:t>
      </w:r>
      <w:r w:rsidRPr="0011386A">
        <w:rPr>
          <w:lang w:eastAsia="zh-CN"/>
        </w:rPr>
        <w:t>alimentation électrique basé sur la technologie de l</w:t>
      </w:r>
      <w:r w:rsidR="00772460" w:rsidRPr="0011386A">
        <w:rPr>
          <w:lang w:eastAsia="zh-CN"/>
        </w:rPr>
        <w:t>'</w:t>
      </w:r>
      <w:r w:rsidRPr="0011386A">
        <w:rPr>
          <w:lang w:eastAsia="zh-CN"/>
        </w:rPr>
        <w:t>Internet des objets permet de recueillir en temps réel les paramètres relatifs à l</w:t>
      </w:r>
      <w:r w:rsidR="00772460" w:rsidRPr="0011386A">
        <w:rPr>
          <w:lang w:eastAsia="zh-CN"/>
        </w:rPr>
        <w:t>'</w:t>
      </w:r>
      <w:r w:rsidRPr="0011386A">
        <w:rPr>
          <w:lang w:eastAsia="zh-CN"/>
        </w:rPr>
        <w:t>état des équipements électriques, ainsi que de faire des prévisions y afférentes et d</w:t>
      </w:r>
      <w:r w:rsidR="00772460" w:rsidRPr="0011386A">
        <w:rPr>
          <w:lang w:eastAsia="zh-CN"/>
        </w:rPr>
        <w:t>'</w:t>
      </w:r>
      <w:r w:rsidRPr="0011386A">
        <w:rPr>
          <w:lang w:eastAsia="zh-CN"/>
        </w:rPr>
        <w:t>émettre des alertes précoces en cas de défaillance, grâce au modèle d</w:t>
      </w:r>
      <w:r w:rsidR="00772460" w:rsidRPr="0011386A">
        <w:rPr>
          <w:lang w:eastAsia="zh-CN"/>
        </w:rPr>
        <w:t>'</w:t>
      </w:r>
      <w:r w:rsidRPr="0011386A">
        <w:rPr>
          <w:lang w:eastAsia="zh-CN"/>
        </w:rPr>
        <w:t>évaluation de l</w:t>
      </w:r>
      <w:r w:rsidR="00772460" w:rsidRPr="0011386A">
        <w:rPr>
          <w:lang w:eastAsia="zh-CN"/>
        </w:rPr>
        <w:t>'</w:t>
      </w:r>
      <w:r w:rsidRPr="0011386A">
        <w:rPr>
          <w:lang w:eastAsia="zh-CN"/>
        </w:rPr>
        <w:t>état et d</w:t>
      </w:r>
      <w:r w:rsidR="0011386A" w:rsidRPr="0011386A">
        <w:rPr>
          <w:lang w:eastAsia="zh-CN"/>
        </w:rPr>
        <w:t>'</w:t>
      </w:r>
      <w:r w:rsidRPr="0011386A">
        <w:rPr>
          <w:lang w:eastAsia="zh-CN"/>
        </w:rPr>
        <w:t>alerte avancée. Ce système peut permettre de réduire les coûts liés à l</w:t>
      </w:r>
      <w:r w:rsidR="00772460" w:rsidRPr="0011386A">
        <w:rPr>
          <w:lang w:eastAsia="zh-CN"/>
        </w:rPr>
        <w:t>'</w:t>
      </w:r>
      <w:r w:rsidRPr="0011386A">
        <w:rPr>
          <w:lang w:eastAsia="zh-CN"/>
        </w:rPr>
        <w:t>exploitation des actifs et garantir la fiabilité de l</w:t>
      </w:r>
      <w:r w:rsidR="00772460" w:rsidRPr="0011386A">
        <w:rPr>
          <w:lang w:eastAsia="zh-CN"/>
        </w:rPr>
        <w:t>'</w:t>
      </w:r>
      <w:r w:rsidRPr="0011386A">
        <w:rPr>
          <w:lang w:eastAsia="zh-CN"/>
        </w:rPr>
        <w:t>alimentation électrique. Il est nécessaire de proposer un système d'alerte pour les installations d'alimentation électrique. Cette Recommandation décrit l'architecture fonctionnelle d'un système d'alerte pour les installations d'alimentation électrique, des cas d'utilisation et des flux de données</w:t>
      </w:r>
      <w:r w:rsidRPr="0011386A">
        <w:rPr>
          <w:bCs/>
          <w:lang w:eastAsia="zh-CN"/>
        </w:rPr>
        <w:t>.</w:t>
      </w:r>
    </w:p>
    <w:p w14:paraId="5E2418EE" w14:textId="77777777" w:rsidR="004B6E18" w:rsidRPr="0011386A" w:rsidRDefault="004B6E18" w:rsidP="00772460">
      <w:pPr>
        <w:pStyle w:val="Heading1"/>
      </w:pPr>
      <w:r w:rsidRPr="0011386A">
        <w:t>10</w:t>
      </w:r>
      <w:r w:rsidRPr="0011386A">
        <w:tab/>
        <w:t>Projet de nouvelle Recommandation UIT-T Y.4508 (ex Y.DPM-alm-fra): [</w:t>
      </w:r>
      <w:hyperlink r:id="rId21" w:history="1">
        <w:r w:rsidRPr="0011386A">
          <w:rPr>
            <w:rStyle w:val="Hyperlink"/>
            <w:rFonts w:cs="Calibri"/>
            <w:szCs w:val="24"/>
          </w:rPr>
          <w:t>R30</w:t>
        </w:r>
      </w:hyperlink>
      <w:r w:rsidRPr="0011386A">
        <w:t>]</w:t>
      </w:r>
    </w:p>
    <w:p w14:paraId="29DD53AE" w14:textId="77777777" w:rsidR="004B6E18" w:rsidRPr="0011386A" w:rsidRDefault="004B6E18" w:rsidP="00772460">
      <w:pPr>
        <w:pStyle w:val="headingb"/>
      </w:pPr>
      <w:r w:rsidRPr="0011386A">
        <w:t xml:space="preserve">Exigences fonctionnelles et architecture de la </w:t>
      </w:r>
      <w:bookmarkStart w:id="5" w:name="_Hlk179791516"/>
      <w:r w:rsidRPr="0011386A">
        <w:t xml:space="preserve">gestion des journaux d'activité </w:t>
      </w:r>
      <w:bookmarkEnd w:id="5"/>
      <w:r w:rsidRPr="0011386A">
        <w:t>sur la base de la chaîne de blocs pour le traitement et la gestion des données IoT</w:t>
      </w:r>
    </w:p>
    <w:p w14:paraId="2AE0164D" w14:textId="77777777" w:rsidR="004B6E18" w:rsidRPr="0011386A" w:rsidRDefault="004B6E18" w:rsidP="00772460">
      <w:pPr>
        <w:pStyle w:val="headingb"/>
      </w:pPr>
      <w:r w:rsidRPr="0011386A">
        <w:t>Résumé</w:t>
      </w:r>
    </w:p>
    <w:p w14:paraId="71C44483" w14:textId="17C4888B" w:rsidR="004B6E18" w:rsidRPr="0011386A" w:rsidRDefault="004B6E18" w:rsidP="00771D96">
      <w:pPr>
        <w:rPr>
          <w:rFonts w:cs="Calibri"/>
        </w:rPr>
      </w:pPr>
      <w:r w:rsidRPr="0011386A">
        <w:rPr>
          <w:rFonts w:cs="Calibri"/>
        </w:rPr>
        <w:t>De nombreuses plates-formes de l</w:t>
      </w:r>
      <w:r w:rsidR="00772460" w:rsidRPr="0011386A">
        <w:rPr>
          <w:rFonts w:cs="Calibri"/>
        </w:rPr>
        <w:t>'</w:t>
      </w:r>
      <w:r w:rsidRPr="0011386A">
        <w:rPr>
          <w:rFonts w:cs="Calibri"/>
        </w:rPr>
        <w:t>Internet des objets (IoT) permettent de traiter et de gérer les mêmes données IoT à différentes étapes et dans différents endroits. Dans les solutions traditionnelles, chacune des plates-formes IoT stocke généralement ses journaux d</w:t>
      </w:r>
      <w:r w:rsidR="00772460" w:rsidRPr="0011386A">
        <w:rPr>
          <w:rFonts w:cs="Calibri"/>
        </w:rPr>
        <w:t>'</w:t>
      </w:r>
      <w:r w:rsidRPr="0011386A">
        <w:rPr>
          <w:rFonts w:cs="Calibri"/>
        </w:rPr>
        <w:t>activité séparément dans son espace de stockage, en vue du traitement et de la gestion des données IoT (IoT DPM). Ces journaux d</w:t>
      </w:r>
      <w:r w:rsidR="00772460" w:rsidRPr="0011386A">
        <w:rPr>
          <w:rFonts w:cs="Calibri"/>
        </w:rPr>
        <w:t>'</w:t>
      </w:r>
      <w:r w:rsidRPr="0011386A">
        <w:rPr>
          <w:rFonts w:cs="Calibri"/>
        </w:rPr>
        <w:t>activité sont séparés et gérés par les plates-formes IoT. Par conséquent, l</w:t>
      </w:r>
      <w:r w:rsidR="00772460" w:rsidRPr="0011386A">
        <w:rPr>
          <w:rFonts w:cs="Calibri"/>
        </w:rPr>
        <w:t>'</w:t>
      </w:r>
      <w:r w:rsidRPr="0011386A">
        <w:rPr>
          <w:rFonts w:cs="Calibri"/>
        </w:rPr>
        <w:t>accessibilité et la fiabilité de ces journaux d</w:t>
      </w:r>
      <w:r w:rsidR="00772460" w:rsidRPr="0011386A">
        <w:rPr>
          <w:rFonts w:cs="Calibri"/>
        </w:rPr>
        <w:t>'</w:t>
      </w:r>
      <w:r w:rsidRPr="0011386A">
        <w:rPr>
          <w:rFonts w:cs="Calibri"/>
        </w:rPr>
        <w:t>activité ne sont pas garanties et il n</w:t>
      </w:r>
      <w:r w:rsidR="00772460" w:rsidRPr="0011386A">
        <w:rPr>
          <w:rFonts w:cs="Calibri"/>
        </w:rPr>
        <w:t>'</w:t>
      </w:r>
      <w:r w:rsidRPr="0011386A">
        <w:rPr>
          <w:rFonts w:cs="Calibri"/>
        </w:rPr>
        <w:t>est pas facile d'assurer la traçabilité des activités relatives à l'IoT DPM tout au long du cycle de vie des journaux d</w:t>
      </w:r>
      <w:r w:rsidR="00772460" w:rsidRPr="0011386A">
        <w:rPr>
          <w:rFonts w:cs="Calibri"/>
        </w:rPr>
        <w:t>'</w:t>
      </w:r>
      <w:r w:rsidRPr="0011386A">
        <w:rPr>
          <w:rFonts w:cs="Calibri"/>
        </w:rPr>
        <w:t>activité qui sont stockés et gérés par différentes plates-formes IoT.</w:t>
      </w:r>
    </w:p>
    <w:p w14:paraId="11854CCE" w14:textId="2456D991" w:rsidR="004B6E18" w:rsidRPr="0011386A" w:rsidRDefault="004B6E18" w:rsidP="00772460">
      <w:r w:rsidRPr="0011386A">
        <w:t>Afin de suivre les activités relatives au traitement et à la gestion des données IoT, différentes plates-formes IoT peuvent utiliser le même espace de stockage pour les journaux d</w:t>
      </w:r>
      <w:r w:rsidR="00772460" w:rsidRPr="0011386A">
        <w:t>'</w:t>
      </w:r>
      <w:r w:rsidRPr="0011386A">
        <w:t xml:space="preserve">activité ainsi que des fonctionnalités connexes. </w:t>
      </w:r>
      <w:r w:rsidRPr="0011386A">
        <w:rPr>
          <w:rFonts w:eastAsiaTheme="minorEastAsia"/>
        </w:rPr>
        <w:t>La gestion des journaux d</w:t>
      </w:r>
      <w:r w:rsidR="00772460" w:rsidRPr="0011386A">
        <w:rPr>
          <w:rFonts w:eastAsiaTheme="minorEastAsia"/>
        </w:rPr>
        <w:t>'</w:t>
      </w:r>
      <w:r w:rsidRPr="0011386A">
        <w:rPr>
          <w:rFonts w:eastAsiaTheme="minorEastAsia"/>
        </w:rPr>
        <w:t>activité (ALM) basée sur les technologies de la chaîne de blocs offre des fonctionnalités permettant de gérer les journaux d</w:t>
      </w:r>
      <w:r w:rsidR="00772460" w:rsidRPr="0011386A">
        <w:rPr>
          <w:rFonts w:eastAsiaTheme="minorEastAsia"/>
        </w:rPr>
        <w:t>'</w:t>
      </w:r>
      <w:r w:rsidRPr="0011386A">
        <w:rPr>
          <w:rFonts w:eastAsiaTheme="minorEastAsia"/>
        </w:rPr>
        <w:t>activité dans le cadre de l'IoT DPM tout au long du cycle de vie sur différentes plates-formes IoT.</w:t>
      </w:r>
      <w:r w:rsidRPr="0011386A">
        <w:rPr>
          <w:lang w:eastAsia="zh-CN"/>
        </w:rPr>
        <w:t xml:space="preserve"> Ces dernières peuvent sauvegarder individuellement les journaux d</w:t>
      </w:r>
      <w:r w:rsidR="00772460" w:rsidRPr="0011386A">
        <w:rPr>
          <w:lang w:eastAsia="zh-CN"/>
        </w:rPr>
        <w:t>'</w:t>
      </w:r>
      <w:r w:rsidRPr="0011386A">
        <w:rPr>
          <w:lang w:eastAsia="zh-CN"/>
        </w:rPr>
        <w:t>activité d'</w:t>
      </w:r>
      <w:r w:rsidRPr="0011386A">
        <w:rPr>
          <w:rFonts w:eastAsiaTheme="minorEastAsia"/>
        </w:rPr>
        <w:t>IoT DPM</w:t>
      </w:r>
      <w:r w:rsidRPr="0011386A">
        <w:rPr>
          <w:lang w:eastAsia="zh-CN"/>
        </w:rPr>
        <w:t xml:space="preserve"> dans un espace de stockage partagé et digne de confiance dans le cadre de la gestion de journaux d'activité aux fins d'IoT DPM. Lorsqu</w:t>
      </w:r>
      <w:r w:rsidR="00772460" w:rsidRPr="0011386A">
        <w:rPr>
          <w:lang w:eastAsia="zh-CN"/>
        </w:rPr>
        <w:t>'</w:t>
      </w:r>
      <w:r w:rsidRPr="0011386A">
        <w:rPr>
          <w:lang w:eastAsia="zh-CN"/>
        </w:rPr>
        <w:t>elles consultent les journaux d</w:t>
      </w:r>
      <w:r w:rsidR="00772460" w:rsidRPr="0011386A">
        <w:rPr>
          <w:lang w:eastAsia="zh-CN"/>
        </w:rPr>
        <w:t>'</w:t>
      </w:r>
      <w:r w:rsidRPr="0011386A">
        <w:rPr>
          <w:lang w:eastAsia="zh-CN"/>
        </w:rPr>
        <w:t>activité d'IoT DPM dans le cadre de l'ALM, les plates-formes IoT peuvent obtenir tous les journaux d</w:t>
      </w:r>
      <w:r w:rsidR="00772460" w:rsidRPr="0011386A">
        <w:rPr>
          <w:lang w:eastAsia="zh-CN"/>
        </w:rPr>
        <w:t>'</w:t>
      </w:r>
      <w:r w:rsidRPr="0011386A">
        <w:rPr>
          <w:lang w:eastAsia="zh-CN"/>
        </w:rPr>
        <w:t>activité d'IoT DPM pertinents tout au long du cycle de vie à partir d</w:t>
      </w:r>
      <w:r w:rsidR="00772460" w:rsidRPr="0011386A">
        <w:rPr>
          <w:lang w:eastAsia="zh-CN"/>
        </w:rPr>
        <w:t>'</w:t>
      </w:r>
      <w:r w:rsidRPr="0011386A">
        <w:rPr>
          <w:lang w:eastAsia="zh-CN"/>
        </w:rPr>
        <w:t>un espace de stockage partagé et digne de confiance durant l'ALM réalisée aux fins d'IoT DPM, si elles y sont autorisées. L'ALM et le stockage partagé et digne de confiance sont basés sur les technologies de la chaîne de blocs et peuvent protéger les journaux d</w:t>
      </w:r>
      <w:r w:rsidR="00772460" w:rsidRPr="0011386A">
        <w:rPr>
          <w:lang w:eastAsia="zh-CN"/>
        </w:rPr>
        <w:t>'</w:t>
      </w:r>
      <w:r w:rsidRPr="0011386A">
        <w:rPr>
          <w:lang w:eastAsia="zh-CN"/>
        </w:rPr>
        <w:t>activité contre toute altération. L'ALM peut faciliter le stockage et la traçabilité des journaux d</w:t>
      </w:r>
      <w:r w:rsidR="00772460" w:rsidRPr="0011386A">
        <w:rPr>
          <w:lang w:eastAsia="zh-CN"/>
        </w:rPr>
        <w:t>'</w:t>
      </w:r>
      <w:r w:rsidRPr="0011386A">
        <w:rPr>
          <w:lang w:eastAsia="zh-CN"/>
        </w:rPr>
        <w:t>activité d'IoT DPM sur les plates-formes d'IoT tout au long du cycle de vie, de manière transparente et fiable.</w:t>
      </w:r>
    </w:p>
    <w:p w14:paraId="41E02E03" w14:textId="21259724" w:rsidR="004B6E18" w:rsidRPr="0011386A" w:rsidRDefault="004B6E18" w:rsidP="00772460">
      <w:pPr>
        <w:rPr>
          <w:lang w:eastAsia="zh-CN"/>
        </w:rPr>
      </w:pPr>
      <w:r w:rsidRPr="0011386A">
        <w:t>Cette Recommandation présente un processus de gestion des journaux d'activité fondé sur la chaîne de blocs pour le traitement et la gestion des données IoT, et en définit les caractéristiques, les exigences fonctionnelles et l</w:t>
      </w:r>
      <w:r w:rsidR="00772460" w:rsidRPr="0011386A">
        <w:t>'</w:t>
      </w:r>
      <w:r w:rsidRPr="0011386A">
        <w:t>architecture.</w:t>
      </w:r>
    </w:p>
    <w:p w14:paraId="50520540" w14:textId="77777777" w:rsidR="004B6E18" w:rsidRPr="0011386A" w:rsidRDefault="004B6E18" w:rsidP="00772460">
      <w:pPr>
        <w:pStyle w:val="Heading1"/>
      </w:pPr>
      <w:r w:rsidRPr="0011386A">
        <w:lastRenderedPageBreak/>
        <w:t>11</w:t>
      </w:r>
      <w:r w:rsidRPr="0011386A">
        <w:tab/>
        <w:t>Projet de nouvelle Recommandation UIT-T Y.4706 (ex Y.dem-IoT): [</w:t>
      </w:r>
      <w:hyperlink r:id="rId22" w:history="1">
        <w:r w:rsidRPr="0011386A">
          <w:rPr>
            <w:rStyle w:val="Hyperlink"/>
            <w:rFonts w:cs="Calibri"/>
            <w:szCs w:val="24"/>
          </w:rPr>
          <w:t>R31</w:t>
        </w:r>
      </w:hyperlink>
      <w:r w:rsidRPr="0011386A">
        <w:t>]</w:t>
      </w:r>
    </w:p>
    <w:p w14:paraId="75A0521F" w14:textId="77777777" w:rsidR="004B6E18" w:rsidRPr="0011386A" w:rsidRDefault="004B6E18" w:rsidP="00772460">
      <w:pPr>
        <w:pStyle w:val="headingb"/>
      </w:pPr>
      <w:r w:rsidRPr="0011386A">
        <w:t>Modèle d'échange de données pour les dispositifs de l'Internet des objets (IoT) dans les équipements de transmission et de transformation de l'électricité</w:t>
      </w:r>
    </w:p>
    <w:p w14:paraId="227B625B" w14:textId="77777777" w:rsidR="004B6E18" w:rsidRPr="0011386A" w:rsidRDefault="004B6E18" w:rsidP="00772460">
      <w:pPr>
        <w:pStyle w:val="headingb"/>
      </w:pPr>
      <w:r w:rsidRPr="0011386A">
        <w:t>Résumé</w:t>
      </w:r>
    </w:p>
    <w:p w14:paraId="7278F088" w14:textId="53B1AAA2" w:rsidR="004B6E18" w:rsidRPr="0011386A" w:rsidRDefault="004B6E18" w:rsidP="00772460">
      <w:pPr>
        <w:rPr>
          <w:lang w:eastAsia="zh-CN"/>
        </w:rPr>
      </w:pPr>
      <w:r w:rsidRPr="0011386A">
        <w:rPr>
          <w:lang w:eastAsia="zh-CN"/>
        </w:rPr>
        <w:t>Les dispositifs de l</w:t>
      </w:r>
      <w:r w:rsidR="00772460" w:rsidRPr="0011386A">
        <w:rPr>
          <w:lang w:eastAsia="zh-CN"/>
        </w:rPr>
        <w:t>'</w:t>
      </w:r>
      <w:r w:rsidRPr="0011386A">
        <w:rPr>
          <w:lang w:eastAsia="zh-CN"/>
        </w:rPr>
        <w:t>Internet des objets (IoT) intégrés aux équipements de transmission et de transformation de l'électricité peuvent répondre à la demande d</w:t>
      </w:r>
      <w:r w:rsidR="00772460" w:rsidRPr="0011386A">
        <w:rPr>
          <w:lang w:eastAsia="zh-CN"/>
        </w:rPr>
        <w:t>'</w:t>
      </w:r>
      <w:r w:rsidRPr="0011386A">
        <w:rPr>
          <w:lang w:eastAsia="zh-CN"/>
        </w:rPr>
        <w:t>acquisition de données complètes et précises concernant ces équipements. L</w:t>
      </w:r>
      <w:r w:rsidR="00772460" w:rsidRPr="0011386A">
        <w:rPr>
          <w:lang w:eastAsia="zh-CN"/>
        </w:rPr>
        <w:t>'</w:t>
      </w:r>
      <w:r w:rsidRPr="0011386A">
        <w:rPr>
          <w:lang w:eastAsia="zh-CN"/>
        </w:rPr>
        <w:t>élaboration d</w:t>
      </w:r>
      <w:r w:rsidR="00772460" w:rsidRPr="0011386A">
        <w:rPr>
          <w:lang w:eastAsia="zh-CN"/>
        </w:rPr>
        <w:t>'</w:t>
      </w:r>
      <w:r w:rsidRPr="0011386A">
        <w:rPr>
          <w:lang w:eastAsia="zh-CN"/>
        </w:rPr>
        <w:t>un modèle d</w:t>
      </w:r>
      <w:r w:rsidR="00772460" w:rsidRPr="0011386A">
        <w:rPr>
          <w:lang w:eastAsia="zh-CN"/>
        </w:rPr>
        <w:t>'</w:t>
      </w:r>
      <w:r w:rsidRPr="0011386A">
        <w:rPr>
          <w:lang w:eastAsia="zh-CN"/>
        </w:rPr>
        <w:t>échange de données qui tienne compte de l</w:t>
      </w:r>
      <w:r w:rsidR="00772460" w:rsidRPr="0011386A">
        <w:rPr>
          <w:lang w:eastAsia="zh-CN"/>
        </w:rPr>
        <w:t>'</w:t>
      </w:r>
      <w:r w:rsidRPr="0011386A">
        <w:rPr>
          <w:lang w:eastAsia="zh-CN"/>
        </w:rPr>
        <w:t>utilisation d'applications ainsi que de fonctionnalités de partage et de coordination est essentielle à la construction d</w:t>
      </w:r>
      <w:r w:rsidR="00772460" w:rsidRPr="0011386A">
        <w:rPr>
          <w:lang w:eastAsia="zh-CN"/>
        </w:rPr>
        <w:t>'</w:t>
      </w:r>
      <w:r w:rsidRPr="0011386A">
        <w:rPr>
          <w:lang w:eastAsia="zh-CN"/>
        </w:rPr>
        <w:t>un système destiné aux équipements de transmission et de transformation de l'électricité basés sur l</w:t>
      </w:r>
      <w:r w:rsidR="00772460" w:rsidRPr="0011386A">
        <w:rPr>
          <w:lang w:eastAsia="zh-CN"/>
        </w:rPr>
        <w:t>'</w:t>
      </w:r>
      <w:r w:rsidRPr="0011386A">
        <w:rPr>
          <w:lang w:eastAsia="zh-CN"/>
        </w:rPr>
        <w:t>IoT.</w:t>
      </w:r>
    </w:p>
    <w:p w14:paraId="24B08972" w14:textId="327E254D" w:rsidR="004B6E18" w:rsidRPr="0011386A" w:rsidRDefault="004B6E18" w:rsidP="00772460">
      <w:pPr>
        <w:rPr>
          <w:lang w:eastAsia="zh-CN"/>
        </w:rPr>
      </w:pPr>
      <w:r w:rsidRPr="0011386A">
        <w:rPr>
          <w:lang w:eastAsia="zh-CN"/>
        </w:rPr>
        <w:t>Cette Recommandation décrit les exigences et le modèle d</w:t>
      </w:r>
      <w:r w:rsidR="00772460" w:rsidRPr="0011386A">
        <w:rPr>
          <w:lang w:eastAsia="zh-CN"/>
        </w:rPr>
        <w:t>'</w:t>
      </w:r>
      <w:r w:rsidRPr="0011386A">
        <w:rPr>
          <w:lang w:eastAsia="zh-CN"/>
        </w:rPr>
        <w:t>échange de données IoT pour les équipements de transmission et de transformation de l'énergie.</w:t>
      </w:r>
    </w:p>
    <w:p w14:paraId="23958D98" w14:textId="77777777" w:rsidR="004B6E18" w:rsidRPr="0011386A" w:rsidRDefault="004B6E18" w:rsidP="00772460">
      <w:pPr>
        <w:pStyle w:val="Heading1"/>
        <w:rPr>
          <w:szCs w:val="24"/>
        </w:rPr>
      </w:pPr>
      <w:r w:rsidRPr="0011386A">
        <w:t>12</w:t>
      </w:r>
      <w:r w:rsidRPr="0011386A">
        <w:tab/>
        <w:t xml:space="preserve">Projet de nouvelle Recommandation UIT-T </w:t>
      </w:r>
      <w:r w:rsidRPr="0011386A">
        <w:rPr>
          <w:lang w:eastAsia="zh-CN"/>
        </w:rPr>
        <w:t>Y.4499 (ex Y.UIM-cs-framework)</w:t>
      </w:r>
      <w:r w:rsidRPr="0011386A">
        <w:t xml:space="preserve">: </w:t>
      </w:r>
      <w:r w:rsidRPr="0011386A">
        <w:rPr>
          <w:szCs w:val="24"/>
        </w:rPr>
        <w:t>[</w:t>
      </w:r>
      <w:hyperlink r:id="rId23" w:history="1">
        <w:r w:rsidRPr="0011386A">
          <w:rPr>
            <w:rStyle w:val="Hyperlink"/>
            <w:rFonts w:cs="Calibri"/>
            <w:szCs w:val="24"/>
          </w:rPr>
          <w:t>R32</w:t>
        </w:r>
      </w:hyperlink>
      <w:r w:rsidRPr="0011386A">
        <w:rPr>
          <w:szCs w:val="24"/>
        </w:rPr>
        <w:t>]</w:t>
      </w:r>
    </w:p>
    <w:p w14:paraId="3B65B605" w14:textId="77777777" w:rsidR="004B6E18" w:rsidRPr="0011386A" w:rsidRDefault="004B6E18" w:rsidP="00772460">
      <w:pPr>
        <w:pStyle w:val="headingb"/>
        <w:rPr>
          <w:szCs w:val="24"/>
        </w:rPr>
      </w:pPr>
      <w:r w:rsidRPr="0011386A">
        <w:t>Cadre pour la surveillance des infrastructures urbaines fondé sur des méthodes participatives</w:t>
      </w:r>
    </w:p>
    <w:p w14:paraId="4804A154" w14:textId="77777777" w:rsidR="004B6E18" w:rsidRPr="0011386A" w:rsidRDefault="004B6E18" w:rsidP="00772460">
      <w:pPr>
        <w:pStyle w:val="headingb"/>
        <w:rPr>
          <w:szCs w:val="24"/>
        </w:rPr>
      </w:pPr>
      <w:r w:rsidRPr="0011386A">
        <w:t>Résumé</w:t>
      </w:r>
    </w:p>
    <w:p w14:paraId="74ADE03D" w14:textId="77777777" w:rsidR="004B6E18" w:rsidRPr="0011386A" w:rsidRDefault="004B6E18" w:rsidP="00772460">
      <w:pPr>
        <w:rPr>
          <w:rFonts w:eastAsia="SimSun"/>
          <w:lang w:eastAsia="zh-CN"/>
        </w:rPr>
      </w:pPr>
      <w:r w:rsidRPr="0011386A">
        <w:rPr>
          <w:lang w:eastAsia="zh-CN"/>
        </w:rPr>
        <w:t>La Recommandation UIT-T Y.4499 définit un cadre pour la surveillance des infrastructures urbaines fondé sur des méthodes participatives et comprend les exigences, l'architecture fonctionnelle, les procédures communes ainsi que des considérations relatives à la sécurité et au respect de la vie privée.</w:t>
      </w:r>
    </w:p>
    <w:p w14:paraId="03BFC928" w14:textId="0B0D6347" w:rsidR="004B6E18" w:rsidRPr="0011386A" w:rsidRDefault="004B6E18" w:rsidP="00772460">
      <w:pPr>
        <w:rPr>
          <w:rFonts w:eastAsia="SimSun"/>
          <w:color w:val="000000"/>
          <w:lang w:eastAsia="zh-CN"/>
        </w:rPr>
      </w:pPr>
      <w:r w:rsidRPr="0011386A">
        <w:rPr>
          <w:rFonts w:eastAsia="SimSun"/>
          <w:lang w:eastAsia="zh-CN"/>
        </w:rPr>
        <w:t xml:space="preserve">Les infrastructures urbaines comprennent les installations physiques et les systèmes dont une ville doit disposer pour fonctionner et se développer. Elles se caractérisent par leur quantité importante, leur répartition étendue et la complexité de leur gestion. </w:t>
      </w:r>
      <w:r w:rsidRPr="0011386A">
        <w:t>Les méthodes participatives consistent à faire appel à un groupe de personnes pour atteindre un objectif commun.</w:t>
      </w:r>
      <w:r w:rsidRPr="0011386A">
        <w:rPr>
          <w:rFonts w:eastAsia="SimSun"/>
          <w:color w:val="000000"/>
          <w:lang w:eastAsia="zh-CN"/>
        </w:rPr>
        <w:t xml:space="preserve"> Elles peuvent constituer une méthode évolutive et financièrement viable pour assurer la surveillance des infrastructures urbaines.</w:t>
      </w:r>
    </w:p>
    <w:p w14:paraId="1BA648F4" w14:textId="7C2493CF" w:rsidR="004B6E18" w:rsidRPr="0011386A" w:rsidRDefault="004B6E18" w:rsidP="00771D96">
      <w:pPr>
        <w:rPr>
          <w:rFonts w:eastAsia="SimSun" w:cs="Calibri"/>
          <w:color w:val="000000"/>
          <w:lang w:eastAsia="zh-CN"/>
        </w:rPr>
      </w:pPr>
      <w:r w:rsidRPr="0011386A">
        <w:rPr>
          <w:rFonts w:eastAsia="SimSun" w:cs="Calibri"/>
          <w:color w:val="000000"/>
          <w:lang w:eastAsia="zh-CN"/>
        </w:rPr>
        <w:br w:type="page"/>
      </w:r>
    </w:p>
    <w:p w14:paraId="412E1835" w14:textId="77777777" w:rsidR="004B6E18" w:rsidRPr="0011386A" w:rsidRDefault="004B6E18" w:rsidP="00A6169B">
      <w:pPr>
        <w:pStyle w:val="AnnexTitle"/>
        <w:spacing w:after="160"/>
        <w:rPr>
          <w:szCs w:val="24"/>
        </w:rPr>
      </w:pPr>
      <w:r w:rsidRPr="0011386A">
        <w:rPr>
          <w:szCs w:val="24"/>
        </w:rPr>
        <w:lastRenderedPageBreak/>
        <w:t>Annexe 2</w:t>
      </w:r>
    </w:p>
    <w:p w14:paraId="20638066" w14:textId="14D02F1D" w:rsidR="004B6E18" w:rsidRPr="0011386A" w:rsidRDefault="004B6E18" w:rsidP="00A6169B">
      <w:pPr>
        <w:pStyle w:val="AnnexTitle"/>
        <w:spacing w:before="120" w:after="200"/>
        <w:rPr>
          <w:b w:val="0"/>
          <w:szCs w:val="24"/>
        </w:rPr>
      </w:pPr>
      <w:r w:rsidRPr="0011386A">
        <w:rPr>
          <w:szCs w:val="24"/>
        </w:rPr>
        <w:t>Objet: Réponse des États Membres à la Circulaire TSB 236:</w:t>
      </w:r>
      <w:r w:rsidRPr="0011386A">
        <w:rPr>
          <w:szCs w:val="24"/>
          <w:highlight w:val="yellow"/>
        </w:rPr>
        <w:br/>
      </w:r>
      <w:r w:rsidRPr="0011386A">
        <w:rPr>
          <w:szCs w:val="24"/>
        </w:rPr>
        <w:t>Consultation au sujet des textes déterminés des projets de nouvelles Recommandations</w:t>
      </w:r>
      <w:r w:rsidR="00772460" w:rsidRPr="0011386A">
        <w:rPr>
          <w:szCs w:val="24"/>
        </w:rPr>
        <w:br/>
      </w:r>
      <w:r w:rsidRPr="0011386A">
        <w:rPr>
          <w:szCs w:val="24"/>
        </w:rPr>
        <w:t xml:space="preserve">UIT-T Y.4506 (ex Y.DRI-arch), Y.4229 (ex Y.IoT-SFFS), Y.4230 (ex Y.EV-charging), </w:t>
      </w:r>
      <w:r w:rsidR="005E7C27" w:rsidRPr="0011386A">
        <w:rPr>
          <w:szCs w:val="24"/>
        </w:rPr>
        <w:br/>
      </w:r>
      <w:r w:rsidRPr="0011386A">
        <w:rPr>
          <w:szCs w:val="24"/>
        </w:rPr>
        <w:t xml:space="preserve">Y.4231 (ex Y.IoT-Vreqs), Y.4232 (ex Y.IoT-RTPS), Y.4233 (ex Y.FSPH), </w:t>
      </w:r>
      <w:r w:rsidR="005E7C27" w:rsidRPr="0011386A">
        <w:rPr>
          <w:szCs w:val="24"/>
        </w:rPr>
        <w:br/>
      </w:r>
      <w:r w:rsidRPr="0011386A">
        <w:rPr>
          <w:szCs w:val="24"/>
        </w:rPr>
        <w:t xml:space="preserve">Y.4234 (ex Y.RemoteEd), Y.4222 (ex Y.smart-evacuation), Y.4507 </w:t>
      </w:r>
      <w:r w:rsidR="005E7C27" w:rsidRPr="0011386A">
        <w:rPr>
          <w:szCs w:val="24"/>
        </w:rPr>
        <w:br/>
      </w:r>
      <w:r w:rsidRPr="0011386A">
        <w:rPr>
          <w:szCs w:val="24"/>
        </w:rPr>
        <w:t xml:space="preserve">(ex Y.arc-psfws), Y.4508 (ex Y.DPM-alm-fra), Y.4706 </w:t>
      </w:r>
      <w:r w:rsidRPr="0011386A">
        <w:rPr>
          <w:b w:val="0"/>
          <w:szCs w:val="24"/>
        </w:rPr>
        <w:br/>
      </w:r>
      <w:r w:rsidRPr="0011386A">
        <w:rPr>
          <w:szCs w:val="24"/>
        </w:rPr>
        <w:t>(ex Y.dem-IoT) et Y.4499 (ex Y.UIM-cs-framework)</w:t>
      </w:r>
    </w:p>
    <w:tbl>
      <w:tblPr>
        <w:tblW w:w="9957" w:type="dxa"/>
        <w:tblInd w:w="-176" w:type="dxa"/>
        <w:tblLayout w:type="fixed"/>
        <w:tblLook w:val="04A0" w:firstRow="1" w:lastRow="0" w:firstColumn="1" w:lastColumn="0" w:noHBand="0" w:noVBand="1"/>
      </w:tblPr>
      <w:tblGrid>
        <w:gridCol w:w="1310"/>
        <w:gridCol w:w="4678"/>
        <w:gridCol w:w="1276"/>
        <w:gridCol w:w="2693"/>
      </w:tblGrid>
      <w:tr w:rsidR="004B6E18" w:rsidRPr="0011386A" w14:paraId="04C7F34E" w14:textId="77777777" w:rsidTr="0057325F">
        <w:tc>
          <w:tcPr>
            <w:tcW w:w="1310" w:type="dxa"/>
            <w:shd w:val="clear" w:color="auto" w:fill="auto"/>
          </w:tcPr>
          <w:p w14:paraId="24419D0D" w14:textId="77777777" w:rsidR="004B6E18" w:rsidRPr="0011386A" w:rsidRDefault="004B6E18" w:rsidP="00771D96">
            <w:pPr>
              <w:jc w:val="right"/>
              <w:rPr>
                <w:b/>
                <w:bCs/>
                <w:szCs w:val="24"/>
              </w:rPr>
            </w:pPr>
            <w:r w:rsidRPr="0011386A">
              <w:rPr>
                <w:b/>
                <w:bCs/>
                <w:szCs w:val="24"/>
              </w:rPr>
              <w:t>Au:</w:t>
            </w:r>
          </w:p>
        </w:tc>
        <w:tc>
          <w:tcPr>
            <w:tcW w:w="4678" w:type="dxa"/>
            <w:tcBorders>
              <w:right w:val="single" w:sz="8" w:space="0" w:color="auto"/>
            </w:tcBorders>
            <w:shd w:val="clear" w:color="auto" w:fill="auto"/>
          </w:tcPr>
          <w:p w14:paraId="0432C6F4" w14:textId="77777777" w:rsidR="004B6E18" w:rsidRPr="0011386A" w:rsidRDefault="004B6E18" w:rsidP="00771D96">
            <w:pPr>
              <w:rPr>
                <w:szCs w:val="24"/>
              </w:rPr>
            </w:pPr>
            <w:r w:rsidRPr="0011386A">
              <w:rPr>
                <w:szCs w:val="24"/>
              </w:rPr>
              <w:t>Directeur du</w:t>
            </w:r>
            <w:r w:rsidRPr="0011386A">
              <w:rPr>
                <w:szCs w:val="24"/>
              </w:rPr>
              <w:br/>
              <w:t>Bureau de la normalisation des télécommunications,</w:t>
            </w:r>
          </w:p>
          <w:p w14:paraId="2B074034" w14:textId="77777777" w:rsidR="004B6E18" w:rsidRPr="0011386A" w:rsidRDefault="004B6E18" w:rsidP="0057325F">
            <w:pPr>
              <w:spacing w:before="0"/>
              <w:ind w:right="-111"/>
              <w:rPr>
                <w:szCs w:val="24"/>
              </w:rPr>
            </w:pPr>
            <w:r w:rsidRPr="0011386A">
              <w:rPr>
                <w:szCs w:val="24"/>
              </w:rPr>
              <w:t>Union internationale des télécommunications</w:t>
            </w:r>
          </w:p>
          <w:p w14:paraId="5036E242" w14:textId="77777777" w:rsidR="004B6E18" w:rsidRPr="0011386A" w:rsidRDefault="004B6E18" w:rsidP="00771D96">
            <w:pPr>
              <w:spacing w:before="0"/>
              <w:rPr>
                <w:szCs w:val="24"/>
              </w:rPr>
            </w:pPr>
            <w:r w:rsidRPr="0011386A">
              <w:rPr>
                <w:szCs w:val="24"/>
              </w:rPr>
              <w:t>Place des Nations</w:t>
            </w:r>
          </w:p>
          <w:p w14:paraId="6492CFDF" w14:textId="77777777" w:rsidR="004B6E18" w:rsidRPr="0011386A" w:rsidRDefault="004B6E18" w:rsidP="00771D96">
            <w:pPr>
              <w:spacing w:before="0"/>
              <w:rPr>
                <w:szCs w:val="24"/>
              </w:rPr>
            </w:pPr>
            <w:r w:rsidRPr="0011386A">
              <w:rPr>
                <w:szCs w:val="24"/>
              </w:rPr>
              <w:t>CH 1211 Genève 20, Suisse</w:t>
            </w:r>
          </w:p>
        </w:tc>
        <w:tc>
          <w:tcPr>
            <w:tcW w:w="1276" w:type="dxa"/>
            <w:tcBorders>
              <w:left w:val="single" w:sz="8" w:space="0" w:color="auto"/>
            </w:tcBorders>
            <w:shd w:val="clear" w:color="auto" w:fill="auto"/>
          </w:tcPr>
          <w:p w14:paraId="6F3D8C4E" w14:textId="77777777" w:rsidR="004B6E18" w:rsidRPr="0011386A" w:rsidRDefault="004B6E18" w:rsidP="00771D96">
            <w:pPr>
              <w:jc w:val="right"/>
              <w:rPr>
                <w:b/>
                <w:bCs/>
                <w:szCs w:val="24"/>
              </w:rPr>
            </w:pPr>
            <w:r w:rsidRPr="0011386A">
              <w:rPr>
                <w:b/>
                <w:bCs/>
                <w:szCs w:val="24"/>
              </w:rPr>
              <w:t>De:</w:t>
            </w:r>
          </w:p>
        </w:tc>
        <w:tc>
          <w:tcPr>
            <w:tcW w:w="2693" w:type="dxa"/>
            <w:shd w:val="clear" w:color="auto" w:fill="auto"/>
          </w:tcPr>
          <w:p w14:paraId="273C7490" w14:textId="77777777" w:rsidR="004B6E18" w:rsidRPr="0011386A" w:rsidRDefault="004B6E18" w:rsidP="00771D96">
            <w:pPr>
              <w:rPr>
                <w:szCs w:val="24"/>
              </w:rPr>
            </w:pPr>
            <w:r w:rsidRPr="0011386A">
              <w:rPr>
                <w:szCs w:val="24"/>
              </w:rPr>
              <w:t>[Nom]</w:t>
            </w:r>
          </w:p>
          <w:p w14:paraId="55508543" w14:textId="77777777" w:rsidR="004B6E18" w:rsidRPr="0011386A" w:rsidRDefault="004B6E18" w:rsidP="00771D96">
            <w:pPr>
              <w:spacing w:before="0"/>
              <w:rPr>
                <w:szCs w:val="24"/>
              </w:rPr>
            </w:pPr>
            <w:r w:rsidRPr="0011386A">
              <w:rPr>
                <w:szCs w:val="24"/>
              </w:rPr>
              <w:t>[Rôle/titre officiel]</w:t>
            </w:r>
          </w:p>
          <w:p w14:paraId="0D154A16" w14:textId="77777777" w:rsidR="004B6E18" w:rsidRPr="0011386A" w:rsidRDefault="004B6E18" w:rsidP="00771D96">
            <w:pPr>
              <w:spacing w:before="0"/>
              <w:rPr>
                <w:szCs w:val="24"/>
              </w:rPr>
            </w:pPr>
            <w:r w:rsidRPr="0011386A">
              <w:rPr>
                <w:szCs w:val="24"/>
              </w:rPr>
              <w:t>[Adresse]</w:t>
            </w:r>
          </w:p>
        </w:tc>
      </w:tr>
      <w:tr w:rsidR="004B6E18" w:rsidRPr="0011386A" w14:paraId="271274C7" w14:textId="77777777" w:rsidTr="0057325F">
        <w:tc>
          <w:tcPr>
            <w:tcW w:w="1310" w:type="dxa"/>
            <w:shd w:val="clear" w:color="auto" w:fill="auto"/>
          </w:tcPr>
          <w:p w14:paraId="3E389E12" w14:textId="12615E35" w:rsidR="00772460" w:rsidRPr="0011386A" w:rsidRDefault="004B6E18" w:rsidP="00772460">
            <w:pPr>
              <w:spacing w:before="0"/>
              <w:jc w:val="right"/>
              <w:rPr>
                <w:b/>
                <w:bCs/>
                <w:szCs w:val="24"/>
              </w:rPr>
            </w:pPr>
            <w:r w:rsidRPr="0011386A">
              <w:rPr>
                <w:b/>
                <w:bCs/>
                <w:szCs w:val="24"/>
              </w:rPr>
              <w:t>Télécopie:</w:t>
            </w:r>
          </w:p>
        </w:tc>
        <w:tc>
          <w:tcPr>
            <w:tcW w:w="4678" w:type="dxa"/>
            <w:tcBorders>
              <w:right w:val="single" w:sz="8" w:space="0" w:color="auto"/>
            </w:tcBorders>
            <w:shd w:val="clear" w:color="auto" w:fill="auto"/>
          </w:tcPr>
          <w:p w14:paraId="47C2E37D" w14:textId="3C67DE36" w:rsidR="004B6E18" w:rsidRPr="0011386A" w:rsidRDefault="004B6E18" w:rsidP="00772460">
            <w:pPr>
              <w:spacing w:before="0"/>
              <w:rPr>
                <w:szCs w:val="24"/>
              </w:rPr>
            </w:pPr>
            <w:r w:rsidRPr="0011386A">
              <w:rPr>
                <w:szCs w:val="24"/>
              </w:rPr>
              <w:t>+41-22-730-5853</w:t>
            </w:r>
          </w:p>
        </w:tc>
        <w:tc>
          <w:tcPr>
            <w:tcW w:w="1276" w:type="dxa"/>
            <w:tcBorders>
              <w:left w:val="single" w:sz="8" w:space="0" w:color="auto"/>
            </w:tcBorders>
            <w:shd w:val="clear" w:color="auto" w:fill="auto"/>
          </w:tcPr>
          <w:p w14:paraId="3B2C31BA" w14:textId="77C497FA" w:rsidR="004B6E18" w:rsidRPr="0011386A" w:rsidRDefault="004B6E18" w:rsidP="00772460">
            <w:pPr>
              <w:spacing w:before="0"/>
              <w:jc w:val="right"/>
              <w:rPr>
                <w:b/>
                <w:bCs/>
                <w:szCs w:val="24"/>
              </w:rPr>
            </w:pPr>
            <w:r w:rsidRPr="0011386A">
              <w:rPr>
                <w:b/>
                <w:bCs/>
                <w:szCs w:val="24"/>
              </w:rPr>
              <w:t>Télécopie:</w:t>
            </w:r>
          </w:p>
        </w:tc>
        <w:tc>
          <w:tcPr>
            <w:tcW w:w="2693" w:type="dxa"/>
            <w:shd w:val="clear" w:color="auto" w:fill="auto"/>
          </w:tcPr>
          <w:p w14:paraId="297C77F3" w14:textId="77777777" w:rsidR="004B6E18" w:rsidRPr="0011386A" w:rsidRDefault="004B6E18" w:rsidP="00771D96">
            <w:pPr>
              <w:spacing w:before="0"/>
              <w:rPr>
                <w:szCs w:val="24"/>
              </w:rPr>
            </w:pPr>
          </w:p>
        </w:tc>
      </w:tr>
      <w:tr w:rsidR="00772460" w:rsidRPr="0011386A" w14:paraId="593658C0" w14:textId="77777777" w:rsidTr="0057325F">
        <w:tc>
          <w:tcPr>
            <w:tcW w:w="1310" w:type="dxa"/>
            <w:shd w:val="clear" w:color="auto" w:fill="auto"/>
          </w:tcPr>
          <w:p w14:paraId="427DFEDC" w14:textId="4A238E28" w:rsidR="00772460" w:rsidRPr="0011386A" w:rsidRDefault="00772460" w:rsidP="00771D96">
            <w:pPr>
              <w:spacing w:before="0"/>
              <w:jc w:val="right"/>
              <w:rPr>
                <w:b/>
                <w:bCs/>
                <w:szCs w:val="24"/>
              </w:rPr>
            </w:pPr>
            <w:r w:rsidRPr="0011386A">
              <w:rPr>
                <w:b/>
                <w:bCs/>
                <w:szCs w:val="24"/>
              </w:rPr>
              <w:t>Courriel:</w:t>
            </w:r>
          </w:p>
        </w:tc>
        <w:tc>
          <w:tcPr>
            <w:tcW w:w="4678" w:type="dxa"/>
            <w:tcBorders>
              <w:right w:val="single" w:sz="8" w:space="0" w:color="auto"/>
            </w:tcBorders>
            <w:shd w:val="clear" w:color="auto" w:fill="auto"/>
          </w:tcPr>
          <w:p w14:paraId="76A71D27" w14:textId="22112986" w:rsidR="00772460" w:rsidRPr="0011386A" w:rsidRDefault="002F3954" w:rsidP="00771D96">
            <w:pPr>
              <w:spacing w:before="0"/>
              <w:rPr>
                <w:szCs w:val="24"/>
              </w:rPr>
            </w:pPr>
            <w:hyperlink r:id="rId24" w:history="1">
              <w:r w:rsidR="00772460" w:rsidRPr="0011386A">
                <w:rPr>
                  <w:rStyle w:val="Hyperlink"/>
                  <w:szCs w:val="24"/>
                </w:rPr>
                <w:t>tsbdir@itu.int</w:t>
              </w:r>
            </w:hyperlink>
          </w:p>
        </w:tc>
        <w:tc>
          <w:tcPr>
            <w:tcW w:w="1276" w:type="dxa"/>
            <w:tcBorders>
              <w:left w:val="single" w:sz="8" w:space="0" w:color="auto"/>
            </w:tcBorders>
            <w:shd w:val="clear" w:color="auto" w:fill="auto"/>
          </w:tcPr>
          <w:p w14:paraId="04165C34" w14:textId="3BAE7348" w:rsidR="00772460" w:rsidRPr="0011386A" w:rsidRDefault="00772460" w:rsidP="00771D96">
            <w:pPr>
              <w:spacing w:before="0"/>
              <w:jc w:val="right"/>
              <w:rPr>
                <w:b/>
                <w:bCs/>
                <w:szCs w:val="24"/>
              </w:rPr>
            </w:pPr>
            <w:r w:rsidRPr="0011386A">
              <w:rPr>
                <w:b/>
                <w:bCs/>
                <w:szCs w:val="24"/>
              </w:rPr>
              <w:t>Courriel:</w:t>
            </w:r>
          </w:p>
        </w:tc>
        <w:tc>
          <w:tcPr>
            <w:tcW w:w="2693" w:type="dxa"/>
            <w:shd w:val="clear" w:color="auto" w:fill="auto"/>
          </w:tcPr>
          <w:p w14:paraId="68DBF441" w14:textId="77777777" w:rsidR="00772460" w:rsidRPr="0011386A" w:rsidRDefault="00772460" w:rsidP="00771D96">
            <w:pPr>
              <w:spacing w:before="0"/>
              <w:rPr>
                <w:szCs w:val="24"/>
              </w:rPr>
            </w:pPr>
          </w:p>
        </w:tc>
      </w:tr>
      <w:tr w:rsidR="004B6E18" w:rsidRPr="0011386A" w14:paraId="1C199AC4" w14:textId="77777777" w:rsidTr="0057325F">
        <w:tc>
          <w:tcPr>
            <w:tcW w:w="1310" w:type="dxa"/>
            <w:shd w:val="clear" w:color="auto" w:fill="auto"/>
          </w:tcPr>
          <w:p w14:paraId="0A16C56C" w14:textId="77777777" w:rsidR="004B6E18" w:rsidRPr="0011386A" w:rsidRDefault="004B6E18" w:rsidP="00771D96">
            <w:pPr>
              <w:spacing w:before="0"/>
              <w:jc w:val="right"/>
              <w:rPr>
                <w:szCs w:val="24"/>
              </w:rPr>
            </w:pPr>
          </w:p>
        </w:tc>
        <w:tc>
          <w:tcPr>
            <w:tcW w:w="4678" w:type="dxa"/>
            <w:tcBorders>
              <w:right w:val="single" w:sz="8" w:space="0" w:color="auto"/>
            </w:tcBorders>
            <w:shd w:val="clear" w:color="auto" w:fill="auto"/>
          </w:tcPr>
          <w:p w14:paraId="26A06C85" w14:textId="77777777" w:rsidR="004B6E18" w:rsidRPr="0011386A" w:rsidRDefault="004B6E18" w:rsidP="00771D96">
            <w:pPr>
              <w:spacing w:before="0"/>
              <w:rPr>
                <w:szCs w:val="24"/>
              </w:rPr>
            </w:pPr>
          </w:p>
        </w:tc>
        <w:tc>
          <w:tcPr>
            <w:tcW w:w="1276" w:type="dxa"/>
            <w:tcBorders>
              <w:left w:val="single" w:sz="8" w:space="0" w:color="auto"/>
            </w:tcBorders>
            <w:shd w:val="clear" w:color="auto" w:fill="auto"/>
          </w:tcPr>
          <w:p w14:paraId="736FEB34" w14:textId="77777777" w:rsidR="004B6E18" w:rsidRPr="0011386A" w:rsidRDefault="004B6E18" w:rsidP="00771D96">
            <w:pPr>
              <w:spacing w:before="0"/>
              <w:jc w:val="right"/>
              <w:rPr>
                <w:b/>
                <w:bCs/>
                <w:szCs w:val="24"/>
              </w:rPr>
            </w:pPr>
            <w:r w:rsidRPr="0011386A">
              <w:rPr>
                <w:b/>
                <w:bCs/>
                <w:szCs w:val="24"/>
              </w:rPr>
              <w:t>Date:</w:t>
            </w:r>
          </w:p>
        </w:tc>
        <w:tc>
          <w:tcPr>
            <w:tcW w:w="2693" w:type="dxa"/>
            <w:shd w:val="clear" w:color="auto" w:fill="auto"/>
          </w:tcPr>
          <w:p w14:paraId="279F0F45" w14:textId="4436EC2D" w:rsidR="004B6E18" w:rsidRPr="0011386A" w:rsidRDefault="004B6E18" w:rsidP="00771D96">
            <w:pPr>
              <w:spacing w:before="0"/>
              <w:rPr>
                <w:szCs w:val="24"/>
              </w:rPr>
            </w:pPr>
            <w:r w:rsidRPr="0011386A">
              <w:rPr>
                <w:szCs w:val="24"/>
              </w:rPr>
              <w:t>[Lieu]</w:t>
            </w:r>
            <w:r w:rsidR="00772460" w:rsidRPr="0011386A">
              <w:rPr>
                <w:szCs w:val="24"/>
              </w:rPr>
              <w:t>,</w:t>
            </w:r>
            <w:r w:rsidRPr="0011386A">
              <w:rPr>
                <w:szCs w:val="24"/>
              </w:rPr>
              <w:t xml:space="preserve"> [date]</w:t>
            </w:r>
          </w:p>
        </w:tc>
      </w:tr>
    </w:tbl>
    <w:p w14:paraId="1D531CBC" w14:textId="77777777" w:rsidR="004B6E18" w:rsidRPr="0011386A" w:rsidRDefault="004B6E18" w:rsidP="00A6169B">
      <w:pPr>
        <w:pStyle w:val="Normalaftertitle"/>
        <w:spacing w:before="200"/>
      </w:pPr>
      <w:r w:rsidRPr="0011386A">
        <w:t>Madame, Monsieur,</w:t>
      </w:r>
    </w:p>
    <w:p w14:paraId="18820F5F" w14:textId="77777777" w:rsidR="004B6E18" w:rsidRPr="0011386A" w:rsidRDefault="004B6E18" w:rsidP="0057325F">
      <w:pPr>
        <w:spacing w:after="120"/>
      </w:pPr>
      <w:r w:rsidRPr="0011386A">
        <w:t>Dans le cadre de la consultation des États Membres au sujet des projets de textes déterminés dont il est question dans la Circulaire TSB 236, je vous indique par la présente l'opinion de mon Administration, qui figure dans le tableau ci-après.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82"/>
      </w:tblGrid>
      <w:tr w:rsidR="004B6E18" w:rsidRPr="0011386A" w14:paraId="046B3034" w14:textId="77777777" w:rsidTr="00035EA8">
        <w:trPr>
          <w:tblHeader/>
        </w:trPr>
        <w:tc>
          <w:tcPr>
            <w:tcW w:w="1980" w:type="dxa"/>
            <w:shd w:val="clear" w:color="auto" w:fill="auto"/>
            <w:vAlign w:val="center"/>
          </w:tcPr>
          <w:p w14:paraId="50947665" w14:textId="00814471" w:rsidR="00A6169B" w:rsidRPr="0011386A" w:rsidRDefault="00A6169B" w:rsidP="00A6169B">
            <w:pPr>
              <w:pStyle w:val="TableHead"/>
              <w:spacing w:before="60" w:after="60"/>
            </w:pPr>
          </w:p>
        </w:tc>
        <w:tc>
          <w:tcPr>
            <w:tcW w:w="7982" w:type="dxa"/>
            <w:shd w:val="clear" w:color="auto" w:fill="auto"/>
            <w:vAlign w:val="center"/>
          </w:tcPr>
          <w:p w14:paraId="6A8ED416" w14:textId="77777777" w:rsidR="004B6E18" w:rsidRPr="0011386A" w:rsidRDefault="004B6E18" w:rsidP="00A6169B">
            <w:pPr>
              <w:pStyle w:val="TableHead"/>
              <w:tabs>
                <w:tab w:val="clear" w:pos="1134"/>
              </w:tabs>
              <w:spacing w:before="60" w:after="60"/>
              <w:rPr>
                <w:lang w:eastAsia="fr-FR"/>
              </w:rPr>
            </w:pPr>
            <w:r w:rsidRPr="0011386A">
              <w:t>Cochez l'une des deux cases pour chaque texte</w:t>
            </w:r>
          </w:p>
        </w:tc>
      </w:tr>
      <w:tr w:rsidR="004B6E18" w:rsidRPr="0011386A" w14:paraId="3504523F" w14:textId="77777777" w:rsidTr="00035EA8">
        <w:trPr>
          <w:trHeight w:val="748"/>
        </w:trPr>
        <w:tc>
          <w:tcPr>
            <w:tcW w:w="1980" w:type="dxa"/>
            <w:vMerge w:val="restart"/>
            <w:shd w:val="clear" w:color="auto" w:fill="auto"/>
            <w:vAlign w:val="center"/>
          </w:tcPr>
          <w:p w14:paraId="1F24F70F" w14:textId="071616E2" w:rsidR="004B6E18" w:rsidRPr="0011386A" w:rsidRDefault="004B6E18" w:rsidP="0057325F">
            <w:pPr>
              <w:pStyle w:val="TableText"/>
              <w:jc w:val="center"/>
              <w:rPr>
                <w:b/>
              </w:rPr>
            </w:pPr>
            <w:r w:rsidRPr="0011386A">
              <w:rPr>
                <w:b/>
              </w:rPr>
              <w:t>Projet de nouvelle Recommandation UIT-T Y.4506 (ex Y.DRI-arch)</w:t>
            </w:r>
          </w:p>
        </w:tc>
        <w:tc>
          <w:tcPr>
            <w:tcW w:w="7982" w:type="dxa"/>
            <w:shd w:val="clear" w:color="auto" w:fill="auto"/>
            <w:vAlign w:val="center"/>
          </w:tcPr>
          <w:p w14:paraId="6826CED1" w14:textId="77777777" w:rsidR="004B6E18" w:rsidRPr="0011386A" w:rsidRDefault="004B6E18" w:rsidP="00D57667">
            <w:pPr>
              <w:pStyle w:val="TableText"/>
              <w:tabs>
                <w:tab w:val="clear" w:pos="284"/>
                <w:tab w:val="clear" w:pos="1134"/>
              </w:tabs>
              <w:spacing w:before="30" w:after="30"/>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 xml:space="preserve">Autorise </w:t>
            </w:r>
            <w:r w:rsidRPr="0011386A">
              <w:t xml:space="preserve">la Commission d'études 20 à procéder à l'examen de ce document en vue de son approbation (dans ce cas, sélectionnez l'une des deux options </w:t>
            </w:r>
            <w:r w:rsidRPr="0011386A">
              <w:rPr>
                <w:sz w:val="20"/>
              </w:rPr>
              <w:t>⃝</w:t>
            </w:r>
            <w:r w:rsidRPr="0011386A">
              <w:t>):</w:t>
            </w:r>
          </w:p>
          <w:p w14:paraId="33D915FF" w14:textId="77777777" w:rsidR="004B6E18" w:rsidRPr="0011386A" w:rsidRDefault="004B6E18" w:rsidP="00D57667">
            <w:pPr>
              <w:pStyle w:val="TableText"/>
              <w:tabs>
                <w:tab w:val="clear" w:pos="284"/>
                <w:tab w:val="clear" w:pos="567"/>
                <w:tab w:val="clear" w:pos="1134"/>
              </w:tabs>
              <w:spacing w:before="30" w:after="30"/>
              <w:ind w:left="880" w:hanging="426"/>
            </w:pPr>
            <w:r w:rsidRPr="0011386A">
              <w:rPr>
                <w:sz w:val="20"/>
              </w:rPr>
              <w:t>⃝</w:t>
            </w:r>
            <w:r w:rsidRPr="0011386A">
              <w:rPr>
                <w:sz w:val="20"/>
              </w:rPr>
              <w:tab/>
            </w:r>
            <w:r w:rsidRPr="0011386A">
              <w:t>Pas de commentaire ou de proposition de modification.</w:t>
            </w:r>
          </w:p>
          <w:p w14:paraId="2A2DAAF5" w14:textId="77777777" w:rsidR="004B6E18" w:rsidRPr="0011386A" w:rsidRDefault="004B6E18" w:rsidP="00D57667">
            <w:pPr>
              <w:pStyle w:val="TableText"/>
              <w:tabs>
                <w:tab w:val="clear" w:pos="284"/>
                <w:tab w:val="clear" w:pos="567"/>
                <w:tab w:val="clear" w:pos="1134"/>
              </w:tabs>
              <w:spacing w:before="30" w:after="30"/>
              <w:ind w:left="880" w:hanging="426"/>
            </w:pPr>
            <w:r w:rsidRPr="0011386A">
              <w:rPr>
                <w:sz w:val="20"/>
              </w:rPr>
              <w:t>⃝</w:t>
            </w:r>
            <w:r w:rsidRPr="0011386A">
              <w:rPr>
                <w:sz w:val="20"/>
              </w:rPr>
              <w:tab/>
            </w:r>
            <w:r w:rsidRPr="0011386A">
              <w:t>Des commentaires ou propositions de modification sont joints à la présente.</w:t>
            </w:r>
          </w:p>
        </w:tc>
      </w:tr>
      <w:tr w:rsidR="004B6E18" w:rsidRPr="0011386A" w14:paraId="0DA11834" w14:textId="77777777" w:rsidTr="00035EA8">
        <w:trPr>
          <w:trHeight w:val="747"/>
        </w:trPr>
        <w:tc>
          <w:tcPr>
            <w:tcW w:w="1980" w:type="dxa"/>
            <w:vMerge/>
            <w:shd w:val="clear" w:color="auto" w:fill="auto"/>
            <w:vAlign w:val="center"/>
          </w:tcPr>
          <w:p w14:paraId="01D3FB2E" w14:textId="77777777" w:rsidR="004B6E18" w:rsidRPr="0011386A" w:rsidRDefault="004B6E18" w:rsidP="0057325F">
            <w:pPr>
              <w:pStyle w:val="TableText"/>
              <w:jc w:val="center"/>
              <w:rPr>
                <w:b/>
              </w:rPr>
            </w:pPr>
          </w:p>
        </w:tc>
        <w:tc>
          <w:tcPr>
            <w:tcW w:w="7982" w:type="dxa"/>
            <w:shd w:val="clear" w:color="auto" w:fill="auto"/>
            <w:vAlign w:val="center"/>
          </w:tcPr>
          <w:p w14:paraId="3C57C158" w14:textId="77777777" w:rsidR="004B6E18" w:rsidRPr="0011386A" w:rsidRDefault="004B6E18" w:rsidP="00D57667">
            <w:pPr>
              <w:pStyle w:val="TableText"/>
              <w:tabs>
                <w:tab w:val="clear" w:pos="284"/>
                <w:tab w:val="clear" w:pos="1134"/>
              </w:tabs>
              <w:spacing w:before="30" w:after="30"/>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7F02A00E" w14:textId="77777777" w:rsidTr="00035EA8">
        <w:trPr>
          <w:trHeight w:val="748"/>
        </w:trPr>
        <w:tc>
          <w:tcPr>
            <w:tcW w:w="1980" w:type="dxa"/>
            <w:vMerge w:val="restart"/>
            <w:shd w:val="clear" w:color="auto" w:fill="auto"/>
            <w:vAlign w:val="center"/>
          </w:tcPr>
          <w:p w14:paraId="782A3517" w14:textId="165B7E8A" w:rsidR="004B6E18" w:rsidRPr="0011386A" w:rsidRDefault="004B6E18" w:rsidP="0057325F">
            <w:pPr>
              <w:pStyle w:val="TableText"/>
              <w:jc w:val="center"/>
              <w:rPr>
                <w:b/>
              </w:rPr>
            </w:pPr>
            <w:r w:rsidRPr="0011386A">
              <w:rPr>
                <w:b/>
              </w:rPr>
              <w:t>Projet de nouvelle Recommandation UIT-T Y.4229 (ex Y.IoT-SFFS)</w:t>
            </w:r>
          </w:p>
        </w:tc>
        <w:tc>
          <w:tcPr>
            <w:tcW w:w="7982" w:type="dxa"/>
            <w:shd w:val="clear" w:color="auto" w:fill="auto"/>
            <w:vAlign w:val="center"/>
          </w:tcPr>
          <w:p w14:paraId="0643A806" w14:textId="77777777" w:rsidR="004B6E18" w:rsidRPr="0011386A" w:rsidRDefault="004B6E18" w:rsidP="00D57667">
            <w:pPr>
              <w:pStyle w:val="TableText"/>
              <w:tabs>
                <w:tab w:val="clear" w:pos="284"/>
                <w:tab w:val="clear" w:pos="1134"/>
              </w:tabs>
              <w:spacing w:before="30" w:after="30"/>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 xml:space="preserve">Autorise </w:t>
            </w:r>
            <w:r w:rsidRPr="0011386A">
              <w:t xml:space="preserve">la Commission d'études 20 à procéder à l'examen de ce document en vue de son approbation (dans ce cas, sélectionnez l'une des deux options </w:t>
            </w:r>
            <w:r w:rsidRPr="0011386A">
              <w:rPr>
                <w:sz w:val="20"/>
              </w:rPr>
              <w:t>⃝</w:t>
            </w:r>
            <w:r w:rsidRPr="0011386A">
              <w:t>):</w:t>
            </w:r>
          </w:p>
          <w:p w14:paraId="6C919A9C" w14:textId="77777777" w:rsidR="004B6E18" w:rsidRPr="0011386A" w:rsidRDefault="004B6E18" w:rsidP="00D57667">
            <w:pPr>
              <w:pStyle w:val="TableText"/>
              <w:tabs>
                <w:tab w:val="clear" w:pos="284"/>
                <w:tab w:val="clear" w:pos="567"/>
                <w:tab w:val="clear" w:pos="1134"/>
              </w:tabs>
              <w:spacing w:before="30" w:after="30"/>
              <w:ind w:left="880" w:hanging="426"/>
            </w:pPr>
            <w:r w:rsidRPr="0011386A">
              <w:rPr>
                <w:sz w:val="20"/>
              </w:rPr>
              <w:t>⃝</w:t>
            </w:r>
            <w:r w:rsidRPr="0011386A">
              <w:rPr>
                <w:sz w:val="20"/>
              </w:rPr>
              <w:tab/>
            </w:r>
            <w:r w:rsidRPr="0011386A">
              <w:t>Pas de commentaire ou de proposition de modification.</w:t>
            </w:r>
          </w:p>
          <w:p w14:paraId="28E547DD" w14:textId="77777777" w:rsidR="004B6E18" w:rsidRPr="0011386A" w:rsidRDefault="004B6E18" w:rsidP="00D57667">
            <w:pPr>
              <w:pStyle w:val="TableText"/>
              <w:tabs>
                <w:tab w:val="clear" w:pos="284"/>
                <w:tab w:val="clear" w:pos="567"/>
                <w:tab w:val="clear" w:pos="1134"/>
              </w:tabs>
              <w:spacing w:before="30" w:after="30"/>
              <w:ind w:left="880" w:hanging="426"/>
            </w:pPr>
            <w:r w:rsidRPr="0011386A">
              <w:rPr>
                <w:sz w:val="20"/>
              </w:rPr>
              <w:t>⃝</w:t>
            </w:r>
            <w:r w:rsidRPr="0011386A">
              <w:rPr>
                <w:sz w:val="20"/>
              </w:rPr>
              <w:tab/>
            </w:r>
            <w:r w:rsidRPr="0011386A">
              <w:t>Des commentaires ou propositions de modification sont joints à la présente.</w:t>
            </w:r>
          </w:p>
        </w:tc>
      </w:tr>
      <w:tr w:rsidR="004B6E18" w:rsidRPr="0011386A" w14:paraId="458F2C12" w14:textId="77777777" w:rsidTr="00035EA8">
        <w:trPr>
          <w:trHeight w:val="747"/>
        </w:trPr>
        <w:tc>
          <w:tcPr>
            <w:tcW w:w="1980" w:type="dxa"/>
            <w:vMerge/>
            <w:shd w:val="clear" w:color="auto" w:fill="auto"/>
            <w:vAlign w:val="center"/>
          </w:tcPr>
          <w:p w14:paraId="22C330D3" w14:textId="77777777" w:rsidR="004B6E18" w:rsidRPr="0011386A" w:rsidRDefault="004B6E18" w:rsidP="0057325F">
            <w:pPr>
              <w:pStyle w:val="TableText"/>
              <w:jc w:val="center"/>
              <w:rPr>
                <w:b/>
              </w:rPr>
            </w:pPr>
          </w:p>
        </w:tc>
        <w:tc>
          <w:tcPr>
            <w:tcW w:w="7982" w:type="dxa"/>
            <w:shd w:val="clear" w:color="auto" w:fill="auto"/>
            <w:vAlign w:val="center"/>
          </w:tcPr>
          <w:p w14:paraId="3534CC52" w14:textId="77777777" w:rsidR="004B6E18" w:rsidRPr="0011386A" w:rsidRDefault="004B6E18" w:rsidP="00D57667">
            <w:pPr>
              <w:pStyle w:val="TableText"/>
              <w:tabs>
                <w:tab w:val="clear" w:pos="284"/>
                <w:tab w:val="clear" w:pos="1134"/>
              </w:tabs>
              <w:spacing w:before="30" w:after="30"/>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45DFE279" w14:textId="77777777" w:rsidTr="00035EA8">
        <w:trPr>
          <w:trHeight w:val="748"/>
        </w:trPr>
        <w:tc>
          <w:tcPr>
            <w:tcW w:w="1980" w:type="dxa"/>
            <w:vMerge w:val="restart"/>
            <w:shd w:val="clear" w:color="auto" w:fill="auto"/>
            <w:vAlign w:val="center"/>
          </w:tcPr>
          <w:p w14:paraId="209A96EB" w14:textId="2AF58BC9" w:rsidR="004B6E18" w:rsidRPr="0011386A" w:rsidRDefault="004B6E18" w:rsidP="0057325F">
            <w:pPr>
              <w:pStyle w:val="TableText"/>
              <w:widowControl w:val="0"/>
              <w:jc w:val="center"/>
              <w:rPr>
                <w:b/>
              </w:rPr>
            </w:pPr>
            <w:r w:rsidRPr="0011386A">
              <w:rPr>
                <w:b/>
              </w:rPr>
              <w:t>Projet de nouvelle Recommandation UIT-T Y.4230 (ex Y.EV-charging)</w:t>
            </w:r>
          </w:p>
        </w:tc>
        <w:tc>
          <w:tcPr>
            <w:tcW w:w="7982" w:type="dxa"/>
            <w:shd w:val="clear" w:color="auto" w:fill="auto"/>
            <w:vAlign w:val="center"/>
          </w:tcPr>
          <w:p w14:paraId="659C69D2" w14:textId="77777777" w:rsidR="004B6E18" w:rsidRPr="0011386A" w:rsidRDefault="004B6E18" w:rsidP="00D57667">
            <w:pPr>
              <w:pStyle w:val="TableText"/>
              <w:widowControl w:val="0"/>
              <w:tabs>
                <w:tab w:val="clear" w:pos="284"/>
                <w:tab w:val="clear" w:pos="1134"/>
              </w:tabs>
              <w:spacing w:before="30" w:after="30"/>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3C947CD3" w14:textId="77777777" w:rsidR="004B6E18" w:rsidRPr="0011386A" w:rsidRDefault="004B6E18" w:rsidP="00D57667">
            <w:pPr>
              <w:pStyle w:val="TableText"/>
              <w:widowControl w:val="0"/>
              <w:tabs>
                <w:tab w:val="clear" w:pos="284"/>
                <w:tab w:val="clear" w:pos="567"/>
                <w:tab w:val="clear" w:pos="1134"/>
              </w:tabs>
              <w:spacing w:before="30" w:after="30"/>
              <w:ind w:left="880" w:hanging="412"/>
            </w:pPr>
            <w:r w:rsidRPr="0011386A">
              <w:rPr>
                <w:sz w:val="20"/>
              </w:rPr>
              <w:t>⃝</w:t>
            </w:r>
            <w:r w:rsidRPr="0011386A">
              <w:rPr>
                <w:sz w:val="20"/>
              </w:rPr>
              <w:tab/>
            </w:r>
            <w:r w:rsidRPr="0011386A">
              <w:t>Pas de commentaire ou de proposition de modification.</w:t>
            </w:r>
          </w:p>
          <w:p w14:paraId="278574D5" w14:textId="77777777" w:rsidR="004B6E18" w:rsidRPr="0011386A" w:rsidRDefault="004B6E18" w:rsidP="00D57667">
            <w:pPr>
              <w:pStyle w:val="TableText"/>
              <w:widowControl w:val="0"/>
              <w:tabs>
                <w:tab w:val="clear" w:pos="284"/>
                <w:tab w:val="clear" w:pos="567"/>
                <w:tab w:val="clear" w:pos="1134"/>
              </w:tabs>
              <w:spacing w:before="30" w:after="30"/>
              <w:ind w:left="880" w:hanging="412"/>
            </w:pPr>
            <w:r w:rsidRPr="0011386A">
              <w:rPr>
                <w:sz w:val="20"/>
              </w:rPr>
              <w:t>⃝</w:t>
            </w:r>
            <w:r w:rsidRPr="0011386A">
              <w:rPr>
                <w:sz w:val="20"/>
              </w:rPr>
              <w:tab/>
            </w:r>
            <w:r w:rsidRPr="0011386A">
              <w:t>Des commentaires ou propositions de modification sont joints à la présente.</w:t>
            </w:r>
          </w:p>
        </w:tc>
      </w:tr>
      <w:tr w:rsidR="004B6E18" w:rsidRPr="0011386A" w14:paraId="52145772" w14:textId="77777777" w:rsidTr="00035EA8">
        <w:trPr>
          <w:trHeight w:val="747"/>
        </w:trPr>
        <w:tc>
          <w:tcPr>
            <w:tcW w:w="1980" w:type="dxa"/>
            <w:vMerge/>
            <w:shd w:val="clear" w:color="auto" w:fill="auto"/>
            <w:vAlign w:val="center"/>
          </w:tcPr>
          <w:p w14:paraId="390026A8" w14:textId="77777777" w:rsidR="004B6E18" w:rsidRPr="0011386A" w:rsidRDefault="004B6E18" w:rsidP="0057325F">
            <w:pPr>
              <w:pStyle w:val="TableText"/>
              <w:widowControl w:val="0"/>
              <w:jc w:val="center"/>
              <w:rPr>
                <w:b/>
              </w:rPr>
            </w:pPr>
          </w:p>
        </w:tc>
        <w:tc>
          <w:tcPr>
            <w:tcW w:w="7982" w:type="dxa"/>
            <w:shd w:val="clear" w:color="auto" w:fill="auto"/>
            <w:vAlign w:val="center"/>
          </w:tcPr>
          <w:p w14:paraId="55D7C7AF" w14:textId="77777777" w:rsidR="004B6E18" w:rsidRPr="0011386A" w:rsidRDefault="004B6E18" w:rsidP="0057325F">
            <w:pPr>
              <w:pStyle w:val="TableText"/>
              <w:widowControl w:val="0"/>
              <w:tabs>
                <w:tab w:val="clear" w:pos="284"/>
                <w:tab w:val="clear" w:pos="1134"/>
              </w:tabs>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1872E6FE" w14:textId="77777777" w:rsidTr="00035EA8">
        <w:trPr>
          <w:trHeight w:val="748"/>
        </w:trPr>
        <w:tc>
          <w:tcPr>
            <w:tcW w:w="1980" w:type="dxa"/>
            <w:vMerge w:val="restart"/>
            <w:shd w:val="clear" w:color="auto" w:fill="auto"/>
            <w:vAlign w:val="center"/>
          </w:tcPr>
          <w:p w14:paraId="716B8634" w14:textId="1248017E" w:rsidR="004B6E18" w:rsidRPr="0011386A" w:rsidRDefault="004B6E18" w:rsidP="0057325F">
            <w:pPr>
              <w:pStyle w:val="TableText"/>
              <w:jc w:val="center"/>
              <w:rPr>
                <w:b/>
              </w:rPr>
            </w:pPr>
            <w:r w:rsidRPr="0011386A">
              <w:rPr>
                <w:b/>
              </w:rPr>
              <w:lastRenderedPageBreak/>
              <w:t>Projet de nouvelle Recommandation UIT-T Y.4231 (ex Y.IoT-Vreqs)</w:t>
            </w:r>
          </w:p>
        </w:tc>
        <w:tc>
          <w:tcPr>
            <w:tcW w:w="7982" w:type="dxa"/>
            <w:shd w:val="clear" w:color="auto" w:fill="auto"/>
            <w:vAlign w:val="center"/>
          </w:tcPr>
          <w:p w14:paraId="45087845" w14:textId="77777777" w:rsidR="004B6E18" w:rsidRPr="0011386A" w:rsidRDefault="004B6E18" w:rsidP="0057325F">
            <w:pPr>
              <w:pStyle w:val="TableText"/>
              <w:tabs>
                <w:tab w:val="clear" w:pos="284"/>
                <w:tab w:val="clear" w:pos="1134"/>
              </w:tabs>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70FAC0CF" w14:textId="77777777" w:rsidR="004B6E18" w:rsidRPr="0011386A" w:rsidRDefault="004B6E18" w:rsidP="0057325F">
            <w:pPr>
              <w:pStyle w:val="TableText"/>
              <w:tabs>
                <w:tab w:val="clear" w:pos="284"/>
                <w:tab w:val="clear" w:pos="1134"/>
              </w:tabs>
              <w:ind w:left="880" w:hanging="412"/>
            </w:pPr>
            <w:r w:rsidRPr="0011386A">
              <w:rPr>
                <w:sz w:val="20"/>
              </w:rPr>
              <w:t>⃝</w:t>
            </w:r>
            <w:r w:rsidRPr="0011386A">
              <w:rPr>
                <w:sz w:val="20"/>
              </w:rPr>
              <w:tab/>
            </w:r>
            <w:r w:rsidRPr="0011386A">
              <w:t>Pas de commentaire ou de proposition de modification.</w:t>
            </w:r>
          </w:p>
          <w:p w14:paraId="5EC3CBEB" w14:textId="77777777" w:rsidR="004B6E18" w:rsidRPr="0011386A" w:rsidRDefault="004B6E18" w:rsidP="0057325F">
            <w:pPr>
              <w:pStyle w:val="TableText"/>
              <w:tabs>
                <w:tab w:val="clear" w:pos="284"/>
                <w:tab w:val="clear" w:pos="1134"/>
              </w:tabs>
              <w:ind w:left="880" w:hanging="412"/>
            </w:pPr>
            <w:r w:rsidRPr="0011386A">
              <w:rPr>
                <w:sz w:val="20"/>
              </w:rPr>
              <w:t>⃝</w:t>
            </w:r>
            <w:r w:rsidRPr="0011386A">
              <w:rPr>
                <w:sz w:val="20"/>
              </w:rPr>
              <w:tab/>
            </w:r>
            <w:r w:rsidRPr="0011386A">
              <w:t>Des commentaires ou propositions de modification sont joints à la présente.</w:t>
            </w:r>
          </w:p>
        </w:tc>
      </w:tr>
      <w:tr w:rsidR="004B6E18" w:rsidRPr="0011386A" w14:paraId="1236BA4D" w14:textId="77777777" w:rsidTr="00035EA8">
        <w:trPr>
          <w:trHeight w:val="747"/>
        </w:trPr>
        <w:tc>
          <w:tcPr>
            <w:tcW w:w="1980" w:type="dxa"/>
            <w:vMerge/>
            <w:shd w:val="clear" w:color="auto" w:fill="auto"/>
            <w:vAlign w:val="center"/>
          </w:tcPr>
          <w:p w14:paraId="0B1451FA" w14:textId="77777777" w:rsidR="004B6E18" w:rsidRPr="0011386A" w:rsidRDefault="004B6E18" w:rsidP="0057325F">
            <w:pPr>
              <w:pStyle w:val="TableText"/>
              <w:jc w:val="center"/>
              <w:rPr>
                <w:b/>
              </w:rPr>
            </w:pPr>
          </w:p>
        </w:tc>
        <w:tc>
          <w:tcPr>
            <w:tcW w:w="7982" w:type="dxa"/>
            <w:shd w:val="clear" w:color="auto" w:fill="auto"/>
            <w:vAlign w:val="center"/>
          </w:tcPr>
          <w:p w14:paraId="2599A409" w14:textId="77777777" w:rsidR="004B6E18" w:rsidRPr="0011386A" w:rsidRDefault="004B6E18" w:rsidP="0057325F">
            <w:pPr>
              <w:pStyle w:val="TableText"/>
              <w:tabs>
                <w:tab w:val="clear" w:pos="284"/>
                <w:tab w:val="clear" w:pos="1134"/>
              </w:tabs>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090428EE" w14:textId="77777777" w:rsidTr="00035EA8">
        <w:trPr>
          <w:trHeight w:val="748"/>
        </w:trPr>
        <w:tc>
          <w:tcPr>
            <w:tcW w:w="1980" w:type="dxa"/>
            <w:vMerge w:val="restart"/>
            <w:shd w:val="clear" w:color="auto" w:fill="auto"/>
            <w:vAlign w:val="center"/>
          </w:tcPr>
          <w:p w14:paraId="5895C4F5" w14:textId="6A4EF7C3" w:rsidR="004B6E18" w:rsidRPr="0011386A" w:rsidRDefault="004B6E18" w:rsidP="0057325F">
            <w:pPr>
              <w:pStyle w:val="TableText"/>
              <w:jc w:val="center"/>
              <w:rPr>
                <w:b/>
              </w:rPr>
            </w:pPr>
            <w:r w:rsidRPr="0011386A">
              <w:rPr>
                <w:b/>
              </w:rPr>
              <w:t>Projet de nouvelle Recommandation UIT-T Y.4232 (ex Y.IoT-RTPS)</w:t>
            </w:r>
          </w:p>
        </w:tc>
        <w:tc>
          <w:tcPr>
            <w:tcW w:w="7982" w:type="dxa"/>
            <w:shd w:val="clear" w:color="auto" w:fill="auto"/>
            <w:vAlign w:val="center"/>
          </w:tcPr>
          <w:p w14:paraId="04B1D28F" w14:textId="77777777" w:rsidR="004B6E18" w:rsidRPr="0011386A" w:rsidRDefault="004B6E18" w:rsidP="0057325F">
            <w:pPr>
              <w:pStyle w:val="TableText"/>
              <w:tabs>
                <w:tab w:val="clear" w:pos="284"/>
                <w:tab w:val="clear" w:pos="1134"/>
              </w:tabs>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 xml:space="preserve">Autorise </w:t>
            </w:r>
            <w:r w:rsidRPr="0011386A">
              <w:t xml:space="preserve">la Commission d'études 20 à procéder à l'examen de ce document en vue de son approbation (dans ce cas, sélectionnez l'une des deux options </w:t>
            </w:r>
            <w:r w:rsidRPr="0011386A">
              <w:rPr>
                <w:sz w:val="20"/>
              </w:rPr>
              <w:t>⃝</w:t>
            </w:r>
            <w:r w:rsidRPr="0011386A">
              <w:t>):</w:t>
            </w:r>
          </w:p>
          <w:p w14:paraId="34E76C7A" w14:textId="77777777" w:rsidR="004B6E18" w:rsidRPr="0011386A" w:rsidRDefault="004B6E18" w:rsidP="0057325F">
            <w:pPr>
              <w:pStyle w:val="TableText"/>
              <w:tabs>
                <w:tab w:val="clear" w:pos="284"/>
                <w:tab w:val="clear" w:pos="1134"/>
              </w:tabs>
              <w:ind w:left="880" w:hanging="412"/>
            </w:pPr>
            <w:r w:rsidRPr="0011386A">
              <w:rPr>
                <w:sz w:val="20"/>
              </w:rPr>
              <w:t>⃝</w:t>
            </w:r>
            <w:r w:rsidRPr="0011386A">
              <w:rPr>
                <w:sz w:val="20"/>
              </w:rPr>
              <w:tab/>
            </w:r>
            <w:r w:rsidRPr="0011386A">
              <w:t>Pas de commentaire ou de proposition de modification.</w:t>
            </w:r>
          </w:p>
          <w:p w14:paraId="2D394476" w14:textId="77777777" w:rsidR="004B6E18" w:rsidRPr="0011386A" w:rsidRDefault="004B6E18" w:rsidP="0057325F">
            <w:pPr>
              <w:pStyle w:val="TableText"/>
              <w:tabs>
                <w:tab w:val="clear" w:pos="284"/>
                <w:tab w:val="clear" w:pos="1134"/>
              </w:tabs>
              <w:ind w:left="880" w:hanging="412"/>
            </w:pPr>
            <w:r w:rsidRPr="0011386A">
              <w:rPr>
                <w:sz w:val="20"/>
              </w:rPr>
              <w:t>⃝</w:t>
            </w:r>
            <w:r w:rsidRPr="0011386A">
              <w:rPr>
                <w:sz w:val="20"/>
              </w:rPr>
              <w:tab/>
            </w:r>
            <w:r w:rsidRPr="0011386A">
              <w:t>Des commentaires ou propositions de modification sont joints à la présente.</w:t>
            </w:r>
          </w:p>
        </w:tc>
      </w:tr>
      <w:tr w:rsidR="004B6E18" w:rsidRPr="0011386A" w14:paraId="712C1DAD" w14:textId="77777777" w:rsidTr="00035EA8">
        <w:trPr>
          <w:trHeight w:val="747"/>
        </w:trPr>
        <w:tc>
          <w:tcPr>
            <w:tcW w:w="1980" w:type="dxa"/>
            <w:vMerge/>
            <w:shd w:val="clear" w:color="auto" w:fill="auto"/>
            <w:vAlign w:val="center"/>
          </w:tcPr>
          <w:p w14:paraId="7FA2DF90" w14:textId="77777777" w:rsidR="004B6E18" w:rsidRPr="0011386A" w:rsidRDefault="004B6E18" w:rsidP="0057325F">
            <w:pPr>
              <w:pStyle w:val="TableText"/>
              <w:jc w:val="center"/>
              <w:rPr>
                <w:b/>
              </w:rPr>
            </w:pPr>
          </w:p>
        </w:tc>
        <w:tc>
          <w:tcPr>
            <w:tcW w:w="7982" w:type="dxa"/>
            <w:shd w:val="clear" w:color="auto" w:fill="auto"/>
            <w:vAlign w:val="center"/>
          </w:tcPr>
          <w:p w14:paraId="2667A4DB" w14:textId="77777777" w:rsidR="004B6E18" w:rsidRPr="0011386A" w:rsidRDefault="004B6E18" w:rsidP="0057325F">
            <w:pPr>
              <w:pStyle w:val="TableText"/>
              <w:tabs>
                <w:tab w:val="clear" w:pos="284"/>
                <w:tab w:val="clear" w:pos="1134"/>
              </w:tabs>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5B73F289" w14:textId="77777777" w:rsidTr="00035EA8">
        <w:trPr>
          <w:trHeight w:val="748"/>
        </w:trPr>
        <w:tc>
          <w:tcPr>
            <w:tcW w:w="1980" w:type="dxa"/>
            <w:vMerge w:val="restart"/>
            <w:shd w:val="clear" w:color="auto" w:fill="auto"/>
            <w:vAlign w:val="center"/>
          </w:tcPr>
          <w:p w14:paraId="447B77EC" w14:textId="4D457BB8" w:rsidR="004B6E18" w:rsidRPr="0011386A" w:rsidRDefault="004B6E18" w:rsidP="0057325F">
            <w:pPr>
              <w:pStyle w:val="TableText"/>
              <w:jc w:val="center"/>
              <w:rPr>
                <w:b/>
              </w:rPr>
            </w:pPr>
            <w:r w:rsidRPr="0011386A">
              <w:rPr>
                <w:b/>
              </w:rPr>
              <w:t>Projet de nouvelle Recommandation UIT-T Y.4233 (ex Y.FSPH)</w:t>
            </w:r>
          </w:p>
        </w:tc>
        <w:tc>
          <w:tcPr>
            <w:tcW w:w="7982" w:type="dxa"/>
            <w:shd w:val="clear" w:color="auto" w:fill="auto"/>
            <w:vAlign w:val="center"/>
          </w:tcPr>
          <w:p w14:paraId="4FB47F29" w14:textId="77777777" w:rsidR="004B6E18" w:rsidRPr="0011386A" w:rsidRDefault="004B6E18" w:rsidP="0057325F">
            <w:pPr>
              <w:pStyle w:val="TableText"/>
              <w:tabs>
                <w:tab w:val="clear" w:pos="284"/>
                <w:tab w:val="clear" w:pos="1134"/>
              </w:tabs>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 xml:space="preserve">Autorise </w:t>
            </w:r>
            <w:r w:rsidRPr="0011386A">
              <w:t xml:space="preserve">la Commission d'études 20 à procéder à l'examen de ce document en vue de son approbation (dans ce cas, sélectionnez l'une des deux options </w:t>
            </w:r>
            <w:r w:rsidRPr="0011386A">
              <w:rPr>
                <w:sz w:val="20"/>
              </w:rPr>
              <w:t>⃝</w:t>
            </w:r>
            <w:r w:rsidRPr="0011386A">
              <w:t>):</w:t>
            </w:r>
          </w:p>
          <w:p w14:paraId="5A7F2D59" w14:textId="77777777" w:rsidR="004B6E18" w:rsidRPr="0011386A" w:rsidRDefault="004B6E18" w:rsidP="0057325F">
            <w:pPr>
              <w:pStyle w:val="TableText"/>
              <w:tabs>
                <w:tab w:val="clear" w:pos="284"/>
                <w:tab w:val="clear" w:pos="1134"/>
              </w:tabs>
              <w:ind w:left="880" w:hanging="455"/>
            </w:pPr>
            <w:r w:rsidRPr="0011386A">
              <w:rPr>
                <w:sz w:val="20"/>
              </w:rPr>
              <w:t>⃝</w:t>
            </w:r>
            <w:r w:rsidRPr="0011386A">
              <w:rPr>
                <w:sz w:val="20"/>
              </w:rPr>
              <w:tab/>
            </w:r>
            <w:r w:rsidRPr="0011386A">
              <w:t>Pas de commentaire ou de proposition de modification.</w:t>
            </w:r>
          </w:p>
          <w:p w14:paraId="5BFB86EC" w14:textId="77777777" w:rsidR="004B6E18" w:rsidRPr="0011386A" w:rsidRDefault="004B6E18" w:rsidP="0057325F">
            <w:pPr>
              <w:pStyle w:val="TableText"/>
              <w:tabs>
                <w:tab w:val="clear" w:pos="284"/>
                <w:tab w:val="clear" w:pos="1134"/>
              </w:tabs>
              <w:ind w:left="880" w:hanging="455"/>
            </w:pPr>
            <w:r w:rsidRPr="0011386A">
              <w:rPr>
                <w:sz w:val="20"/>
              </w:rPr>
              <w:t>⃝</w:t>
            </w:r>
            <w:r w:rsidRPr="0011386A">
              <w:rPr>
                <w:sz w:val="20"/>
              </w:rPr>
              <w:tab/>
            </w:r>
            <w:r w:rsidRPr="0011386A">
              <w:t>Des commentaires ou propositions de modification sont joints à la présente.</w:t>
            </w:r>
          </w:p>
        </w:tc>
      </w:tr>
      <w:tr w:rsidR="004B6E18" w:rsidRPr="0011386A" w14:paraId="0186C28E" w14:textId="77777777" w:rsidTr="00035EA8">
        <w:trPr>
          <w:trHeight w:val="747"/>
        </w:trPr>
        <w:tc>
          <w:tcPr>
            <w:tcW w:w="1980" w:type="dxa"/>
            <w:vMerge/>
            <w:shd w:val="clear" w:color="auto" w:fill="auto"/>
            <w:vAlign w:val="center"/>
          </w:tcPr>
          <w:p w14:paraId="0A2C53B4" w14:textId="484C4EF5" w:rsidR="004B6E18" w:rsidRPr="0011386A" w:rsidRDefault="004B6E18" w:rsidP="0057325F">
            <w:pPr>
              <w:pStyle w:val="TableText"/>
              <w:jc w:val="center"/>
              <w:rPr>
                <w:b/>
              </w:rPr>
            </w:pPr>
          </w:p>
        </w:tc>
        <w:tc>
          <w:tcPr>
            <w:tcW w:w="7982" w:type="dxa"/>
            <w:shd w:val="clear" w:color="auto" w:fill="auto"/>
            <w:vAlign w:val="center"/>
          </w:tcPr>
          <w:p w14:paraId="6193E360" w14:textId="77777777" w:rsidR="004B6E18" w:rsidRPr="0011386A" w:rsidRDefault="004B6E18" w:rsidP="0057325F">
            <w:pPr>
              <w:pStyle w:val="TableText"/>
              <w:tabs>
                <w:tab w:val="clear" w:pos="284"/>
                <w:tab w:val="clear" w:pos="1134"/>
              </w:tabs>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6EBE670C" w14:textId="77777777" w:rsidTr="00035EA8">
        <w:trPr>
          <w:trHeight w:val="748"/>
        </w:trPr>
        <w:tc>
          <w:tcPr>
            <w:tcW w:w="1980" w:type="dxa"/>
            <w:vMerge w:val="restart"/>
            <w:shd w:val="clear" w:color="auto" w:fill="auto"/>
            <w:vAlign w:val="center"/>
          </w:tcPr>
          <w:p w14:paraId="29E26B8C" w14:textId="76F793F4" w:rsidR="004B6E18" w:rsidRPr="0011386A" w:rsidRDefault="004B6E18" w:rsidP="0057325F">
            <w:pPr>
              <w:pStyle w:val="TableText"/>
              <w:jc w:val="center"/>
              <w:rPr>
                <w:b/>
              </w:rPr>
            </w:pPr>
            <w:r w:rsidRPr="0011386A">
              <w:rPr>
                <w:b/>
              </w:rPr>
              <w:t>Projet de nouvelle Recommandation UIT-T Y.4234 (ex</w:t>
            </w:r>
            <w:r w:rsidR="00AE4553" w:rsidRPr="0011386A">
              <w:rPr>
                <w:b/>
              </w:rPr>
              <w:t> </w:t>
            </w:r>
            <w:r w:rsidRPr="0011386A">
              <w:rPr>
                <w:b/>
              </w:rPr>
              <w:t>Y.RemoteEd)</w:t>
            </w:r>
          </w:p>
        </w:tc>
        <w:tc>
          <w:tcPr>
            <w:tcW w:w="7982" w:type="dxa"/>
            <w:shd w:val="clear" w:color="auto" w:fill="auto"/>
            <w:vAlign w:val="center"/>
          </w:tcPr>
          <w:p w14:paraId="6E44A8E8" w14:textId="77777777" w:rsidR="004B6E18" w:rsidRPr="0011386A" w:rsidRDefault="004B6E18" w:rsidP="0057325F">
            <w:pPr>
              <w:pStyle w:val="TableText"/>
              <w:tabs>
                <w:tab w:val="clear" w:pos="284"/>
                <w:tab w:val="clear" w:pos="1134"/>
              </w:tabs>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5B10C9D3" w14:textId="77777777" w:rsidR="004B6E18" w:rsidRPr="0011386A" w:rsidRDefault="004B6E18" w:rsidP="0057325F">
            <w:pPr>
              <w:pStyle w:val="TableText"/>
              <w:tabs>
                <w:tab w:val="clear" w:pos="284"/>
                <w:tab w:val="clear" w:pos="567"/>
                <w:tab w:val="clear" w:pos="1134"/>
              </w:tabs>
              <w:ind w:left="880" w:hanging="426"/>
            </w:pPr>
            <w:r w:rsidRPr="0011386A">
              <w:rPr>
                <w:sz w:val="20"/>
              </w:rPr>
              <w:t>⃝</w:t>
            </w:r>
            <w:r w:rsidRPr="0011386A">
              <w:rPr>
                <w:sz w:val="20"/>
              </w:rPr>
              <w:tab/>
            </w:r>
            <w:r w:rsidRPr="0011386A">
              <w:t>Pas de commentaire ou de proposition de modification.</w:t>
            </w:r>
          </w:p>
          <w:p w14:paraId="2E1B7759" w14:textId="77777777" w:rsidR="004B6E18" w:rsidRPr="0011386A" w:rsidRDefault="004B6E18" w:rsidP="0057325F">
            <w:pPr>
              <w:pStyle w:val="TableText"/>
              <w:tabs>
                <w:tab w:val="clear" w:pos="284"/>
                <w:tab w:val="clear" w:pos="567"/>
                <w:tab w:val="clear" w:pos="1134"/>
              </w:tabs>
              <w:ind w:left="880" w:hanging="426"/>
            </w:pPr>
            <w:r w:rsidRPr="0011386A">
              <w:rPr>
                <w:sz w:val="20"/>
              </w:rPr>
              <w:t>⃝</w:t>
            </w:r>
            <w:r w:rsidRPr="0011386A">
              <w:rPr>
                <w:sz w:val="20"/>
              </w:rPr>
              <w:tab/>
            </w:r>
            <w:r w:rsidRPr="0011386A">
              <w:t>Des commentaires ou propositions de modification sont joints à la présente.</w:t>
            </w:r>
          </w:p>
        </w:tc>
      </w:tr>
      <w:tr w:rsidR="004B6E18" w:rsidRPr="0011386A" w14:paraId="7381582D" w14:textId="77777777" w:rsidTr="00035EA8">
        <w:trPr>
          <w:trHeight w:val="747"/>
        </w:trPr>
        <w:tc>
          <w:tcPr>
            <w:tcW w:w="1980" w:type="dxa"/>
            <w:vMerge/>
            <w:shd w:val="clear" w:color="auto" w:fill="auto"/>
            <w:vAlign w:val="center"/>
          </w:tcPr>
          <w:p w14:paraId="19842FC6" w14:textId="77777777" w:rsidR="004B6E18" w:rsidRPr="0011386A" w:rsidRDefault="004B6E18" w:rsidP="0057325F">
            <w:pPr>
              <w:pStyle w:val="TableText"/>
              <w:jc w:val="center"/>
              <w:rPr>
                <w:b/>
              </w:rPr>
            </w:pPr>
          </w:p>
        </w:tc>
        <w:tc>
          <w:tcPr>
            <w:tcW w:w="7982" w:type="dxa"/>
            <w:shd w:val="clear" w:color="auto" w:fill="auto"/>
            <w:vAlign w:val="center"/>
          </w:tcPr>
          <w:p w14:paraId="7F296E81" w14:textId="77777777" w:rsidR="004B6E18" w:rsidRPr="0011386A" w:rsidRDefault="004B6E18" w:rsidP="0057325F">
            <w:pPr>
              <w:pStyle w:val="TableText"/>
              <w:tabs>
                <w:tab w:val="clear" w:pos="284"/>
                <w:tab w:val="clear" w:pos="1134"/>
              </w:tabs>
              <w:ind w:left="455" w:hanging="455"/>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2432AB50" w14:textId="77777777" w:rsidTr="00035EA8">
        <w:trPr>
          <w:trHeight w:val="748"/>
        </w:trPr>
        <w:tc>
          <w:tcPr>
            <w:tcW w:w="1980" w:type="dxa"/>
            <w:vMerge w:val="restart"/>
            <w:shd w:val="clear" w:color="auto" w:fill="auto"/>
            <w:vAlign w:val="center"/>
          </w:tcPr>
          <w:p w14:paraId="4420A65E" w14:textId="542063C9" w:rsidR="004B6E18" w:rsidRPr="0011386A" w:rsidRDefault="004B6E18" w:rsidP="0057325F">
            <w:pPr>
              <w:pStyle w:val="TableText"/>
              <w:jc w:val="center"/>
              <w:rPr>
                <w:b/>
              </w:rPr>
            </w:pPr>
            <w:r w:rsidRPr="0011386A">
              <w:rPr>
                <w:b/>
              </w:rPr>
              <w:t>Projet de nouvelle Recommandation UIT-T Y.4222 (ex</w:t>
            </w:r>
            <w:r w:rsidR="00AE4553" w:rsidRPr="0011386A">
              <w:rPr>
                <w:b/>
              </w:rPr>
              <w:t> </w:t>
            </w:r>
            <w:r w:rsidRPr="0011386A">
              <w:rPr>
                <w:b/>
              </w:rPr>
              <w:t>Y.smart-evacuation)</w:t>
            </w:r>
          </w:p>
        </w:tc>
        <w:tc>
          <w:tcPr>
            <w:tcW w:w="7982" w:type="dxa"/>
            <w:shd w:val="clear" w:color="auto" w:fill="auto"/>
            <w:vAlign w:val="center"/>
          </w:tcPr>
          <w:p w14:paraId="339B2CE8" w14:textId="77777777" w:rsidR="004B6E18" w:rsidRPr="0011386A" w:rsidRDefault="004B6E18" w:rsidP="0057325F">
            <w:pPr>
              <w:pStyle w:val="TableText"/>
              <w:tabs>
                <w:tab w:val="clear" w:pos="284"/>
                <w:tab w:val="clear" w:pos="1134"/>
              </w:tabs>
              <w:ind w:left="455" w:hanging="455"/>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63168211" w14:textId="77777777" w:rsidR="004B6E18" w:rsidRPr="0011386A" w:rsidRDefault="004B6E18" w:rsidP="0057325F">
            <w:pPr>
              <w:pStyle w:val="TableText"/>
              <w:tabs>
                <w:tab w:val="clear" w:pos="284"/>
                <w:tab w:val="clear" w:pos="567"/>
                <w:tab w:val="clear" w:pos="1134"/>
              </w:tabs>
              <w:ind w:left="887" w:hanging="419"/>
            </w:pPr>
            <w:r w:rsidRPr="0011386A">
              <w:rPr>
                <w:sz w:val="20"/>
              </w:rPr>
              <w:t>⃝</w:t>
            </w:r>
            <w:r w:rsidRPr="0011386A">
              <w:rPr>
                <w:sz w:val="20"/>
              </w:rPr>
              <w:tab/>
            </w:r>
            <w:r w:rsidRPr="0011386A">
              <w:t>Pas de commentaire ou de proposition de modification.</w:t>
            </w:r>
          </w:p>
          <w:p w14:paraId="7188B272" w14:textId="77777777" w:rsidR="004B6E18" w:rsidRPr="0011386A" w:rsidRDefault="004B6E18" w:rsidP="0057325F">
            <w:pPr>
              <w:pStyle w:val="TableText"/>
              <w:tabs>
                <w:tab w:val="clear" w:pos="284"/>
                <w:tab w:val="clear" w:pos="567"/>
                <w:tab w:val="clear" w:pos="1134"/>
              </w:tabs>
              <w:ind w:left="887" w:hanging="419"/>
            </w:pPr>
            <w:r w:rsidRPr="0011386A">
              <w:rPr>
                <w:sz w:val="20"/>
              </w:rPr>
              <w:t>⃝</w:t>
            </w:r>
            <w:r w:rsidRPr="0011386A">
              <w:rPr>
                <w:sz w:val="20"/>
              </w:rPr>
              <w:tab/>
            </w:r>
            <w:r w:rsidRPr="0011386A">
              <w:t>Des commentaires ou propositions de modification sont joints à la présente.</w:t>
            </w:r>
          </w:p>
        </w:tc>
      </w:tr>
      <w:tr w:rsidR="004B6E18" w:rsidRPr="0011386A" w14:paraId="0A4F82BD" w14:textId="77777777" w:rsidTr="00035EA8">
        <w:trPr>
          <w:trHeight w:val="747"/>
        </w:trPr>
        <w:tc>
          <w:tcPr>
            <w:tcW w:w="1980" w:type="dxa"/>
            <w:vMerge/>
            <w:shd w:val="clear" w:color="auto" w:fill="auto"/>
            <w:vAlign w:val="center"/>
          </w:tcPr>
          <w:p w14:paraId="46E2E51E" w14:textId="77777777" w:rsidR="004B6E18" w:rsidRPr="0011386A" w:rsidRDefault="004B6E18" w:rsidP="0057325F">
            <w:pPr>
              <w:pStyle w:val="TableText"/>
              <w:jc w:val="center"/>
              <w:rPr>
                <w:b/>
              </w:rPr>
            </w:pPr>
          </w:p>
        </w:tc>
        <w:tc>
          <w:tcPr>
            <w:tcW w:w="7982" w:type="dxa"/>
            <w:shd w:val="clear" w:color="auto" w:fill="auto"/>
            <w:vAlign w:val="center"/>
          </w:tcPr>
          <w:p w14:paraId="097C8D90" w14:textId="77777777" w:rsidR="004B6E18" w:rsidRPr="0011386A" w:rsidRDefault="004B6E18" w:rsidP="0057325F">
            <w:pPr>
              <w:pStyle w:val="TableText"/>
              <w:tabs>
                <w:tab w:val="clear" w:pos="284"/>
                <w:tab w:val="clear" w:pos="1134"/>
              </w:tabs>
              <w:ind w:left="462" w:hanging="462"/>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79395394" w14:textId="77777777" w:rsidTr="00035EA8">
        <w:trPr>
          <w:trHeight w:val="748"/>
        </w:trPr>
        <w:tc>
          <w:tcPr>
            <w:tcW w:w="1980" w:type="dxa"/>
            <w:vMerge w:val="restart"/>
            <w:shd w:val="clear" w:color="auto" w:fill="auto"/>
            <w:vAlign w:val="center"/>
          </w:tcPr>
          <w:p w14:paraId="275753B2" w14:textId="35F07A5A" w:rsidR="004B6E18" w:rsidRPr="0011386A" w:rsidRDefault="004B6E18" w:rsidP="00A6169B">
            <w:pPr>
              <w:pStyle w:val="TableText"/>
              <w:keepNext/>
              <w:keepLines/>
              <w:jc w:val="center"/>
              <w:rPr>
                <w:b/>
              </w:rPr>
            </w:pPr>
            <w:r w:rsidRPr="0011386A">
              <w:rPr>
                <w:b/>
              </w:rPr>
              <w:lastRenderedPageBreak/>
              <w:t>Projet de nouvelle Recommandation UIT-T Y.4507 (ex</w:t>
            </w:r>
            <w:r w:rsidR="00AE4553" w:rsidRPr="0011386A">
              <w:rPr>
                <w:b/>
              </w:rPr>
              <w:t> </w:t>
            </w:r>
            <w:r w:rsidRPr="0011386A">
              <w:rPr>
                <w:b/>
              </w:rPr>
              <w:t>Y.arc-psfws)</w:t>
            </w:r>
          </w:p>
        </w:tc>
        <w:tc>
          <w:tcPr>
            <w:tcW w:w="7982" w:type="dxa"/>
            <w:shd w:val="clear" w:color="auto" w:fill="auto"/>
            <w:vAlign w:val="center"/>
          </w:tcPr>
          <w:p w14:paraId="5C328EA2" w14:textId="77777777" w:rsidR="004B6E18" w:rsidRPr="0011386A" w:rsidRDefault="004B6E18" w:rsidP="00A6169B">
            <w:pPr>
              <w:pStyle w:val="TableText"/>
              <w:keepNext/>
              <w:keepLines/>
              <w:tabs>
                <w:tab w:val="clear" w:pos="284"/>
                <w:tab w:val="clear" w:pos="1134"/>
              </w:tabs>
              <w:ind w:left="462" w:hanging="462"/>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1A96B4D2" w14:textId="77777777" w:rsidR="004B6E18" w:rsidRPr="0011386A" w:rsidRDefault="004B6E18" w:rsidP="00035EA8">
            <w:pPr>
              <w:pStyle w:val="TableText"/>
              <w:keepNext/>
              <w:keepLines/>
              <w:tabs>
                <w:tab w:val="clear" w:pos="284"/>
                <w:tab w:val="clear" w:pos="567"/>
                <w:tab w:val="clear" w:pos="851"/>
                <w:tab w:val="clear" w:pos="1134"/>
              </w:tabs>
              <w:ind w:left="887" w:hanging="419"/>
            </w:pPr>
            <w:r w:rsidRPr="0011386A">
              <w:rPr>
                <w:sz w:val="20"/>
              </w:rPr>
              <w:t>⃝</w:t>
            </w:r>
            <w:r w:rsidRPr="0011386A">
              <w:rPr>
                <w:sz w:val="20"/>
              </w:rPr>
              <w:tab/>
            </w:r>
            <w:r w:rsidRPr="0011386A">
              <w:t>Pas de commentaire ou de proposition de modification.</w:t>
            </w:r>
          </w:p>
          <w:p w14:paraId="22A39935" w14:textId="77777777" w:rsidR="004B6E18" w:rsidRPr="0011386A" w:rsidRDefault="004B6E18" w:rsidP="00035EA8">
            <w:pPr>
              <w:pStyle w:val="TableText"/>
              <w:keepNext/>
              <w:keepLines/>
              <w:tabs>
                <w:tab w:val="clear" w:pos="284"/>
                <w:tab w:val="clear" w:pos="567"/>
                <w:tab w:val="clear" w:pos="851"/>
                <w:tab w:val="clear" w:pos="1134"/>
              </w:tabs>
              <w:ind w:left="887" w:hanging="419"/>
            </w:pPr>
            <w:r w:rsidRPr="0011386A">
              <w:rPr>
                <w:sz w:val="20"/>
              </w:rPr>
              <w:t>⃝</w:t>
            </w:r>
            <w:r w:rsidRPr="0011386A">
              <w:rPr>
                <w:sz w:val="20"/>
              </w:rPr>
              <w:tab/>
            </w:r>
            <w:r w:rsidRPr="0011386A">
              <w:t>Des commentaires ou propositions de modification sont joints à la présente.</w:t>
            </w:r>
          </w:p>
        </w:tc>
      </w:tr>
      <w:tr w:rsidR="004B6E18" w:rsidRPr="0011386A" w14:paraId="34616A14" w14:textId="77777777" w:rsidTr="00035EA8">
        <w:trPr>
          <w:trHeight w:val="747"/>
        </w:trPr>
        <w:tc>
          <w:tcPr>
            <w:tcW w:w="1980" w:type="dxa"/>
            <w:vMerge/>
            <w:shd w:val="clear" w:color="auto" w:fill="auto"/>
            <w:vAlign w:val="center"/>
          </w:tcPr>
          <w:p w14:paraId="27483FFD" w14:textId="71A25404" w:rsidR="004B6E18" w:rsidRPr="0011386A" w:rsidRDefault="004B6E18" w:rsidP="00A6169B">
            <w:pPr>
              <w:pStyle w:val="TableText"/>
              <w:keepNext/>
              <w:keepLines/>
              <w:jc w:val="center"/>
              <w:rPr>
                <w:b/>
              </w:rPr>
            </w:pPr>
          </w:p>
        </w:tc>
        <w:tc>
          <w:tcPr>
            <w:tcW w:w="7982" w:type="dxa"/>
            <w:shd w:val="clear" w:color="auto" w:fill="auto"/>
            <w:vAlign w:val="center"/>
          </w:tcPr>
          <w:p w14:paraId="19CBA40E" w14:textId="77777777" w:rsidR="004B6E18" w:rsidRPr="0011386A" w:rsidRDefault="004B6E18" w:rsidP="00A6169B">
            <w:pPr>
              <w:pStyle w:val="TableText"/>
              <w:keepNext/>
              <w:keepLines/>
              <w:tabs>
                <w:tab w:val="clear" w:pos="284"/>
                <w:tab w:val="clear" w:pos="1134"/>
              </w:tabs>
              <w:ind w:left="462" w:hanging="462"/>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7B0A2B4D" w14:textId="77777777" w:rsidTr="00035EA8">
        <w:trPr>
          <w:trHeight w:val="748"/>
        </w:trPr>
        <w:tc>
          <w:tcPr>
            <w:tcW w:w="1980" w:type="dxa"/>
            <w:vMerge w:val="restart"/>
            <w:shd w:val="clear" w:color="auto" w:fill="auto"/>
            <w:vAlign w:val="center"/>
          </w:tcPr>
          <w:p w14:paraId="182F5590" w14:textId="2EA89663" w:rsidR="004B6E18" w:rsidRPr="0011386A" w:rsidRDefault="004B6E18" w:rsidP="0057325F">
            <w:pPr>
              <w:pStyle w:val="TableText"/>
              <w:jc w:val="center"/>
              <w:rPr>
                <w:b/>
              </w:rPr>
            </w:pPr>
            <w:r w:rsidRPr="0011386A">
              <w:rPr>
                <w:b/>
              </w:rPr>
              <w:t>Projet de nouvelle Recommandation UIT-T Y.4508 (ex</w:t>
            </w:r>
            <w:r w:rsidR="00AE4553" w:rsidRPr="0011386A">
              <w:rPr>
                <w:b/>
              </w:rPr>
              <w:t> </w:t>
            </w:r>
            <w:r w:rsidRPr="0011386A">
              <w:rPr>
                <w:b/>
              </w:rPr>
              <w:t>Y.DPM-alm-fra)</w:t>
            </w:r>
          </w:p>
        </w:tc>
        <w:tc>
          <w:tcPr>
            <w:tcW w:w="7982" w:type="dxa"/>
            <w:shd w:val="clear" w:color="auto" w:fill="auto"/>
            <w:vAlign w:val="center"/>
          </w:tcPr>
          <w:p w14:paraId="6AF2360C" w14:textId="77777777" w:rsidR="004B6E18" w:rsidRPr="0011386A" w:rsidRDefault="004B6E18" w:rsidP="0057325F">
            <w:pPr>
              <w:pStyle w:val="TableText"/>
              <w:tabs>
                <w:tab w:val="clear" w:pos="284"/>
                <w:tab w:val="clear" w:pos="1134"/>
              </w:tabs>
              <w:ind w:left="462" w:hanging="462"/>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69106829"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Pas de commentaire ou de proposition de modification.</w:t>
            </w:r>
          </w:p>
          <w:p w14:paraId="3578EC33"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Des commentaires ou propositions de modification sont joints à la présente.</w:t>
            </w:r>
          </w:p>
        </w:tc>
      </w:tr>
      <w:tr w:rsidR="004B6E18" w:rsidRPr="0011386A" w14:paraId="278BB68D" w14:textId="77777777" w:rsidTr="00035EA8">
        <w:trPr>
          <w:trHeight w:val="747"/>
        </w:trPr>
        <w:tc>
          <w:tcPr>
            <w:tcW w:w="1980" w:type="dxa"/>
            <w:vMerge/>
            <w:shd w:val="clear" w:color="auto" w:fill="auto"/>
            <w:vAlign w:val="center"/>
          </w:tcPr>
          <w:p w14:paraId="502C33D0" w14:textId="77777777" w:rsidR="004B6E18" w:rsidRPr="0011386A" w:rsidRDefault="004B6E18" w:rsidP="0057325F">
            <w:pPr>
              <w:pStyle w:val="TableText"/>
              <w:jc w:val="center"/>
              <w:rPr>
                <w:b/>
              </w:rPr>
            </w:pPr>
          </w:p>
        </w:tc>
        <w:tc>
          <w:tcPr>
            <w:tcW w:w="7982" w:type="dxa"/>
            <w:shd w:val="clear" w:color="auto" w:fill="auto"/>
            <w:vAlign w:val="center"/>
          </w:tcPr>
          <w:p w14:paraId="4ACCA2BB" w14:textId="77777777" w:rsidR="004B6E18" w:rsidRPr="0011386A" w:rsidRDefault="004B6E18" w:rsidP="0057325F">
            <w:pPr>
              <w:pStyle w:val="TableText"/>
              <w:tabs>
                <w:tab w:val="clear" w:pos="284"/>
                <w:tab w:val="clear" w:pos="1134"/>
              </w:tabs>
              <w:ind w:left="462" w:hanging="462"/>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778DFC33" w14:textId="77777777" w:rsidTr="00035EA8">
        <w:trPr>
          <w:trHeight w:val="748"/>
        </w:trPr>
        <w:tc>
          <w:tcPr>
            <w:tcW w:w="1980" w:type="dxa"/>
            <w:vMerge w:val="restart"/>
            <w:shd w:val="clear" w:color="auto" w:fill="auto"/>
            <w:vAlign w:val="center"/>
          </w:tcPr>
          <w:p w14:paraId="35E7182A" w14:textId="125E9460" w:rsidR="004B6E18" w:rsidRPr="0011386A" w:rsidRDefault="004B6E18" w:rsidP="0057325F">
            <w:pPr>
              <w:pStyle w:val="TableText"/>
              <w:jc w:val="center"/>
              <w:rPr>
                <w:b/>
              </w:rPr>
            </w:pPr>
            <w:r w:rsidRPr="0011386A">
              <w:rPr>
                <w:b/>
              </w:rPr>
              <w:t>Projet de nouvelle Recommandation UIT-T Y.4706 (ex</w:t>
            </w:r>
            <w:r w:rsidR="00AE4553" w:rsidRPr="0011386A">
              <w:rPr>
                <w:b/>
              </w:rPr>
              <w:t> </w:t>
            </w:r>
            <w:r w:rsidRPr="0011386A">
              <w:rPr>
                <w:b/>
              </w:rPr>
              <w:t>Y.dem-IoT)</w:t>
            </w:r>
          </w:p>
        </w:tc>
        <w:tc>
          <w:tcPr>
            <w:tcW w:w="7982" w:type="dxa"/>
            <w:shd w:val="clear" w:color="auto" w:fill="auto"/>
            <w:vAlign w:val="center"/>
          </w:tcPr>
          <w:p w14:paraId="7D96CE08" w14:textId="77777777" w:rsidR="004B6E18" w:rsidRPr="0011386A" w:rsidRDefault="004B6E18" w:rsidP="0057325F">
            <w:pPr>
              <w:pStyle w:val="TableText"/>
              <w:tabs>
                <w:tab w:val="clear" w:pos="284"/>
                <w:tab w:val="clear" w:pos="1134"/>
              </w:tabs>
              <w:ind w:left="462" w:hanging="462"/>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1D6B13C0"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Pas de commentaire ou de proposition de modification.</w:t>
            </w:r>
          </w:p>
          <w:p w14:paraId="2FE1768E"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Des commentaires ou propositions de modification sont joints à la présente.</w:t>
            </w:r>
          </w:p>
        </w:tc>
      </w:tr>
      <w:tr w:rsidR="004B6E18" w:rsidRPr="0011386A" w14:paraId="3088C7E2" w14:textId="77777777" w:rsidTr="00035EA8">
        <w:trPr>
          <w:trHeight w:val="747"/>
        </w:trPr>
        <w:tc>
          <w:tcPr>
            <w:tcW w:w="1980" w:type="dxa"/>
            <w:vMerge/>
            <w:shd w:val="clear" w:color="auto" w:fill="auto"/>
            <w:vAlign w:val="center"/>
          </w:tcPr>
          <w:p w14:paraId="1D112FD5" w14:textId="77777777" w:rsidR="004B6E18" w:rsidRPr="0011386A" w:rsidRDefault="004B6E18" w:rsidP="0057325F">
            <w:pPr>
              <w:pStyle w:val="TableText"/>
              <w:jc w:val="center"/>
              <w:rPr>
                <w:b/>
              </w:rPr>
            </w:pPr>
          </w:p>
        </w:tc>
        <w:tc>
          <w:tcPr>
            <w:tcW w:w="7982" w:type="dxa"/>
            <w:shd w:val="clear" w:color="auto" w:fill="auto"/>
            <w:vAlign w:val="center"/>
          </w:tcPr>
          <w:p w14:paraId="3764C93C" w14:textId="77777777" w:rsidR="004B6E18" w:rsidRPr="0011386A" w:rsidRDefault="004B6E18" w:rsidP="0057325F">
            <w:pPr>
              <w:pStyle w:val="TableText"/>
              <w:tabs>
                <w:tab w:val="clear" w:pos="284"/>
                <w:tab w:val="clear" w:pos="1134"/>
              </w:tabs>
              <w:ind w:left="462" w:hanging="462"/>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w:t>
            </w:r>
            <w:r w:rsidRPr="0011386A">
              <w:t xml:space="preserve"> pas la Commission d'études 20 à procéder à l'examen de ce document en vue de son approbation (les motifs de cette décision et une description des éventuelles modifications qui permettraient la poursuite des travaux sont joints à la présente).</w:t>
            </w:r>
          </w:p>
        </w:tc>
      </w:tr>
      <w:tr w:rsidR="004B6E18" w:rsidRPr="0011386A" w14:paraId="513E66B1" w14:textId="77777777" w:rsidTr="00035EA8">
        <w:trPr>
          <w:trHeight w:val="748"/>
        </w:trPr>
        <w:tc>
          <w:tcPr>
            <w:tcW w:w="1980" w:type="dxa"/>
            <w:vMerge w:val="restart"/>
            <w:shd w:val="clear" w:color="auto" w:fill="auto"/>
            <w:vAlign w:val="center"/>
          </w:tcPr>
          <w:p w14:paraId="0A68EEB7" w14:textId="24CCBF98" w:rsidR="004B6E18" w:rsidRPr="0011386A" w:rsidRDefault="004B6E18" w:rsidP="0057325F">
            <w:pPr>
              <w:pStyle w:val="TableText"/>
              <w:jc w:val="center"/>
              <w:rPr>
                <w:b/>
              </w:rPr>
            </w:pPr>
            <w:r w:rsidRPr="0011386A">
              <w:rPr>
                <w:b/>
              </w:rPr>
              <w:t>Projet de nouvelle Recommandation UIT-T Y.4499 (ex</w:t>
            </w:r>
            <w:r w:rsidR="00AE4553" w:rsidRPr="0011386A">
              <w:rPr>
                <w:b/>
              </w:rPr>
              <w:t> </w:t>
            </w:r>
            <w:r w:rsidRPr="0011386A">
              <w:rPr>
                <w:b/>
              </w:rPr>
              <w:t>Y.UIM-cs-framework)</w:t>
            </w:r>
          </w:p>
        </w:tc>
        <w:tc>
          <w:tcPr>
            <w:tcW w:w="7982" w:type="dxa"/>
            <w:shd w:val="clear" w:color="auto" w:fill="auto"/>
            <w:vAlign w:val="center"/>
          </w:tcPr>
          <w:p w14:paraId="769A8C23" w14:textId="77777777" w:rsidR="004B6E18" w:rsidRPr="0011386A" w:rsidRDefault="004B6E18" w:rsidP="0057325F">
            <w:pPr>
              <w:pStyle w:val="TableText"/>
              <w:tabs>
                <w:tab w:val="clear" w:pos="284"/>
                <w:tab w:val="clear" w:pos="1134"/>
              </w:tabs>
              <w:ind w:left="462" w:hanging="462"/>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 w:val="20"/>
              </w:rPr>
              <w:tab/>
            </w:r>
            <w:r w:rsidRPr="0011386A">
              <w:rPr>
                <w:b/>
                <w:bCs/>
              </w:rPr>
              <w:t>Autorise</w:t>
            </w:r>
            <w:r w:rsidRPr="0011386A">
              <w:t xml:space="preserve"> la Commission d'études 20 à procéder à l'examen de ce document en vue de son approbation (dans ce cas, sélectionnez l'une des deux options </w:t>
            </w:r>
            <w:r w:rsidRPr="0011386A">
              <w:rPr>
                <w:sz w:val="20"/>
              </w:rPr>
              <w:t>⃝</w:t>
            </w:r>
            <w:r w:rsidRPr="0011386A">
              <w:t>):</w:t>
            </w:r>
          </w:p>
          <w:p w14:paraId="21FF1A9F"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Pas de commentaire ou de proposition de modification.</w:t>
            </w:r>
          </w:p>
          <w:p w14:paraId="52ACFBA2" w14:textId="77777777" w:rsidR="004B6E18" w:rsidRPr="0011386A" w:rsidRDefault="004B6E18" w:rsidP="0057325F">
            <w:pPr>
              <w:pStyle w:val="TableText"/>
              <w:tabs>
                <w:tab w:val="clear" w:pos="284"/>
                <w:tab w:val="clear" w:pos="567"/>
                <w:tab w:val="clear" w:pos="851"/>
                <w:tab w:val="clear" w:pos="1134"/>
              </w:tabs>
              <w:ind w:left="887" w:hanging="419"/>
            </w:pPr>
            <w:r w:rsidRPr="0011386A">
              <w:rPr>
                <w:sz w:val="20"/>
              </w:rPr>
              <w:t>⃝</w:t>
            </w:r>
            <w:r w:rsidRPr="0011386A">
              <w:rPr>
                <w:sz w:val="20"/>
              </w:rPr>
              <w:tab/>
            </w:r>
            <w:r w:rsidRPr="0011386A">
              <w:t>Des commentaires ou propositions de modification sont joints à la présente.</w:t>
            </w:r>
          </w:p>
        </w:tc>
      </w:tr>
      <w:tr w:rsidR="004B6E18" w:rsidRPr="0011386A" w14:paraId="0A0E404F" w14:textId="77777777" w:rsidTr="00035EA8">
        <w:trPr>
          <w:trHeight w:val="747"/>
        </w:trPr>
        <w:tc>
          <w:tcPr>
            <w:tcW w:w="1980" w:type="dxa"/>
            <w:vMerge/>
            <w:shd w:val="clear" w:color="auto" w:fill="auto"/>
            <w:vAlign w:val="center"/>
          </w:tcPr>
          <w:p w14:paraId="61F68345" w14:textId="77777777" w:rsidR="004B6E18" w:rsidRPr="0011386A" w:rsidRDefault="004B6E18" w:rsidP="0057325F">
            <w:pPr>
              <w:pStyle w:val="TableText"/>
              <w:jc w:val="center"/>
              <w:rPr>
                <w:b/>
              </w:rPr>
            </w:pPr>
          </w:p>
        </w:tc>
        <w:tc>
          <w:tcPr>
            <w:tcW w:w="7982" w:type="dxa"/>
            <w:shd w:val="clear" w:color="auto" w:fill="auto"/>
            <w:vAlign w:val="center"/>
          </w:tcPr>
          <w:p w14:paraId="4916C848" w14:textId="77777777" w:rsidR="004B6E18" w:rsidRPr="0011386A" w:rsidRDefault="004B6E18" w:rsidP="0057325F">
            <w:pPr>
              <w:pStyle w:val="TableText"/>
              <w:tabs>
                <w:tab w:val="clear" w:pos="284"/>
                <w:tab w:val="clear" w:pos="1134"/>
              </w:tabs>
              <w:ind w:left="462" w:hanging="462"/>
              <w:rPr>
                <w:sz w:val="20"/>
              </w:rPr>
            </w:pPr>
            <w:r w:rsidRPr="0011386A">
              <w:rPr>
                <w:szCs w:val="22"/>
              </w:rPr>
              <w:fldChar w:fldCharType="begin">
                <w:ffData>
                  <w:name w:val="Check1"/>
                  <w:enabled/>
                  <w:calcOnExit w:val="0"/>
                  <w:checkBox>
                    <w:sizeAuto/>
                    <w:default w:val="0"/>
                  </w:checkBox>
                </w:ffData>
              </w:fldChar>
            </w:r>
            <w:r w:rsidRPr="0011386A">
              <w:rPr>
                <w:szCs w:val="22"/>
              </w:rPr>
              <w:instrText xml:space="preserve"> FORMCHECKBOX </w:instrText>
            </w:r>
            <w:r w:rsidR="002F3954">
              <w:rPr>
                <w:szCs w:val="22"/>
              </w:rPr>
            </w:r>
            <w:r w:rsidR="002F3954">
              <w:rPr>
                <w:szCs w:val="22"/>
              </w:rPr>
              <w:fldChar w:fldCharType="separate"/>
            </w:r>
            <w:r w:rsidRPr="0011386A">
              <w:rPr>
                <w:szCs w:val="22"/>
              </w:rPr>
              <w:fldChar w:fldCharType="end"/>
            </w:r>
            <w:r w:rsidRPr="0011386A">
              <w:rPr>
                <w:szCs w:val="22"/>
              </w:rPr>
              <w:tab/>
            </w:r>
            <w:r w:rsidRPr="0011386A">
              <w:rPr>
                <w:b/>
                <w:bCs/>
                <w:szCs w:val="22"/>
              </w:rPr>
              <w:t>N</w:t>
            </w:r>
            <w:r w:rsidRPr="0011386A">
              <w:rPr>
                <w:b/>
                <w:bCs/>
              </w:rPr>
              <w:t>'autorise pas</w:t>
            </w:r>
            <w:r w:rsidRPr="0011386A">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bl>
    <w:p w14:paraId="4481F425" w14:textId="77777777" w:rsidR="004B6E18" w:rsidRPr="0011386A" w:rsidRDefault="004B6E18" w:rsidP="0057325F">
      <w:r w:rsidRPr="0011386A">
        <w:t>Veuillez agréer, Monsieur le Directeur, l'assurance de ma considération distinguée.</w:t>
      </w:r>
    </w:p>
    <w:p w14:paraId="6A80E8C9" w14:textId="40786B8F" w:rsidR="00FB1583" w:rsidRPr="0011386A" w:rsidRDefault="004B6E18" w:rsidP="00D57667">
      <w:pPr>
        <w:spacing w:before="840"/>
      </w:pPr>
      <w:r w:rsidRPr="0011386A">
        <w:t>[Nom]</w:t>
      </w:r>
      <w:r w:rsidR="0057325F" w:rsidRPr="0011386A">
        <w:br/>
      </w:r>
      <w:r w:rsidRPr="0011386A">
        <w:t>[Rôle/titre officiel]</w:t>
      </w:r>
      <w:r w:rsidR="0057325F" w:rsidRPr="0011386A">
        <w:br/>
      </w:r>
      <w:r w:rsidRPr="0011386A">
        <w:t>Administration de [État Membre]</w:t>
      </w:r>
    </w:p>
    <w:sectPr w:rsidR="00FB1583" w:rsidRPr="0011386A" w:rsidSect="00A15179">
      <w:headerReference w:type="default" r:id="rId25"/>
      <w:footerReference w:type="first" r:id="rId2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688CE647" w:rsidR="00697BC1" w:rsidRPr="00697BC1" w:rsidRDefault="002F395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3668AD">
      <w:rPr>
        <w:noProof/>
        <w:sz w:val="18"/>
        <w:szCs w:val="16"/>
      </w:rPr>
      <w:t>2</w:t>
    </w:r>
    <w:r w:rsidR="004B6E18">
      <w:rPr>
        <w:noProof/>
        <w:sz w:val="18"/>
        <w:szCs w:val="16"/>
      </w:rPr>
      <w:t>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6098264">
    <w:abstractNumId w:val="1"/>
  </w:num>
  <w:num w:numId="2" w16cid:durableId="348600561">
    <w:abstractNumId w:val="3"/>
  </w:num>
  <w:num w:numId="3" w16cid:durableId="1396703954">
    <w:abstractNumId w:val="2"/>
  </w:num>
  <w:num w:numId="4" w16cid:durableId="188601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5EA8"/>
    <w:rsid w:val="00036F4F"/>
    <w:rsid w:val="000758B3"/>
    <w:rsid w:val="000818AC"/>
    <w:rsid w:val="00085F5A"/>
    <w:rsid w:val="000B0D96"/>
    <w:rsid w:val="000B59D8"/>
    <w:rsid w:val="000C1F6B"/>
    <w:rsid w:val="000C25CC"/>
    <w:rsid w:val="000C56BE"/>
    <w:rsid w:val="001026FD"/>
    <w:rsid w:val="001077FD"/>
    <w:rsid w:val="0011386A"/>
    <w:rsid w:val="00115DD7"/>
    <w:rsid w:val="00127CAC"/>
    <w:rsid w:val="00167472"/>
    <w:rsid w:val="00167F92"/>
    <w:rsid w:val="00173738"/>
    <w:rsid w:val="001B79A3"/>
    <w:rsid w:val="002152A3"/>
    <w:rsid w:val="0023667A"/>
    <w:rsid w:val="002937DB"/>
    <w:rsid w:val="002E395D"/>
    <w:rsid w:val="002F3954"/>
    <w:rsid w:val="00307FB4"/>
    <w:rsid w:val="003131F0"/>
    <w:rsid w:val="00333A80"/>
    <w:rsid w:val="00341117"/>
    <w:rsid w:val="00364E95"/>
    <w:rsid w:val="003668AD"/>
    <w:rsid w:val="00372875"/>
    <w:rsid w:val="003742F8"/>
    <w:rsid w:val="003B1E80"/>
    <w:rsid w:val="003B66E8"/>
    <w:rsid w:val="003E66AD"/>
    <w:rsid w:val="003F3926"/>
    <w:rsid w:val="004033F1"/>
    <w:rsid w:val="00414B0C"/>
    <w:rsid w:val="00423C21"/>
    <w:rsid w:val="004257AC"/>
    <w:rsid w:val="0043711B"/>
    <w:rsid w:val="004419E9"/>
    <w:rsid w:val="00445B68"/>
    <w:rsid w:val="0048088B"/>
    <w:rsid w:val="004977C9"/>
    <w:rsid w:val="004B6E18"/>
    <w:rsid w:val="004B732E"/>
    <w:rsid w:val="004D51F4"/>
    <w:rsid w:val="004D64E0"/>
    <w:rsid w:val="005120A2"/>
    <w:rsid w:val="0051210D"/>
    <w:rsid w:val="005136D2"/>
    <w:rsid w:val="00517A03"/>
    <w:rsid w:val="0057325F"/>
    <w:rsid w:val="005A3DD9"/>
    <w:rsid w:val="005B1DFC"/>
    <w:rsid w:val="005E7C27"/>
    <w:rsid w:val="00601682"/>
    <w:rsid w:val="00603470"/>
    <w:rsid w:val="00625E79"/>
    <w:rsid w:val="006333F7"/>
    <w:rsid w:val="006427A1"/>
    <w:rsid w:val="00644741"/>
    <w:rsid w:val="00697BC1"/>
    <w:rsid w:val="006A6FFE"/>
    <w:rsid w:val="006C5A91"/>
    <w:rsid w:val="006F52F7"/>
    <w:rsid w:val="00716BBC"/>
    <w:rsid w:val="007321BC"/>
    <w:rsid w:val="00760063"/>
    <w:rsid w:val="00771D96"/>
    <w:rsid w:val="00772460"/>
    <w:rsid w:val="00775E4B"/>
    <w:rsid w:val="0079553B"/>
    <w:rsid w:val="00795679"/>
    <w:rsid w:val="007A40FE"/>
    <w:rsid w:val="00810105"/>
    <w:rsid w:val="008157E0"/>
    <w:rsid w:val="00821D13"/>
    <w:rsid w:val="00850477"/>
    <w:rsid w:val="00854E1D"/>
    <w:rsid w:val="00882B16"/>
    <w:rsid w:val="00887FA6"/>
    <w:rsid w:val="008C4397"/>
    <w:rsid w:val="008C465A"/>
    <w:rsid w:val="008F2C9B"/>
    <w:rsid w:val="00923CD6"/>
    <w:rsid w:val="00935AA8"/>
    <w:rsid w:val="00956FE6"/>
    <w:rsid w:val="00971C9A"/>
    <w:rsid w:val="009D51FA"/>
    <w:rsid w:val="009F1E23"/>
    <w:rsid w:val="00A15179"/>
    <w:rsid w:val="00A3677D"/>
    <w:rsid w:val="00A51537"/>
    <w:rsid w:val="00A5280F"/>
    <w:rsid w:val="00A5645A"/>
    <w:rsid w:val="00A60FC1"/>
    <w:rsid w:val="00A6169B"/>
    <w:rsid w:val="00A70EF5"/>
    <w:rsid w:val="00A83D8A"/>
    <w:rsid w:val="00A97C37"/>
    <w:rsid w:val="00AA0A24"/>
    <w:rsid w:val="00AA131B"/>
    <w:rsid w:val="00AC37B5"/>
    <w:rsid w:val="00AD6FDC"/>
    <w:rsid w:val="00AD752F"/>
    <w:rsid w:val="00AE4553"/>
    <w:rsid w:val="00AE5926"/>
    <w:rsid w:val="00AF08A4"/>
    <w:rsid w:val="00AF0D7D"/>
    <w:rsid w:val="00B05F7C"/>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57667"/>
    <w:rsid w:val="00DC3D47"/>
    <w:rsid w:val="00DD32A3"/>
    <w:rsid w:val="00DD77DA"/>
    <w:rsid w:val="00DE1D7C"/>
    <w:rsid w:val="00E03D80"/>
    <w:rsid w:val="00E06C61"/>
    <w:rsid w:val="00E13DB3"/>
    <w:rsid w:val="00E2408B"/>
    <w:rsid w:val="00E62CEA"/>
    <w:rsid w:val="00E72AE1"/>
    <w:rsid w:val="00EC477B"/>
    <w:rsid w:val="00ED6A7A"/>
    <w:rsid w:val="00EE4C36"/>
    <w:rsid w:val="00EF6A23"/>
    <w:rsid w:val="00F346CE"/>
    <w:rsid w:val="00F34F98"/>
    <w:rsid w:val="00F40540"/>
    <w:rsid w:val="00F67402"/>
    <w:rsid w:val="00F766A2"/>
    <w:rsid w:val="00F9451D"/>
    <w:rsid w:val="00FB158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Reasons">
    <w:name w:val="Reasons"/>
    <w:basedOn w:val="Normal"/>
    <w:qFormat/>
    <w:rsid w:val="004B6E1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22/en" TargetMode="External"/><Relationship Id="rId18" Type="http://schemas.openxmlformats.org/officeDocument/2006/relationships/hyperlink" Target="https://www.itu.int/md/T22-SG20-R-0027/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22-SG20-R-0030/en" TargetMode="External"/><Relationship Id="rId7" Type="http://schemas.openxmlformats.org/officeDocument/2006/relationships/endnotes" Target="endnotes.xml"/><Relationship Id="rId12" Type="http://schemas.openxmlformats.org/officeDocument/2006/relationships/hyperlink" Target="https://www.itu.int/md/T22-SG20-R-0021/en" TargetMode="External"/><Relationship Id="rId17" Type="http://schemas.openxmlformats.org/officeDocument/2006/relationships/hyperlink" Target="https://www.itu.int/md/T22-SG20-R-0026/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22-SG20-R-0025/en" TargetMode="External"/><Relationship Id="rId20" Type="http://schemas.openxmlformats.org/officeDocument/2006/relationships/hyperlink" Target="https://www.itu.int/md/T22-SG20-R-002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hyperlink" Target="https://www.itu.int/md/T22-SG20-R-0024/en" TargetMode="External"/><Relationship Id="rId23" Type="http://schemas.openxmlformats.org/officeDocument/2006/relationships/hyperlink" Target="https://www.itu.int/md/T22-SG20-R-0032/en" TargetMode="External"/><Relationship Id="rId28" Type="http://schemas.openxmlformats.org/officeDocument/2006/relationships/theme" Target="theme/theme1.xml"/><Relationship Id="rId10" Type="http://schemas.openxmlformats.org/officeDocument/2006/relationships/hyperlink" Target="https://www.itu.int/fr/ITU-T/ipr/Pages/default.aspx" TargetMode="External"/><Relationship Id="rId19" Type="http://schemas.openxmlformats.org/officeDocument/2006/relationships/hyperlink" Target="https://www.itu.int/md/T22-SG20-R-0028/en" TargetMode="External"/><Relationship Id="rId4" Type="http://schemas.openxmlformats.org/officeDocument/2006/relationships/settings" Target="settings.xml"/><Relationship Id="rId9" Type="http://schemas.openxmlformats.org/officeDocument/2006/relationships/hyperlink" Target="https://www.itu.int/md/meetingdoc.asp?lang=en&amp;parent=T22-SG20-COL-0005" TargetMode="External"/><Relationship Id="rId14" Type="http://schemas.openxmlformats.org/officeDocument/2006/relationships/hyperlink" Target="https://www.itu.int/md/T22-SG20-R-0023/en" TargetMode="External"/><Relationship Id="rId22" Type="http://schemas.openxmlformats.org/officeDocument/2006/relationships/hyperlink" Target="https://www.itu.int/md/T22-SG20-R-0031/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55</TotalTime>
  <Pages>11</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31516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14</cp:revision>
  <cp:lastPrinted>2024-11-06T11:54:00Z</cp:lastPrinted>
  <dcterms:created xsi:type="dcterms:W3CDTF">2024-10-15T14:40:00Z</dcterms:created>
  <dcterms:modified xsi:type="dcterms:W3CDTF">2024-11-06T11:54:00Z</dcterms:modified>
</cp:coreProperties>
</file>