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544"/>
        <w:gridCol w:w="4628"/>
      </w:tblGrid>
      <w:tr w:rsidR="00720F32" w14:paraId="120F3EB7" w14:textId="77777777" w:rsidTr="00597CD8">
        <w:trPr>
          <w:cantSplit/>
        </w:trPr>
        <w:tc>
          <w:tcPr>
            <w:tcW w:w="1693" w:type="dxa"/>
            <w:gridSpan w:val="2"/>
          </w:tcPr>
          <w:p w14:paraId="7A9225F9"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B867B8E" wp14:editId="513ED02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544" w:type="dxa"/>
            <w:vAlign w:val="center"/>
          </w:tcPr>
          <w:p w14:paraId="53C7C4F5"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1DBBC74"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628" w:type="dxa"/>
          </w:tcPr>
          <w:p w14:paraId="55D972A0" w14:textId="77777777" w:rsidR="00720F32" w:rsidRDefault="00720F32" w:rsidP="00720F32">
            <w:pPr>
              <w:tabs>
                <w:tab w:val="clear" w:pos="794"/>
                <w:tab w:val="left" w:pos="559"/>
                <w:tab w:val="left" w:pos="4111"/>
              </w:tabs>
              <w:ind w:left="559" w:hanging="559"/>
              <w:rPr>
                <w:lang w:eastAsia="zh-CN"/>
              </w:rPr>
            </w:pPr>
          </w:p>
        </w:tc>
      </w:tr>
      <w:tr w:rsidR="00EE08C3" w:rsidRPr="00EE08C3" w14:paraId="60728B86" w14:textId="77777777" w:rsidTr="00597CD8">
        <w:trPr>
          <w:cantSplit/>
        </w:trPr>
        <w:tc>
          <w:tcPr>
            <w:tcW w:w="5237" w:type="dxa"/>
            <w:gridSpan w:val="3"/>
          </w:tcPr>
          <w:p w14:paraId="6DE5BD1B" w14:textId="77777777" w:rsidR="00EE08C3" w:rsidRPr="00D709A2" w:rsidRDefault="00EE08C3" w:rsidP="00EE08C3">
            <w:pPr>
              <w:tabs>
                <w:tab w:val="left" w:pos="4111"/>
              </w:tabs>
              <w:spacing w:before="0"/>
              <w:rPr>
                <w:b/>
                <w:sz w:val="22"/>
                <w:szCs w:val="22"/>
                <w:lang w:eastAsia="zh-CN"/>
              </w:rPr>
            </w:pPr>
          </w:p>
        </w:tc>
        <w:tc>
          <w:tcPr>
            <w:tcW w:w="4628" w:type="dxa"/>
            <w:vAlign w:val="center"/>
          </w:tcPr>
          <w:p w14:paraId="2194B1B7" w14:textId="78C14DE5" w:rsidR="00EE08C3" w:rsidRPr="00D709A2" w:rsidRDefault="00EE08C3" w:rsidP="00EE08C3">
            <w:pPr>
              <w:tabs>
                <w:tab w:val="clear" w:pos="794"/>
                <w:tab w:val="left" w:pos="559"/>
                <w:tab w:val="left" w:pos="4111"/>
              </w:tabs>
              <w:spacing w:after="120"/>
              <w:ind w:left="561" w:hanging="561"/>
              <w:rPr>
                <w:b/>
                <w:bCs/>
                <w:sz w:val="22"/>
                <w:szCs w:val="22"/>
                <w:lang w:eastAsia="zh-CN"/>
              </w:rPr>
            </w:pPr>
            <w:r w:rsidRPr="00D709A2">
              <w:rPr>
                <w:rFonts w:ascii="Calibri" w:hAnsi="Calibri" w:cs="Calibri"/>
                <w:sz w:val="22"/>
                <w:szCs w:val="22"/>
                <w:lang w:val="zh-CN"/>
              </w:rPr>
              <w:t>2024</w:t>
            </w:r>
            <w:r w:rsidRPr="00D709A2">
              <w:rPr>
                <w:rFonts w:ascii="Calibri" w:hAnsi="Calibri" w:cs="Calibri"/>
                <w:sz w:val="22"/>
                <w:szCs w:val="22"/>
                <w:lang w:val="zh-CN"/>
              </w:rPr>
              <w:t>年</w:t>
            </w:r>
            <w:r w:rsidRPr="00D709A2">
              <w:rPr>
                <w:rFonts w:ascii="Calibri" w:hAnsi="Calibri" w:cs="Calibri"/>
                <w:sz w:val="22"/>
                <w:szCs w:val="22"/>
                <w:lang w:val="zh-CN"/>
              </w:rPr>
              <w:t>9</w:t>
            </w:r>
            <w:r w:rsidRPr="00D709A2">
              <w:rPr>
                <w:rFonts w:ascii="Calibri" w:hAnsi="Calibri" w:cs="Calibri"/>
                <w:sz w:val="22"/>
                <w:szCs w:val="22"/>
                <w:lang w:val="zh-CN"/>
              </w:rPr>
              <w:t>月</w:t>
            </w:r>
            <w:r w:rsidRPr="00D709A2">
              <w:rPr>
                <w:rFonts w:ascii="Calibri" w:hAnsi="Calibri" w:cs="Calibri"/>
                <w:sz w:val="22"/>
                <w:szCs w:val="22"/>
                <w:lang w:val="zh-CN"/>
              </w:rPr>
              <w:t>2</w:t>
            </w:r>
            <w:r w:rsidR="0009235E" w:rsidRPr="00D709A2">
              <w:rPr>
                <w:rFonts w:ascii="Calibri" w:hAnsi="Calibri" w:cs="Calibri" w:hint="eastAsia"/>
                <w:sz w:val="22"/>
                <w:szCs w:val="22"/>
                <w:lang w:val="zh-CN" w:eastAsia="zh-CN"/>
              </w:rPr>
              <w:t>7</w:t>
            </w:r>
            <w:proofErr w:type="spellStart"/>
            <w:r w:rsidRPr="00D709A2">
              <w:rPr>
                <w:rFonts w:ascii="Calibri" w:hAnsi="Calibri" w:cs="Calibri"/>
                <w:sz w:val="22"/>
                <w:szCs w:val="22"/>
                <w:lang w:val="zh-CN"/>
              </w:rPr>
              <w:t>日，日内瓦</w:t>
            </w:r>
            <w:proofErr w:type="spellEnd"/>
          </w:p>
        </w:tc>
      </w:tr>
      <w:tr w:rsidR="00EE08C3" w:rsidRPr="00EE08C3" w14:paraId="5B0E54EE" w14:textId="77777777" w:rsidTr="00597CD8">
        <w:trPr>
          <w:cantSplit/>
        </w:trPr>
        <w:tc>
          <w:tcPr>
            <w:tcW w:w="1268" w:type="dxa"/>
          </w:tcPr>
          <w:p w14:paraId="255F8FEA" w14:textId="77777777" w:rsidR="00EE08C3" w:rsidRPr="00D709A2" w:rsidRDefault="00EE08C3" w:rsidP="00EE08C3">
            <w:pPr>
              <w:tabs>
                <w:tab w:val="left" w:pos="4111"/>
              </w:tabs>
              <w:spacing w:before="10"/>
              <w:rPr>
                <w:b/>
                <w:bCs/>
                <w:sz w:val="22"/>
                <w:szCs w:val="22"/>
                <w:lang w:eastAsia="zh-CN"/>
              </w:rPr>
            </w:pPr>
            <w:r w:rsidRPr="00D709A2">
              <w:rPr>
                <w:rFonts w:hint="eastAsia"/>
                <w:b/>
                <w:bCs/>
                <w:sz w:val="22"/>
                <w:szCs w:val="22"/>
                <w:lang w:eastAsia="zh-CN"/>
              </w:rPr>
              <w:t>文号：</w:t>
            </w:r>
          </w:p>
          <w:p w14:paraId="5E20BDA0" w14:textId="77777777" w:rsidR="00EE08C3" w:rsidRPr="00D709A2" w:rsidRDefault="00EE08C3" w:rsidP="00EE08C3">
            <w:pPr>
              <w:tabs>
                <w:tab w:val="left" w:pos="4111"/>
              </w:tabs>
              <w:spacing w:before="10"/>
              <w:rPr>
                <w:rFonts w:ascii="Futura Lt BT" w:hAnsi="Futura Lt BT"/>
                <w:b/>
                <w:bCs/>
                <w:sz w:val="22"/>
                <w:szCs w:val="22"/>
                <w:lang w:eastAsia="zh-CN"/>
              </w:rPr>
            </w:pPr>
          </w:p>
        </w:tc>
        <w:tc>
          <w:tcPr>
            <w:tcW w:w="3969" w:type="dxa"/>
            <w:gridSpan w:val="2"/>
          </w:tcPr>
          <w:p w14:paraId="090D1445" w14:textId="7A771065" w:rsidR="00EE08C3" w:rsidRPr="007323FB" w:rsidRDefault="00EE08C3" w:rsidP="00EE08C3">
            <w:pPr>
              <w:tabs>
                <w:tab w:val="left" w:pos="4111"/>
              </w:tabs>
              <w:spacing w:before="0"/>
              <w:rPr>
                <w:b/>
                <w:sz w:val="22"/>
                <w:szCs w:val="22"/>
                <w:lang w:eastAsia="zh-CN"/>
              </w:rPr>
            </w:pPr>
            <w:r w:rsidRPr="007323FB">
              <w:rPr>
                <w:rFonts w:ascii="Calibri" w:hAnsi="Calibri" w:cs="Calibri"/>
                <w:b/>
                <w:bCs/>
                <w:sz w:val="22"/>
                <w:szCs w:val="22"/>
                <w:lang w:val="es-419" w:eastAsia="zh-CN"/>
              </w:rPr>
              <w:t>电信标准化局第</w:t>
            </w:r>
            <w:r w:rsidRPr="007323FB">
              <w:rPr>
                <w:rFonts w:ascii="Calibri" w:hAnsi="Calibri" w:cs="Calibri"/>
                <w:b/>
                <w:bCs/>
                <w:sz w:val="22"/>
                <w:szCs w:val="22"/>
                <w:lang w:val="es-419" w:eastAsia="zh-CN"/>
              </w:rPr>
              <w:t>23</w:t>
            </w:r>
            <w:r w:rsidR="0009235E" w:rsidRPr="007323FB">
              <w:rPr>
                <w:rFonts w:ascii="Calibri" w:hAnsi="Calibri" w:cs="Calibri" w:hint="eastAsia"/>
                <w:b/>
                <w:bCs/>
                <w:sz w:val="22"/>
                <w:szCs w:val="22"/>
                <w:lang w:val="es-419" w:eastAsia="zh-CN"/>
              </w:rPr>
              <w:t>6</w:t>
            </w:r>
            <w:r w:rsidRPr="007323FB">
              <w:rPr>
                <w:rFonts w:ascii="Calibri" w:hAnsi="Calibri" w:cs="Calibri"/>
                <w:b/>
                <w:bCs/>
                <w:sz w:val="22"/>
                <w:szCs w:val="22"/>
                <w:lang w:val="es-419" w:eastAsia="zh-CN"/>
              </w:rPr>
              <w:t>号通函</w:t>
            </w:r>
            <w:r w:rsidRPr="007323FB">
              <w:rPr>
                <w:rFonts w:ascii="Calibri" w:hAnsi="Calibri" w:cs="Calibri"/>
                <w:sz w:val="22"/>
                <w:szCs w:val="22"/>
                <w:lang w:val="es-419" w:eastAsia="zh-CN"/>
              </w:rPr>
              <w:br/>
            </w:r>
            <w:r w:rsidR="00597CD8" w:rsidRPr="007323FB">
              <w:rPr>
                <w:rFonts w:ascii="Calibri" w:hAnsi="Calibri" w:cs="Calibri"/>
                <w:b/>
                <w:bCs/>
                <w:sz w:val="22"/>
                <w:szCs w:val="22"/>
                <w:lang w:val="es-419" w:eastAsia="zh-CN"/>
              </w:rPr>
              <w:t>SG</w:t>
            </w:r>
            <w:r w:rsidR="0009235E" w:rsidRPr="007323FB">
              <w:rPr>
                <w:rFonts w:ascii="Calibri" w:hAnsi="Calibri" w:cs="Calibri" w:hint="eastAsia"/>
                <w:b/>
                <w:bCs/>
                <w:sz w:val="22"/>
                <w:szCs w:val="22"/>
                <w:lang w:val="es-419" w:eastAsia="zh-CN"/>
              </w:rPr>
              <w:t>20</w:t>
            </w:r>
            <w:r w:rsidR="00597CD8" w:rsidRPr="007323FB">
              <w:rPr>
                <w:rFonts w:ascii="Calibri" w:hAnsi="Calibri" w:cs="Calibri"/>
                <w:b/>
                <w:bCs/>
                <w:sz w:val="22"/>
                <w:szCs w:val="22"/>
                <w:lang w:val="es-419" w:eastAsia="zh-CN"/>
              </w:rPr>
              <w:t>/</w:t>
            </w:r>
            <w:r w:rsidR="0009235E" w:rsidRPr="007323FB">
              <w:rPr>
                <w:rFonts w:ascii="Calibri" w:hAnsi="Calibri" w:cs="Calibri" w:hint="eastAsia"/>
                <w:b/>
                <w:bCs/>
                <w:sz w:val="22"/>
                <w:szCs w:val="22"/>
                <w:lang w:val="es-419" w:eastAsia="zh-CN"/>
              </w:rPr>
              <w:t>CB</w:t>
            </w:r>
          </w:p>
        </w:tc>
        <w:tc>
          <w:tcPr>
            <w:tcW w:w="4628" w:type="dxa"/>
            <w:vMerge w:val="restart"/>
          </w:tcPr>
          <w:p w14:paraId="0888381B" w14:textId="08CA2E44" w:rsidR="00EE08C3" w:rsidRPr="007323FB" w:rsidRDefault="00EE08C3" w:rsidP="00EE08C3">
            <w:pPr>
              <w:tabs>
                <w:tab w:val="clear" w:pos="794"/>
                <w:tab w:val="clear" w:pos="1191"/>
                <w:tab w:val="clear" w:pos="1588"/>
                <w:tab w:val="clear" w:pos="1985"/>
                <w:tab w:val="left" w:pos="241"/>
              </w:tabs>
              <w:spacing w:before="0"/>
              <w:ind w:left="283" w:hanging="190"/>
              <w:jc w:val="both"/>
              <w:rPr>
                <w:rFonts w:ascii="Calibri" w:hAnsi="Calibri" w:cs="Calibri"/>
                <w:sz w:val="22"/>
                <w:szCs w:val="22"/>
                <w:lang w:val="en-US" w:eastAsia="zh-CN"/>
              </w:rPr>
            </w:pPr>
            <w:bookmarkStart w:id="0" w:name="Addressee_E"/>
            <w:bookmarkEnd w:id="0"/>
            <w:r w:rsidRPr="007323FB">
              <w:rPr>
                <w:rFonts w:ascii="Calibri" w:hAnsi="Calibri" w:cs="Calibri"/>
                <w:b/>
                <w:sz w:val="22"/>
                <w:szCs w:val="22"/>
                <w:lang w:val="en-US" w:eastAsia="zh-CN"/>
              </w:rPr>
              <w:t>致：</w:t>
            </w:r>
          </w:p>
          <w:p w14:paraId="07FDABAE" w14:textId="39957CA0" w:rsidR="00EE08C3" w:rsidRPr="007323FB" w:rsidRDefault="00EE08C3" w:rsidP="00597CD8">
            <w:pPr>
              <w:tabs>
                <w:tab w:val="clear" w:pos="794"/>
                <w:tab w:val="clear" w:pos="1191"/>
                <w:tab w:val="clear" w:pos="1588"/>
                <w:tab w:val="clear" w:pos="1985"/>
              </w:tabs>
              <w:spacing w:before="0" w:after="40"/>
              <w:ind w:left="518" w:hanging="425"/>
              <w:rPr>
                <w:rFonts w:ascii="Calibri" w:hAnsi="Calibri" w:cs="Calibri"/>
                <w:sz w:val="22"/>
                <w:szCs w:val="22"/>
                <w:lang w:val="en-US" w:eastAsia="zh-CN"/>
              </w:rPr>
            </w:pPr>
            <w:r w:rsidRPr="007323FB">
              <w:rPr>
                <w:rFonts w:ascii="Calibri" w:hAnsi="Calibri" w:cs="Calibri"/>
                <w:sz w:val="22"/>
                <w:szCs w:val="22"/>
                <w:lang w:val="en-US" w:eastAsia="zh-CN"/>
              </w:rPr>
              <w:t>-</w:t>
            </w:r>
            <w:r w:rsidRPr="007323FB">
              <w:rPr>
                <w:rFonts w:ascii="Calibri" w:hAnsi="Calibri" w:cs="Calibri"/>
                <w:sz w:val="22"/>
                <w:szCs w:val="22"/>
                <w:lang w:val="en-US" w:eastAsia="zh-CN"/>
              </w:rPr>
              <w:tab/>
            </w:r>
            <w:proofErr w:type="gramStart"/>
            <w:r w:rsidR="00597CD8" w:rsidRPr="007323FB">
              <w:rPr>
                <w:rFonts w:hint="eastAsia"/>
                <w:sz w:val="22"/>
                <w:szCs w:val="22"/>
                <w:lang w:eastAsia="zh-CN"/>
              </w:rPr>
              <w:t>国际电联各</w:t>
            </w:r>
            <w:r w:rsidR="00597CD8" w:rsidRPr="007323FB">
              <w:rPr>
                <w:rFonts w:ascii="Calibri" w:hAnsi="Calibri" w:cs="Calibri" w:hint="eastAsia"/>
                <w:sz w:val="22"/>
                <w:szCs w:val="22"/>
                <w:lang w:val="zh-CN" w:eastAsia="zh-CN"/>
              </w:rPr>
              <w:t>成员国</w:t>
            </w:r>
            <w:r w:rsidR="00597CD8" w:rsidRPr="007323FB">
              <w:rPr>
                <w:rFonts w:hint="eastAsia"/>
                <w:sz w:val="22"/>
                <w:szCs w:val="22"/>
                <w:lang w:eastAsia="zh-CN"/>
              </w:rPr>
              <w:t>主管部门；</w:t>
            </w:r>
            <w:proofErr w:type="gramEnd"/>
          </w:p>
          <w:p w14:paraId="29AFE9E2" w14:textId="77777777" w:rsidR="00EE08C3" w:rsidRPr="007323FB" w:rsidRDefault="00EE08C3" w:rsidP="00EE08C3">
            <w:pPr>
              <w:pStyle w:val="Tabletext"/>
              <w:spacing w:before="60" w:after="0"/>
              <w:ind w:left="283" w:hanging="190"/>
              <w:jc w:val="both"/>
              <w:rPr>
                <w:rFonts w:eastAsia="SimSun" w:cs="Calibri"/>
                <w:sz w:val="22"/>
                <w:szCs w:val="22"/>
                <w:lang w:val="en-US" w:eastAsia="zh-CN"/>
              </w:rPr>
            </w:pPr>
            <w:r w:rsidRPr="007323FB">
              <w:rPr>
                <w:rFonts w:eastAsia="SimSun" w:cs="Calibri"/>
                <w:b/>
                <w:sz w:val="22"/>
                <w:szCs w:val="22"/>
                <w:lang w:val="en-US" w:eastAsia="zh-CN"/>
              </w:rPr>
              <w:t>抄送：</w:t>
            </w:r>
          </w:p>
          <w:p w14:paraId="44E52561" w14:textId="77777777" w:rsidR="007323FB" w:rsidRPr="007323FB" w:rsidRDefault="007323FB" w:rsidP="007323FB">
            <w:pPr>
              <w:tabs>
                <w:tab w:val="clear" w:pos="794"/>
                <w:tab w:val="clear" w:pos="1191"/>
                <w:tab w:val="clear" w:pos="1588"/>
                <w:tab w:val="clear" w:pos="1985"/>
              </w:tabs>
              <w:spacing w:before="0" w:after="40"/>
              <w:ind w:left="518" w:hanging="425"/>
              <w:rPr>
                <w:sz w:val="22"/>
                <w:szCs w:val="22"/>
                <w:lang w:eastAsia="zh-CN"/>
              </w:rPr>
            </w:pPr>
            <w:r w:rsidRPr="007323FB">
              <w:rPr>
                <w:sz w:val="22"/>
                <w:szCs w:val="22"/>
                <w:lang w:eastAsia="zh-CN"/>
              </w:rPr>
              <w:t>-</w:t>
            </w:r>
            <w:r w:rsidRPr="007323FB">
              <w:rPr>
                <w:sz w:val="22"/>
                <w:szCs w:val="22"/>
                <w:lang w:eastAsia="zh-CN"/>
              </w:rPr>
              <w:tab/>
            </w:r>
            <w:r w:rsidRPr="007323FB">
              <w:rPr>
                <w:sz w:val="22"/>
                <w:szCs w:val="22"/>
                <w:lang w:val="zh-CN" w:eastAsia="zh-CN"/>
              </w:rPr>
              <w:t>ITU-</w:t>
            </w:r>
            <w:proofErr w:type="gramStart"/>
            <w:r w:rsidRPr="007323FB">
              <w:rPr>
                <w:sz w:val="22"/>
                <w:szCs w:val="22"/>
                <w:lang w:val="zh-CN" w:eastAsia="zh-CN"/>
              </w:rPr>
              <w:t>T</w:t>
            </w:r>
            <w:r w:rsidRPr="007323FB">
              <w:rPr>
                <w:sz w:val="22"/>
                <w:szCs w:val="22"/>
                <w:lang w:val="zh-CN" w:eastAsia="zh-CN"/>
              </w:rPr>
              <w:t>部门成员；</w:t>
            </w:r>
            <w:proofErr w:type="gramEnd"/>
          </w:p>
          <w:p w14:paraId="25D7CB63" w14:textId="77777777" w:rsidR="007323FB" w:rsidRPr="007323FB" w:rsidRDefault="007323FB" w:rsidP="007323FB">
            <w:pPr>
              <w:tabs>
                <w:tab w:val="clear" w:pos="794"/>
                <w:tab w:val="clear" w:pos="1191"/>
                <w:tab w:val="clear" w:pos="1588"/>
                <w:tab w:val="clear" w:pos="1985"/>
              </w:tabs>
              <w:spacing w:before="0" w:after="40"/>
              <w:ind w:left="518" w:hanging="425"/>
              <w:rPr>
                <w:sz w:val="22"/>
                <w:szCs w:val="22"/>
                <w:lang w:eastAsia="zh-CN"/>
              </w:rPr>
            </w:pPr>
            <w:r w:rsidRPr="007323FB">
              <w:rPr>
                <w:sz w:val="22"/>
                <w:szCs w:val="22"/>
                <w:lang w:eastAsia="zh-CN"/>
              </w:rPr>
              <w:t>-</w:t>
            </w:r>
            <w:r w:rsidRPr="007323FB">
              <w:rPr>
                <w:sz w:val="22"/>
                <w:szCs w:val="22"/>
                <w:lang w:eastAsia="zh-CN"/>
              </w:rPr>
              <w:tab/>
              <w:t>ITU</w:t>
            </w:r>
            <w:r w:rsidRPr="007323FB">
              <w:rPr>
                <w:sz w:val="22"/>
                <w:szCs w:val="22"/>
                <w:lang w:val="zh-CN" w:eastAsia="zh-CN"/>
              </w:rPr>
              <w:t>-</w:t>
            </w:r>
            <w:proofErr w:type="gramStart"/>
            <w:r w:rsidRPr="007323FB">
              <w:rPr>
                <w:sz w:val="22"/>
                <w:szCs w:val="22"/>
                <w:lang w:val="zh-CN" w:eastAsia="zh-CN"/>
              </w:rPr>
              <w:t>T</w:t>
            </w:r>
            <w:r w:rsidRPr="007323FB">
              <w:rPr>
                <w:sz w:val="22"/>
                <w:szCs w:val="22"/>
                <w:lang w:val="zh-CN" w:eastAsia="zh-CN"/>
              </w:rPr>
              <w:t>第</w:t>
            </w:r>
            <w:r w:rsidRPr="007323FB">
              <w:rPr>
                <w:sz w:val="22"/>
                <w:szCs w:val="22"/>
                <w:lang w:val="zh-CN" w:eastAsia="zh-CN"/>
              </w:rPr>
              <w:t>20</w:t>
            </w:r>
            <w:r w:rsidRPr="007323FB">
              <w:rPr>
                <w:sz w:val="22"/>
                <w:szCs w:val="22"/>
                <w:lang w:val="zh-CN" w:eastAsia="zh-CN"/>
              </w:rPr>
              <w:t>研究组准成员；</w:t>
            </w:r>
            <w:proofErr w:type="gramEnd"/>
          </w:p>
          <w:p w14:paraId="62A263F0" w14:textId="77777777" w:rsidR="007323FB" w:rsidRPr="007323FB" w:rsidRDefault="007323FB" w:rsidP="007323FB">
            <w:pPr>
              <w:tabs>
                <w:tab w:val="clear" w:pos="794"/>
                <w:tab w:val="clear" w:pos="1191"/>
                <w:tab w:val="clear" w:pos="1588"/>
                <w:tab w:val="clear" w:pos="1985"/>
              </w:tabs>
              <w:spacing w:before="0" w:after="40"/>
              <w:ind w:left="518" w:hanging="425"/>
              <w:rPr>
                <w:sz w:val="22"/>
                <w:szCs w:val="22"/>
                <w:lang w:eastAsia="zh-CN"/>
              </w:rPr>
            </w:pPr>
            <w:r w:rsidRPr="007323FB">
              <w:rPr>
                <w:sz w:val="22"/>
                <w:szCs w:val="22"/>
                <w:lang w:eastAsia="zh-CN"/>
              </w:rPr>
              <w:t>-</w:t>
            </w:r>
            <w:r w:rsidRPr="007323FB">
              <w:rPr>
                <w:sz w:val="22"/>
                <w:szCs w:val="22"/>
                <w:lang w:eastAsia="zh-CN"/>
              </w:rPr>
              <w:tab/>
            </w:r>
            <w:proofErr w:type="gramStart"/>
            <w:r w:rsidRPr="007323FB">
              <w:rPr>
                <w:sz w:val="22"/>
                <w:szCs w:val="22"/>
                <w:lang w:eastAsia="zh-CN"/>
              </w:rPr>
              <w:t>国际</w:t>
            </w:r>
            <w:r w:rsidRPr="007323FB">
              <w:rPr>
                <w:sz w:val="22"/>
                <w:szCs w:val="22"/>
                <w:lang w:val="zh-CN" w:eastAsia="zh-CN"/>
              </w:rPr>
              <w:t>电联学术成员；</w:t>
            </w:r>
            <w:proofErr w:type="gramEnd"/>
          </w:p>
          <w:p w14:paraId="0AE0D943" w14:textId="77777777" w:rsidR="007323FB" w:rsidRPr="007323FB" w:rsidRDefault="007323FB" w:rsidP="007323FB">
            <w:pPr>
              <w:tabs>
                <w:tab w:val="clear" w:pos="794"/>
                <w:tab w:val="clear" w:pos="1191"/>
                <w:tab w:val="clear" w:pos="1588"/>
                <w:tab w:val="clear" w:pos="1985"/>
              </w:tabs>
              <w:spacing w:before="0" w:after="40"/>
              <w:ind w:left="518" w:hanging="425"/>
              <w:rPr>
                <w:sz w:val="22"/>
                <w:szCs w:val="22"/>
                <w:lang w:eastAsia="zh-CN"/>
              </w:rPr>
            </w:pPr>
            <w:r w:rsidRPr="007323FB">
              <w:rPr>
                <w:sz w:val="22"/>
                <w:szCs w:val="22"/>
                <w:lang w:eastAsia="zh-CN"/>
              </w:rPr>
              <w:t>-</w:t>
            </w:r>
            <w:r w:rsidRPr="007323FB">
              <w:rPr>
                <w:sz w:val="22"/>
                <w:szCs w:val="22"/>
                <w:lang w:eastAsia="zh-CN"/>
              </w:rPr>
              <w:tab/>
              <w:t>ITU</w:t>
            </w:r>
            <w:r w:rsidRPr="007323FB">
              <w:rPr>
                <w:sz w:val="22"/>
                <w:szCs w:val="22"/>
                <w:lang w:val="zh-CN" w:eastAsia="zh-CN"/>
              </w:rPr>
              <w:t>-</w:t>
            </w:r>
            <w:proofErr w:type="gramStart"/>
            <w:r w:rsidRPr="007323FB">
              <w:rPr>
                <w:sz w:val="22"/>
                <w:szCs w:val="22"/>
                <w:lang w:val="zh-CN" w:eastAsia="zh-CN"/>
              </w:rPr>
              <w:t>T</w:t>
            </w:r>
            <w:r w:rsidRPr="007323FB">
              <w:rPr>
                <w:sz w:val="22"/>
                <w:szCs w:val="22"/>
                <w:lang w:val="zh-CN" w:eastAsia="zh-CN"/>
              </w:rPr>
              <w:t>第</w:t>
            </w:r>
            <w:r w:rsidRPr="007323FB">
              <w:rPr>
                <w:sz w:val="22"/>
                <w:szCs w:val="22"/>
                <w:lang w:val="zh-CN" w:eastAsia="zh-CN"/>
              </w:rPr>
              <w:t>20</w:t>
            </w:r>
            <w:r w:rsidRPr="007323FB">
              <w:rPr>
                <w:sz w:val="22"/>
                <w:szCs w:val="22"/>
                <w:lang w:val="zh-CN" w:eastAsia="zh-CN"/>
              </w:rPr>
              <w:t>研究组正副主席；</w:t>
            </w:r>
            <w:proofErr w:type="gramEnd"/>
          </w:p>
          <w:p w14:paraId="6EFBA878" w14:textId="77777777" w:rsidR="007323FB" w:rsidRPr="007323FB" w:rsidRDefault="007323FB" w:rsidP="007323FB">
            <w:pPr>
              <w:tabs>
                <w:tab w:val="clear" w:pos="794"/>
                <w:tab w:val="clear" w:pos="1191"/>
                <w:tab w:val="clear" w:pos="1588"/>
                <w:tab w:val="clear" w:pos="1985"/>
              </w:tabs>
              <w:spacing w:before="0" w:after="40"/>
              <w:ind w:left="518" w:hanging="425"/>
              <w:rPr>
                <w:sz w:val="22"/>
                <w:szCs w:val="22"/>
                <w:lang w:eastAsia="zh-CN"/>
              </w:rPr>
            </w:pPr>
            <w:r w:rsidRPr="007323FB">
              <w:rPr>
                <w:sz w:val="22"/>
                <w:szCs w:val="22"/>
                <w:lang w:eastAsia="zh-CN"/>
              </w:rPr>
              <w:t>-</w:t>
            </w:r>
            <w:r w:rsidRPr="007323FB">
              <w:rPr>
                <w:sz w:val="22"/>
                <w:szCs w:val="22"/>
                <w:lang w:eastAsia="zh-CN"/>
              </w:rPr>
              <w:tab/>
            </w:r>
            <w:proofErr w:type="gramStart"/>
            <w:r w:rsidRPr="007323FB">
              <w:rPr>
                <w:sz w:val="22"/>
                <w:szCs w:val="22"/>
                <w:lang w:eastAsia="zh-CN"/>
              </w:rPr>
              <w:t>电信</w:t>
            </w:r>
            <w:r w:rsidRPr="007323FB">
              <w:rPr>
                <w:sz w:val="22"/>
                <w:szCs w:val="22"/>
                <w:lang w:val="zh-CN" w:eastAsia="zh-CN"/>
              </w:rPr>
              <w:t>发展局主任；</w:t>
            </w:r>
            <w:proofErr w:type="gramEnd"/>
          </w:p>
          <w:p w14:paraId="7C9E2C16" w14:textId="477AE839" w:rsidR="00EE08C3" w:rsidRPr="007323FB" w:rsidRDefault="007323FB" w:rsidP="007323FB">
            <w:pPr>
              <w:tabs>
                <w:tab w:val="clear" w:pos="794"/>
                <w:tab w:val="clear" w:pos="1191"/>
                <w:tab w:val="clear" w:pos="1588"/>
                <w:tab w:val="clear" w:pos="1985"/>
              </w:tabs>
              <w:spacing w:before="0" w:after="40"/>
              <w:ind w:left="518" w:hanging="425"/>
              <w:rPr>
                <w:sz w:val="22"/>
                <w:szCs w:val="22"/>
                <w:lang w:eastAsia="zh-CN"/>
              </w:rPr>
            </w:pPr>
            <w:r w:rsidRPr="007323FB">
              <w:rPr>
                <w:sz w:val="22"/>
                <w:szCs w:val="22"/>
                <w:lang w:eastAsia="zh-CN"/>
              </w:rPr>
              <w:t>-</w:t>
            </w:r>
            <w:r w:rsidRPr="007323FB">
              <w:rPr>
                <w:sz w:val="22"/>
                <w:szCs w:val="22"/>
                <w:lang w:eastAsia="zh-CN"/>
              </w:rPr>
              <w:tab/>
            </w:r>
            <w:r w:rsidRPr="007323FB">
              <w:rPr>
                <w:sz w:val="22"/>
                <w:szCs w:val="22"/>
                <w:lang w:eastAsia="zh-CN"/>
              </w:rPr>
              <w:t>无线电通信</w:t>
            </w:r>
            <w:r w:rsidRPr="007323FB">
              <w:rPr>
                <w:sz w:val="22"/>
                <w:szCs w:val="22"/>
                <w:lang w:val="zh-CN" w:eastAsia="zh-CN"/>
              </w:rPr>
              <w:t>局主任</w:t>
            </w:r>
          </w:p>
        </w:tc>
      </w:tr>
      <w:tr w:rsidR="00EE08C3" w:rsidRPr="00EE08C3" w14:paraId="6F64B286" w14:textId="77777777" w:rsidTr="00597CD8">
        <w:trPr>
          <w:cantSplit/>
        </w:trPr>
        <w:tc>
          <w:tcPr>
            <w:tcW w:w="1268" w:type="dxa"/>
          </w:tcPr>
          <w:p w14:paraId="4FDD21ED" w14:textId="77777777" w:rsidR="00EE08C3" w:rsidRPr="00D709A2" w:rsidRDefault="00EE08C3" w:rsidP="00EE08C3">
            <w:pPr>
              <w:spacing w:before="40" w:after="40"/>
              <w:rPr>
                <w:b/>
                <w:bCs/>
                <w:sz w:val="22"/>
                <w:szCs w:val="22"/>
                <w:lang w:eastAsia="zh-CN"/>
              </w:rPr>
            </w:pPr>
            <w:r w:rsidRPr="00D709A2">
              <w:rPr>
                <w:rFonts w:hint="eastAsia"/>
                <w:b/>
                <w:bCs/>
                <w:sz w:val="22"/>
                <w:szCs w:val="22"/>
                <w:lang w:eastAsia="zh-CN"/>
              </w:rPr>
              <w:t>电话：</w:t>
            </w:r>
          </w:p>
        </w:tc>
        <w:tc>
          <w:tcPr>
            <w:tcW w:w="3969" w:type="dxa"/>
            <w:gridSpan w:val="2"/>
          </w:tcPr>
          <w:p w14:paraId="716B576A" w14:textId="14BDE09C" w:rsidR="00EE08C3" w:rsidRPr="007323FB" w:rsidRDefault="00EE08C3" w:rsidP="00EE08C3">
            <w:pPr>
              <w:tabs>
                <w:tab w:val="left" w:pos="4111"/>
              </w:tabs>
              <w:spacing w:before="40" w:after="40"/>
              <w:rPr>
                <w:sz w:val="22"/>
                <w:szCs w:val="22"/>
                <w:lang w:eastAsia="zh-CN"/>
              </w:rPr>
            </w:pPr>
            <w:r w:rsidRPr="007323FB">
              <w:rPr>
                <w:rFonts w:ascii="Calibri" w:hAnsi="Calibri" w:cs="Calibri"/>
                <w:sz w:val="22"/>
                <w:szCs w:val="22"/>
                <w:lang w:val="en-US"/>
              </w:rPr>
              <w:t xml:space="preserve">+41 22 730 </w:t>
            </w:r>
            <w:r w:rsidR="0009235E" w:rsidRPr="007323FB">
              <w:rPr>
                <w:rFonts w:ascii="Calibri" w:hAnsi="Calibri" w:cs="Calibri" w:hint="eastAsia"/>
                <w:sz w:val="22"/>
                <w:szCs w:val="22"/>
                <w:lang w:val="en-US" w:eastAsia="zh-CN"/>
              </w:rPr>
              <w:t>6301</w:t>
            </w:r>
          </w:p>
        </w:tc>
        <w:tc>
          <w:tcPr>
            <w:tcW w:w="4628" w:type="dxa"/>
            <w:vMerge/>
          </w:tcPr>
          <w:p w14:paraId="3E0560F0" w14:textId="77777777" w:rsidR="00EE08C3" w:rsidRPr="007323FB" w:rsidRDefault="00EE08C3" w:rsidP="00EE08C3">
            <w:pPr>
              <w:tabs>
                <w:tab w:val="left" w:pos="284"/>
              </w:tabs>
              <w:spacing w:before="0"/>
              <w:ind w:left="284" w:hanging="284"/>
              <w:rPr>
                <w:b/>
                <w:sz w:val="22"/>
                <w:szCs w:val="22"/>
                <w:lang w:eastAsia="zh-CN"/>
              </w:rPr>
            </w:pPr>
          </w:p>
        </w:tc>
      </w:tr>
      <w:tr w:rsidR="00EE08C3" w:rsidRPr="00EE08C3" w14:paraId="42404DB9" w14:textId="77777777" w:rsidTr="00597CD8">
        <w:trPr>
          <w:cantSplit/>
        </w:trPr>
        <w:tc>
          <w:tcPr>
            <w:tcW w:w="1268" w:type="dxa"/>
          </w:tcPr>
          <w:p w14:paraId="0521A8A2" w14:textId="77777777" w:rsidR="00EE08C3" w:rsidRPr="00D709A2" w:rsidRDefault="00EE08C3" w:rsidP="00EE08C3">
            <w:pPr>
              <w:spacing w:before="40" w:after="40"/>
              <w:rPr>
                <w:b/>
                <w:bCs/>
                <w:sz w:val="22"/>
                <w:szCs w:val="22"/>
                <w:lang w:eastAsia="zh-CN"/>
              </w:rPr>
            </w:pPr>
            <w:r w:rsidRPr="00D709A2">
              <w:rPr>
                <w:rFonts w:hint="eastAsia"/>
                <w:b/>
                <w:bCs/>
                <w:sz w:val="22"/>
                <w:szCs w:val="22"/>
                <w:lang w:eastAsia="zh-CN"/>
              </w:rPr>
              <w:t>传真：</w:t>
            </w:r>
          </w:p>
        </w:tc>
        <w:tc>
          <w:tcPr>
            <w:tcW w:w="3969" w:type="dxa"/>
            <w:gridSpan w:val="2"/>
          </w:tcPr>
          <w:p w14:paraId="774EFC54" w14:textId="49817F6D" w:rsidR="00EE08C3" w:rsidRPr="007323FB" w:rsidRDefault="00EE08C3" w:rsidP="00EE08C3">
            <w:pPr>
              <w:tabs>
                <w:tab w:val="left" w:pos="4111"/>
              </w:tabs>
              <w:spacing w:before="40" w:after="40"/>
              <w:rPr>
                <w:rStyle w:val="Hyperlink"/>
                <w:sz w:val="22"/>
                <w:szCs w:val="22"/>
                <w:lang w:eastAsia="zh-CN"/>
              </w:rPr>
            </w:pPr>
            <w:r w:rsidRPr="007323FB">
              <w:rPr>
                <w:rFonts w:ascii="Calibri" w:hAnsi="Calibri" w:cs="Calibri"/>
                <w:sz w:val="22"/>
                <w:szCs w:val="22"/>
                <w:lang w:val="en-US"/>
              </w:rPr>
              <w:t>+41 22 730 5853</w:t>
            </w:r>
          </w:p>
        </w:tc>
        <w:tc>
          <w:tcPr>
            <w:tcW w:w="4628" w:type="dxa"/>
            <w:vMerge/>
          </w:tcPr>
          <w:p w14:paraId="2C332C89" w14:textId="77777777" w:rsidR="00EE08C3" w:rsidRPr="007323FB" w:rsidRDefault="00EE08C3" w:rsidP="00EE08C3">
            <w:pPr>
              <w:tabs>
                <w:tab w:val="left" w:pos="284"/>
              </w:tabs>
              <w:spacing w:before="0"/>
              <w:ind w:left="284" w:hanging="284"/>
              <w:rPr>
                <w:b/>
                <w:sz w:val="22"/>
                <w:szCs w:val="22"/>
                <w:lang w:eastAsia="zh-CN"/>
              </w:rPr>
            </w:pPr>
          </w:p>
        </w:tc>
      </w:tr>
      <w:tr w:rsidR="00EE08C3" w:rsidRPr="00EE08C3" w14:paraId="3F09C643" w14:textId="77777777" w:rsidTr="00597CD8">
        <w:trPr>
          <w:cantSplit/>
        </w:trPr>
        <w:tc>
          <w:tcPr>
            <w:tcW w:w="1268" w:type="dxa"/>
          </w:tcPr>
          <w:p w14:paraId="37F296C3" w14:textId="77777777" w:rsidR="00EE08C3" w:rsidRPr="00D709A2" w:rsidRDefault="00EE08C3" w:rsidP="00EE08C3">
            <w:pPr>
              <w:spacing w:before="40" w:after="40"/>
              <w:rPr>
                <w:b/>
                <w:bCs/>
                <w:sz w:val="22"/>
                <w:szCs w:val="22"/>
                <w:lang w:eastAsia="zh-CN"/>
              </w:rPr>
            </w:pPr>
            <w:r w:rsidRPr="00D709A2">
              <w:rPr>
                <w:rFonts w:ascii="Calibri" w:hAnsi="Calibri" w:hint="eastAsia"/>
                <w:b/>
                <w:bCs/>
                <w:sz w:val="22"/>
                <w:szCs w:val="22"/>
                <w:lang w:eastAsia="zh-CN"/>
              </w:rPr>
              <w:t>电子邮件</w:t>
            </w:r>
            <w:r w:rsidRPr="00D709A2">
              <w:rPr>
                <w:rFonts w:hint="eastAsia"/>
                <w:b/>
                <w:bCs/>
                <w:sz w:val="22"/>
                <w:szCs w:val="22"/>
                <w:lang w:eastAsia="zh-CN"/>
              </w:rPr>
              <w:t>：</w:t>
            </w:r>
          </w:p>
        </w:tc>
        <w:tc>
          <w:tcPr>
            <w:tcW w:w="3969" w:type="dxa"/>
            <w:gridSpan w:val="2"/>
          </w:tcPr>
          <w:p w14:paraId="26F284AA" w14:textId="2BE044DC" w:rsidR="00EE08C3" w:rsidRPr="007323FB" w:rsidRDefault="00F716D1" w:rsidP="00EE08C3">
            <w:pPr>
              <w:tabs>
                <w:tab w:val="left" w:pos="4111"/>
              </w:tabs>
              <w:spacing w:before="40"/>
              <w:rPr>
                <w:sz w:val="22"/>
                <w:szCs w:val="22"/>
                <w:lang w:eastAsia="zh-CN"/>
              </w:rPr>
            </w:pPr>
            <w:hyperlink r:id="rId8" w:history="1">
              <w:r w:rsidR="0009235E" w:rsidRPr="007323FB">
                <w:rPr>
                  <w:rStyle w:val="Hyperlink"/>
                  <w:sz w:val="22"/>
                  <w:szCs w:val="22"/>
                </w:rPr>
                <w:t>tsbsg20@itu.int</w:t>
              </w:r>
            </w:hyperlink>
          </w:p>
        </w:tc>
        <w:tc>
          <w:tcPr>
            <w:tcW w:w="4628" w:type="dxa"/>
            <w:vMerge/>
          </w:tcPr>
          <w:p w14:paraId="40D824D5" w14:textId="77777777" w:rsidR="00EE08C3" w:rsidRPr="007323FB" w:rsidRDefault="00EE08C3" w:rsidP="00EE08C3">
            <w:pPr>
              <w:tabs>
                <w:tab w:val="clear" w:pos="794"/>
                <w:tab w:val="clear" w:pos="1191"/>
                <w:tab w:val="clear" w:pos="1588"/>
                <w:tab w:val="clear" w:pos="1985"/>
                <w:tab w:val="left" w:pos="284"/>
              </w:tabs>
              <w:spacing w:before="0"/>
              <w:ind w:left="284" w:hanging="284"/>
              <w:rPr>
                <w:sz w:val="22"/>
                <w:szCs w:val="22"/>
                <w:lang w:eastAsia="zh-CN"/>
              </w:rPr>
            </w:pPr>
          </w:p>
        </w:tc>
      </w:tr>
      <w:tr w:rsidR="00720F32" w:rsidRPr="00EE08C3" w14:paraId="2ADCD7A3" w14:textId="77777777" w:rsidTr="009E6B3D">
        <w:trPr>
          <w:cantSplit/>
          <w:trHeight w:val="1695"/>
        </w:trPr>
        <w:tc>
          <w:tcPr>
            <w:tcW w:w="1268" w:type="dxa"/>
          </w:tcPr>
          <w:p w14:paraId="03CF5511" w14:textId="77777777" w:rsidR="00720F32" w:rsidRPr="00D709A2" w:rsidRDefault="00720F32" w:rsidP="00597CD8">
            <w:pPr>
              <w:spacing w:after="120"/>
              <w:rPr>
                <w:b/>
                <w:bCs/>
                <w:sz w:val="22"/>
                <w:szCs w:val="22"/>
                <w:lang w:eastAsia="zh-CN"/>
              </w:rPr>
            </w:pPr>
            <w:r w:rsidRPr="00D709A2">
              <w:rPr>
                <w:rFonts w:hint="eastAsia"/>
                <w:b/>
                <w:bCs/>
                <w:sz w:val="22"/>
                <w:szCs w:val="22"/>
                <w:lang w:eastAsia="zh-CN"/>
              </w:rPr>
              <w:t>事由：</w:t>
            </w:r>
          </w:p>
        </w:tc>
        <w:tc>
          <w:tcPr>
            <w:tcW w:w="8597" w:type="dxa"/>
            <w:gridSpan w:val="3"/>
          </w:tcPr>
          <w:p w14:paraId="43FF0E85" w14:textId="123691BA" w:rsidR="00720F32" w:rsidRPr="00D709A2" w:rsidRDefault="0009235E" w:rsidP="00597CD8">
            <w:pPr>
              <w:tabs>
                <w:tab w:val="left" w:pos="4111"/>
              </w:tabs>
              <w:spacing w:after="120"/>
              <w:rPr>
                <w:b/>
                <w:sz w:val="22"/>
                <w:szCs w:val="22"/>
                <w:lang w:eastAsia="zh-CN"/>
              </w:rPr>
            </w:pPr>
            <w:r w:rsidRPr="00D709A2">
              <w:rPr>
                <w:rFonts w:hint="eastAsia"/>
                <w:b/>
                <w:bCs/>
                <w:sz w:val="22"/>
                <w:szCs w:val="22"/>
                <w:lang w:val="zh-CN" w:eastAsia="zh-CN"/>
              </w:rPr>
              <w:t>针对已确定并拟在</w:t>
            </w:r>
            <w:r w:rsidRPr="00D709A2">
              <w:rPr>
                <w:rFonts w:hint="eastAsia"/>
                <w:b/>
                <w:bCs/>
                <w:sz w:val="22"/>
                <w:szCs w:val="22"/>
                <w:lang w:eastAsia="zh-CN"/>
              </w:rPr>
              <w:t>ITU-T</w:t>
            </w:r>
            <w:r w:rsidRPr="00D709A2">
              <w:rPr>
                <w:rFonts w:hint="eastAsia"/>
                <w:b/>
                <w:bCs/>
                <w:sz w:val="22"/>
                <w:szCs w:val="22"/>
                <w:lang w:eastAsia="zh-CN"/>
              </w:rPr>
              <w:t>第</w:t>
            </w:r>
            <w:r w:rsidRPr="00D709A2">
              <w:rPr>
                <w:rFonts w:hint="eastAsia"/>
                <w:b/>
                <w:bCs/>
                <w:sz w:val="22"/>
                <w:szCs w:val="22"/>
                <w:lang w:eastAsia="zh-CN"/>
              </w:rPr>
              <w:t>20</w:t>
            </w:r>
            <w:r w:rsidRPr="00D709A2">
              <w:rPr>
                <w:rFonts w:hint="eastAsia"/>
                <w:b/>
                <w:bCs/>
                <w:sz w:val="22"/>
                <w:szCs w:val="22"/>
                <w:lang w:eastAsia="zh-CN"/>
              </w:rPr>
              <w:t>研究组会议（</w:t>
            </w:r>
            <w:r w:rsidRPr="00D709A2">
              <w:rPr>
                <w:rFonts w:hint="eastAsia"/>
                <w:b/>
                <w:bCs/>
                <w:sz w:val="22"/>
                <w:szCs w:val="22"/>
                <w:lang w:eastAsia="zh-CN"/>
              </w:rPr>
              <w:t>2025</w:t>
            </w:r>
            <w:r w:rsidRPr="00D709A2">
              <w:rPr>
                <w:rFonts w:hint="eastAsia"/>
                <w:b/>
                <w:bCs/>
                <w:sz w:val="22"/>
                <w:szCs w:val="22"/>
                <w:lang w:val="zh-CN" w:eastAsia="zh-CN"/>
              </w:rPr>
              <w:t>年</w:t>
            </w:r>
            <w:r w:rsidRPr="00D709A2">
              <w:rPr>
                <w:rFonts w:hint="eastAsia"/>
                <w:b/>
                <w:bCs/>
                <w:sz w:val="22"/>
                <w:szCs w:val="22"/>
                <w:lang w:eastAsia="zh-CN"/>
              </w:rPr>
              <w:t>1</w:t>
            </w:r>
            <w:r w:rsidRPr="00D709A2">
              <w:rPr>
                <w:rFonts w:hint="eastAsia"/>
                <w:b/>
                <w:bCs/>
                <w:sz w:val="22"/>
                <w:szCs w:val="22"/>
                <w:lang w:val="zh-CN" w:eastAsia="zh-CN"/>
              </w:rPr>
              <w:t>月</w:t>
            </w:r>
            <w:r w:rsidRPr="00D709A2">
              <w:rPr>
                <w:rFonts w:hint="eastAsia"/>
                <w:b/>
                <w:bCs/>
                <w:sz w:val="22"/>
                <w:szCs w:val="22"/>
                <w:lang w:eastAsia="zh-CN"/>
              </w:rPr>
              <w:t>15</w:t>
            </w:r>
            <w:r w:rsidRPr="00D709A2">
              <w:rPr>
                <w:rFonts w:hint="eastAsia"/>
                <w:b/>
                <w:bCs/>
                <w:sz w:val="22"/>
                <w:szCs w:val="22"/>
                <w:lang w:val="zh-CN" w:eastAsia="zh-CN"/>
              </w:rPr>
              <w:t>日至</w:t>
            </w:r>
            <w:r w:rsidRPr="00D709A2">
              <w:rPr>
                <w:rFonts w:hint="eastAsia"/>
                <w:b/>
                <w:bCs/>
                <w:sz w:val="22"/>
                <w:szCs w:val="22"/>
                <w:lang w:eastAsia="zh-CN"/>
              </w:rPr>
              <w:t>24</w:t>
            </w:r>
            <w:r w:rsidRPr="00D709A2">
              <w:rPr>
                <w:rFonts w:hint="eastAsia"/>
                <w:b/>
                <w:bCs/>
                <w:sz w:val="22"/>
                <w:szCs w:val="22"/>
                <w:lang w:val="zh-CN" w:eastAsia="zh-CN"/>
              </w:rPr>
              <w:t>日</w:t>
            </w:r>
            <w:r w:rsidRPr="00D709A2">
              <w:rPr>
                <w:rFonts w:hint="eastAsia"/>
                <w:b/>
                <w:bCs/>
                <w:sz w:val="22"/>
                <w:szCs w:val="22"/>
                <w:lang w:eastAsia="zh-CN"/>
              </w:rPr>
              <w:t>）上批准的</w:t>
            </w:r>
            <w:r w:rsidRPr="00D709A2">
              <w:rPr>
                <w:rFonts w:hint="eastAsia"/>
                <w:b/>
                <w:bCs/>
                <w:sz w:val="22"/>
                <w:szCs w:val="22"/>
                <w:lang w:eastAsia="zh-CN"/>
              </w:rPr>
              <w:t>ITU-T Y.4506</w:t>
            </w:r>
            <w:r w:rsidRPr="00D709A2">
              <w:rPr>
                <w:rFonts w:hint="eastAsia"/>
                <w:b/>
                <w:bCs/>
                <w:sz w:val="22"/>
                <w:szCs w:val="22"/>
                <w:lang w:eastAsia="zh-CN"/>
              </w:rPr>
              <w:t>（</w:t>
            </w:r>
            <w:r w:rsidRPr="00D709A2">
              <w:rPr>
                <w:rFonts w:hint="eastAsia"/>
                <w:b/>
                <w:bCs/>
                <w:sz w:val="22"/>
                <w:szCs w:val="22"/>
                <w:lang w:val="zh-CN" w:eastAsia="zh-CN"/>
              </w:rPr>
              <w:t>原</w:t>
            </w:r>
            <w:r w:rsidRPr="00D709A2">
              <w:rPr>
                <w:rFonts w:hint="eastAsia"/>
                <w:b/>
                <w:bCs/>
                <w:sz w:val="22"/>
                <w:szCs w:val="22"/>
                <w:lang w:eastAsia="zh-CN"/>
              </w:rPr>
              <w:t>Y.DRI-arch</w:t>
            </w:r>
            <w:r w:rsidRPr="00D709A2">
              <w:rPr>
                <w:rFonts w:hint="eastAsia"/>
                <w:b/>
                <w:bCs/>
                <w:sz w:val="22"/>
                <w:szCs w:val="22"/>
                <w:lang w:eastAsia="zh-CN"/>
              </w:rPr>
              <w:t>）</w:t>
            </w:r>
            <w:r w:rsidRPr="00D709A2">
              <w:rPr>
                <w:rFonts w:hint="eastAsia"/>
                <w:b/>
                <w:bCs/>
                <w:sz w:val="22"/>
                <w:szCs w:val="22"/>
                <w:lang w:val="zh-CN" w:eastAsia="zh-CN"/>
              </w:rPr>
              <w:t>、</w:t>
            </w:r>
            <w:r w:rsidRPr="00D709A2">
              <w:rPr>
                <w:rFonts w:hint="eastAsia"/>
                <w:b/>
                <w:bCs/>
                <w:sz w:val="22"/>
                <w:szCs w:val="22"/>
                <w:lang w:eastAsia="zh-CN"/>
              </w:rPr>
              <w:t>Y.4229</w:t>
            </w:r>
            <w:r w:rsidRPr="00D709A2">
              <w:rPr>
                <w:rFonts w:hint="eastAsia"/>
                <w:b/>
                <w:bCs/>
                <w:sz w:val="22"/>
                <w:szCs w:val="22"/>
                <w:lang w:eastAsia="zh-CN"/>
              </w:rPr>
              <w:t>（</w:t>
            </w:r>
            <w:r w:rsidRPr="00D709A2">
              <w:rPr>
                <w:rFonts w:hint="eastAsia"/>
                <w:b/>
                <w:bCs/>
                <w:sz w:val="22"/>
                <w:szCs w:val="22"/>
                <w:lang w:val="zh-CN" w:eastAsia="zh-CN"/>
              </w:rPr>
              <w:t>原</w:t>
            </w:r>
            <w:proofErr w:type="spellStart"/>
            <w:r w:rsidRPr="00D709A2">
              <w:rPr>
                <w:rFonts w:hint="eastAsia"/>
                <w:b/>
                <w:bCs/>
                <w:sz w:val="22"/>
                <w:szCs w:val="22"/>
                <w:lang w:eastAsia="zh-CN"/>
              </w:rPr>
              <w:t>Y.IoT</w:t>
            </w:r>
            <w:proofErr w:type="spellEnd"/>
            <w:r w:rsidRPr="00D709A2">
              <w:rPr>
                <w:rFonts w:hint="eastAsia"/>
                <w:b/>
                <w:bCs/>
                <w:sz w:val="22"/>
                <w:szCs w:val="22"/>
                <w:lang w:eastAsia="zh-CN"/>
              </w:rPr>
              <w:t>-SFFS</w:t>
            </w:r>
            <w:r w:rsidRPr="00D709A2">
              <w:rPr>
                <w:rFonts w:hint="eastAsia"/>
                <w:b/>
                <w:bCs/>
                <w:sz w:val="22"/>
                <w:szCs w:val="22"/>
                <w:lang w:eastAsia="zh-CN"/>
              </w:rPr>
              <w:t>）</w:t>
            </w:r>
            <w:r w:rsidRPr="00D709A2">
              <w:rPr>
                <w:rFonts w:hint="eastAsia"/>
                <w:b/>
                <w:bCs/>
                <w:sz w:val="22"/>
                <w:szCs w:val="22"/>
                <w:lang w:val="zh-CN" w:eastAsia="zh-CN"/>
              </w:rPr>
              <w:t>、</w:t>
            </w:r>
            <w:r w:rsidRPr="00D709A2">
              <w:rPr>
                <w:rFonts w:hint="eastAsia"/>
                <w:b/>
                <w:bCs/>
                <w:sz w:val="22"/>
                <w:szCs w:val="22"/>
                <w:lang w:eastAsia="zh-CN"/>
              </w:rPr>
              <w:t>Y.4230</w:t>
            </w:r>
            <w:r w:rsidRPr="00D709A2">
              <w:rPr>
                <w:rFonts w:hint="eastAsia"/>
                <w:b/>
                <w:bCs/>
                <w:sz w:val="22"/>
                <w:szCs w:val="22"/>
                <w:lang w:eastAsia="zh-CN"/>
              </w:rPr>
              <w:t>（</w:t>
            </w:r>
            <w:r w:rsidRPr="00D709A2">
              <w:rPr>
                <w:rFonts w:hint="eastAsia"/>
                <w:b/>
                <w:bCs/>
                <w:sz w:val="22"/>
                <w:szCs w:val="22"/>
                <w:lang w:val="zh-CN" w:eastAsia="zh-CN"/>
              </w:rPr>
              <w:t>原</w:t>
            </w:r>
            <w:r w:rsidRPr="00D709A2">
              <w:rPr>
                <w:rFonts w:cs="Calibri" w:hint="eastAsia"/>
                <w:b/>
                <w:sz w:val="22"/>
                <w:szCs w:val="22"/>
                <w:lang w:eastAsia="zh-CN"/>
              </w:rPr>
              <w:t>Y.EV-charging</w:t>
            </w:r>
            <w:r w:rsidRPr="00D709A2">
              <w:rPr>
                <w:rFonts w:hint="eastAsia"/>
                <w:b/>
                <w:bCs/>
                <w:sz w:val="22"/>
                <w:szCs w:val="22"/>
                <w:lang w:eastAsia="zh-CN"/>
              </w:rPr>
              <w:t>）</w:t>
            </w:r>
            <w:r w:rsidRPr="00D709A2">
              <w:rPr>
                <w:rFonts w:hint="eastAsia"/>
                <w:b/>
                <w:bCs/>
                <w:sz w:val="22"/>
                <w:szCs w:val="22"/>
                <w:lang w:val="zh-CN" w:eastAsia="zh-CN"/>
              </w:rPr>
              <w:t>、</w:t>
            </w:r>
            <w:r w:rsidRPr="00D709A2">
              <w:rPr>
                <w:rFonts w:hint="eastAsia"/>
                <w:b/>
                <w:bCs/>
                <w:sz w:val="22"/>
                <w:szCs w:val="22"/>
                <w:lang w:eastAsia="zh-CN"/>
              </w:rPr>
              <w:t>Y.4231</w:t>
            </w:r>
            <w:r w:rsidRPr="00D709A2">
              <w:rPr>
                <w:rFonts w:hint="eastAsia"/>
                <w:b/>
                <w:bCs/>
                <w:sz w:val="22"/>
                <w:szCs w:val="22"/>
                <w:lang w:eastAsia="zh-CN"/>
              </w:rPr>
              <w:t>（</w:t>
            </w:r>
            <w:r w:rsidRPr="00D709A2">
              <w:rPr>
                <w:rFonts w:hint="eastAsia"/>
                <w:b/>
                <w:bCs/>
                <w:sz w:val="22"/>
                <w:szCs w:val="22"/>
                <w:lang w:val="zh-CN" w:eastAsia="zh-CN"/>
              </w:rPr>
              <w:t>原</w:t>
            </w:r>
            <w:proofErr w:type="spellStart"/>
            <w:r w:rsidRPr="00D709A2">
              <w:rPr>
                <w:rFonts w:hint="eastAsia"/>
                <w:b/>
                <w:bCs/>
                <w:sz w:val="22"/>
                <w:szCs w:val="22"/>
                <w:lang w:eastAsia="zh-CN"/>
              </w:rPr>
              <w:t>Y.IoT-Vreqs</w:t>
            </w:r>
            <w:proofErr w:type="spellEnd"/>
            <w:r w:rsidRPr="00D709A2">
              <w:rPr>
                <w:rFonts w:hint="eastAsia"/>
                <w:b/>
                <w:bCs/>
                <w:sz w:val="22"/>
                <w:szCs w:val="22"/>
                <w:lang w:eastAsia="zh-CN"/>
              </w:rPr>
              <w:t>）</w:t>
            </w:r>
            <w:r w:rsidRPr="00D709A2">
              <w:rPr>
                <w:rFonts w:hint="eastAsia"/>
                <w:b/>
                <w:bCs/>
                <w:sz w:val="22"/>
                <w:szCs w:val="22"/>
                <w:lang w:val="zh-CN" w:eastAsia="zh-CN"/>
              </w:rPr>
              <w:t>、</w:t>
            </w:r>
            <w:r w:rsidRPr="00D709A2">
              <w:rPr>
                <w:rFonts w:hint="eastAsia"/>
                <w:b/>
                <w:bCs/>
                <w:sz w:val="22"/>
                <w:szCs w:val="22"/>
                <w:lang w:eastAsia="zh-CN"/>
              </w:rPr>
              <w:t>Y.4232</w:t>
            </w:r>
            <w:r w:rsidRPr="00D709A2">
              <w:rPr>
                <w:rFonts w:hint="eastAsia"/>
                <w:b/>
                <w:bCs/>
                <w:sz w:val="22"/>
                <w:szCs w:val="22"/>
                <w:lang w:eastAsia="zh-CN"/>
              </w:rPr>
              <w:t>（</w:t>
            </w:r>
            <w:r w:rsidRPr="00D709A2">
              <w:rPr>
                <w:rFonts w:hint="eastAsia"/>
                <w:b/>
                <w:bCs/>
                <w:sz w:val="22"/>
                <w:szCs w:val="22"/>
                <w:lang w:val="zh-CN" w:eastAsia="zh-CN"/>
              </w:rPr>
              <w:t>原</w:t>
            </w:r>
            <w:proofErr w:type="spellStart"/>
            <w:r w:rsidRPr="00D709A2">
              <w:rPr>
                <w:rFonts w:hint="eastAsia"/>
                <w:b/>
                <w:bCs/>
                <w:sz w:val="22"/>
                <w:szCs w:val="22"/>
                <w:lang w:eastAsia="zh-CN"/>
              </w:rPr>
              <w:t>Y.IoT</w:t>
            </w:r>
            <w:proofErr w:type="spellEnd"/>
            <w:r w:rsidRPr="00D709A2">
              <w:rPr>
                <w:rFonts w:hint="eastAsia"/>
                <w:b/>
                <w:bCs/>
                <w:sz w:val="22"/>
                <w:szCs w:val="22"/>
                <w:lang w:eastAsia="zh-CN"/>
              </w:rPr>
              <w:t>-RTPS</w:t>
            </w:r>
            <w:r w:rsidRPr="00D709A2">
              <w:rPr>
                <w:rFonts w:hint="eastAsia"/>
                <w:b/>
                <w:bCs/>
                <w:sz w:val="22"/>
                <w:szCs w:val="22"/>
                <w:lang w:eastAsia="zh-CN"/>
              </w:rPr>
              <w:t>）</w:t>
            </w:r>
            <w:r w:rsidRPr="00D709A2">
              <w:rPr>
                <w:rFonts w:hint="eastAsia"/>
                <w:b/>
                <w:bCs/>
                <w:sz w:val="22"/>
                <w:szCs w:val="22"/>
                <w:lang w:val="zh-CN" w:eastAsia="zh-CN"/>
              </w:rPr>
              <w:t>、</w:t>
            </w:r>
            <w:r w:rsidRPr="00D709A2">
              <w:rPr>
                <w:rFonts w:hint="eastAsia"/>
                <w:b/>
                <w:bCs/>
                <w:sz w:val="22"/>
                <w:szCs w:val="22"/>
                <w:lang w:eastAsia="zh-CN"/>
              </w:rPr>
              <w:t>Y.4233</w:t>
            </w:r>
            <w:r w:rsidRPr="00D709A2">
              <w:rPr>
                <w:rFonts w:hint="eastAsia"/>
                <w:b/>
                <w:bCs/>
                <w:sz w:val="22"/>
                <w:szCs w:val="22"/>
                <w:lang w:eastAsia="zh-CN"/>
              </w:rPr>
              <w:t>（</w:t>
            </w:r>
            <w:r w:rsidRPr="00D709A2">
              <w:rPr>
                <w:rFonts w:hint="eastAsia"/>
                <w:b/>
                <w:bCs/>
                <w:sz w:val="22"/>
                <w:szCs w:val="22"/>
                <w:lang w:val="zh-CN" w:eastAsia="zh-CN"/>
              </w:rPr>
              <w:t>原</w:t>
            </w:r>
            <w:r w:rsidRPr="00D709A2">
              <w:rPr>
                <w:rFonts w:hint="eastAsia"/>
                <w:b/>
                <w:bCs/>
                <w:sz w:val="22"/>
                <w:szCs w:val="22"/>
                <w:lang w:eastAsia="zh-CN"/>
              </w:rPr>
              <w:t>Y.FSPH</w:t>
            </w:r>
            <w:r w:rsidRPr="00D709A2">
              <w:rPr>
                <w:rFonts w:hint="eastAsia"/>
                <w:b/>
                <w:bCs/>
                <w:sz w:val="22"/>
                <w:szCs w:val="22"/>
                <w:lang w:eastAsia="zh-CN"/>
              </w:rPr>
              <w:t>）</w:t>
            </w:r>
            <w:r w:rsidRPr="00D709A2">
              <w:rPr>
                <w:rFonts w:hint="eastAsia"/>
                <w:b/>
                <w:bCs/>
                <w:sz w:val="22"/>
                <w:szCs w:val="22"/>
                <w:lang w:val="zh-CN" w:eastAsia="zh-CN"/>
              </w:rPr>
              <w:t>、</w:t>
            </w:r>
            <w:r w:rsidRPr="00D709A2">
              <w:rPr>
                <w:rFonts w:hint="eastAsia"/>
                <w:b/>
                <w:bCs/>
                <w:sz w:val="22"/>
                <w:szCs w:val="22"/>
                <w:lang w:eastAsia="zh-CN"/>
              </w:rPr>
              <w:t>Y.4234</w:t>
            </w:r>
            <w:r w:rsidRPr="00D709A2">
              <w:rPr>
                <w:rFonts w:hint="eastAsia"/>
                <w:b/>
                <w:bCs/>
                <w:sz w:val="22"/>
                <w:szCs w:val="22"/>
                <w:lang w:eastAsia="zh-CN"/>
              </w:rPr>
              <w:t>（</w:t>
            </w:r>
            <w:r w:rsidRPr="00D709A2">
              <w:rPr>
                <w:rFonts w:hint="eastAsia"/>
                <w:b/>
                <w:bCs/>
                <w:sz w:val="22"/>
                <w:szCs w:val="22"/>
                <w:lang w:val="zh-CN" w:eastAsia="zh-CN"/>
              </w:rPr>
              <w:t>原</w:t>
            </w:r>
            <w:proofErr w:type="spellStart"/>
            <w:r w:rsidRPr="00D709A2">
              <w:rPr>
                <w:rFonts w:hint="eastAsia"/>
                <w:b/>
                <w:bCs/>
                <w:sz w:val="22"/>
                <w:szCs w:val="22"/>
                <w:lang w:eastAsia="zh-CN"/>
              </w:rPr>
              <w:t>Y.RemoteEd</w:t>
            </w:r>
            <w:proofErr w:type="spellEnd"/>
            <w:r w:rsidRPr="00D709A2">
              <w:rPr>
                <w:rFonts w:hint="eastAsia"/>
                <w:b/>
                <w:bCs/>
                <w:sz w:val="22"/>
                <w:szCs w:val="22"/>
                <w:lang w:eastAsia="zh-CN"/>
              </w:rPr>
              <w:t>）</w:t>
            </w:r>
            <w:r w:rsidRPr="00D709A2">
              <w:rPr>
                <w:rFonts w:hint="eastAsia"/>
                <w:b/>
                <w:bCs/>
                <w:sz w:val="22"/>
                <w:szCs w:val="22"/>
                <w:lang w:val="zh-CN" w:eastAsia="zh-CN"/>
              </w:rPr>
              <w:t>、</w:t>
            </w:r>
            <w:r w:rsidRPr="00D709A2">
              <w:rPr>
                <w:rFonts w:hint="eastAsia"/>
                <w:b/>
                <w:bCs/>
                <w:sz w:val="22"/>
                <w:szCs w:val="22"/>
                <w:lang w:eastAsia="zh-CN"/>
              </w:rPr>
              <w:t>Y.4222</w:t>
            </w:r>
            <w:r w:rsidRPr="00D709A2">
              <w:rPr>
                <w:rFonts w:hint="eastAsia"/>
                <w:b/>
                <w:bCs/>
                <w:sz w:val="22"/>
                <w:szCs w:val="22"/>
                <w:lang w:eastAsia="zh-CN"/>
              </w:rPr>
              <w:t>（</w:t>
            </w:r>
            <w:r w:rsidRPr="00D709A2">
              <w:rPr>
                <w:rFonts w:hint="eastAsia"/>
                <w:b/>
                <w:bCs/>
                <w:sz w:val="22"/>
                <w:szCs w:val="22"/>
                <w:lang w:val="zh-CN" w:eastAsia="zh-CN"/>
              </w:rPr>
              <w:t>原</w:t>
            </w:r>
            <w:proofErr w:type="spellStart"/>
            <w:r w:rsidRPr="00D709A2">
              <w:rPr>
                <w:rFonts w:hint="eastAsia"/>
                <w:b/>
                <w:bCs/>
                <w:sz w:val="22"/>
                <w:szCs w:val="22"/>
                <w:lang w:eastAsia="zh-CN"/>
              </w:rPr>
              <w:t>Y.smart</w:t>
            </w:r>
            <w:proofErr w:type="spellEnd"/>
            <w:r w:rsidRPr="00D709A2">
              <w:rPr>
                <w:rFonts w:hint="eastAsia"/>
                <w:b/>
                <w:bCs/>
                <w:sz w:val="22"/>
                <w:szCs w:val="22"/>
                <w:lang w:eastAsia="zh-CN"/>
              </w:rPr>
              <w:t>-evacuation</w:t>
            </w:r>
            <w:r w:rsidRPr="00D709A2">
              <w:rPr>
                <w:rFonts w:hint="eastAsia"/>
                <w:b/>
                <w:bCs/>
                <w:sz w:val="22"/>
                <w:szCs w:val="22"/>
                <w:lang w:eastAsia="zh-CN"/>
              </w:rPr>
              <w:t>）</w:t>
            </w:r>
            <w:r w:rsidRPr="00D709A2">
              <w:rPr>
                <w:rFonts w:hint="eastAsia"/>
                <w:b/>
                <w:bCs/>
                <w:sz w:val="22"/>
                <w:szCs w:val="22"/>
                <w:lang w:val="zh-CN" w:eastAsia="zh-CN"/>
              </w:rPr>
              <w:t>、</w:t>
            </w:r>
            <w:r w:rsidRPr="00D709A2">
              <w:rPr>
                <w:rFonts w:hint="eastAsia"/>
                <w:b/>
                <w:bCs/>
                <w:sz w:val="22"/>
                <w:szCs w:val="22"/>
                <w:lang w:eastAsia="zh-CN"/>
              </w:rPr>
              <w:t>Y.4507</w:t>
            </w:r>
            <w:r w:rsidRPr="00D709A2">
              <w:rPr>
                <w:rFonts w:hint="eastAsia"/>
                <w:b/>
                <w:bCs/>
                <w:sz w:val="22"/>
                <w:szCs w:val="22"/>
                <w:lang w:eastAsia="zh-CN"/>
              </w:rPr>
              <w:t>（</w:t>
            </w:r>
            <w:r w:rsidRPr="00D709A2">
              <w:rPr>
                <w:rFonts w:hint="eastAsia"/>
                <w:b/>
                <w:bCs/>
                <w:sz w:val="22"/>
                <w:szCs w:val="22"/>
                <w:lang w:val="zh-CN" w:eastAsia="zh-CN"/>
              </w:rPr>
              <w:t>原</w:t>
            </w:r>
            <w:r w:rsidRPr="00D709A2">
              <w:rPr>
                <w:rFonts w:hint="eastAsia"/>
                <w:b/>
                <w:bCs/>
                <w:sz w:val="22"/>
                <w:szCs w:val="22"/>
                <w:lang w:eastAsia="zh-CN"/>
              </w:rPr>
              <w:t>Y.arc-</w:t>
            </w:r>
            <w:proofErr w:type="spellStart"/>
            <w:r w:rsidRPr="00D709A2">
              <w:rPr>
                <w:rFonts w:hint="eastAsia"/>
                <w:b/>
                <w:bCs/>
                <w:sz w:val="22"/>
                <w:szCs w:val="22"/>
                <w:lang w:eastAsia="zh-CN"/>
              </w:rPr>
              <w:t>psfws</w:t>
            </w:r>
            <w:proofErr w:type="spellEnd"/>
            <w:r w:rsidRPr="00D709A2">
              <w:rPr>
                <w:rFonts w:hint="eastAsia"/>
                <w:b/>
                <w:bCs/>
                <w:sz w:val="22"/>
                <w:szCs w:val="22"/>
                <w:lang w:eastAsia="zh-CN"/>
              </w:rPr>
              <w:t>）</w:t>
            </w:r>
            <w:r w:rsidRPr="00D709A2">
              <w:rPr>
                <w:rFonts w:hint="eastAsia"/>
                <w:b/>
                <w:bCs/>
                <w:sz w:val="22"/>
                <w:szCs w:val="22"/>
                <w:lang w:val="zh-CN" w:eastAsia="zh-CN"/>
              </w:rPr>
              <w:t>、</w:t>
            </w:r>
            <w:r w:rsidRPr="00D709A2">
              <w:rPr>
                <w:rFonts w:hint="eastAsia"/>
                <w:b/>
                <w:bCs/>
                <w:sz w:val="22"/>
                <w:szCs w:val="22"/>
                <w:lang w:eastAsia="zh-CN"/>
              </w:rPr>
              <w:t>Y.4508</w:t>
            </w:r>
            <w:r w:rsidRPr="00D709A2">
              <w:rPr>
                <w:rFonts w:hint="eastAsia"/>
                <w:b/>
                <w:bCs/>
                <w:sz w:val="22"/>
                <w:szCs w:val="22"/>
                <w:lang w:eastAsia="zh-CN"/>
              </w:rPr>
              <w:t>（</w:t>
            </w:r>
            <w:r w:rsidRPr="00D709A2">
              <w:rPr>
                <w:rFonts w:hint="eastAsia"/>
                <w:b/>
                <w:bCs/>
                <w:sz w:val="22"/>
                <w:szCs w:val="22"/>
                <w:lang w:val="zh-CN" w:eastAsia="zh-CN"/>
              </w:rPr>
              <w:t>原</w:t>
            </w:r>
            <w:r w:rsidRPr="00D709A2">
              <w:rPr>
                <w:rFonts w:hint="eastAsia"/>
                <w:b/>
                <w:bCs/>
                <w:sz w:val="22"/>
                <w:szCs w:val="22"/>
                <w:lang w:eastAsia="zh-CN"/>
              </w:rPr>
              <w:t>Y.DPM-</w:t>
            </w:r>
            <w:proofErr w:type="spellStart"/>
            <w:r w:rsidRPr="00D709A2">
              <w:rPr>
                <w:rFonts w:hint="eastAsia"/>
                <w:b/>
                <w:bCs/>
                <w:sz w:val="22"/>
                <w:szCs w:val="22"/>
                <w:lang w:eastAsia="zh-CN"/>
              </w:rPr>
              <w:t>alm</w:t>
            </w:r>
            <w:proofErr w:type="spellEnd"/>
            <w:r w:rsidRPr="00D709A2">
              <w:rPr>
                <w:rFonts w:hint="eastAsia"/>
                <w:b/>
                <w:bCs/>
                <w:sz w:val="22"/>
                <w:szCs w:val="22"/>
                <w:lang w:eastAsia="zh-CN"/>
              </w:rPr>
              <w:t>-</w:t>
            </w:r>
            <w:proofErr w:type="spellStart"/>
            <w:r w:rsidRPr="00D709A2">
              <w:rPr>
                <w:rFonts w:hint="eastAsia"/>
                <w:b/>
                <w:bCs/>
                <w:sz w:val="22"/>
                <w:szCs w:val="22"/>
                <w:lang w:eastAsia="zh-CN"/>
              </w:rPr>
              <w:t>fra</w:t>
            </w:r>
            <w:proofErr w:type="spellEnd"/>
            <w:r w:rsidRPr="00D709A2">
              <w:rPr>
                <w:rFonts w:hint="eastAsia"/>
                <w:b/>
                <w:bCs/>
                <w:sz w:val="22"/>
                <w:szCs w:val="22"/>
                <w:lang w:eastAsia="zh-CN"/>
              </w:rPr>
              <w:t>）</w:t>
            </w:r>
            <w:r w:rsidRPr="00D709A2">
              <w:rPr>
                <w:rFonts w:hint="eastAsia"/>
                <w:b/>
                <w:bCs/>
                <w:sz w:val="22"/>
                <w:szCs w:val="22"/>
                <w:lang w:val="zh-CN" w:eastAsia="zh-CN"/>
              </w:rPr>
              <w:t>、</w:t>
            </w:r>
            <w:r w:rsidRPr="00D709A2">
              <w:rPr>
                <w:rFonts w:hint="eastAsia"/>
                <w:b/>
                <w:bCs/>
                <w:sz w:val="22"/>
                <w:szCs w:val="22"/>
                <w:lang w:eastAsia="zh-CN"/>
              </w:rPr>
              <w:t>Y.4706</w:t>
            </w:r>
            <w:r w:rsidRPr="00D709A2">
              <w:rPr>
                <w:rFonts w:hint="eastAsia"/>
                <w:b/>
                <w:bCs/>
                <w:sz w:val="22"/>
                <w:szCs w:val="22"/>
                <w:lang w:eastAsia="zh-CN"/>
              </w:rPr>
              <w:t>（</w:t>
            </w:r>
            <w:r w:rsidRPr="00D709A2">
              <w:rPr>
                <w:rFonts w:hint="eastAsia"/>
                <w:b/>
                <w:bCs/>
                <w:sz w:val="22"/>
                <w:szCs w:val="22"/>
                <w:lang w:val="zh-CN" w:eastAsia="zh-CN"/>
              </w:rPr>
              <w:t>原</w:t>
            </w:r>
            <w:proofErr w:type="spellStart"/>
            <w:r w:rsidRPr="00D709A2">
              <w:rPr>
                <w:rFonts w:hint="eastAsia"/>
                <w:b/>
                <w:bCs/>
                <w:sz w:val="22"/>
                <w:szCs w:val="22"/>
                <w:lang w:eastAsia="zh-CN"/>
              </w:rPr>
              <w:t>Y.IoT</w:t>
            </w:r>
            <w:proofErr w:type="spellEnd"/>
            <w:r w:rsidRPr="00D709A2">
              <w:rPr>
                <w:rFonts w:hint="eastAsia"/>
                <w:b/>
                <w:bCs/>
                <w:sz w:val="22"/>
                <w:szCs w:val="22"/>
                <w:lang w:eastAsia="zh-CN"/>
              </w:rPr>
              <w:t>-IoT</w:t>
            </w:r>
            <w:r w:rsidRPr="00D709A2">
              <w:rPr>
                <w:rFonts w:hint="eastAsia"/>
                <w:b/>
                <w:bCs/>
                <w:sz w:val="22"/>
                <w:szCs w:val="22"/>
                <w:lang w:eastAsia="zh-CN"/>
              </w:rPr>
              <w:t>）</w:t>
            </w:r>
            <w:r w:rsidRPr="00D709A2">
              <w:rPr>
                <w:rFonts w:hint="eastAsia"/>
                <w:b/>
                <w:bCs/>
                <w:sz w:val="22"/>
                <w:szCs w:val="22"/>
                <w:lang w:val="zh-CN" w:eastAsia="zh-CN"/>
              </w:rPr>
              <w:t>和</w:t>
            </w:r>
            <w:r w:rsidRPr="00D709A2">
              <w:rPr>
                <w:rFonts w:hint="eastAsia"/>
                <w:b/>
                <w:bCs/>
                <w:sz w:val="22"/>
                <w:szCs w:val="22"/>
                <w:lang w:eastAsia="zh-CN"/>
              </w:rPr>
              <w:t>Y.4499</w:t>
            </w:r>
            <w:r w:rsidRPr="00D709A2">
              <w:rPr>
                <w:rFonts w:hint="eastAsia"/>
                <w:b/>
                <w:bCs/>
                <w:sz w:val="22"/>
                <w:szCs w:val="22"/>
                <w:lang w:eastAsia="zh-CN"/>
              </w:rPr>
              <w:t>（</w:t>
            </w:r>
            <w:r w:rsidRPr="00D709A2">
              <w:rPr>
                <w:rFonts w:hint="eastAsia"/>
                <w:b/>
                <w:bCs/>
                <w:sz w:val="22"/>
                <w:szCs w:val="22"/>
                <w:lang w:val="zh-CN" w:eastAsia="zh-CN"/>
              </w:rPr>
              <w:t>原</w:t>
            </w:r>
            <w:r w:rsidRPr="00D709A2">
              <w:rPr>
                <w:rFonts w:hint="eastAsia"/>
                <w:b/>
                <w:bCs/>
                <w:sz w:val="22"/>
                <w:szCs w:val="22"/>
                <w:lang w:eastAsia="zh-CN"/>
              </w:rPr>
              <w:t>Y.UIM-cs-framework</w:t>
            </w:r>
            <w:r w:rsidRPr="00D709A2">
              <w:rPr>
                <w:rFonts w:hint="eastAsia"/>
                <w:b/>
                <w:bCs/>
                <w:sz w:val="22"/>
                <w:szCs w:val="22"/>
                <w:lang w:eastAsia="zh-CN"/>
              </w:rPr>
              <w:t>）</w:t>
            </w:r>
            <w:r w:rsidRPr="00D709A2">
              <w:rPr>
                <w:rFonts w:hint="eastAsia"/>
                <w:b/>
                <w:bCs/>
                <w:sz w:val="22"/>
                <w:szCs w:val="22"/>
                <w:lang w:val="zh-CN" w:eastAsia="zh-CN"/>
              </w:rPr>
              <w:t>新建议书草案</w:t>
            </w:r>
            <w:r w:rsidRPr="00D709A2">
              <w:rPr>
                <w:rFonts w:hint="eastAsia"/>
                <w:b/>
                <w:bCs/>
                <w:sz w:val="22"/>
                <w:szCs w:val="22"/>
                <w:lang w:eastAsia="zh-CN"/>
              </w:rPr>
              <w:t>，</w:t>
            </w:r>
            <w:r w:rsidRPr="00D709A2">
              <w:rPr>
                <w:rFonts w:hint="eastAsia"/>
                <w:b/>
                <w:bCs/>
                <w:sz w:val="22"/>
                <w:szCs w:val="22"/>
                <w:lang w:val="zh-CN" w:eastAsia="zh-CN"/>
              </w:rPr>
              <w:t>与成员国进行磋商。</w:t>
            </w:r>
          </w:p>
        </w:tc>
      </w:tr>
    </w:tbl>
    <w:p w14:paraId="4A86DF8A" w14:textId="77777777" w:rsidR="00EE08C3" w:rsidRPr="00D709A2" w:rsidRDefault="00EE08C3" w:rsidP="009E6B3D">
      <w:pPr>
        <w:spacing w:before="0" w:after="120"/>
        <w:jc w:val="both"/>
        <w:rPr>
          <w:rFonts w:ascii="Calibri" w:hAnsi="Calibri" w:cs="Calibri"/>
          <w:sz w:val="22"/>
          <w:szCs w:val="22"/>
          <w:lang w:val="en-US" w:eastAsia="zh-CN"/>
        </w:rPr>
      </w:pPr>
      <w:bookmarkStart w:id="1" w:name="StartTyping_E"/>
      <w:bookmarkEnd w:id="1"/>
      <w:r w:rsidRPr="00D709A2">
        <w:rPr>
          <w:rFonts w:ascii="Calibri" w:hAnsi="Calibri" w:cs="Calibri" w:hint="eastAsia"/>
          <w:sz w:val="22"/>
          <w:szCs w:val="22"/>
          <w:lang w:val="en-US" w:eastAsia="zh-CN"/>
        </w:rPr>
        <w:t>尊敬的先生</w:t>
      </w:r>
      <w:r w:rsidRPr="00D709A2">
        <w:rPr>
          <w:rFonts w:ascii="Calibri" w:hAnsi="Calibri" w:cs="Calibri" w:hint="eastAsia"/>
          <w:sz w:val="22"/>
          <w:szCs w:val="22"/>
          <w:lang w:val="en-US" w:eastAsia="zh-CN"/>
        </w:rPr>
        <w:t>/</w:t>
      </w:r>
      <w:r w:rsidRPr="00D709A2">
        <w:rPr>
          <w:rFonts w:ascii="Calibri" w:hAnsi="Calibri" w:cs="Calibri" w:hint="eastAsia"/>
          <w:sz w:val="22"/>
          <w:szCs w:val="22"/>
          <w:lang w:val="en-US" w:eastAsia="zh-CN"/>
        </w:rPr>
        <w:t>女士，</w:t>
      </w:r>
    </w:p>
    <w:p w14:paraId="3AF0E539" w14:textId="4202B56B" w:rsidR="0009235E" w:rsidRPr="00D709A2" w:rsidRDefault="0009235E" w:rsidP="0009235E">
      <w:pPr>
        <w:rPr>
          <w:rFonts w:cs="Calibri"/>
          <w:sz w:val="22"/>
          <w:szCs w:val="22"/>
          <w:lang w:eastAsia="zh-CN"/>
        </w:rPr>
      </w:pPr>
      <w:r w:rsidRPr="00D709A2">
        <w:rPr>
          <w:rFonts w:hint="eastAsia"/>
          <w:sz w:val="22"/>
          <w:szCs w:val="22"/>
          <w:lang w:val="zh-CN" w:eastAsia="zh-CN"/>
        </w:rPr>
        <w:t>1</w:t>
      </w:r>
      <w:r w:rsidRPr="00D709A2">
        <w:rPr>
          <w:rFonts w:hint="eastAsia"/>
          <w:sz w:val="22"/>
          <w:szCs w:val="22"/>
          <w:lang w:val="zh-CN" w:eastAsia="zh-CN"/>
        </w:rPr>
        <w:tab/>
        <w:t>ITU-T</w:t>
      </w:r>
      <w:r w:rsidRPr="00D709A2">
        <w:rPr>
          <w:rFonts w:hint="eastAsia"/>
          <w:sz w:val="22"/>
          <w:szCs w:val="22"/>
          <w:lang w:val="zh-CN" w:eastAsia="zh-CN"/>
        </w:rPr>
        <w:t>第</w:t>
      </w:r>
      <w:r w:rsidRPr="00D709A2">
        <w:rPr>
          <w:rFonts w:hint="eastAsia"/>
          <w:sz w:val="22"/>
          <w:szCs w:val="22"/>
          <w:lang w:val="zh-CN" w:eastAsia="zh-CN"/>
        </w:rPr>
        <w:t>20</w:t>
      </w:r>
      <w:r w:rsidRPr="00D709A2">
        <w:rPr>
          <w:rFonts w:hint="eastAsia"/>
          <w:sz w:val="22"/>
          <w:szCs w:val="22"/>
          <w:lang w:val="zh-CN" w:eastAsia="zh-CN"/>
        </w:rPr>
        <w:t>研究组（</w:t>
      </w:r>
      <w:r w:rsidRPr="00D709A2">
        <w:rPr>
          <w:rFonts w:hint="eastAsia"/>
          <w:sz w:val="22"/>
          <w:szCs w:val="22"/>
          <w:lang w:val="zh-CN" w:eastAsia="zh-CN"/>
        </w:rPr>
        <w:t>SG20</w:t>
      </w:r>
      <w:r w:rsidRPr="00D709A2">
        <w:rPr>
          <w:rFonts w:hint="eastAsia"/>
          <w:sz w:val="22"/>
          <w:szCs w:val="22"/>
          <w:lang w:val="zh-CN" w:eastAsia="zh-CN"/>
        </w:rPr>
        <w:t>：物联网（</w:t>
      </w:r>
      <w:r w:rsidRPr="00D709A2">
        <w:rPr>
          <w:rFonts w:hint="eastAsia"/>
          <w:sz w:val="22"/>
          <w:szCs w:val="22"/>
          <w:lang w:val="zh-CN" w:eastAsia="zh-CN"/>
        </w:rPr>
        <w:t>IoT</w:t>
      </w:r>
      <w:r w:rsidRPr="00D709A2">
        <w:rPr>
          <w:rFonts w:hint="eastAsia"/>
          <w:sz w:val="22"/>
          <w:szCs w:val="22"/>
          <w:lang w:val="zh-CN" w:eastAsia="zh-CN"/>
        </w:rPr>
        <w:t>）以及智慧城市和社区）拟采用</w:t>
      </w:r>
      <w:r w:rsidRPr="00D709A2">
        <w:rPr>
          <w:rFonts w:hint="eastAsia"/>
          <w:sz w:val="22"/>
          <w:szCs w:val="22"/>
          <w:lang w:val="zh-CN" w:eastAsia="zh-CN"/>
        </w:rPr>
        <w:t>WTSA</w:t>
      </w:r>
      <w:r w:rsidRPr="00D709A2">
        <w:rPr>
          <w:rFonts w:hint="eastAsia"/>
          <w:sz w:val="22"/>
          <w:szCs w:val="22"/>
          <w:lang w:val="zh-CN" w:eastAsia="zh-CN"/>
        </w:rPr>
        <w:t>第</w:t>
      </w:r>
      <w:r w:rsidRPr="00D709A2">
        <w:rPr>
          <w:rFonts w:hint="eastAsia"/>
          <w:sz w:val="22"/>
          <w:szCs w:val="22"/>
          <w:lang w:val="zh-CN" w:eastAsia="zh-CN"/>
        </w:rPr>
        <w:t>1</w:t>
      </w:r>
      <w:r w:rsidRPr="00D709A2">
        <w:rPr>
          <w:rFonts w:hint="eastAsia"/>
          <w:sz w:val="22"/>
          <w:szCs w:val="22"/>
          <w:lang w:val="zh-CN" w:eastAsia="zh-CN"/>
        </w:rPr>
        <w:t>号决议（</w:t>
      </w:r>
      <w:r w:rsidRPr="00D709A2">
        <w:rPr>
          <w:rFonts w:hint="eastAsia"/>
          <w:sz w:val="22"/>
          <w:szCs w:val="22"/>
          <w:lang w:val="zh-CN" w:eastAsia="zh-CN"/>
        </w:rPr>
        <w:t>2022</w:t>
      </w:r>
      <w:r w:rsidRPr="00D709A2">
        <w:rPr>
          <w:rFonts w:hint="eastAsia"/>
          <w:sz w:val="22"/>
          <w:szCs w:val="22"/>
          <w:lang w:val="zh-CN" w:eastAsia="zh-CN"/>
        </w:rPr>
        <w:t>年，日内瓦，修订版）第</w:t>
      </w:r>
      <w:r w:rsidRPr="00D709A2">
        <w:rPr>
          <w:rFonts w:hint="eastAsia"/>
          <w:sz w:val="22"/>
          <w:szCs w:val="22"/>
          <w:lang w:val="zh-CN" w:eastAsia="zh-CN"/>
        </w:rPr>
        <w:t>9</w:t>
      </w:r>
      <w:r w:rsidRPr="00D709A2">
        <w:rPr>
          <w:rFonts w:hint="eastAsia"/>
          <w:sz w:val="22"/>
          <w:szCs w:val="22"/>
          <w:lang w:val="zh-CN" w:eastAsia="zh-CN"/>
        </w:rPr>
        <w:t>节所述的传统批准程序，在</w:t>
      </w:r>
      <w:r w:rsidRPr="00D709A2">
        <w:rPr>
          <w:rFonts w:hint="eastAsia"/>
          <w:sz w:val="22"/>
          <w:szCs w:val="22"/>
          <w:lang w:val="zh-CN" w:eastAsia="zh-CN"/>
        </w:rPr>
        <w:t>2025</w:t>
      </w:r>
      <w:r w:rsidRPr="00D709A2">
        <w:rPr>
          <w:rFonts w:hint="eastAsia"/>
          <w:sz w:val="22"/>
          <w:szCs w:val="22"/>
          <w:lang w:val="zh-CN" w:eastAsia="zh-CN"/>
        </w:rPr>
        <w:t>年</w:t>
      </w:r>
      <w:r w:rsidRPr="00D709A2">
        <w:rPr>
          <w:rFonts w:hint="eastAsia"/>
          <w:sz w:val="22"/>
          <w:szCs w:val="22"/>
          <w:lang w:val="zh-CN" w:eastAsia="zh-CN"/>
        </w:rPr>
        <w:t>1</w:t>
      </w:r>
      <w:r w:rsidRPr="00D709A2">
        <w:rPr>
          <w:rFonts w:hint="eastAsia"/>
          <w:sz w:val="22"/>
          <w:szCs w:val="22"/>
          <w:lang w:val="zh-CN" w:eastAsia="zh-CN"/>
        </w:rPr>
        <w:t>月</w:t>
      </w:r>
      <w:r w:rsidRPr="00D709A2">
        <w:rPr>
          <w:rFonts w:hint="eastAsia"/>
          <w:sz w:val="22"/>
          <w:szCs w:val="22"/>
          <w:lang w:val="zh-CN" w:eastAsia="zh-CN"/>
        </w:rPr>
        <w:t>15</w:t>
      </w:r>
      <w:r w:rsidRPr="00D709A2">
        <w:rPr>
          <w:rFonts w:hint="eastAsia"/>
          <w:sz w:val="22"/>
          <w:szCs w:val="22"/>
          <w:lang w:val="zh-CN" w:eastAsia="zh-CN"/>
        </w:rPr>
        <w:t>日至</w:t>
      </w:r>
      <w:r w:rsidRPr="00D709A2">
        <w:rPr>
          <w:rFonts w:hint="eastAsia"/>
          <w:sz w:val="22"/>
          <w:szCs w:val="22"/>
          <w:lang w:val="zh-CN" w:eastAsia="zh-CN"/>
        </w:rPr>
        <w:t>24</w:t>
      </w:r>
      <w:r w:rsidRPr="00D709A2">
        <w:rPr>
          <w:rFonts w:hint="eastAsia"/>
          <w:sz w:val="22"/>
          <w:szCs w:val="22"/>
          <w:lang w:val="zh-CN" w:eastAsia="zh-CN"/>
        </w:rPr>
        <w:t>日于瑞士日内瓦召开的下次会议上批准上述建议书草案。有关</w:t>
      </w:r>
      <w:r w:rsidRPr="00D709A2">
        <w:rPr>
          <w:rFonts w:hint="eastAsia"/>
          <w:sz w:val="22"/>
          <w:szCs w:val="22"/>
          <w:lang w:val="zh-CN" w:eastAsia="zh-CN"/>
        </w:rPr>
        <w:t>ITU-T</w:t>
      </w:r>
      <w:r w:rsidRPr="00D709A2">
        <w:rPr>
          <w:rFonts w:hint="eastAsia"/>
          <w:sz w:val="22"/>
          <w:szCs w:val="22"/>
          <w:lang w:val="zh-CN" w:eastAsia="zh-CN"/>
        </w:rPr>
        <w:t>第</w:t>
      </w:r>
      <w:r w:rsidRPr="00D709A2">
        <w:rPr>
          <w:rFonts w:hint="eastAsia"/>
          <w:sz w:val="22"/>
          <w:szCs w:val="22"/>
          <w:lang w:val="zh-CN" w:eastAsia="zh-CN"/>
        </w:rPr>
        <w:t>20</w:t>
      </w:r>
      <w:r w:rsidRPr="00D709A2">
        <w:rPr>
          <w:rFonts w:hint="eastAsia"/>
          <w:sz w:val="22"/>
          <w:szCs w:val="22"/>
          <w:lang w:val="zh-CN" w:eastAsia="zh-CN"/>
        </w:rPr>
        <w:t>研究组会议的议程和所有相关信息将在</w:t>
      </w:r>
      <w:hyperlink r:id="rId9" w:history="1">
        <w:r w:rsidRPr="00D709A2">
          <w:rPr>
            <w:rStyle w:val="Hyperlink"/>
            <w:rFonts w:hint="eastAsia"/>
            <w:sz w:val="22"/>
            <w:szCs w:val="22"/>
            <w:lang w:val="zh-CN" w:eastAsia="zh-CN"/>
          </w:rPr>
          <w:t>第</w:t>
        </w:r>
        <w:r w:rsidRPr="00D709A2">
          <w:rPr>
            <w:rStyle w:val="Hyperlink"/>
            <w:rFonts w:hint="eastAsia"/>
            <w:sz w:val="22"/>
            <w:szCs w:val="22"/>
            <w:lang w:val="zh-CN" w:eastAsia="zh-CN"/>
          </w:rPr>
          <w:t>5/20</w:t>
        </w:r>
        <w:r w:rsidRPr="00D709A2">
          <w:rPr>
            <w:rStyle w:val="Hyperlink"/>
            <w:rFonts w:hint="eastAsia"/>
            <w:sz w:val="22"/>
            <w:szCs w:val="22"/>
            <w:lang w:val="zh-CN" w:eastAsia="zh-CN"/>
          </w:rPr>
          <w:t>号集体函</w:t>
        </w:r>
      </w:hyperlink>
      <w:r w:rsidRPr="00D709A2">
        <w:rPr>
          <w:rFonts w:hint="eastAsia"/>
          <w:sz w:val="22"/>
          <w:szCs w:val="22"/>
          <w:lang w:val="zh-CN" w:eastAsia="zh-CN"/>
        </w:rPr>
        <w:t>中提供。</w:t>
      </w:r>
    </w:p>
    <w:p w14:paraId="469693E6" w14:textId="528EB191" w:rsidR="0009235E" w:rsidRPr="00D709A2" w:rsidRDefault="0009235E" w:rsidP="0009235E">
      <w:pPr>
        <w:rPr>
          <w:rFonts w:cs="Calibri"/>
          <w:sz w:val="22"/>
          <w:szCs w:val="22"/>
          <w:lang w:eastAsia="zh-CN"/>
        </w:rPr>
      </w:pPr>
      <w:r w:rsidRPr="00D709A2">
        <w:rPr>
          <w:rFonts w:hint="eastAsia"/>
          <w:sz w:val="22"/>
          <w:szCs w:val="22"/>
          <w:lang w:eastAsia="zh-CN"/>
        </w:rPr>
        <w:t>2</w:t>
      </w:r>
      <w:r w:rsidRPr="00D709A2">
        <w:rPr>
          <w:rFonts w:hint="eastAsia"/>
          <w:sz w:val="22"/>
          <w:szCs w:val="22"/>
          <w:lang w:eastAsia="zh-CN"/>
        </w:rPr>
        <w:tab/>
      </w:r>
      <w:r w:rsidRPr="00D709A2">
        <w:rPr>
          <w:rFonts w:hint="eastAsia"/>
          <w:sz w:val="22"/>
          <w:szCs w:val="22"/>
          <w:lang w:eastAsia="zh-CN"/>
        </w:rPr>
        <w:t>拟议批准的</w:t>
      </w:r>
      <w:r w:rsidRPr="00D709A2">
        <w:rPr>
          <w:rFonts w:hint="eastAsia"/>
          <w:sz w:val="22"/>
          <w:szCs w:val="22"/>
          <w:lang w:eastAsia="zh-CN"/>
        </w:rPr>
        <w:t>ITU-T Y.4506</w:t>
      </w:r>
      <w:r w:rsidRPr="00D709A2">
        <w:rPr>
          <w:rFonts w:hint="eastAsia"/>
          <w:sz w:val="22"/>
          <w:szCs w:val="22"/>
          <w:lang w:eastAsia="zh-CN"/>
        </w:rPr>
        <w:t>（</w:t>
      </w:r>
      <w:r w:rsidRPr="00D709A2">
        <w:rPr>
          <w:rFonts w:hint="eastAsia"/>
          <w:sz w:val="22"/>
          <w:szCs w:val="22"/>
          <w:lang w:val="zh-CN" w:eastAsia="zh-CN"/>
        </w:rPr>
        <w:t>原</w:t>
      </w:r>
      <w:r w:rsidRPr="00D709A2">
        <w:rPr>
          <w:rFonts w:hint="eastAsia"/>
          <w:sz w:val="22"/>
          <w:szCs w:val="22"/>
          <w:lang w:eastAsia="zh-CN"/>
        </w:rPr>
        <w:t>Y.DRI-arch</w:t>
      </w:r>
      <w:r w:rsidRPr="00D709A2">
        <w:rPr>
          <w:rFonts w:hint="eastAsia"/>
          <w:sz w:val="22"/>
          <w:szCs w:val="22"/>
          <w:lang w:eastAsia="zh-CN"/>
        </w:rPr>
        <w:t>）</w:t>
      </w:r>
      <w:r w:rsidRPr="00D709A2">
        <w:rPr>
          <w:rFonts w:hint="eastAsia"/>
          <w:sz w:val="22"/>
          <w:szCs w:val="22"/>
          <w:lang w:val="zh-CN" w:eastAsia="zh-CN"/>
        </w:rPr>
        <w:t>、</w:t>
      </w:r>
      <w:r w:rsidRPr="00D709A2">
        <w:rPr>
          <w:rFonts w:hint="eastAsia"/>
          <w:sz w:val="22"/>
          <w:szCs w:val="22"/>
          <w:lang w:eastAsia="zh-CN"/>
        </w:rPr>
        <w:t>Y.4229</w:t>
      </w:r>
      <w:r w:rsidRPr="00D709A2">
        <w:rPr>
          <w:rFonts w:hint="eastAsia"/>
          <w:sz w:val="22"/>
          <w:szCs w:val="22"/>
          <w:lang w:eastAsia="zh-CN"/>
        </w:rPr>
        <w:t>（</w:t>
      </w:r>
      <w:r w:rsidRPr="00D709A2">
        <w:rPr>
          <w:rFonts w:hint="eastAsia"/>
          <w:sz w:val="22"/>
          <w:szCs w:val="22"/>
          <w:lang w:val="zh-CN" w:eastAsia="zh-CN"/>
        </w:rPr>
        <w:t>原</w:t>
      </w:r>
      <w:proofErr w:type="spellStart"/>
      <w:r w:rsidRPr="00D709A2">
        <w:rPr>
          <w:rFonts w:hint="eastAsia"/>
          <w:sz w:val="22"/>
          <w:szCs w:val="22"/>
          <w:lang w:eastAsia="zh-CN"/>
        </w:rPr>
        <w:t>Y.IoT</w:t>
      </w:r>
      <w:proofErr w:type="spellEnd"/>
      <w:r w:rsidRPr="00D709A2">
        <w:rPr>
          <w:rFonts w:hint="eastAsia"/>
          <w:sz w:val="22"/>
          <w:szCs w:val="22"/>
          <w:lang w:eastAsia="zh-CN"/>
        </w:rPr>
        <w:t>-SFFS</w:t>
      </w:r>
      <w:r w:rsidRPr="00D709A2">
        <w:rPr>
          <w:rFonts w:hint="eastAsia"/>
          <w:sz w:val="22"/>
          <w:szCs w:val="22"/>
          <w:lang w:eastAsia="zh-CN"/>
        </w:rPr>
        <w:t>）</w:t>
      </w:r>
      <w:r w:rsidRPr="00D709A2">
        <w:rPr>
          <w:rFonts w:hint="eastAsia"/>
          <w:sz w:val="22"/>
          <w:szCs w:val="22"/>
          <w:lang w:val="zh-CN" w:eastAsia="zh-CN"/>
        </w:rPr>
        <w:t>、</w:t>
      </w:r>
      <w:r w:rsidRPr="00D709A2">
        <w:rPr>
          <w:rFonts w:hint="eastAsia"/>
          <w:sz w:val="22"/>
          <w:szCs w:val="22"/>
          <w:lang w:eastAsia="zh-CN"/>
        </w:rPr>
        <w:t>Y.4230</w:t>
      </w:r>
      <w:r w:rsidRPr="00D709A2">
        <w:rPr>
          <w:rFonts w:hint="eastAsia"/>
          <w:sz w:val="22"/>
          <w:szCs w:val="22"/>
          <w:lang w:eastAsia="zh-CN"/>
        </w:rPr>
        <w:t>（</w:t>
      </w:r>
      <w:r w:rsidRPr="00D709A2">
        <w:rPr>
          <w:rFonts w:hint="eastAsia"/>
          <w:sz w:val="22"/>
          <w:szCs w:val="22"/>
          <w:lang w:val="zh-CN" w:eastAsia="zh-CN"/>
        </w:rPr>
        <w:t>原</w:t>
      </w:r>
      <w:r w:rsidRPr="00D709A2">
        <w:rPr>
          <w:rFonts w:hint="eastAsia"/>
          <w:sz w:val="22"/>
          <w:szCs w:val="22"/>
          <w:lang w:eastAsia="zh-CN"/>
        </w:rPr>
        <w:t>Y.EV-charging</w:t>
      </w:r>
      <w:r w:rsidRPr="00D709A2">
        <w:rPr>
          <w:rFonts w:hint="eastAsia"/>
          <w:sz w:val="22"/>
          <w:szCs w:val="22"/>
          <w:lang w:eastAsia="zh-CN"/>
        </w:rPr>
        <w:t>）</w:t>
      </w:r>
      <w:r w:rsidRPr="00D709A2">
        <w:rPr>
          <w:rFonts w:hint="eastAsia"/>
          <w:sz w:val="22"/>
          <w:szCs w:val="22"/>
          <w:lang w:val="zh-CN" w:eastAsia="zh-CN"/>
        </w:rPr>
        <w:t>、</w:t>
      </w:r>
      <w:r w:rsidRPr="00D709A2">
        <w:rPr>
          <w:rFonts w:hint="eastAsia"/>
          <w:sz w:val="22"/>
          <w:szCs w:val="22"/>
          <w:lang w:eastAsia="zh-CN"/>
        </w:rPr>
        <w:t>Y.4231</w:t>
      </w:r>
      <w:r w:rsidRPr="00D709A2">
        <w:rPr>
          <w:rFonts w:hint="eastAsia"/>
          <w:sz w:val="22"/>
          <w:szCs w:val="22"/>
          <w:lang w:eastAsia="zh-CN"/>
        </w:rPr>
        <w:t>（</w:t>
      </w:r>
      <w:r w:rsidRPr="00D709A2">
        <w:rPr>
          <w:rFonts w:hint="eastAsia"/>
          <w:sz w:val="22"/>
          <w:szCs w:val="22"/>
          <w:lang w:val="zh-CN" w:eastAsia="zh-CN"/>
        </w:rPr>
        <w:t>原</w:t>
      </w:r>
      <w:proofErr w:type="spellStart"/>
      <w:r w:rsidRPr="00D709A2">
        <w:rPr>
          <w:rFonts w:hint="eastAsia"/>
          <w:sz w:val="22"/>
          <w:szCs w:val="22"/>
          <w:lang w:eastAsia="zh-CN"/>
        </w:rPr>
        <w:t>Y.IoT-Vreqs</w:t>
      </w:r>
      <w:proofErr w:type="spellEnd"/>
      <w:r w:rsidRPr="00D709A2">
        <w:rPr>
          <w:rFonts w:hint="eastAsia"/>
          <w:sz w:val="22"/>
          <w:szCs w:val="22"/>
          <w:lang w:eastAsia="zh-CN"/>
        </w:rPr>
        <w:t>）</w:t>
      </w:r>
      <w:r w:rsidRPr="00D709A2">
        <w:rPr>
          <w:rFonts w:hint="eastAsia"/>
          <w:sz w:val="22"/>
          <w:szCs w:val="22"/>
          <w:lang w:val="zh-CN" w:eastAsia="zh-CN"/>
        </w:rPr>
        <w:t>、</w:t>
      </w:r>
      <w:r w:rsidRPr="00D709A2">
        <w:rPr>
          <w:rFonts w:hint="eastAsia"/>
          <w:sz w:val="22"/>
          <w:szCs w:val="22"/>
          <w:lang w:eastAsia="zh-CN"/>
        </w:rPr>
        <w:t>Y.4232</w:t>
      </w:r>
      <w:r w:rsidRPr="00D709A2">
        <w:rPr>
          <w:rFonts w:hint="eastAsia"/>
          <w:sz w:val="22"/>
          <w:szCs w:val="22"/>
          <w:lang w:eastAsia="zh-CN"/>
        </w:rPr>
        <w:t>（</w:t>
      </w:r>
      <w:r w:rsidRPr="00D709A2">
        <w:rPr>
          <w:rFonts w:hint="eastAsia"/>
          <w:sz w:val="22"/>
          <w:szCs w:val="22"/>
          <w:lang w:val="zh-CN" w:eastAsia="zh-CN"/>
        </w:rPr>
        <w:t>原</w:t>
      </w:r>
      <w:proofErr w:type="spellStart"/>
      <w:r w:rsidRPr="00D709A2">
        <w:rPr>
          <w:rFonts w:hint="eastAsia"/>
          <w:sz w:val="22"/>
          <w:szCs w:val="22"/>
          <w:lang w:eastAsia="zh-CN"/>
        </w:rPr>
        <w:t>Y.IoT</w:t>
      </w:r>
      <w:proofErr w:type="spellEnd"/>
      <w:r w:rsidRPr="00D709A2">
        <w:rPr>
          <w:rFonts w:hint="eastAsia"/>
          <w:sz w:val="22"/>
          <w:szCs w:val="22"/>
          <w:lang w:eastAsia="zh-CN"/>
        </w:rPr>
        <w:t>-RTPS</w:t>
      </w:r>
      <w:r w:rsidRPr="00D709A2">
        <w:rPr>
          <w:rFonts w:hint="eastAsia"/>
          <w:sz w:val="22"/>
          <w:szCs w:val="22"/>
          <w:lang w:eastAsia="zh-CN"/>
        </w:rPr>
        <w:t>）</w:t>
      </w:r>
      <w:r w:rsidRPr="00D709A2">
        <w:rPr>
          <w:rFonts w:hint="eastAsia"/>
          <w:sz w:val="22"/>
          <w:szCs w:val="22"/>
          <w:lang w:val="zh-CN" w:eastAsia="zh-CN"/>
        </w:rPr>
        <w:t>、</w:t>
      </w:r>
      <w:r w:rsidRPr="00D709A2">
        <w:rPr>
          <w:rFonts w:hint="eastAsia"/>
          <w:sz w:val="22"/>
          <w:szCs w:val="22"/>
          <w:lang w:eastAsia="zh-CN"/>
        </w:rPr>
        <w:t>Y.4233</w:t>
      </w:r>
      <w:r w:rsidRPr="00D709A2">
        <w:rPr>
          <w:rFonts w:hint="eastAsia"/>
          <w:sz w:val="22"/>
          <w:szCs w:val="22"/>
          <w:lang w:eastAsia="zh-CN"/>
        </w:rPr>
        <w:t>（</w:t>
      </w:r>
      <w:r w:rsidRPr="00D709A2">
        <w:rPr>
          <w:rFonts w:hint="eastAsia"/>
          <w:sz w:val="22"/>
          <w:szCs w:val="22"/>
          <w:lang w:val="zh-CN" w:eastAsia="zh-CN"/>
        </w:rPr>
        <w:t>原</w:t>
      </w:r>
      <w:r w:rsidRPr="00D709A2">
        <w:rPr>
          <w:rFonts w:hint="eastAsia"/>
          <w:sz w:val="22"/>
          <w:szCs w:val="22"/>
          <w:lang w:eastAsia="zh-CN"/>
        </w:rPr>
        <w:t>Y.FSPH</w:t>
      </w:r>
      <w:r w:rsidRPr="00D709A2">
        <w:rPr>
          <w:rFonts w:hint="eastAsia"/>
          <w:sz w:val="22"/>
          <w:szCs w:val="22"/>
          <w:lang w:eastAsia="zh-CN"/>
        </w:rPr>
        <w:t>）</w:t>
      </w:r>
      <w:r w:rsidRPr="00D709A2">
        <w:rPr>
          <w:rFonts w:hint="eastAsia"/>
          <w:sz w:val="22"/>
          <w:szCs w:val="22"/>
          <w:lang w:val="zh-CN" w:eastAsia="zh-CN"/>
        </w:rPr>
        <w:t>、</w:t>
      </w:r>
      <w:r w:rsidRPr="00D709A2">
        <w:rPr>
          <w:rFonts w:hint="eastAsia"/>
          <w:sz w:val="22"/>
          <w:szCs w:val="22"/>
          <w:lang w:eastAsia="zh-CN"/>
        </w:rPr>
        <w:t>Y.4234</w:t>
      </w:r>
      <w:r w:rsidRPr="00D709A2">
        <w:rPr>
          <w:rFonts w:hint="eastAsia"/>
          <w:sz w:val="22"/>
          <w:szCs w:val="22"/>
          <w:lang w:eastAsia="zh-CN"/>
        </w:rPr>
        <w:t>（</w:t>
      </w:r>
      <w:r w:rsidRPr="00D709A2">
        <w:rPr>
          <w:rFonts w:hint="eastAsia"/>
          <w:sz w:val="22"/>
          <w:szCs w:val="22"/>
          <w:lang w:val="zh-CN" w:eastAsia="zh-CN"/>
        </w:rPr>
        <w:t>原</w:t>
      </w:r>
      <w:proofErr w:type="spellStart"/>
      <w:r w:rsidRPr="00D709A2">
        <w:rPr>
          <w:rFonts w:hint="eastAsia"/>
          <w:sz w:val="22"/>
          <w:szCs w:val="22"/>
          <w:lang w:eastAsia="zh-CN"/>
        </w:rPr>
        <w:t>Y.RemoteEd</w:t>
      </w:r>
      <w:proofErr w:type="spellEnd"/>
      <w:r w:rsidRPr="00D709A2">
        <w:rPr>
          <w:rFonts w:hint="eastAsia"/>
          <w:sz w:val="22"/>
          <w:szCs w:val="22"/>
          <w:lang w:eastAsia="zh-CN"/>
        </w:rPr>
        <w:t>）</w:t>
      </w:r>
      <w:r w:rsidRPr="00D709A2">
        <w:rPr>
          <w:rFonts w:hint="eastAsia"/>
          <w:sz w:val="22"/>
          <w:szCs w:val="22"/>
          <w:lang w:val="zh-CN" w:eastAsia="zh-CN"/>
        </w:rPr>
        <w:t>、</w:t>
      </w:r>
      <w:r w:rsidRPr="00D709A2">
        <w:rPr>
          <w:rFonts w:hint="eastAsia"/>
          <w:sz w:val="22"/>
          <w:szCs w:val="22"/>
          <w:lang w:eastAsia="zh-CN"/>
        </w:rPr>
        <w:t>Y.4222</w:t>
      </w:r>
      <w:r w:rsidRPr="00D709A2">
        <w:rPr>
          <w:rFonts w:hint="eastAsia"/>
          <w:sz w:val="22"/>
          <w:szCs w:val="22"/>
          <w:lang w:eastAsia="zh-CN"/>
        </w:rPr>
        <w:t>（</w:t>
      </w:r>
      <w:r w:rsidRPr="00D709A2">
        <w:rPr>
          <w:rFonts w:hint="eastAsia"/>
          <w:sz w:val="22"/>
          <w:szCs w:val="22"/>
          <w:lang w:val="zh-CN" w:eastAsia="zh-CN"/>
        </w:rPr>
        <w:t>原</w:t>
      </w:r>
      <w:proofErr w:type="spellStart"/>
      <w:r w:rsidRPr="00D709A2">
        <w:rPr>
          <w:rFonts w:hint="eastAsia"/>
          <w:sz w:val="22"/>
          <w:szCs w:val="22"/>
          <w:lang w:eastAsia="zh-CN"/>
        </w:rPr>
        <w:t>Y.smart</w:t>
      </w:r>
      <w:proofErr w:type="spellEnd"/>
      <w:r w:rsidRPr="00D709A2">
        <w:rPr>
          <w:rFonts w:hint="eastAsia"/>
          <w:sz w:val="22"/>
          <w:szCs w:val="22"/>
          <w:lang w:eastAsia="zh-CN"/>
        </w:rPr>
        <w:t>-evacuation</w:t>
      </w:r>
      <w:r w:rsidRPr="00D709A2">
        <w:rPr>
          <w:rFonts w:hint="eastAsia"/>
          <w:sz w:val="22"/>
          <w:szCs w:val="22"/>
          <w:lang w:eastAsia="zh-CN"/>
        </w:rPr>
        <w:t>）</w:t>
      </w:r>
      <w:r w:rsidRPr="00D709A2">
        <w:rPr>
          <w:rFonts w:hint="eastAsia"/>
          <w:sz w:val="22"/>
          <w:szCs w:val="22"/>
          <w:lang w:val="zh-CN" w:eastAsia="zh-CN"/>
        </w:rPr>
        <w:t>、</w:t>
      </w:r>
      <w:r w:rsidRPr="00D709A2">
        <w:rPr>
          <w:rFonts w:hint="eastAsia"/>
          <w:sz w:val="22"/>
          <w:szCs w:val="22"/>
          <w:lang w:eastAsia="zh-CN"/>
        </w:rPr>
        <w:t>Y.4507</w:t>
      </w:r>
      <w:r w:rsidRPr="00D709A2">
        <w:rPr>
          <w:rFonts w:hint="eastAsia"/>
          <w:sz w:val="22"/>
          <w:szCs w:val="22"/>
          <w:lang w:eastAsia="zh-CN"/>
        </w:rPr>
        <w:t>（</w:t>
      </w:r>
      <w:r w:rsidRPr="00D709A2">
        <w:rPr>
          <w:rFonts w:hint="eastAsia"/>
          <w:sz w:val="22"/>
          <w:szCs w:val="22"/>
          <w:lang w:val="zh-CN" w:eastAsia="zh-CN"/>
        </w:rPr>
        <w:t>原</w:t>
      </w:r>
      <w:r w:rsidRPr="00D709A2">
        <w:rPr>
          <w:rFonts w:hint="eastAsia"/>
          <w:sz w:val="22"/>
          <w:szCs w:val="22"/>
          <w:lang w:eastAsia="zh-CN"/>
        </w:rPr>
        <w:t>Y.arc-</w:t>
      </w:r>
      <w:proofErr w:type="spellStart"/>
      <w:r w:rsidRPr="00D709A2">
        <w:rPr>
          <w:rFonts w:hint="eastAsia"/>
          <w:sz w:val="22"/>
          <w:szCs w:val="22"/>
          <w:lang w:eastAsia="zh-CN"/>
        </w:rPr>
        <w:t>psfws</w:t>
      </w:r>
      <w:proofErr w:type="spellEnd"/>
      <w:r w:rsidRPr="00D709A2">
        <w:rPr>
          <w:rFonts w:hint="eastAsia"/>
          <w:sz w:val="22"/>
          <w:szCs w:val="22"/>
          <w:lang w:eastAsia="zh-CN"/>
        </w:rPr>
        <w:t>）</w:t>
      </w:r>
      <w:r w:rsidRPr="00D709A2">
        <w:rPr>
          <w:rFonts w:hint="eastAsia"/>
          <w:sz w:val="22"/>
          <w:szCs w:val="22"/>
          <w:lang w:val="zh-CN" w:eastAsia="zh-CN"/>
        </w:rPr>
        <w:t>、</w:t>
      </w:r>
      <w:r w:rsidRPr="00D709A2">
        <w:rPr>
          <w:rFonts w:hint="eastAsia"/>
          <w:sz w:val="22"/>
          <w:szCs w:val="22"/>
          <w:lang w:eastAsia="zh-CN"/>
        </w:rPr>
        <w:t>Y.4508</w:t>
      </w:r>
      <w:r w:rsidRPr="00D709A2">
        <w:rPr>
          <w:rFonts w:hint="eastAsia"/>
          <w:sz w:val="22"/>
          <w:szCs w:val="22"/>
          <w:lang w:eastAsia="zh-CN"/>
        </w:rPr>
        <w:t>（</w:t>
      </w:r>
      <w:r w:rsidRPr="00D709A2">
        <w:rPr>
          <w:rFonts w:hint="eastAsia"/>
          <w:sz w:val="22"/>
          <w:szCs w:val="22"/>
          <w:lang w:val="zh-CN" w:eastAsia="zh-CN"/>
        </w:rPr>
        <w:t>原</w:t>
      </w:r>
      <w:r w:rsidRPr="00D709A2">
        <w:rPr>
          <w:rFonts w:hint="eastAsia"/>
          <w:sz w:val="22"/>
          <w:szCs w:val="22"/>
          <w:lang w:eastAsia="zh-CN"/>
        </w:rPr>
        <w:t>Y.DPM-</w:t>
      </w:r>
      <w:proofErr w:type="spellStart"/>
      <w:r w:rsidRPr="00D709A2">
        <w:rPr>
          <w:rFonts w:hint="eastAsia"/>
          <w:sz w:val="22"/>
          <w:szCs w:val="22"/>
          <w:lang w:eastAsia="zh-CN"/>
        </w:rPr>
        <w:t>alm</w:t>
      </w:r>
      <w:proofErr w:type="spellEnd"/>
      <w:r w:rsidRPr="00D709A2">
        <w:rPr>
          <w:rFonts w:hint="eastAsia"/>
          <w:sz w:val="22"/>
          <w:szCs w:val="22"/>
          <w:lang w:eastAsia="zh-CN"/>
        </w:rPr>
        <w:t>-</w:t>
      </w:r>
      <w:proofErr w:type="spellStart"/>
      <w:r w:rsidRPr="00D709A2">
        <w:rPr>
          <w:rFonts w:hint="eastAsia"/>
          <w:sz w:val="22"/>
          <w:szCs w:val="22"/>
          <w:lang w:eastAsia="zh-CN"/>
        </w:rPr>
        <w:t>fra</w:t>
      </w:r>
      <w:proofErr w:type="spellEnd"/>
      <w:r w:rsidRPr="00D709A2">
        <w:rPr>
          <w:rFonts w:hint="eastAsia"/>
          <w:sz w:val="22"/>
          <w:szCs w:val="22"/>
          <w:lang w:eastAsia="zh-CN"/>
        </w:rPr>
        <w:t>）</w:t>
      </w:r>
      <w:r w:rsidRPr="00D709A2">
        <w:rPr>
          <w:rFonts w:hint="eastAsia"/>
          <w:sz w:val="22"/>
          <w:szCs w:val="22"/>
          <w:lang w:val="zh-CN" w:eastAsia="zh-CN"/>
        </w:rPr>
        <w:t>、</w:t>
      </w:r>
      <w:r w:rsidRPr="00D709A2">
        <w:rPr>
          <w:rFonts w:hint="eastAsia"/>
          <w:sz w:val="22"/>
          <w:szCs w:val="22"/>
          <w:lang w:eastAsia="zh-CN"/>
        </w:rPr>
        <w:t>Y.4706</w:t>
      </w:r>
      <w:r w:rsidRPr="00D709A2">
        <w:rPr>
          <w:rFonts w:hint="eastAsia"/>
          <w:sz w:val="22"/>
          <w:szCs w:val="22"/>
          <w:lang w:eastAsia="zh-CN"/>
        </w:rPr>
        <w:t>（</w:t>
      </w:r>
      <w:r w:rsidRPr="00D709A2">
        <w:rPr>
          <w:rFonts w:hint="eastAsia"/>
          <w:sz w:val="22"/>
          <w:szCs w:val="22"/>
          <w:lang w:val="zh-CN" w:eastAsia="zh-CN"/>
        </w:rPr>
        <w:t>原</w:t>
      </w:r>
      <w:proofErr w:type="spellStart"/>
      <w:r w:rsidRPr="00D709A2">
        <w:rPr>
          <w:rFonts w:hint="eastAsia"/>
          <w:sz w:val="22"/>
          <w:szCs w:val="22"/>
          <w:lang w:eastAsia="zh-CN"/>
        </w:rPr>
        <w:t>Y.dem</w:t>
      </w:r>
      <w:proofErr w:type="spellEnd"/>
      <w:r w:rsidRPr="00D709A2">
        <w:rPr>
          <w:rFonts w:hint="eastAsia"/>
          <w:sz w:val="22"/>
          <w:szCs w:val="22"/>
          <w:lang w:eastAsia="zh-CN"/>
        </w:rPr>
        <w:t>-IoT</w:t>
      </w:r>
      <w:r w:rsidRPr="00D709A2">
        <w:rPr>
          <w:rFonts w:hint="eastAsia"/>
          <w:sz w:val="22"/>
          <w:szCs w:val="22"/>
          <w:lang w:eastAsia="zh-CN"/>
        </w:rPr>
        <w:t>）</w:t>
      </w:r>
      <w:r w:rsidRPr="00D709A2">
        <w:rPr>
          <w:rFonts w:hint="eastAsia"/>
          <w:sz w:val="22"/>
          <w:szCs w:val="22"/>
          <w:lang w:val="zh-CN" w:eastAsia="zh-CN"/>
        </w:rPr>
        <w:t>和</w:t>
      </w:r>
      <w:r w:rsidRPr="00D709A2">
        <w:rPr>
          <w:rFonts w:hint="eastAsia"/>
          <w:sz w:val="22"/>
          <w:szCs w:val="22"/>
          <w:lang w:eastAsia="zh-CN"/>
        </w:rPr>
        <w:t>Y.4499</w:t>
      </w:r>
      <w:r w:rsidRPr="00D709A2">
        <w:rPr>
          <w:rFonts w:hint="eastAsia"/>
          <w:sz w:val="22"/>
          <w:szCs w:val="22"/>
          <w:lang w:eastAsia="zh-CN"/>
        </w:rPr>
        <w:t>（</w:t>
      </w:r>
      <w:r w:rsidRPr="00D709A2">
        <w:rPr>
          <w:rFonts w:hint="eastAsia"/>
          <w:sz w:val="22"/>
          <w:szCs w:val="22"/>
          <w:lang w:val="zh-CN" w:eastAsia="zh-CN"/>
        </w:rPr>
        <w:t>原</w:t>
      </w:r>
      <w:r w:rsidRPr="00D709A2">
        <w:rPr>
          <w:rFonts w:hint="eastAsia"/>
          <w:sz w:val="22"/>
          <w:szCs w:val="22"/>
          <w:lang w:eastAsia="zh-CN"/>
        </w:rPr>
        <w:t>Y.UIM-cs-framework</w:t>
      </w:r>
      <w:r w:rsidRPr="00D709A2">
        <w:rPr>
          <w:rFonts w:hint="eastAsia"/>
          <w:sz w:val="22"/>
          <w:szCs w:val="22"/>
          <w:lang w:eastAsia="zh-CN"/>
        </w:rPr>
        <w:t>）新建议书草案的标题、摘要及出处</w:t>
      </w:r>
      <w:r w:rsidRPr="00D709A2">
        <w:rPr>
          <w:rFonts w:hint="eastAsia"/>
          <w:sz w:val="22"/>
          <w:szCs w:val="22"/>
          <w:lang w:val="zh-CN" w:eastAsia="zh-CN"/>
        </w:rPr>
        <w:t>见附件</w:t>
      </w:r>
      <w:r w:rsidRPr="00D709A2">
        <w:rPr>
          <w:rFonts w:hint="eastAsia"/>
          <w:sz w:val="22"/>
          <w:szCs w:val="22"/>
          <w:lang w:eastAsia="zh-CN"/>
        </w:rPr>
        <w:t>1</w:t>
      </w:r>
      <w:r w:rsidRPr="00D709A2">
        <w:rPr>
          <w:rFonts w:hint="eastAsia"/>
          <w:sz w:val="22"/>
          <w:szCs w:val="22"/>
          <w:lang w:val="zh-CN" w:eastAsia="zh-CN"/>
        </w:rPr>
        <w:t>。</w:t>
      </w:r>
    </w:p>
    <w:p w14:paraId="19B4B061" w14:textId="2C4FE9A1" w:rsidR="0009235E" w:rsidRPr="00D709A2" w:rsidRDefault="0009235E" w:rsidP="0009235E">
      <w:pPr>
        <w:rPr>
          <w:rFonts w:cs="Calibri"/>
          <w:sz w:val="22"/>
          <w:szCs w:val="22"/>
          <w:lang w:eastAsia="zh-CN"/>
        </w:rPr>
      </w:pPr>
      <w:r w:rsidRPr="00D709A2">
        <w:rPr>
          <w:rFonts w:hint="eastAsia"/>
          <w:sz w:val="22"/>
          <w:szCs w:val="22"/>
          <w:lang w:val="zh-CN" w:eastAsia="zh-CN"/>
        </w:rPr>
        <w:t>3</w:t>
      </w:r>
      <w:r w:rsidRPr="00D709A2">
        <w:rPr>
          <w:rFonts w:hint="eastAsia"/>
          <w:sz w:val="22"/>
          <w:szCs w:val="22"/>
          <w:lang w:val="zh-CN" w:eastAsia="zh-CN"/>
        </w:rPr>
        <w:tab/>
      </w:r>
      <w:r w:rsidRPr="00D709A2">
        <w:rPr>
          <w:rFonts w:hint="eastAsia"/>
          <w:sz w:val="22"/>
          <w:szCs w:val="22"/>
          <w:lang w:val="zh-CN" w:eastAsia="zh-CN"/>
        </w:rPr>
        <w:t>本通函根据第</w:t>
      </w:r>
      <w:r w:rsidRPr="00D709A2">
        <w:rPr>
          <w:rFonts w:hint="eastAsia"/>
          <w:sz w:val="22"/>
          <w:szCs w:val="22"/>
          <w:lang w:val="zh-CN" w:eastAsia="zh-CN"/>
        </w:rPr>
        <w:t>1</w:t>
      </w:r>
      <w:r w:rsidRPr="00D709A2">
        <w:rPr>
          <w:rFonts w:hint="eastAsia"/>
          <w:sz w:val="22"/>
          <w:szCs w:val="22"/>
          <w:lang w:val="zh-CN" w:eastAsia="zh-CN"/>
        </w:rPr>
        <w:t>号决议第</w:t>
      </w:r>
      <w:r w:rsidRPr="00D709A2">
        <w:rPr>
          <w:rFonts w:hint="eastAsia"/>
          <w:sz w:val="22"/>
          <w:szCs w:val="22"/>
          <w:lang w:val="zh-CN" w:eastAsia="zh-CN"/>
        </w:rPr>
        <w:t>9.4</w:t>
      </w:r>
      <w:r w:rsidRPr="00D709A2">
        <w:rPr>
          <w:rFonts w:hint="eastAsia"/>
          <w:sz w:val="22"/>
          <w:szCs w:val="22"/>
          <w:lang w:val="zh-CN" w:eastAsia="zh-CN"/>
        </w:rPr>
        <w:t>节，就是否可在即将召开的会议上审议并批准这些案文启动与国际电联成员国的正式磋商。请成员国于</w:t>
      </w:r>
      <w:r w:rsidRPr="00D709A2">
        <w:rPr>
          <w:rFonts w:hint="eastAsia"/>
          <w:b/>
          <w:bCs/>
          <w:sz w:val="22"/>
          <w:szCs w:val="22"/>
          <w:lang w:val="zh-CN" w:eastAsia="zh-CN"/>
        </w:rPr>
        <w:t>2025</w:t>
      </w:r>
      <w:r w:rsidRPr="00D709A2">
        <w:rPr>
          <w:rFonts w:hint="eastAsia"/>
          <w:b/>
          <w:bCs/>
          <w:sz w:val="22"/>
          <w:szCs w:val="22"/>
          <w:lang w:val="zh-CN" w:eastAsia="zh-CN"/>
        </w:rPr>
        <w:t>年</w:t>
      </w:r>
      <w:r w:rsidRPr="00D709A2">
        <w:rPr>
          <w:rFonts w:hint="eastAsia"/>
          <w:b/>
          <w:bCs/>
          <w:sz w:val="22"/>
          <w:szCs w:val="22"/>
          <w:lang w:val="zh-CN" w:eastAsia="zh-CN"/>
        </w:rPr>
        <w:t>1</w:t>
      </w:r>
      <w:r w:rsidRPr="00D709A2">
        <w:rPr>
          <w:rFonts w:hint="eastAsia"/>
          <w:b/>
          <w:bCs/>
          <w:sz w:val="22"/>
          <w:szCs w:val="22"/>
          <w:lang w:val="zh-CN" w:eastAsia="zh-CN"/>
        </w:rPr>
        <w:t>月</w:t>
      </w:r>
      <w:r w:rsidRPr="00D709A2">
        <w:rPr>
          <w:rFonts w:hint="eastAsia"/>
          <w:b/>
          <w:bCs/>
          <w:sz w:val="22"/>
          <w:szCs w:val="22"/>
          <w:lang w:val="zh-CN" w:eastAsia="zh-CN"/>
        </w:rPr>
        <w:t>3</w:t>
      </w:r>
      <w:r w:rsidRPr="00D709A2">
        <w:rPr>
          <w:rFonts w:hint="eastAsia"/>
          <w:b/>
          <w:bCs/>
          <w:sz w:val="22"/>
          <w:szCs w:val="22"/>
          <w:lang w:val="zh-CN" w:eastAsia="zh-CN"/>
        </w:rPr>
        <w:t>日</w:t>
      </w:r>
      <w:r w:rsidRPr="00D709A2">
        <w:rPr>
          <w:rFonts w:hint="eastAsia"/>
          <w:sz w:val="22"/>
          <w:szCs w:val="22"/>
          <w:lang w:val="zh-CN" w:eastAsia="zh-CN"/>
        </w:rPr>
        <w:t>协调世界时</w:t>
      </w:r>
      <w:r w:rsidRPr="00D709A2">
        <w:rPr>
          <w:rFonts w:hint="eastAsia"/>
          <w:sz w:val="22"/>
          <w:szCs w:val="22"/>
          <w:lang w:val="zh-CN" w:eastAsia="zh-CN"/>
        </w:rPr>
        <w:t>23</w:t>
      </w:r>
      <w:r w:rsidRPr="00D709A2">
        <w:rPr>
          <w:rFonts w:hint="eastAsia"/>
          <w:sz w:val="22"/>
          <w:szCs w:val="22"/>
          <w:lang w:val="zh-CN" w:eastAsia="zh-CN"/>
        </w:rPr>
        <w:t>时</w:t>
      </w:r>
      <w:r w:rsidRPr="00D709A2">
        <w:rPr>
          <w:rFonts w:hint="eastAsia"/>
          <w:sz w:val="22"/>
          <w:szCs w:val="22"/>
          <w:lang w:val="zh-CN" w:eastAsia="zh-CN"/>
        </w:rPr>
        <w:t>59</w:t>
      </w:r>
      <w:r w:rsidRPr="00D709A2">
        <w:rPr>
          <w:rFonts w:hint="eastAsia"/>
          <w:sz w:val="22"/>
          <w:szCs w:val="22"/>
          <w:lang w:val="zh-CN" w:eastAsia="zh-CN"/>
        </w:rPr>
        <w:t>分前填妥并返回附件</w:t>
      </w:r>
      <w:r w:rsidRPr="00D709A2">
        <w:rPr>
          <w:rFonts w:hint="eastAsia"/>
          <w:sz w:val="22"/>
          <w:szCs w:val="22"/>
          <w:lang w:val="zh-CN" w:eastAsia="zh-CN"/>
        </w:rPr>
        <w:t>2</w:t>
      </w:r>
      <w:r w:rsidRPr="00D709A2">
        <w:rPr>
          <w:rFonts w:hint="eastAsia"/>
          <w:sz w:val="22"/>
          <w:szCs w:val="22"/>
          <w:lang w:val="zh-CN" w:eastAsia="zh-CN"/>
        </w:rPr>
        <w:t>中的表格。</w:t>
      </w:r>
    </w:p>
    <w:p w14:paraId="43DF3A34" w14:textId="359CF2C7" w:rsidR="0009235E" w:rsidRPr="00D709A2" w:rsidRDefault="0009235E" w:rsidP="0009235E">
      <w:pPr>
        <w:rPr>
          <w:rFonts w:cs="Calibri"/>
          <w:sz w:val="22"/>
          <w:szCs w:val="22"/>
          <w:lang w:eastAsia="zh-CN"/>
        </w:rPr>
      </w:pPr>
      <w:r w:rsidRPr="00D709A2">
        <w:rPr>
          <w:rFonts w:hint="eastAsia"/>
          <w:sz w:val="22"/>
          <w:szCs w:val="22"/>
          <w:lang w:val="zh-CN" w:eastAsia="zh-CN"/>
        </w:rPr>
        <w:t>4</w:t>
      </w:r>
      <w:r w:rsidRPr="00D709A2">
        <w:rPr>
          <w:rFonts w:hint="eastAsia"/>
          <w:sz w:val="22"/>
          <w:szCs w:val="22"/>
          <w:lang w:val="zh-CN" w:eastAsia="zh-CN"/>
        </w:rPr>
        <w:tab/>
      </w:r>
      <w:r w:rsidRPr="00D709A2">
        <w:rPr>
          <w:rFonts w:hint="eastAsia"/>
          <w:sz w:val="22"/>
          <w:szCs w:val="22"/>
          <w:lang w:val="zh-CN" w:eastAsia="zh-CN"/>
        </w:rPr>
        <w:t>如果</w:t>
      </w:r>
      <w:r w:rsidRPr="00D709A2">
        <w:rPr>
          <w:rFonts w:hint="eastAsia"/>
          <w:sz w:val="22"/>
          <w:szCs w:val="22"/>
          <w:lang w:val="zh-CN" w:eastAsia="zh-CN"/>
        </w:rPr>
        <w:t>70%</w:t>
      </w:r>
      <w:r w:rsidRPr="00D709A2">
        <w:rPr>
          <w:rFonts w:hint="eastAsia"/>
          <w:sz w:val="22"/>
          <w:szCs w:val="22"/>
          <w:lang w:val="zh-CN" w:eastAsia="zh-CN"/>
        </w:rPr>
        <w:t>以上的成员国在回复中支持审议并批准，则将专门召开一次全体会议来实施该批准程序。不想授权继续此项工作的成员国应向电信标准化局主任通报理由并提出可能的修改意见，以推动该项工作的进展。</w:t>
      </w:r>
    </w:p>
    <w:p w14:paraId="65C8A2DF" w14:textId="29F3AF3A" w:rsidR="0009235E" w:rsidRPr="00D709A2" w:rsidRDefault="0009235E" w:rsidP="007323FB">
      <w:pPr>
        <w:spacing w:before="100"/>
        <w:rPr>
          <w:rFonts w:cs="Calibri"/>
          <w:sz w:val="22"/>
          <w:szCs w:val="22"/>
          <w:lang w:eastAsia="zh-CN"/>
        </w:rPr>
      </w:pPr>
      <w:r w:rsidRPr="00D709A2">
        <w:rPr>
          <w:rFonts w:hint="eastAsia"/>
          <w:sz w:val="22"/>
          <w:szCs w:val="22"/>
          <w:lang w:val="zh-CN" w:eastAsia="zh-CN"/>
        </w:rPr>
        <w:t>电信标准化局（</w:t>
      </w:r>
      <w:r w:rsidRPr="00D709A2">
        <w:rPr>
          <w:rFonts w:hint="eastAsia"/>
          <w:sz w:val="22"/>
          <w:szCs w:val="22"/>
          <w:lang w:val="zh-CN" w:eastAsia="zh-CN"/>
        </w:rPr>
        <w:t>TSB</w:t>
      </w:r>
      <w:r w:rsidRPr="00D709A2">
        <w:rPr>
          <w:rFonts w:hint="eastAsia"/>
          <w:sz w:val="22"/>
          <w:szCs w:val="22"/>
          <w:lang w:val="zh-CN" w:eastAsia="zh-CN"/>
        </w:rPr>
        <w:t>）说明</w:t>
      </w:r>
      <w:r w:rsidRPr="00D709A2">
        <w:rPr>
          <w:rFonts w:hint="eastAsia"/>
          <w:sz w:val="22"/>
          <w:szCs w:val="22"/>
          <w:lang w:val="zh-CN" w:eastAsia="zh-CN"/>
        </w:rPr>
        <w:t xml:space="preserve">1 </w:t>
      </w:r>
      <w:r w:rsidRPr="00D709A2">
        <w:rPr>
          <w:rFonts w:cstheme="minorHAnsi"/>
          <w:sz w:val="22"/>
          <w:szCs w:val="22"/>
          <w:lang w:val="zh-CN" w:eastAsia="zh-CN"/>
        </w:rPr>
        <w:t>–</w:t>
      </w:r>
      <w:r w:rsidRPr="00D709A2">
        <w:rPr>
          <w:rFonts w:hint="eastAsia"/>
          <w:sz w:val="22"/>
          <w:szCs w:val="22"/>
          <w:lang w:val="zh-CN" w:eastAsia="zh-CN"/>
        </w:rPr>
        <w:t xml:space="preserve"> </w:t>
      </w:r>
      <w:r w:rsidRPr="00D709A2">
        <w:rPr>
          <w:rFonts w:hint="eastAsia"/>
          <w:sz w:val="22"/>
          <w:szCs w:val="22"/>
          <w:lang w:val="zh-CN" w:eastAsia="zh-CN"/>
        </w:rPr>
        <w:t>截至本通函发布之日，电信标准化局未收到任何关于这些案文草案的知识产权声明。欲了解最新信息，请各成员查阅</w:t>
      </w:r>
      <w:hyperlink r:id="rId10" w:history="1">
        <w:r w:rsidR="007323FB" w:rsidRPr="00FE7B21">
          <w:rPr>
            <w:rStyle w:val="Hyperlink"/>
            <w:rFonts w:cs="Calibri"/>
            <w:sz w:val="22"/>
            <w:szCs w:val="22"/>
            <w:lang w:eastAsia="zh-CN"/>
          </w:rPr>
          <w:t>www.itu.int/ipr/</w:t>
        </w:r>
      </w:hyperlink>
      <w:r w:rsidRPr="00D709A2">
        <w:rPr>
          <w:rFonts w:hint="eastAsia"/>
          <w:sz w:val="22"/>
          <w:szCs w:val="22"/>
          <w:lang w:val="zh-CN" w:eastAsia="zh-CN"/>
        </w:rPr>
        <w:t>的知识产权数据库。</w:t>
      </w:r>
    </w:p>
    <w:p w14:paraId="5D1D37E0" w14:textId="25B950B0" w:rsidR="0009235E" w:rsidRPr="00D709A2" w:rsidRDefault="0009235E" w:rsidP="0009235E">
      <w:pPr>
        <w:pStyle w:val="Tabletext"/>
        <w:spacing w:before="120"/>
        <w:rPr>
          <w:sz w:val="22"/>
          <w:szCs w:val="22"/>
          <w:lang w:val="zh-CN" w:eastAsia="zh-CN"/>
        </w:rPr>
      </w:pPr>
      <w:r w:rsidRPr="00D709A2">
        <w:rPr>
          <w:rFonts w:hint="eastAsia"/>
          <w:sz w:val="22"/>
          <w:szCs w:val="22"/>
          <w:lang w:val="zh-CN" w:eastAsia="zh-CN"/>
        </w:rPr>
        <w:t>顺致敬意</w:t>
      </w:r>
    </w:p>
    <w:p w14:paraId="5B17C995" w14:textId="611A953B" w:rsidR="0009235E" w:rsidRPr="00D709A2" w:rsidRDefault="00F716D1" w:rsidP="009E6B3D">
      <w:pPr>
        <w:pStyle w:val="Tabletext"/>
        <w:spacing w:before="720"/>
        <w:rPr>
          <w:rFonts w:cs="Calibri"/>
          <w:sz w:val="22"/>
          <w:szCs w:val="22"/>
          <w:lang w:eastAsia="zh-CN"/>
        </w:rPr>
      </w:pPr>
      <w:r>
        <w:rPr>
          <w:rFonts w:hint="eastAsia"/>
          <w:noProof/>
          <w:sz w:val="22"/>
          <w:szCs w:val="22"/>
          <w:lang w:val="zh-CN" w:eastAsia="zh-CN"/>
        </w:rPr>
        <w:drawing>
          <wp:anchor distT="0" distB="0" distL="114300" distR="114300" simplePos="0" relativeHeight="251658240" behindDoc="1" locked="0" layoutInCell="1" allowOverlap="1" wp14:anchorId="2C2F62D5" wp14:editId="01FD4DE2">
            <wp:simplePos x="0" y="0"/>
            <wp:positionH relativeFrom="column">
              <wp:posOffset>3810</wp:posOffset>
            </wp:positionH>
            <wp:positionV relativeFrom="paragraph">
              <wp:posOffset>22860</wp:posOffset>
            </wp:positionV>
            <wp:extent cx="963501" cy="361950"/>
            <wp:effectExtent l="0" t="0" r="8255" b="0"/>
            <wp:wrapNone/>
            <wp:docPr id="826759985"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59985" name="Picture 1"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63501" cy="361950"/>
                    </a:xfrm>
                    <a:prstGeom prst="rect">
                      <a:avLst/>
                    </a:prstGeom>
                  </pic:spPr>
                </pic:pic>
              </a:graphicData>
            </a:graphic>
            <wp14:sizeRelH relativeFrom="margin">
              <wp14:pctWidth>0</wp14:pctWidth>
            </wp14:sizeRelH>
            <wp14:sizeRelV relativeFrom="margin">
              <wp14:pctHeight>0</wp14:pctHeight>
            </wp14:sizeRelV>
          </wp:anchor>
        </w:drawing>
      </w:r>
      <w:r w:rsidR="0009235E" w:rsidRPr="00D709A2">
        <w:rPr>
          <w:rFonts w:hint="eastAsia"/>
          <w:sz w:val="22"/>
          <w:szCs w:val="22"/>
          <w:lang w:val="zh-CN" w:eastAsia="zh-CN"/>
        </w:rPr>
        <w:t>电信标准化局主任</w:t>
      </w:r>
      <w:r w:rsidR="007323FB">
        <w:rPr>
          <w:sz w:val="22"/>
          <w:szCs w:val="22"/>
          <w:lang w:val="zh-CN" w:eastAsia="zh-CN"/>
        </w:rPr>
        <w:br/>
      </w:r>
      <w:r w:rsidR="0009235E" w:rsidRPr="00D709A2">
        <w:rPr>
          <w:rFonts w:hint="eastAsia"/>
          <w:sz w:val="22"/>
          <w:szCs w:val="22"/>
          <w:lang w:val="zh-CN" w:eastAsia="zh-CN"/>
        </w:rPr>
        <w:t>尾上诚藏</w:t>
      </w:r>
    </w:p>
    <w:p w14:paraId="7053C97B" w14:textId="3A256298" w:rsidR="00597CD8" w:rsidRPr="00B35624" w:rsidRDefault="0009235E" w:rsidP="00D709A2">
      <w:pPr>
        <w:spacing w:before="160"/>
        <w:rPr>
          <w:sz w:val="22"/>
          <w:szCs w:val="22"/>
        </w:rPr>
      </w:pPr>
      <w:r w:rsidRPr="00D709A2">
        <w:rPr>
          <w:rFonts w:hint="eastAsia"/>
          <w:b/>
          <w:bCs/>
          <w:sz w:val="22"/>
          <w:szCs w:val="22"/>
          <w:lang w:val="zh-CN" w:eastAsia="zh-CN"/>
        </w:rPr>
        <w:t>附件</w:t>
      </w:r>
      <w:r w:rsidRPr="00D709A2">
        <w:rPr>
          <w:rFonts w:hint="eastAsia"/>
          <w:b/>
          <w:bCs/>
          <w:sz w:val="22"/>
          <w:szCs w:val="22"/>
          <w:lang w:eastAsia="zh-CN"/>
        </w:rPr>
        <w:t>：</w:t>
      </w:r>
      <w:r w:rsidRPr="00D709A2">
        <w:rPr>
          <w:rFonts w:hint="eastAsia"/>
          <w:sz w:val="22"/>
          <w:szCs w:val="22"/>
          <w:lang w:eastAsia="zh-CN"/>
        </w:rPr>
        <w:t>2</w:t>
      </w:r>
      <w:r w:rsidRPr="00D709A2">
        <w:rPr>
          <w:rFonts w:hint="eastAsia"/>
          <w:sz w:val="22"/>
          <w:szCs w:val="22"/>
          <w:lang w:eastAsia="zh-CN"/>
        </w:rPr>
        <w:t>件</w:t>
      </w:r>
      <w:r w:rsidR="00597CD8">
        <w:rPr>
          <w:sz w:val="22"/>
          <w:szCs w:val="22"/>
        </w:rPr>
        <w:br w:type="page"/>
      </w:r>
    </w:p>
    <w:p w14:paraId="2044187E" w14:textId="77777777" w:rsidR="00D709A2" w:rsidRDefault="0009235E" w:rsidP="00597CD8">
      <w:pPr>
        <w:jc w:val="center"/>
        <w:rPr>
          <w:b/>
          <w:bCs/>
        </w:rPr>
      </w:pPr>
      <w:proofErr w:type="spellStart"/>
      <w:r>
        <w:rPr>
          <w:b/>
          <w:bCs/>
          <w:lang w:val="zh-CN"/>
        </w:rPr>
        <w:lastRenderedPageBreak/>
        <w:t>附件</w:t>
      </w:r>
      <w:proofErr w:type="spellEnd"/>
      <w:r w:rsidRPr="00535FFC">
        <w:rPr>
          <w:b/>
          <w:bCs/>
        </w:rPr>
        <w:t>1</w:t>
      </w:r>
    </w:p>
    <w:p w14:paraId="18628E64" w14:textId="177042BA" w:rsidR="00597CD8" w:rsidRPr="006F6597" w:rsidRDefault="0009235E" w:rsidP="00597CD8">
      <w:pPr>
        <w:jc w:val="center"/>
        <w:rPr>
          <w:rFonts w:cstheme="minorHAnsi"/>
          <w:b/>
          <w:color w:val="000000"/>
          <w:sz w:val="32"/>
          <w:szCs w:val="32"/>
          <w:lang w:eastAsia="zh-CN"/>
        </w:rPr>
      </w:pPr>
      <w:r>
        <w:rPr>
          <w:rFonts w:hint="eastAsia"/>
          <w:b/>
          <w:bCs/>
          <w:lang w:val="zh-CN" w:eastAsia="zh-CN"/>
        </w:rPr>
        <w:t>已确定的</w:t>
      </w:r>
      <w:r w:rsidRPr="00535FFC">
        <w:rPr>
          <w:rFonts w:hint="eastAsia"/>
          <w:b/>
          <w:bCs/>
          <w:lang w:eastAsia="zh-CN"/>
        </w:rPr>
        <w:t>ITU-T Y.4506</w:t>
      </w:r>
      <w:r w:rsidRPr="00535FFC">
        <w:rPr>
          <w:rFonts w:hint="eastAsia"/>
          <w:b/>
          <w:bCs/>
          <w:lang w:eastAsia="zh-CN"/>
        </w:rPr>
        <w:t>（</w:t>
      </w:r>
      <w:r>
        <w:rPr>
          <w:rFonts w:hint="eastAsia"/>
          <w:b/>
          <w:bCs/>
          <w:lang w:val="zh-CN" w:eastAsia="zh-CN"/>
        </w:rPr>
        <w:t>原</w:t>
      </w:r>
      <w:r w:rsidRPr="00535FFC">
        <w:rPr>
          <w:rFonts w:hint="eastAsia"/>
          <w:b/>
          <w:bCs/>
          <w:lang w:eastAsia="zh-CN"/>
        </w:rPr>
        <w:t>Y.DRI-arch</w:t>
      </w:r>
      <w:r w:rsidRPr="00535FFC">
        <w:rPr>
          <w:rFonts w:hint="eastAsia"/>
          <w:b/>
          <w:bCs/>
          <w:lang w:eastAsia="zh-CN"/>
        </w:rPr>
        <w:t>）</w:t>
      </w:r>
      <w:r>
        <w:rPr>
          <w:rFonts w:hint="eastAsia"/>
          <w:b/>
          <w:bCs/>
          <w:lang w:val="zh-CN" w:eastAsia="zh-CN"/>
        </w:rPr>
        <w:t>、</w:t>
      </w:r>
      <w:r w:rsidRPr="00535FFC">
        <w:rPr>
          <w:rFonts w:hint="eastAsia"/>
          <w:b/>
          <w:bCs/>
          <w:lang w:eastAsia="zh-CN"/>
        </w:rPr>
        <w:t>Y.4229</w:t>
      </w:r>
      <w:r w:rsidRPr="00535FFC">
        <w:rPr>
          <w:rFonts w:hint="eastAsia"/>
          <w:b/>
          <w:bCs/>
          <w:lang w:eastAsia="zh-CN"/>
        </w:rPr>
        <w:t>（</w:t>
      </w:r>
      <w:r>
        <w:rPr>
          <w:rFonts w:hint="eastAsia"/>
          <w:b/>
          <w:bCs/>
          <w:lang w:val="zh-CN" w:eastAsia="zh-CN"/>
        </w:rPr>
        <w:t>原</w:t>
      </w:r>
      <w:proofErr w:type="spellStart"/>
      <w:r w:rsidRPr="00535FFC">
        <w:rPr>
          <w:rFonts w:hint="eastAsia"/>
          <w:b/>
          <w:bCs/>
          <w:lang w:eastAsia="zh-CN"/>
        </w:rPr>
        <w:t>Y.IoT</w:t>
      </w:r>
      <w:proofErr w:type="spellEnd"/>
      <w:r w:rsidRPr="00535FFC">
        <w:rPr>
          <w:rFonts w:hint="eastAsia"/>
          <w:b/>
          <w:bCs/>
          <w:lang w:eastAsia="zh-CN"/>
        </w:rPr>
        <w:t>-SFFS</w:t>
      </w:r>
      <w:r w:rsidRPr="00535FFC">
        <w:rPr>
          <w:rFonts w:hint="eastAsia"/>
          <w:b/>
          <w:bCs/>
          <w:lang w:eastAsia="zh-CN"/>
        </w:rPr>
        <w:t>）</w:t>
      </w:r>
      <w:r>
        <w:rPr>
          <w:rFonts w:hint="eastAsia"/>
          <w:b/>
          <w:bCs/>
          <w:lang w:val="zh-CN" w:eastAsia="zh-CN"/>
        </w:rPr>
        <w:t>、</w:t>
      </w:r>
      <w:r w:rsidRPr="00535FFC">
        <w:rPr>
          <w:rFonts w:hint="eastAsia"/>
          <w:b/>
          <w:bCs/>
          <w:lang w:eastAsia="zh-CN"/>
        </w:rPr>
        <w:t>Y.4230</w:t>
      </w:r>
      <w:r w:rsidRPr="00535FFC">
        <w:rPr>
          <w:rFonts w:hint="eastAsia"/>
          <w:b/>
          <w:bCs/>
          <w:lang w:eastAsia="zh-CN"/>
        </w:rPr>
        <w:t>（</w:t>
      </w:r>
      <w:r>
        <w:rPr>
          <w:rFonts w:hint="eastAsia"/>
          <w:b/>
          <w:bCs/>
          <w:lang w:val="zh-CN" w:eastAsia="zh-CN"/>
        </w:rPr>
        <w:t>原</w:t>
      </w:r>
      <w:r w:rsidRPr="00372B1A">
        <w:rPr>
          <w:rFonts w:hint="eastAsia"/>
          <w:b/>
          <w:bCs/>
          <w:lang w:eastAsia="zh-CN"/>
        </w:rPr>
        <w:t>Y.EV-charging</w:t>
      </w:r>
      <w:r w:rsidRPr="00535FFC">
        <w:rPr>
          <w:rFonts w:hint="eastAsia"/>
          <w:b/>
          <w:bCs/>
          <w:lang w:eastAsia="zh-CN"/>
        </w:rPr>
        <w:t>）</w:t>
      </w:r>
      <w:r>
        <w:rPr>
          <w:rFonts w:hint="eastAsia"/>
          <w:b/>
          <w:bCs/>
          <w:lang w:val="zh-CN" w:eastAsia="zh-CN"/>
        </w:rPr>
        <w:t>、</w:t>
      </w:r>
      <w:r w:rsidRPr="00535FFC">
        <w:rPr>
          <w:rFonts w:hint="eastAsia"/>
          <w:b/>
          <w:bCs/>
          <w:lang w:eastAsia="zh-CN"/>
        </w:rPr>
        <w:t>Y.4231</w:t>
      </w:r>
      <w:r w:rsidRPr="00535FFC">
        <w:rPr>
          <w:rFonts w:hint="eastAsia"/>
          <w:b/>
          <w:bCs/>
          <w:lang w:eastAsia="zh-CN"/>
        </w:rPr>
        <w:t>（</w:t>
      </w:r>
      <w:r>
        <w:rPr>
          <w:rFonts w:hint="eastAsia"/>
          <w:b/>
          <w:bCs/>
          <w:lang w:val="zh-CN" w:eastAsia="zh-CN"/>
        </w:rPr>
        <w:t>原</w:t>
      </w:r>
      <w:proofErr w:type="spellStart"/>
      <w:r w:rsidRPr="00535FFC">
        <w:rPr>
          <w:rFonts w:hint="eastAsia"/>
          <w:b/>
          <w:bCs/>
          <w:lang w:eastAsia="zh-CN"/>
        </w:rPr>
        <w:t>Y.IoT-Vreqs</w:t>
      </w:r>
      <w:proofErr w:type="spellEnd"/>
      <w:r w:rsidRPr="00535FFC">
        <w:rPr>
          <w:rFonts w:hint="eastAsia"/>
          <w:b/>
          <w:bCs/>
          <w:lang w:eastAsia="zh-CN"/>
        </w:rPr>
        <w:t>）</w:t>
      </w:r>
      <w:r>
        <w:rPr>
          <w:rFonts w:hint="eastAsia"/>
          <w:b/>
          <w:bCs/>
          <w:lang w:val="zh-CN" w:eastAsia="zh-CN"/>
        </w:rPr>
        <w:t>、</w:t>
      </w:r>
      <w:r w:rsidRPr="00535FFC">
        <w:rPr>
          <w:rFonts w:hint="eastAsia"/>
          <w:b/>
          <w:bCs/>
          <w:lang w:eastAsia="zh-CN"/>
        </w:rPr>
        <w:t>Y.4232</w:t>
      </w:r>
      <w:r w:rsidRPr="00535FFC">
        <w:rPr>
          <w:rFonts w:hint="eastAsia"/>
          <w:b/>
          <w:bCs/>
          <w:lang w:eastAsia="zh-CN"/>
        </w:rPr>
        <w:t>（</w:t>
      </w:r>
      <w:r>
        <w:rPr>
          <w:rFonts w:hint="eastAsia"/>
          <w:b/>
          <w:bCs/>
          <w:lang w:val="zh-CN" w:eastAsia="zh-CN"/>
        </w:rPr>
        <w:t>原</w:t>
      </w:r>
      <w:proofErr w:type="spellStart"/>
      <w:r w:rsidRPr="00535FFC">
        <w:rPr>
          <w:rFonts w:hint="eastAsia"/>
          <w:b/>
          <w:bCs/>
          <w:lang w:eastAsia="zh-CN"/>
        </w:rPr>
        <w:t>Y.IoT</w:t>
      </w:r>
      <w:proofErr w:type="spellEnd"/>
      <w:r w:rsidRPr="00535FFC">
        <w:rPr>
          <w:rFonts w:hint="eastAsia"/>
          <w:b/>
          <w:bCs/>
          <w:lang w:eastAsia="zh-CN"/>
        </w:rPr>
        <w:t>-RTPS</w:t>
      </w:r>
      <w:r w:rsidRPr="00535FFC">
        <w:rPr>
          <w:rFonts w:hint="eastAsia"/>
          <w:b/>
          <w:bCs/>
          <w:lang w:eastAsia="zh-CN"/>
        </w:rPr>
        <w:t>）</w:t>
      </w:r>
      <w:r>
        <w:rPr>
          <w:rFonts w:hint="eastAsia"/>
          <w:b/>
          <w:bCs/>
          <w:lang w:val="zh-CN" w:eastAsia="zh-CN"/>
        </w:rPr>
        <w:t>、</w:t>
      </w:r>
      <w:r w:rsidRPr="00535FFC">
        <w:rPr>
          <w:rFonts w:hint="eastAsia"/>
          <w:b/>
          <w:bCs/>
          <w:lang w:eastAsia="zh-CN"/>
        </w:rPr>
        <w:t>Y.4233</w:t>
      </w:r>
      <w:r w:rsidRPr="00535FFC">
        <w:rPr>
          <w:rFonts w:hint="eastAsia"/>
          <w:b/>
          <w:bCs/>
          <w:lang w:eastAsia="zh-CN"/>
        </w:rPr>
        <w:t>（</w:t>
      </w:r>
      <w:r>
        <w:rPr>
          <w:rFonts w:hint="eastAsia"/>
          <w:b/>
          <w:bCs/>
          <w:lang w:val="zh-CN" w:eastAsia="zh-CN"/>
        </w:rPr>
        <w:t>原</w:t>
      </w:r>
      <w:r w:rsidRPr="00372B1A">
        <w:rPr>
          <w:rFonts w:hint="eastAsia"/>
          <w:b/>
          <w:bCs/>
          <w:lang w:eastAsia="zh-CN"/>
        </w:rPr>
        <w:t>Y</w:t>
      </w:r>
      <w:r w:rsidRPr="00535FFC">
        <w:rPr>
          <w:rFonts w:hint="eastAsia"/>
          <w:b/>
          <w:bCs/>
          <w:lang w:eastAsia="zh-CN"/>
        </w:rPr>
        <w:t>.FSPH</w:t>
      </w:r>
      <w:r w:rsidRPr="00535FFC">
        <w:rPr>
          <w:rFonts w:hint="eastAsia"/>
          <w:b/>
          <w:bCs/>
          <w:lang w:eastAsia="zh-CN"/>
        </w:rPr>
        <w:t>）</w:t>
      </w:r>
      <w:r>
        <w:rPr>
          <w:rFonts w:hint="eastAsia"/>
          <w:b/>
          <w:bCs/>
          <w:lang w:val="zh-CN" w:eastAsia="zh-CN"/>
        </w:rPr>
        <w:t>、</w:t>
      </w:r>
      <w:r w:rsidRPr="00535FFC">
        <w:rPr>
          <w:rFonts w:hint="eastAsia"/>
          <w:b/>
          <w:bCs/>
          <w:lang w:eastAsia="zh-CN"/>
        </w:rPr>
        <w:t>Y.4234</w:t>
      </w:r>
      <w:r w:rsidRPr="00535FFC">
        <w:rPr>
          <w:rFonts w:hint="eastAsia"/>
          <w:b/>
          <w:bCs/>
          <w:lang w:eastAsia="zh-CN"/>
        </w:rPr>
        <w:t>（</w:t>
      </w:r>
      <w:r>
        <w:rPr>
          <w:rFonts w:hint="eastAsia"/>
          <w:b/>
          <w:bCs/>
          <w:lang w:val="zh-CN" w:eastAsia="zh-CN"/>
        </w:rPr>
        <w:t>原</w:t>
      </w:r>
      <w:proofErr w:type="spellStart"/>
      <w:r w:rsidRPr="00372B1A">
        <w:rPr>
          <w:rFonts w:hint="eastAsia"/>
          <w:b/>
          <w:bCs/>
          <w:lang w:eastAsia="zh-CN"/>
        </w:rPr>
        <w:t>Y</w:t>
      </w:r>
      <w:r w:rsidRPr="00535FFC">
        <w:rPr>
          <w:rFonts w:hint="eastAsia"/>
          <w:b/>
          <w:bCs/>
          <w:lang w:eastAsia="zh-CN"/>
        </w:rPr>
        <w:t>.RemoteEd</w:t>
      </w:r>
      <w:proofErr w:type="spellEnd"/>
      <w:r w:rsidRPr="00535FFC">
        <w:rPr>
          <w:rFonts w:hint="eastAsia"/>
          <w:b/>
          <w:bCs/>
          <w:lang w:eastAsia="zh-CN"/>
        </w:rPr>
        <w:t>）</w:t>
      </w:r>
      <w:r>
        <w:rPr>
          <w:rFonts w:hint="eastAsia"/>
          <w:b/>
          <w:bCs/>
          <w:lang w:val="zh-CN" w:eastAsia="zh-CN"/>
        </w:rPr>
        <w:t>、</w:t>
      </w:r>
      <w:r w:rsidRPr="00535FFC">
        <w:rPr>
          <w:rFonts w:hint="eastAsia"/>
          <w:b/>
          <w:bCs/>
          <w:lang w:eastAsia="zh-CN"/>
        </w:rPr>
        <w:t>Y.4222</w:t>
      </w:r>
      <w:r w:rsidRPr="00535FFC">
        <w:rPr>
          <w:rFonts w:hint="eastAsia"/>
          <w:b/>
          <w:bCs/>
          <w:lang w:eastAsia="zh-CN"/>
        </w:rPr>
        <w:t>（</w:t>
      </w:r>
      <w:r>
        <w:rPr>
          <w:rFonts w:hint="eastAsia"/>
          <w:b/>
          <w:bCs/>
          <w:lang w:val="zh-CN" w:eastAsia="zh-CN"/>
        </w:rPr>
        <w:t>原</w:t>
      </w:r>
      <w:proofErr w:type="spellStart"/>
      <w:r w:rsidRPr="008A6C69">
        <w:rPr>
          <w:rFonts w:hint="eastAsia"/>
          <w:b/>
          <w:bCs/>
          <w:lang w:eastAsia="zh-CN"/>
        </w:rPr>
        <w:t>Y.smart</w:t>
      </w:r>
      <w:proofErr w:type="spellEnd"/>
      <w:r w:rsidRPr="008A6C69">
        <w:rPr>
          <w:rFonts w:hint="eastAsia"/>
          <w:b/>
          <w:bCs/>
          <w:lang w:eastAsia="zh-CN"/>
        </w:rPr>
        <w:t>-evacuation</w:t>
      </w:r>
      <w:r w:rsidRPr="00535FFC">
        <w:rPr>
          <w:rFonts w:hint="eastAsia"/>
          <w:b/>
          <w:bCs/>
          <w:lang w:eastAsia="zh-CN"/>
        </w:rPr>
        <w:t>）</w:t>
      </w:r>
      <w:r>
        <w:rPr>
          <w:rFonts w:hint="eastAsia"/>
          <w:b/>
          <w:bCs/>
          <w:lang w:val="zh-CN" w:eastAsia="zh-CN"/>
        </w:rPr>
        <w:t>、</w:t>
      </w:r>
      <w:r w:rsidRPr="00535FFC">
        <w:rPr>
          <w:rFonts w:hint="eastAsia"/>
          <w:b/>
          <w:bCs/>
          <w:lang w:eastAsia="zh-CN"/>
        </w:rPr>
        <w:t>Y.4507</w:t>
      </w:r>
      <w:r w:rsidRPr="00535FFC">
        <w:rPr>
          <w:rFonts w:hint="eastAsia"/>
          <w:b/>
          <w:bCs/>
          <w:lang w:eastAsia="zh-CN"/>
        </w:rPr>
        <w:t>（</w:t>
      </w:r>
      <w:r>
        <w:rPr>
          <w:rFonts w:hint="eastAsia"/>
          <w:b/>
          <w:bCs/>
          <w:lang w:val="zh-CN" w:eastAsia="zh-CN"/>
        </w:rPr>
        <w:t>原</w:t>
      </w:r>
      <w:r w:rsidRPr="00372B1A">
        <w:rPr>
          <w:rFonts w:hint="eastAsia"/>
          <w:b/>
          <w:bCs/>
          <w:lang w:eastAsia="zh-CN"/>
        </w:rPr>
        <w:t>Y</w:t>
      </w:r>
      <w:r w:rsidRPr="00535FFC">
        <w:rPr>
          <w:rFonts w:hint="eastAsia"/>
          <w:b/>
          <w:bCs/>
          <w:lang w:eastAsia="zh-CN"/>
        </w:rPr>
        <w:t>.arc-</w:t>
      </w:r>
      <w:proofErr w:type="spellStart"/>
      <w:r w:rsidRPr="00535FFC">
        <w:rPr>
          <w:rFonts w:hint="eastAsia"/>
          <w:b/>
          <w:bCs/>
          <w:lang w:eastAsia="zh-CN"/>
        </w:rPr>
        <w:t>psfws</w:t>
      </w:r>
      <w:proofErr w:type="spellEnd"/>
      <w:r w:rsidRPr="00535FFC">
        <w:rPr>
          <w:rFonts w:hint="eastAsia"/>
          <w:b/>
          <w:bCs/>
          <w:lang w:eastAsia="zh-CN"/>
        </w:rPr>
        <w:t>）</w:t>
      </w:r>
      <w:r>
        <w:rPr>
          <w:rFonts w:hint="eastAsia"/>
          <w:b/>
          <w:bCs/>
          <w:lang w:val="zh-CN" w:eastAsia="zh-CN"/>
        </w:rPr>
        <w:t>、</w:t>
      </w:r>
      <w:r w:rsidRPr="00535FFC">
        <w:rPr>
          <w:rFonts w:hint="eastAsia"/>
          <w:b/>
          <w:bCs/>
          <w:lang w:eastAsia="zh-CN"/>
        </w:rPr>
        <w:t>Y.4508</w:t>
      </w:r>
      <w:r w:rsidRPr="00535FFC">
        <w:rPr>
          <w:rFonts w:hint="eastAsia"/>
          <w:b/>
          <w:bCs/>
          <w:lang w:eastAsia="zh-CN"/>
        </w:rPr>
        <w:t>（</w:t>
      </w:r>
      <w:r>
        <w:rPr>
          <w:rFonts w:hint="eastAsia"/>
          <w:b/>
          <w:bCs/>
          <w:lang w:val="zh-CN" w:eastAsia="zh-CN"/>
        </w:rPr>
        <w:t>原</w:t>
      </w:r>
      <w:r w:rsidRPr="00372B1A">
        <w:rPr>
          <w:rFonts w:hint="eastAsia"/>
          <w:b/>
          <w:bCs/>
          <w:lang w:eastAsia="zh-CN"/>
        </w:rPr>
        <w:t>Y</w:t>
      </w:r>
      <w:r w:rsidRPr="00535FFC">
        <w:rPr>
          <w:rFonts w:hint="eastAsia"/>
          <w:b/>
          <w:bCs/>
          <w:lang w:eastAsia="zh-CN"/>
        </w:rPr>
        <w:t>.DPM-</w:t>
      </w:r>
      <w:proofErr w:type="spellStart"/>
      <w:r w:rsidRPr="00535FFC">
        <w:rPr>
          <w:rFonts w:hint="eastAsia"/>
          <w:b/>
          <w:bCs/>
          <w:lang w:eastAsia="zh-CN"/>
        </w:rPr>
        <w:t>alm</w:t>
      </w:r>
      <w:proofErr w:type="spellEnd"/>
      <w:r w:rsidRPr="00535FFC">
        <w:rPr>
          <w:rFonts w:hint="eastAsia"/>
          <w:b/>
          <w:bCs/>
          <w:lang w:eastAsia="zh-CN"/>
        </w:rPr>
        <w:t>-</w:t>
      </w:r>
      <w:proofErr w:type="spellStart"/>
      <w:r w:rsidRPr="00535FFC">
        <w:rPr>
          <w:rFonts w:hint="eastAsia"/>
          <w:b/>
          <w:bCs/>
          <w:lang w:eastAsia="zh-CN"/>
        </w:rPr>
        <w:t>fra</w:t>
      </w:r>
      <w:proofErr w:type="spellEnd"/>
      <w:r w:rsidRPr="00535FFC">
        <w:rPr>
          <w:rFonts w:hint="eastAsia"/>
          <w:b/>
          <w:bCs/>
          <w:lang w:eastAsia="zh-CN"/>
        </w:rPr>
        <w:t>）</w:t>
      </w:r>
      <w:r>
        <w:rPr>
          <w:rFonts w:hint="eastAsia"/>
          <w:b/>
          <w:bCs/>
          <w:lang w:val="zh-CN" w:eastAsia="zh-CN"/>
        </w:rPr>
        <w:t>、</w:t>
      </w:r>
      <w:r w:rsidRPr="00535FFC">
        <w:rPr>
          <w:rFonts w:hint="eastAsia"/>
          <w:b/>
          <w:bCs/>
          <w:lang w:eastAsia="zh-CN"/>
        </w:rPr>
        <w:t>Y.4706</w:t>
      </w:r>
      <w:r w:rsidRPr="00535FFC">
        <w:rPr>
          <w:rFonts w:hint="eastAsia"/>
          <w:b/>
          <w:bCs/>
          <w:lang w:eastAsia="zh-CN"/>
        </w:rPr>
        <w:t>（</w:t>
      </w:r>
      <w:r>
        <w:rPr>
          <w:rFonts w:hint="eastAsia"/>
          <w:b/>
          <w:bCs/>
          <w:lang w:val="zh-CN" w:eastAsia="zh-CN"/>
        </w:rPr>
        <w:t>原</w:t>
      </w:r>
      <w:proofErr w:type="spellStart"/>
      <w:r w:rsidRPr="00372B1A">
        <w:rPr>
          <w:rFonts w:hint="eastAsia"/>
          <w:b/>
          <w:bCs/>
          <w:lang w:eastAsia="zh-CN"/>
        </w:rPr>
        <w:t>Y</w:t>
      </w:r>
      <w:r w:rsidRPr="00535FFC">
        <w:rPr>
          <w:rFonts w:hint="eastAsia"/>
          <w:b/>
          <w:bCs/>
          <w:lang w:eastAsia="zh-CN"/>
        </w:rPr>
        <w:t>.dem</w:t>
      </w:r>
      <w:proofErr w:type="spellEnd"/>
      <w:r w:rsidRPr="00535FFC">
        <w:rPr>
          <w:rFonts w:hint="eastAsia"/>
          <w:b/>
          <w:bCs/>
          <w:lang w:eastAsia="zh-CN"/>
        </w:rPr>
        <w:t>-IoT</w:t>
      </w:r>
      <w:r w:rsidRPr="00535FFC">
        <w:rPr>
          <w:rFonts w:hint="eastAsia"/>
          <w:b/>
          <w:bCs/>
          <w:lang w:eastAsia="zh-CN"/>
        </w:rPr>
        <w:t>）</w:t>
      </w:r>
      <w:r>
        <w:rPr>
          <w:rFonts w:hint="eastAsia"/>
          <w:b/>
          <w:bCs/>
          <w:lang w:val="zh-CN" w:eastAsia="zh-CN"/>
        </w:rPr>
        <w:t>和</w:t>
      </w:r>
      <w:r w:rsidRPr="00535FFC">
        <w:rPr>
          <w:rFonts w:hint="eastAsia"/>
          <w:b/>
          <w:bCs/>
          <w:lang w:eastAsia="zh-CN"/>
        </w:rPr>
        <w:t>Y.4499</w:t>
      </w:r>
      <w:r w:rsidRPr="00535FFC">
        <w:rPr>
          <w:rFonts w:hint="eastAsia"/>
          <w:b/>
          <w:bCs/>
          <w:lang w:eastAsia="zh-CN"/>
        </w:rPr>
        <w:t>（</w:t>
      </w:r>
      <w:r>
        <w:rPr>
          <w:rFonts w:hint="eastAsia"/>
          <w:b/>
          <w:bCs/>
          <w:lang w:val="zh-CN" w:eastAsia="zh-CN"/>
        </w:rPr>
        <w:t>原</w:t>
      </w:r>
      <w:r w:rsidRPr="00372B1A">
        <w:rPr>
          <w:rFonts w:hint="eastAsia"/>
          <w:b/>
          <w:bCs/>
          <w:lang w:eastAsia="zh-CN"/>
        </w:rPr>
        <w:t>Y</w:t>
      </w:r>
      <w:r w:rsidRPr="00535FFC">
        <w:rPr>
          <w:rFonts w:hint="eastAsia"/>
          <w:b/>
          <w:bCs/>
          <w:lang w:eastAsia="zh-CN"/>
        </w:rPr>
        <w:t>.UIM-cs-framework</w:t>
      </w:r>
      <w:r w:rsidRPr="00535FFC">
        <w:rPr>
          <w:rFonts w:hint="eastAsia"/>
          <w:b/>
          <w:bCs/>
          <w:lang w:eastAsia="zh-CN"/>
        </w:rPr>
        <w:t>）</w:t>
      </w:r>
      <w:r>
        <w:rPr>
          <w:rFonts w:hint="eastAsia"/>
          <w:b/>
          <w:bCs/>
          <w:lang w:val="zh-CN" w:eastAsia="zh-CN"/>
        </w:rPr>
        <w:t>新建议书草案的摘要和出处</w:t>
      </w:r>
    </w:p>
    <w:p w14:paraId="53008181" w14:textId="6DB19181" w:rsidR="0009235E" w:rsidRPr="00BB76F4" w:rsidRDefault="0009235E" w:rsidP="0009235E">
      <w:pPr>
        <w:keepNext/>
        <w:keepLines/>
        <w:spacing w:before="240" w:after="280"/>
        <w:rPr>
          <w:rFonts w:eastAsia="Times New Roman" w:cs="Calibri"/>
          <w:b/>
          <w:sz w:val="28"/>
          <w:szCs w:val="28"/>
          <w:lang w:eastAsia="zh-CN"/>
        </w:rPr>
      </w:pPr>
      <w:r w:rsidRPr="00BB76F4">
        <w:rPr>
          <w:b/>
          <w:bCs/>
          <w:sz w:val="28"/>
          <w:szCs w:val="28"/>
          <w:lang w:eastAsia="zh-CN"/>
        </w:rPr>
        <w:t>1</w:t>
      </w:r>
      <w:r w:rsidRPr="00BB76F4">
        <w:rPr>
          <w:b/>
          <w:bCs/>
          <w:sz w:val="28"/>
          <w:szCs w:val="28"/>
          <w:lang w:eastAsia="zh-CN"/>
        </w:rPr>
        <w:tab/>
        <w:t>ITU-T Y.4506</w:t>
      </w:r>
      <w:r w:rsidRPr="00BB76F4">
        <w:rPr>
          <w:b/>
          <w:bCs/>
          <w:sz w:val="28"/>
          <w:szCs w:val="28"/>
          <w:lang w:eastAsia="zh-CN"/>
        </w:rPr>
        <w:t>（原</w:t>
      </w:r>
      <w:r w:rsidRPr="00BB76F4">
        <w:rPr>
          <w:b/>
          <w:bCs/>
          <w:sz w:val="28"/>
          <w:szCs w:val="28"/>
          <w:lang w:eastAsia="zh-CN"/>
        </w:rPr>
        <w:t>Y.DRI-arch</w:t>
      </w:r>
      <w:r w:rsidRPr="00BB76F4">
        <w:rPr>
          <w:b/>
          <w:bCs/>
          <w:sz w:val="28"/>
          <w:szCs w:val="28"/>
          <w:lang w:eastAsia="zh-CN"/>
        </w:rPr>
        <w:t>）</w:t>
      </w:r>
      <w:r w:rsidRPr="00BB76F4">
        <w:rPr>
          <w:b/>
          <w:bCs/>
          <w:sz w:val="28"/>
          <w:szCs w:val="28"/>
          <w:lang w:val="zh-CN" w:eastAsia="zh-CN"/>
        </w:rPr>
        <w:t>新建议书草案</w:t>
      </w:r>
      <w:r w:rsidRPr="00BB76F4">
        <w:rPr>
          <w:b/>
          <w:bCs/>
          <w:sz w:val="28"/>
          <w:szCs w:val="28"/>
          <w:lang w:eastAsia="zh-CN"/>
        </w:rPr>
        <w:t>：</w:t>
      </w:r>
      <w:r w:rsidRPr="00BB76F4">
        <w:rPr>
          <w:b/>
          <w:bCs/>
          <w:sz w:val="28"/>
          <w:szCs w:val="28"/>
          <w:lang w:eastAsia="zh-CN"/>
        </w:rPr>
        <w:t>[</w:t>
      </w:r>
      <w:hyperlink r:id="rId12" w:history="1">
        <w:r w:rsidRPr="00BB76F4">
          <w:rPr>
            <w:rStyle w:val="Hyperlink"/>
            <w:b/>
            <w:bCs/>
            <w:sz w:val="28"/>
            <w:szCs w:val="28"/>
            <w:lang w:eastAsia="zh-CN"/>
          </w:rPr>
          <w:t>R21</w:t>
        </w:r>
      </w:hyperlink>
      <w:r w:rsidRPr="00BB76F4">
        <w:rPr>
          <w:b/>
          <w:bCs/>
          <w:sz w:val="28"/>
          <w:szCs w:val="28"/>
          <w:lang w:eastAsia="zh-CN"/>
        </w:rPr>
        <w:t>]</w:t>
      </w:r>
    </w:p>
    <w:p w14:paraId="557509E7" w14:textId="77777777" w:rsidR="0009235E" w:rsidRPr="00FE7B21" w:rsidRDefault="0009235E" w:rsidP="0009235E">
      <w:pPr>
        <w:ind w:left="1134" w:hanging="1134"/>
        <w:outlineLvl w:val="1"/>
        <w:rPr>
          <w:rFonts w:eastAsia="Times New Roman" w:cs="Calibri"/>
          <w:b/>
          <w:szCs w:val="24"/>
          <w:lang w:eastAsia="zh-CN"/>
        </w:rPr>
      </w:pPr>
      <w:r>
        <w:rPr>
          <w:b/>
          <w:bCs/>
          <w:lang w:val="zh-CN" w:eastAsia="zh-CN"/>
        </w:rPr>
        <w:t>城市自主配送机器人互通的参考架构</w:t>
      </w:r>
    </w:p>
    <w:p w14:paraId="0609CD2C" w14:textId="77777777" w:rsidR="0009235E" w:rsidRPr="008A6C69" w:rsidRDefault="0009235E" w:rsidP="0009235E">
      <w:pPr>
        <w:ind w:left="1134" w:hanging="1134"/>
        <w:outlineLvl w:val="1"/>
        <w:rPr>
          <w:rFonts w:eastAsia="Times New Roman" w:cs="Calibri"/>
          <w:b/>
          <w:bCs/>
          <w:szCs w:val="24"/>
          <w:lang w:eastAsia="zh-CN"/>
        </w:rPr>
      </w:pPr>
      <w:r w:rsidRPr="008A6C69">
        <w:rPr>
          <w:b/>
          <w:bCs/>
          <w:lang w:val="zh-CN" w:eastAsia="zh-CN"/>
        </w:rPr>
        <w:t>摘要</w:t>
      </w:r>
    </w:p>
    <w:p w14:paraId="4110B3D4" w14:textId="77777777" w:rsidR="0009235E" w:rsidRPr="00962C21" w:rsidRDefault="0009235E" w:rsidP="00D709A2">
      <w:pPr>
        <w:tabs>
          <w:tab w:val="clear" w:pos="1191"/>
          <w:tab w:val="left" w:pos="0"/>
        </w:tabs>
        <w:ind w:firstLineChars="200" w:firstLine="480"/>
        <w:outlineLvl w:val="0"/>
        <w:rPr>
          <w:rFonts w:eastAsia="Malgun Gothic" w:cs="Calibri"/>
          <w:iCs/>
          <w:lang w:eastAsia="zh-CN"/>
        </w:rPr>
      </w:pPr>
      <w:r>
        <w:rPr>
          <w:lang w:val="zh-CN" w:eastAsia="zh-CN"/>
        </w:rPr>
        <w:t>本建议书</w:t>
      </w:r>
      <w:r>
        <w:rPr>
          <w:rFonts w:hint="eastAsia"/>
          <w:lang w:val="zh-CN" w:eastAsia="zh-CN"/>
        </w:rPr>
        <w:t>在</w:t>
      </w:r>
      <w:r>
        <w:rPr>
          <w:lang w:val="zh-CN" w:eastAsia="zh-CN"/>
        </w:rPr>
        <w:t>ITU-T Y.4607</w:t>
      </w:r>
      <w:r>
        <w:rPr>
          <w:lang w:val="zh-CN" w:eastAsia="zh-CN"/>
        </w:rPr>
        <w:t>建议书</w:t>
      </w:r>
      <w:r>
        <w:rPr>
          <w:rFonts w:hint="eastAsia"/>
          <w:lang w:val="zh-CN" w:eastAsia="zh-CN"/>
        </w:rPr>
        <w:t>的基础上</w:t>
      </w:r>
      <w:r>
        <w:rPr>
          <w:lang w:val="zh-CN" w:eastAsia="zh-CN"/>
        </w:rPr>
        <w:t>定义了自主配送机器人的参考架构，该架构与配送机器人服务提供商、用户设备和城市基础设施互通，</w:t>
      </w:r>
      <w:r>
        <w:rPr>
          <w:rFonts w:hint="eastAsia"/>
          <w:lang w:val="zh-CN" w:eastAsia="zh-CN"/>
        </w:rPr>
        <w:t>可</w:t>
      </w:r>
      <w:r>
        <w:rPr>
          <w:lang w:val="zh-CN" w:eastAsia="zh-CN"/>
        </w:rPr>
        <w:t>在没有人为干预的情况下</w:t>
      </w:r>
      <w:r>
        <w:rPr>
          <w:rFonts w:hint="eastAsia"/>
          <w:lang w:val="zh-CN" w:eastAsia="zh-CN"/>
        </w:rPr>
        <w:t>进行</w:t>
      </w:r>
      <w:r>
        <w:rPr>
          <w:lang w:val="zh-CN" w:eastAsia="zh-CN"/>
        </w:rPr>
        <w:t>货物配送。</w:t>
      </w:r>
    </w:p>
    <w:p w14:paraId="38CF9140" w14:textId="3FACCD8A" w:rsidR="0009235E" w:rsidRPr="00BB76F4" w:rsidRDefault="0009235E" w:rsidP="0009235E">
      <w:pPr>
        <w:spacing w:before="280"/>
        <w:ind w:left="1134" w:hanging="1134"/>
        <w:outlineLvl w:val="0"/>
        <w:rPr>
          <w:rFonts w:eastAsia="Times New Roman" w:cs="Calibri"/>
          <w:b/>
          <w:bCs/>
          <w:sz w:val="28"/>
          <w:szCs w:val="28"/>
          <w:lang w:eastAsia="zh-CN"/>
        </w:rPr>
      </w:pPr>
      <w:r w:rsidRPr="00BB76F4">
        <w:rPr>
          <w:b/>
          <w:bCs/>
          <w:sz w:val="28"/>
          <w:szCs w:val="28"/>
          <w:lang w:eastAsia="zh-CN"/>
        </w:rPr>
        <w:t>2</w:t>
      </w:r>
      <w:r w:rsidRPr="00BB76F4">
        <w:rPr>
          <w:b/>
          <w:bCs/>
          <w:sz w:val="28"/>
          <w:szCs w:val="28"/>
          <w:lang w:eastAsia="zh-CN"/>
        </w:rPr>
        <w:tab/>
        <w:t>ITU-T Y.4229</w:t>
      </w:r>
      <w:r w:rsidRPr="00BB76F4">
        <w:rPr>
          <w:b/>
          <w:bCs/>
          <w:sz w:val="28"/>
          <w:szCs w:val="28"/>
          <w:lang w:eastAsia="zh-CN"/>
        </w:rPr>
        <w:t>（</w:t>
      </w:r>
      <w:r w:rsidRPr="00BB76F4">
        <w:rPr>
          <w:b/>
          <w:bCs/>
          <w:sz w:val="28"/>
          <w:szCs w:val="28"/>
          <w:lang w:val="zh-CN" w:eastAsia="zh-CN"/>
        </w:rPr>
        <w:t>原</w:t>
      </w:r>
      <w:proofErr w:type="spellStart"/>
      <w:proofErr w:type="gramStart"/>
      <w:r w:rsidRPr="00BB76F4">
        <w:rPr>
          <w:b/>
          <w:bCs/>
          <w:sz w:val="28"/>
          <w:szCs w:val="28"/>
          <w:lang w:eastAsia="zh-CN"/>
        </w:rPr>
        <w:t>Y.IoT</w:t>
      </w:r>
      <w:proofErr w:type="spellEnd"/>
      <w:proofErr w:type="gramEnd"/>
      <w:r w:rsidRPr="00BB76F4">
        <w:rPr>
          <w:b/>
          <w:bCs/>
          <w:sz w:val="28"/>
          <w:szCs w:val="28"/>
          <w:lang w:eastAsia="zh-CN"/>
        </w:rPr>
        <w:t>-SFFS</w:t>
      </w:r>
      <w:r w:rsidRPr="00BB76F4">
        <w:rPr>
          <w:b/>
          <w:bCs/>
          <w:sz w:val="28"/>
          <w:szCs w:val="28"/>
          <w:lang w:eastAsia="zh-CN"/>
        </w:rPr>
        <w:t>）</w:t>
      </w:r>
      <w:r w:rsidRPr="00BB76F4">
        <w:rPr>
          <w:b/>
          <w:bCs/>
          <w:sz w:val="28"/>
          <w:szCs w:val="28"/>
          <w:lang w:val="zh-CN" w:eastAsia="zh-CN"/>
        </w:rPr>
        <w:t>新建议书草案</w:t>
      </w:r>
      <w:r w:rsidRPr="00BB76F4">
        <w:rPr>
          <w:b/>
          <w:bCs/>
          <w:sz w:val="28"/>
          <w:szCs w:val="28"/>
          <w:lang w:eastAsia="zh-CN"/>
        </w:rPr>
        <w:t>[</w:t>
      </w:r>
      <w:hyperlink r:id="rId13" w:history="1">
        <w:r w:rsidRPr="00BB76F4">
          <w:rPr>
            <w:rStyle w:val="Hyperlink"/>
            <w:b/>
            <w:bCs/>
            <w:sz w:val="28"/>
            <w:szCs w:val="28"/>
            <w:lang w:eastAsia="zh-CN"/>
          </w:rPr>
          <w:t>R22</w:t>
        </w:r>
      </w:hyperlink>
      <w:r w:rsidRPr="00BB76F4">
        <w:rPr>
          <w:b/>
          <w:bCs/>
          <w:sz w:val="28"/>
          <w:szCs w:val="28"/>
          <w:lang w:eastAsia="zh-CN"/>
        </w:rPr>
        <w:t>]</w:t>
      </w:r>
    </w:p>
    <w:p w14:paraId="0E0417CC" w14:textId="77777777" w:rsidR="0009235E" w:rsidRPr="00962C21" w:rsidRDefault="0009235E" w:rsidP="0009235E">
      <w:pPr>
        <w:tabs>
          <w:tab w:val="clear" w:pos="1191"/>
        </w:tabs>
        <w:outlineLvl w:val="1"/>
        <w:rPr>
          <w:rFonts w:eastAsia="Times New Roman" w:cs="Calibri"/>
          <w:b/>
          <w:szCs w:val="24"/>
          <w:lang w:eastAsia="zh-CN"/>
        </w:rPr>
      </w:pPr>
      <w:r>
        <w:rPr>
          <w:b/>
          <w:bCs/>
          <w:lang w:val="zh-CN" w:eastAsia="zh-CN"/>
        </w:rPr>
        <w:t>基于物联网的智慧森林消防系统的要求和参考功能模型</w:t>
      </w:r>
    </w:p>
    <w:p w14:paraId="4E11B4E4" w14:textId="77777777" w:rsidR="0009235E" w:rsidRPr="00B26656" w:rsidRDefault="0009235E" w:rsidP="0009235E">
      <w:pPr>
        <w:ind w:left="1134" w:hanging="1134"/>
        <w:outlineLvl w:val="1"/>
        <w:rPr>
          <w:rFonts w:eastAsia="Times New Roman" w:cs="Calibri"/>
          <w:b/>
          <w:bCs/>
          <w:szCs w:val="24"/>
          <w:lang w:eastAsia="zh-CN"/>
        </w:rPr>
      </w:pPr>
      <w:r w:rsidRPr="00B26656">
        <w:rPr>
          <w:b/>
          <w:bCs/>
          <w:lang w:val="zh-CN" w:eastAsia="zh-CN"/>
        </w:rPr>
        <w:t>摘要</w:t>
      </w:r>
    </w:p>
    <w:p w14:paraId="1855691F" w14:textId="77777777" w:rsidR="0009235E" w:rsidRPr="00962C21" w:rsidRDefault="0009235E" w:rsidP="00D709A2">
      <w:pPr>
        <w:ind w:firstLineChars="200" w:firstLine="480"/>
        <w:rPr>
          <w:rFonts w:cs="Calibri"/>
          <w:szCs w:val="24"/>
          <w:lang w:eastAsia="zh-CN"/>
        </w:rPr>
      </w:pPr>
      <w:bookmarkStart w:id="2" w:name="_Hlk53129002"/>
      <w:r>
        <w:rPr>
          <w:lang w:val="zh-CN" w:eastAsia="zh-CN"/>
        </w:rPr>
        <w:t>Y.4229</w:t>
      </w:r>
      <w:r>
        <w:rPr>
          <w:lang w:val="zh-CN" w:eastAsia="zh-CN"/>
        </w:rPr>
        <w:t>建议书介绍了基于物联网（</w:t>
      </w:r>
      <w:r>
        <w:rPr>
          <w:lang w:val="zh-CN" w:eastAsia="zh-CN"/>
        </w:rPr>
        <w:t>IoT</w:t>
      </w:r>
      <w:r>
        <w:rPr>
          <w:lang w:val="zh-CN" w:eastAsia="zh-CN"/>
        </w:rPr>
        <w:t>）的智慧森林消防系统，并规定了</w:t>
      </w:r>
      <w:r>
        <w:rPr>
          <w:rFonts w:hint="eastAsia"/>
          <w:lang w:val="zh-CN" w:eastAsia="zh-CN"/>
        </w:rPr>
        <w:t>相关</w:t>
      </w:r>
      <w:r>
        <w:rPr>
          <w:lang w:val="zh-CN" w:eastAsia="zh-CN"/>
        </w:rPr>
        <w:t>参考功能模型和要求。</w:t>
      </w:r>
      <w:r>
        <w:rPr>
          <w:lang w:val="zh-CN" w:eastAsia="zh-CN"/>
        </w:rPr>
        <w:t>Y.4229</w:t>
      </w:r>
      <w:r>
        <w:rPr>
          <w:lang w:val="zh-CN" w:eastAsia="zh-CN"/>
        </w:rPr>
        <w:t>建议书旨在</w:t>
      </w:r>
      <w:r>
        <w:rPr>
          <w:rFonts w:hint="eastAsia"/>
          <w:lang w:val="zh-CN" w:eastAsia="zh-CN"/>
        </w:rPr>
        <w:t>为</w:t>
      </w:r>
      <w:r>
        <w:rPr>
          <w:lang w:val="zh-CN" w:eastAsia="zh-CN"/>
        </w:rPr>
        <w:t>基于物联网的智慧森林消防系统的设计、开发和实施</w:t>
      </w:r>
      <w:r>
        <w:rPr>
          <w:rFonts w:hint="eastAsia"/>
          <w:lang w:val="zh-CN" w:eastAsia="zh-CN"/>
        </w:rPr>
        <w:t>提供指导</w:t>
      </w:r>
      <w:r>
        <w:rPr>
          <w:lang w:val="zh-CN" w:eastAsia="zh-CN"/>
        </w:rPr>
        <w:t>。</w:t>
      </w:r>
    </w:p>
    <w:p w14:paraId="1FAE7905" w14:textId="77777777" w:rsidR="0009235E" w:rsidRPr="00962C21" w:rsidRDefault="0009235E" w:rsidP="00D709A2">
      <w:pPr>
        <w:ind w:firstLineChars="200" w:firstLine="480"/>
        <w:rPr>
          <w:rFonts w:cs="Calibri"/>
          <w:szCs w:val="24"/>
          <w:lang w:eastAsia="zh-CN"/>
        </w:rPr>
      </w:pPr>
      <w:r>
        <w:rPr>
          <w:lang w:val="zh-CN" w:eastAsia="zh-CN"/>
        </w:rPr>
        <w:t>森林火灾的频发已成为一个</w:t>
      </w:r>
      <w:r>
        <w:rPr>
          <w:rFonts w:hint="eastAsia"/>
          <w:lang w:val="zh-CN" w:eastAsia="zh-CN"/>
        </w:rPr>
        <w:t>全球</w:t>
      </w:r>
      <w:r>
        <w:rPr>
          <w:lang w:val="zh-CN" w:eastAsia="zh-CN"/>
        </w:rPr>
        <w:t>问题。尽管许多国家已投入大量资金</w:t>
      </w:r>
      <w:r>
        <w:rPr>
          <w:rFonts w:hint="eastAsia"/>
          <w:lang w:val="zh-CN" w:eastAsia="zh-CN"/>
        </w:rPr>
        <w:t>研究</w:t>
      </w:r>
      <w:r>
        <w:rPr>
          <w:lang w:val="zh-CN" w:eastAsia="zh-CN"/>
        </w:rPr>
        <w:t>各种对策，但仍有一些挑战有待克服。这些挑战包括无法完全监测广袤</w:t>
      </w:r>
      <w:r>
        <w:rPr>
          <w:rFonts w:hint="eastAsia"/>
          <w:lang w:val="zh-CN" w:eastAsia="zh-CN"/>
        </w:rPr>
        <w:t>的</w:t>
      </w:r>
      <w:r>
        <w:rPr>
          <w:lang w:val="zh-CN" w:eastAsia="zh-CN"/>
        </w:rPr>
        <w:t>森林，以及</w:t>
      </w:r>
      <w:r>
        <w:rPr>
          <w:rFonts w:hint="eastAsia"/>
          <w:lang w:val="zh-CN" w:eastAsia="zh-CN"/>
        </w:rPr>
        <w:t>由于</w:t>
      </w:r>
      <w:r>
        <w:rPr>
          <w:lang w:val="zh-CN" w:eastAsia="zh-CN"/>
        </w:rPr>
        <w:t>森林网络覆盖不完整，妨碍了信息</w:t>
      </w:r>
      <w:r>
        <w:rPr>
          <w:rFonts w:hint="eastAsia"/>
          <w:lang w:val="zh-CN" w:eastAsia="zh-CN"/>
        </w:rPr>
        <w:t>的</w:t>
      </w:r>
      <w:r>
        <w:rPr>
          <w:lang w:val="zh-CN" w:eastAsia="zh-CN"/>
        </w:rPr>
        <w:t>有效传输。此外，典型物联网设备的性能往往无法满足森林应用的实际要求。此外，缺乏针对即将发生的森林火灾的早期预警系统，这会延误火灾发生时的灭火和救援工作，并且缺乏对灾后能力的充分评估和检查。</w:t>
      </w:r>
    </w:p>
    <w:p w14:paraId="0365757C" w14:textId="77777777" w:rsidR="0009235E" w:rsidRPr="00962C21" w:rsidRDefault="0009235E" w:rsidP="00D709A2">
      <w:pPr>
        <w:ind w:firstLineChars="200" w:firstLine="480"/>
        <w:rPr>
          <w:rFonts w:cs="Calibri"/>
          <w:szCs w:val="24"/>
          <w:lang w:eastAsia="zh-CN"/>
        </w:rPr>
      </w:pPr>
      <w:r>
        <w:rPr>
          <w:lang w:val="zh-CN" w:eastAsia="zh-CN"/>
        </w:rPr>
        <w:t>随着物联网和人工智能的发展，森林消防系统变得越来越智能。在森林地区部署智慧森林消防系统，</w:t>
      </w:r>
      <w:r>
        <w:rPr>
          <w:rFonts w:hint="eastAsia"/>
          <w:lang w:val="zh-CN" w:eastAsia="zh-CN"/>
        </w:rPr>
        <w:t>能够实现</w:t>
      </w:r>
      <w:r>
        <w:rPr>
          <w:lang w:val="zh-CN" w:eastAsia="zh-CN"/>
        </w:rPr>
        <w:t>在森林火灾发生之前</w:t>
      </w:r>
      <w:r>
        <w:rPr>
          <w:rFonts w:hint="eastAsia"/>
          <w:lang w:val="zh-CN" w:eastAsia="zh-CN"/>
        </w:rPr>
        <w:t>开展</w:t>
      </w:r>
      <w:r>
        <w:rPr>
          <w:lang w:val="zh-CN" w:eastAsia="zh-CN"/>
        </w:rPr>
        <w:t>实时监测和早期预警。当火灾爆发时，</w:t>
      </w:r>
      <w:r>
        <w:rPr>
          <w:rFonts w:hint="eastAsia"/>
          <w:lang w:val="zh-CN" w:eastAsia="zh-CN"/>
        </w:rPr>
        <w:t>其可用于</w:t>
      </w:r>
      <w:r>
        <w:rPr>
          <w:lang w:val="zh-CN" w:eastAsia="zh-CN"/>
        </w:rPr>
        <w:t>预测、定位、评估和灭火，并在火灾发生后</w:t>
      </w:r>
      <w:r>
        <w:rPr>
          <w:rFonts w:hint="eastAsia"/>
          <w:lang w:val="zh-CN" w:eastAsia="zh-CN"/>
        </w:rPr>
        <w:t>进行</w:t>
      </w:r>
      <w:r>
        <w:rPr>
          <w:lang w:val="zh-CN" w:eastAsia="zh-CN"/>
        </w:rPr>
        <w:t>检查和损失评估。</w:t>
      </w:r>
    </w:p>
    <w:bookmarkEnd w:id="2"/>
    <w:p w14:paraId="6658C028" w14:textId="579AE357" w:rsidR="0009235E" w:rsidRPr="009E6B3D" w:rsidRDefault="0009235E" w:rsidP="0009235E">
      <w:pPr>
        <w:spacing w:before="280"/>
        <w:ind w:left="1134" w:hanging="1134"/>
        <w:outlineLvl w:val="0"/>
        <w:rPr>
          <w:rFonts w:eastAsia="Times New Roman" w:cs="Calibri"/>
          <w:b/>
          <w:bCs/>
          <w:sz w:val="28"/>
          <w:szCs w:val="28"/>
          <w:lang w:val="fr-CH" w:eastAsia="zh-CN"/>
        </w:rPr>
      </w:pPr>
      <w:r w:rsidRPr="009E6B3D">
        <w:rPr>
          <w:b/>
          <w:bCs/>
          <w:sz w:val="28"/>
          <w:szCs w:val="28"/>
          <w:lang w:val="fr-CH" w:eastAsia="zh-CN"/>
        </w:rPr>
        <w:t>3</w:t>
      </w:r>
      <w:r w:rsidRPr="009E6B3D">
        <w:rPr>
          <w:b/>
          <w:bCs/>
          <w:sz w:val="28"/>
          <w:szCs w:val="28"/>
          <w:lang w:val="fr-CH" w:eastAsia="zh-CN"/>
        </w:rPr>
        <w:tab/>
        <w:t>ITU-T Y.4230</w:t>
      </w:r>
      <w:r w:rsidRPr="00BB76F4">
        <w:rPr>
          <w:b/>
          <w:bCs/>
          <w:sz w:val="28"/>
          <w:szCs w:val="28"/>
          <w:lang w:val="zh-CN" w:eastAsia="zh-CN"/>
        </w:rPr>
        <w:t>新建议书草案</w:t>
      </w:r>
      <w:r w:rsidRPr="009E6B3D">
        <w:rPr>
          <w:b/>
          <w:bCs/>
          <w:sz w:val="28"/>
          <w:szCs w:val="28"/>
          <w:lang w:val="fr-CH" w:eastAsia="zh-CN"/>
        </w:rPr>
        <w:t>（</w:t>
      </w:r>
      <w:r w:rsidRPr="00BB76F4">
        <w:rPr>
          <w:b/>
          <w:bCs/>
          <w:sz w:val="28"/>
          <w:szCs w:val="28"/>
          <w:lang w:val="zh-CN" w:eastAsia="zh-CN"/>
        </w:rPr>
        <w:t>原</w:t>
      </w:r>
      <w:proofErr w:type="gramStart"/>
      <w:r w:rsidRPr="009E6B3D">
        <w:rPr>
          <w:b/>
          <w:bCs/>
          <w:sz w:val="28"/>
          <w:szCs w:val="28"/>
          <w:lang w:val="fr-CH" w:eastAsia="zh-CN"/>
        </w:rPr>
        <w:t>Y.EV</w:t>
      </w:r>
      <w:proofErr w:type="gramEnd"/>
      <w:r w:rsidRPr="009E6B3D">
        <w:rPr>
          <w:b/>
          <w:bCs/>
          <w:sz w:val="28"/>
          <w:szCs w:val="28"/>
          <w:lang w:val="fr-CH" w:eastAsia="zh-CN"/>
        </w:rPr>
        <w:t>-</w:t>
      </w:r>
      <w:proofErr w:type="spellStart"/>
      <w:r w:rsidRPr="009E6B3D">
        <w:rPr>
          <w:b/>
          <w:bCs/>
          <w:sz w:val="28"/>
          <w:szCs w:val="28"/>
          <w:lang w:val="fr-CH" w:eastAsia="zh-CN"/>
        </w:rPr>
        <w:t>charging</w:t>
      </w:r>
      <w:proofErr w:type="spellEnd"/>
      <w:r w:rsidRPr="009E6B3D">
        <w:rPr>
          <w:b/>
          <w:bCs/>
          <w:sz w:val="28"/>
          <w:szCs w:val="28"/>
          <w:lang w:val="fr-CH" w:eastAsia="zh-CN"/>
        </w:rPr>
        <w:t>）：</w:t>
      </w:r>
      <w:r w:rsidRPr="009E6B3D">
        <w:rPr>
          <w:b/>
          <w:bCs/>
          <w:sz w:val="28"/>
          <w:szCs w:val="28"/>
          <w:lang w:val="fr-CH" w:eastAsia="zh-CN"/>
        </w:rPr>
        <w:t>[</w:t>
      </w:r>
      <w:hyperlink r:id="rId14" w:history="1">
        <w:r w:rsidRPr="009E6B3D">
          <w:rPr>
            <w:rStyle w:val="Hyperlink"/>
            <w:b/>
            <w:bCs/>
            <w:sz w:val="28"/>
            <w:szCs w:val="28"/>
            <w:lang w:val="fr-CH" w:eastAsia="zh-CN"/>
          </w:rPr>
          <w:t>R23</w:t>
        </w:r>
      </w:hyperlink>
      <w:r w:rsidRPr="009E6B3D">
        <w:rPr>
          <w:b/>
          <w:bCs/>
          <w:sz w:val="28"/>
          <w:szCs w:val="28"/>
          <w:lang w:val="fr-CH" w:eastAsia="zh-CN"/>
        </w:rPr>
        <w:t>]</w:t>
      </w:r>
    </w:p>
    <w:p w14:paraId="75D09B84" w14:textId="77777777" w:rsidR="0009235E" w:rsidRPr="009E6B3D" w:rsidRDefault="0009235E" w:rsidP="0009235E">
      <w:pPr>
        <w:ind w:left="1134" w:hanging="1134"/>
        <w:outlineLvl w:val="1"/>
        <w:rPr>
          <w:rFonts w:eastAsia="Times New Roman" w:cs="Calibri"/>
          <w:b/>
          <w:bCs/>
          <w:lang w:val="fr-CH" w:eastAsia="zh-CN"/>
        </w:rPr>
      </w:pPr>
      <w:r>
        <w:rPr>
          <w:b/>
          <w:bCs/>
          <w:lang w:val="zh-CN" w:eastAsia="zh-CN"/>
        </w:rPr>
        <w:t>电动车辆公共智能充电服务的要求和能力框架</w:t>
      </w:r>
    </w:p>
    <w:p w14:paraId="5EEB00C0" w14:textId="77777777" w:rsidR="0009235E" w:rsidRPr="009E6B3D" w:rsidRDefault="0009235E" w:rsidP="0009235E">
      <w:pPr>
        <w:ind w:left="1134" w:hanging="1134"/>
        <w:outlineLvl w:val="1"/>
        <w:rPr>
          <w:rFonts w:eastAsia="Times New Roman" w:cs="Calibri"/>
          <w:b/>
          <w:bCs/>
          <w:lang w:val="fr-CH" w:eastAsia="zh-CN"/>
        </w:rPr>
      </w:pPr>
      <w:r w:rsidRPr="00B26656">
        <w:rPr>
          <w:b/>
          <w:bCs/>
          <w:lang w:val="zh-CN" w:eastAsia="zh-CN"/>
        </w:rPr>
        <w:t>摘要</w:t>
      </w:r>
    </w:p>
    <w:p w14:paraId="7888B1DE" w14:textId="77777777" w:rsidR="0009235E" w:rsidRPr="00481662" w:rsidRDefault="0009235E" w:rsidP="00D709A2">
      <w:pPr>
        <w:ind w:firstLineChars="200" w:firstLine="480"/>
        <w:rPr>
          <w:rFonts w:cs="Calibri"/>
          <w:noProof/>
          <w:lang w:eastAsia="zh-CN"/>
        </w:rPr>
      </w:pPr>
      <w:r>
        <w:rPr>
          <w:lang w:val="zh-CN" w:eastAsia="zh-CN"/>
        </w:rPr>
        <w:t>随着城市中</w:t>
      </w:r>
      <w:r>
        <w:rPr>
          <w:rFonts w:hint="eastAsia"/>
          <w:lang w:val="zh-CN" w:eastAsia="zh-CN"/>
        </w:rPr>
        <w:t>公众对</w:t>
      </w:r>
      <w:r>
        <w:rPr>
          <w:lang w:val="zh-CN" w:eastAsia="zh-CN"/>
        </w:rPr>
        <w:t>电动车辆（</w:t>
      </w:r>
      <w:r>
        <w:rPr>
          <w:lang w:val="zh-CN" w:eastAsia="zh-CN"/>
        </w:rPr>
        <w:t>EV</w:t>
      </w:r>
      <w:r>
        <w:rPr>
          <w:lang w:val="zh-CN" w:eastAsia="zh-CN"/>
        </w:rPr>
        <w:t>）使用的快速增长，越来越多的电动车辆用户需要公共充电服务。因此，电动车辆公共智能充电服务</w:t>
      </w:r>
      <w:r>
        <w:rPr>
          <w:rFonts w:hint="eastAsia"/>
          <w:lang w:val="zh-CN" w:eastAsia="zh-CN"/>
        </w:rPr>
        <w:t>既</w:t>
      </w:r>
      <w:r>
        <w:rPr>
          <w:lang w:val="zh-CN" w:eastAsia="zh-CN"/>
        </w:rPr>
        <w:t>是未来的发展方向，也是智慧城市的重要组成部分。与传统充电服务相比，公共智能充电</w:t>
      </w:r>
      <w:r>
        <w:rPr>
          <w:rFonts w:hint="eastAsia"/>
          <w:lang w:val="zh-CN" w:eastAsia="zh-CN"/>
        </w:rPr>
        <w:t>服</w:t>
      </w:r>
      <w:r>
        <w:rPr>
          <w:lang w:val="zh-CN" w:eastAsia="zh-CN"/>
        </w:rPr>
        <w:t>务具有高度网络化和系统数字化的优势，</w:t>
      </w:r>
      <w:r>
        <w:rPr>
          <w:rFonts w:hint="eastAsia"/>
          <w:lang w:val="zh-CN" w:eastAsia="zh-CN"/>
        </w:rPr>
        <w:t>且可以提供</w:t>
      </w:r>
      <w:r>
        <w:rPr>
          <w:lang w:val="zh-CN" w:eastAsia="zh-CN"/>
        </w:rPr>
        <w:t>灵活便捷的电力智能化管理。公共智能充电服务将</w:t>
      </w:r>
      <w:r>
        <w:rPr>
          <w:rFonts w:hint="eastAsia"/>
          <w:lang w:val="zh-CN" w:eastAsia="zh-CN"/>
        </w:rPr>
        <w:t>根植于</w:t>
      </w:r>
      <w:r>
        <w:rPr>
          <w:lang w:val="zh-CN" w:eastAsia="zh-CN"/>
        </w:rPr>
        <w:t>智慧城市基础设施，对未来智慧城市</w:t>
      </w:r>
      <w:r>
        <w:rPr>
          <w:rFonts w:hint="eastAsia"/>
          <w:lang w:val="zh-CN" w:eastAsia="zh-CN"/>
        </w:rPr>
        <w:t>不可或缺</w:t>
      </w:r>
      <w:r>
        <w:rPr>
          <w:lang w:val="zh-CN" w:eastAsia="zh-CN"/>
        </w:rPr>
        <w:t>。</w:t>
      </w:r>
    </w:p>
    <w:p w14:paraId="2F1C95F9" w14:textId="77777777" w:rsidR="0009235E" w:rsidRPr="00481662" w:rsidRDefault="0009235E" w:rsidP="00D709A2">
      <w:pPr>
        <w:ind w:firstLineChars="200" w:firstLine="480"/>
        <w:rPr>
          <w:rFonts w:cs="Calibri"/>
          <w:noProof/>
          <w:lang w:eastAsia="zh-CN"/>
        </w:rPr>
      </w:pPr>
      <w:r>
        <w:rPr>
          <w:lang w:val="zh-CN" w:eastAsia="zh-CN"/>
        </w:rPr>
        <w:t>本建议书规定了电动车辆公共智能充电服务的要求和能力框架，</w:t>
      </w:r>
      <w:r>
        <w:rPr>
          <w:rFonts w:hint="eastAsia"/>
          <w:lang w:val="zh-CN" w:eastAsia="zh-CN"/>
        </w:rPr>
        <w:t>目的是</w:t>
      </w:r>
      <w:r>
        <w:rPr>
          <w:lang w:val="zh-CN" w:eastAsia="zh-CN"/>
        </w:rPr>
        <w:t>优化电动车辆充电服务流程，提升电动车辆用户的电动车辆充电服务体验。</w:t>
      </w:r>
    </w:p>
    <w:p w14:paraId="76B242E7" w14:textId="08940F3D" w:rsidR="0009235E" w:rsidRPr="00BB76F4" w:rsidRDefault="0009235E" w:rsidP="00D709A2">
      <w:pPr>
        <w:keepNext/>
        <w:keepLines/>
        <w:rPr>
          <w:rFonts w:eastAsia="Times New Roman" w:cs="Calibri"/>
          <w:b/>
          <w:bCs/>
          <w:sz w:val="28"/>
          <w:szCs w:val="28"/>
          <w:lang w:eastAsia="zh-CN"/>
        </w:rPr>
      </w:pPr>
      <w:r w:rsidRPr="00BB76F4">
        <w:rPr>
          <w:b/>
          <w:bCs/>
          <w:sz w:val="28"/>
          <w:szCs w:val="28"/>
          <w:lang w:eastAsia="zh-CN"/>
        </w:rPr>
        <w:lastRenderedPageBreak/>
        <w:t>4</w:t>
      </w:r>
      <w:r w:rsidRPr="00BB76F4">
        <w:rPr>
          <w:b/>
          <w:bCs/>
          <w:sz w:val="28"/>
          <w:szCs w:val="28"/>
          <w:lang w:eastAsia="zh-CN"/>
        </w:rPr>
        <w:tab/>
        <w:t>ITU-T Y.4231</w:t>
      </w:r>
      <w:r w:rsidRPr="00BB76F4">
        <w:rPr>
          <w:b/>
          <w:bCs/>
          <w:sz w:val="28"/>
          <w:szCs w:val="28"/>
          <w:lang w:eastAsia="zh-CN"/>
        </w:rPr>
        <w:t>（</w:t>
      </w:r>
      <w:r w:rsidRPr="00BB76F4">
        <w:rPr>
          <w:b/>
          <w:bCs/>
          <w:sz w:val="28"/>
          <w:szCs w:val="28"/>
          <w:lang w:val="zh-CN" w:eastAsia="zh-CN"/>
        </w:rPr>
        <w:t>原</w:t>
      </w:r>
      <w:proofErr w:type="spellStart"/>
      <w:proofErr w:type="gramStart"/>
      <w:r w:rsidRPr="00BB76F4">
        <w:rPr>
          <w:b/>
          <w:bCs/>
          <w:sz w:val="28"/>
          <w:szCs w:val="28"/>
          <w:lang w:eastAsia="zh-CN"/>
        </w:rPr>
        <w:t>Y.IoT</w:t>
      </w:r>
      <w:proofErr w:type="gramEnd"/>
      <w:r w:rsidRPr="00BB76F4">
        <w:rPr>
          <w:b/>
          <w:bCs/>
          <w:sz w:val="28"/>
          <w:szCs w:val="28"/>
          <w:lang w:eastAsia="zh-CN"/>
        </w:rPr>
        <w:t>-Vreqs</w:t>
      </w:r>
      <w:proofErr w:type="spellEnd"/>
      <w:r w:rsidRPr="00BB76F4">
        <w:rPr>
          <w:b/>
          <w:bCs/>
          <w:sz w:val="28"/>
          <w:szCs w:val="28"/>
          <w:lang w:eastAsia="zh-CN"/>
        </w:rPr>
        <w:t>）</w:t>
      </w:r>
      <w:r w:rsidRPr="00BB76F4">
        <w:rPr>
          <w:b/>
          <w:bCs/>
          <w:sz w:val="28"/>
          <w:szCs w:val="28"/>
          <w:lang w:val="zh-CN" w:eastAsia="zh-CN"/>
        </w:rPr>
        <w:t>新建议书草案</w:t>
      </w:r>
      <w:r w:rsidRPr="00BB76F4">
        <w:rPr>
          <w:b/>
          <w:bCs/>
          <w:sz w:val="28"/>
          <w:szCs w:val="28"/>
          <w:lang w:eastAsia="zh-CN"/>
        </w:rPr>
        <w:t>：</w:t>
      </w:r>
      <w:r w:rsidRPr="00BB76F4">
        <w:rPr>
          <w:b/>
          <w:bCs/>
          <w:sz w:val="28"/>
          <w:szCs w:val="28"/>
          <w:lang w:eastAsia="zh-CN"/>
        </w:rPr>
        <w:t>[</w:t>
      </w:r>
      <w:hyperlink r:id="rId15" w:history="1">
        <w:r w:rsidRPr="00BB76F4">
          <w:rPr>
            <w:rStyle w:val="Hyperlink"/>
            <w:b/>
            <w:bCs/>
            <w:sz w:val="28"/>
            <w:szCs w:val="28"/>
            <w:lang w:eastAsia="zh-CN"/>
          </w:rPr>
          <w:t>R24</w:t>
        </w:r>
      </w:hyperlink>
      <w:r w:rsidRPr="00BB76F4">
        <w:rPr>
          <w:b/>
          <w:bCs/>
          <w:sz w:val="28"/>
          <w:szCs w:val="28"/>
          <w:lang w:eastAsia="zh-CN"/>
        </w:rPr>
        <w:t>]</w:t>
      </w:r>
    </w:p>
    <w:p w14:paraId="2FBD82C4" w14:textId="77777777" w:rsidR="0009235E" w:rsidRPr="007C69E5" w:rsidRDefault="0009235E" w:rsidP="0009235E">
      <w:pPr>
        <w:ind w:left="1134" w:hanging="1134"/>
        <w:outlineLvl w:val="1"/>
        <w:rPr>
          <w:rFonts w:eastAsia="Times New Roman" w:cs="Calibri"/>
          <w:b/>
          <w:bCs/>
          <w:lang w:eastAsia="zh-CN"/>
        </w:rPr>
      </w:pPr>
      <w:r>
        <w:rPr>
          <w:b/>
          <w:bCs/>
          <w:lang w:val="zh-CN" w:eastAsia="zh-CN"/>
        </w:rPr>
        <w:t>视觉物联网</w:t>
      </w:r>
      <w:r>
        <w:rPr>
          <w:rFonts w:hint="eastAsia"/>
          <w:b/>
          <w:bCs/>
          <w:lang w:val="zh-CN" w:eastAsia="zh-CN"/>
        </w:rPr>
        <w:t>的</w:t>
      </w:r>
      <w:r>
        <w:rPr>
          <w:b/>
          <w:bCs/>
          <w:lang w:val="zh-CN" w:eastAsia="zh-CN"/>
        </w:rPr>
        <w:t>要求和能力框架</w:t>
      </w:r>
    </w:p>
    <w:p w14:paraId="144E73F2" w14:textId="77777777" w:rsidR="0009235E" w:rsidRPr="007E0823" w:rsidRDefault="0009235E" w:rsidP="0009235E">
      <w:pPr>
        <w:ind w:left="1134" w:hanging="1134"/>
        <w:outlineLvl w:val="1"/>
        <w:rPr>
          <w:rFonts w:eastAsia="Times New Roman" w:cs="Calibri"/>
          <w:b/>
          <w:bCs/>
          <w:lang w:eastAsia="zh-CN"/>
        </w:rPr>
      </w:pPr>
      <w:r w:rsidRPr="007E0823">
        <w:rPr>
          <w:b/>
          <w:bCs/>
          <w:lang w:val="zh-CN" w:eastAsia="zh-CN"/>
        </w:rPr>
        <w:t>摘要</w:t>
      </w:r>
    </w:p>
    <w:p w14:paraId="20C2BD1E" w14:textId="77777777" w:rsidR="0009235E" w:rsidRPr="007C69E5" w:rsidRDefault="0009235E" w:rsidP="00D709A2">
      <w:pPr>
        <w:ind w:firstLineChars="200" w:firstLine="480"/>
        <w:outlineLvl w:val="0"/>
        <w:rPr>
          <w:rFonts w:cs="Calibri"/>
          <w:lang w:eastAsia="zh-CN"/>
        </w:rPr>
      </w:pPr>
      <w:r>
        <w:rPr>
          <w:lang w:val="zh-CN" w:eastAsia="zh-CN"/>
        </w:rPr>
        <w:t>本建议书提供了视觉物联网（</w:t>
      </w:r>
      <w:r>
        <w:rPr>
          <w:lang w:val="zh-CN" w:eastAsia="zh-CN"/>
        </w:rPr>
        <w:t>IoT</w:t>
      </w:r>
      <w:r>
        <w:rPr>
          <w:lang w:val="zh-CN" w:eastAsia="zh-CN"/>
        </w:rPr>
        <w:t>）的要求和能力框架</w:t>
      </w:r>
      <w:r>
        <w:rPr>
          <w:rFonts w:hint="eastAsia"/>
          <w:lang w:val="zh-CN" w:eastAsia="zh-CN"/>
        </w:rPr>
        <w:t>，</w:t>
      </w:r>
      <w:r>
        <w:rPr>
          <w:lang w:val="zh-CN" w:eastAsia="zh-CN"/>
        </w:rPr>
        <w:t>用于视觉物联网应用</w:t>
      </w:r>
      <w:r>
        <w:rPr>
          <w:rFonts w:hint="eastAsia"/>
          <w:lang w:val="zh-CN" w:eastAsia="zh-CN"/>
        </w:rPr>
        <w:t>的</w:t>
      </w:r>
      <w:r>
        <w:rPr>
          <w:lang w:val="zh-CN" w:eastAsia="zh-CN"/>
        </w:rPr>
        <w:t>典型工作流程以及一些相关的视觉物联网（</w:t>
      </w:r>
      <w:r>
        <w:rPr>
          <w:lang w:val="zh-CN" w:eastAsia="zh-CN"/>
        </w:rPr>
        <w:t>IoT</w:t>
      </w:r>
      <w:r>
        <w:rPr>
          <w:lang w:val="zh-CN" w:eastAsia="zh-CN"/>
        </w:rPr>
        <w:t>）</w:t>
      </w:r>
      <w:r>
        <w:rPr>
          <w:rFonts w:hint="eastAsia"/>
          <w:lang w:val="zh-CN" w:eastAsia="zh-CN"/>
        </w:rPr>
        <w:t>使用案例</w:t>
      </w:r>
      <w:r>
        <w:rPr>
          <w:lang w:val="zh-CN" w:eastAsia="zh-CN"/>
        </w:rPr>
        <w:t>。</w:t>
      </w:r>
    </w:p>
    <w:p w14:paraId="69DDF632" w14:textId="77777777" w:rsidR="0009235E" w:rsidRPr="007C69E5" w:rsidRDefault="0009235E" w:rsidP="00D709A2">
      <w:pPr>
        <w:ind w:firstLineChars="200" w:firstLine="480"/>
        <w:outlineLvl w:val="0"/>
        <w:rPr>
          <w:rFonts w:cs="Calibri"/>
          <w:lang w:eastAsia="zh-CN"/>
        </w:rPr>
      </w:pPr>
      <w:r>
        <w:rPr>
          <w:lang w:val="zh-CN" w:eastAsia="zh-CN"/>
        </w:rPr>
        <w:t>随着智慧城市和无数基于物联网的垂直行业的普及和发展，物联网（</w:t>
      </w:r>
      <w:r>
        <w:rPr>
          <w:lang w:val="zh-CN" w:eastAsia="zh-CN"/>
        </w:rPr>
        <w:t>IoT</w:t>
      </w:r>
      <w:r>
        <w:rPr>
          <w:lang w:val="zh-CN" w:eastAsia="zh-CN"/>
        </w:rPr>
        <w:t>）的内涵不断拓展，不再局限于简单的传感器数据采集和鉴别。</w:t>
      </w:r>
    </w:p>
    <w:p w14:paraId="033AD541" w14:textId="77777777" w:rsidR="0009235E" w:rsidRPr="007C69E5" w:rsidRDefault="0009235E" w:rsidP="00D709A2">
      <w:pPr>
        <w:ind w:firstLineChars="200" w:firstLine="480"/>
        <w:outlineLvl w:val="0"/>
        <w:rPr>
          <w:rFonts w:cs="Calibri"/>
          <w:lang w:eastAsia="zh-CN"/>
        </w:rPr>
      </w:pPr>
      <w:r>
        <w:rPr>
          <w:lang w:val="zh-CN" w:eastAsia="zh-CN"/>
        </w:rPr>
        <w:t>视觉物联网是物联网的主要发展方向之一，使用数字相机和其他类型的传感器感知</w:t>
      </w:r>
      <w:r>
        <w:rPr>
          <w:rFonts w:hint="eastAsia"/>
          <w:lang w:val="zh-CN" w:eastAsia="zh-CN"/>
        </w:rPr>
        <w:t>其</w:t>
      </w:r>
      <w:r>
        <w:rPr>
          <w:lang w:val="zh-CN" w:eastAsia="zh-CN"/>
        </w:rPr>
        <w:t>感兴趣的物体（包括人、车辆、动物等）并在适当分析的基础上用于各种应用。</w:t>
      </w:r>
    </w:p>
    <w:p w14:paraId="0313C01C" w14:textId="0713DCC7" w:rsidR="0009235E" w:rsidRPr="00BB76F4" w:rsidRDefault="0009235E" w:rsidP="0009235E">
      <w:pPr>
        <w:spacing w:before="280"/>
        <w:ind w:left="1134" w:hanging="1134"/>
        <w:outlineLvl w:val="0"/>
        <w:rPr>
          <w:rFonts w:eastAsia="Times New Roman" w:cs="Calibri"/>
          <w:b/>
          <w:bCs/>
          <w:sz w:val="28"/>
          <w:szCs w:val="28"/>
          <w:lang w:eastAsia="zh-CN"/>
        </w:rPr>
      </w:pPr>
      <w:r w:rsidRPr="00BB76F4">
        <w:rPr>
          <w:b/>
          <w:bCs/>
          <w:sz w:val="28"/>
          <w:szCs w:val="28"/>
          <w:lang w:eastAsia="zh-CN"/>
        </w:rPr>
        <w:t>5</w:t>
      </w:r>
      <w:r w:rsidRPr="00BB76F4">
        <w:rPr>
          <w:b/>
          <w:bCs/>
          <w:sz w:val="28"/>
          <w:szCs w:val="28"/>
          <w:lang w:eastAsia="zh-CN"/>
        </w:rPr>
        <w:tab/>
        <w:t>ITU-T Y.4232</w:t>
      </w:r>
      <w:r w:rsidRPr="00BB76F4">
        <w:rPr>
          <w:b/>
          <w:bCs/>
          <w:sz w:val="28"/>
          <w:szCs w:val="28"/>
          <w:lang w:eastAsia="zh-CN"/>
        </w:rPr>
        <w:t>（</w:t>
      </w:r>
      <w:r w:rsidRPr="00BB76F4">
        <w:rPr>
          <w:b/>
          <w:bCs/>
          <w:sz w:val="28"/>
          <w:szCs w:val="28"/>
          <w:lang w:val="zh-CN" w:eastAsia="zh-CN"/>
        </w:rPr>
        <w:t>原</w:t>
      </w:r>
      <w:proofErr w:type="spellStart"/>
      <w:proofErr w:type="gramStart"/>
      <w:r w:rsidRPr="00BB76F4">
        <w:rPr>
          <w:b/>
          <w:bCs/>
          <w:sz w:val="28"/>
          <w:szCs w:val="28"/>
          <w:lang w:eastAsia="zh-CN"/>
        </w:rPr>
        <w:t>Y.IoT</w:t>
      </w:r>
      <w:proofErr w:type="spellEnd"/>
      <w:proofErr w:type="gramEnd"/>
      <w:r w:rsidRPr="00BB76F4">
        <w:rPr>
          <w:b/>
          <w:bCs/>
          <w:sz w:val="28"/>
          <w:szCs w:val="28"/>
          <w:lang w:eastAsia="zh-CN"/>
        </w:rPr>
        <w:t>-RTPS</w:t>
      </w:r>
      <w:r w:rsidRPr="00BB76F4">
        <w:rPr>
          <w:b/>
          <w:bCs/>
          <w:sz w:val="28"/>
          <w:szCs w:val="28"/>
          <w:lang w:eastAsia="zh-CN"/>
        </w:rPr>
        <w:t>）</w:t>
      </w:r>
      <w:r w:rsidRPr="00BB76F4">
        <w:rPr>
          <w:b/>
          <w:bCs/>
          <w:sz w:val="28"/>
          <w:szCs w:val="28"/>
          <w:lang w:val="zh-CN" w:eastAsia="zh-CN"/>
        </w:rPr>
        <w:t>新建议书草案</w:t>
      </w:r>
      <w:r w:rsidRPr="00BB76F4">
        <w:rPr>
          <w:b/>
          <w:bCs/>
          <w:sz w:val="28"/>
          <w:szCs w:val="28"/>
          <w:lang w:eastAsia="zh-CN"/>
        </w:rPr>
        <w:t>[</w:t>
      </w:r>
      <w:hyperlink r:id="rId16" w:history="1">
        <w:r w:rsidRPr="00BB76F4">
          <w:rPr>
            <w:rStyle w:val="Hyperlink"/>
            <w:b/>
            <w:bCs/>
            <w:sz w:val="28"/>
            <w:szCs w:val="28"/>
            <w:lang w:eastAsia="zh-CN"/>
          </w:rPr>
          <w:t>R25</w:t>
        </w:r>
      </w:hyperlink>
      <w:r w:rsidRPr="00BB76F4">
        <w:rPr>
          <w:b/>
          <w:bCs/>
          <w:sz w:val="28"/>
          <w:szCs w:val="28"/>
          <w:lang w:eastAsia="zh-CN"/>
        </w:rPr>
        <w:t>]</w:t>
      </w:r>
    </w:p>
    <w:p w14:paraId="27BDAD12" w14:textId="77777777" w:rsidR="0009235E" w:rsidRPr="00962C21" w:rsidRDefault="0009235E" w:rsidP="0009235E">
      <w:pPr>
        <w:tabs>
          <w:tab w:val="clear" w:pos="1191"/>
          <w:tab w:val="left" w:pos="0"/>
        </w:tabs>
        <w:outlineLvl w:val="1"/>
        <w:rPr>
          <w:rFonts w:eastAsia="Times New Roman" w:cs="Calibri"/>
          <w:b/>
          <w:bCs/>
          <w:lang w:eastAsia="zh-CN"/>
        </w:rPr>
      </w:pPr>
      <w:r>
        <w:rPr>
          <w:b/>
          <w:bCs/>
          <w:lang w:val="zh-CN" w:eastAsia="zh-CN"/>
        </w:rPr>
        <w:t>路旁交通感知系统</w:t>
      </w:r>
      <w:r>
        <w:rPr>
          <w:rFonts w:hint="eastAsia"/>
          <w:b/>
          <w:bCs/>
          <w:lang w:val="zh-CN" w:eastAsia="zh-CN"/>
        </w:rPr>
        <w:t>的</w:t>
      </w:r>
      <w:r>
        <w:rPr>
          <w:b/>
          <w:bCs/>
          <w:lang w:val="zh-CN" w:eastAsia="zh-CN"/>
        </w:rPr>
        <w:t>物联网基础设施的要求、能力和使用案例</w:t>
      </w:r>
    </w:p>
    <w:p w14:paraId="32A54D2C" w14:textId="77777777" w:rsidR="0009235E" w:rsidRPr="003B2AA0" w:rsidRDefault="0009235E" w:rsidP="0009235E">
      <w:pPr>
        <w:ind w:left="1134" w:hanging="1134"/>
        <w:outlineLvl w:val="1"/>
        <w:rPr>
          <w:rFonts w:eastAsia="Times New Roman" w:cs="Calibri"/>
          <w:b/>
          <w:bCs/>
          <w:lang w:eastAsia="zh-CN"/>
        </w:rPr>
      </w:pPr>
      <w:r w:rsidRPr="003B2AA0">
        <w:rPr>
          <w:b/>
          <w:bCs/>
          <w:lang w:val="zh-CN" w:eastAsia="zh-CN"/>
        </w:rPr>
        <w:t>摘要</w:t>
      </w:r>
    </w:p>
    <w:p w14:paraId="0A8E67AE" w14:textId="77777777" w:rsidR="0009235E" w:rsidRPr="00962C21" w:rsidRDefault="0009235E" w:rsidP="00D709A2">
      <w:pPr>
        <w:tabs>
          <w:tab w:val="clear" w:pos="1191"/>
          <w:tab w:val="left" w:pos="0"/>
        </w:tabs>
        <w:ind w:firstLineChars="200" w:firstLine="480"/>
        <w:outlineLvl w:val="0"/>
        <w:rPr>
          <w:rFonts w:cs="Calibri"/>
          <w:iCs/>
          <w:lang w:eastAsia="zh-CN"/>
        </w:rPr>
      </w:pPr>
      <w:r>
        <w:rPr>
          <w:lang w:val="zh-CN" w:eastAsia="zh-CN"/>
        </w:rPr>
        <w:t>路旁交通感知系统（</w:t>
      </w:r>
      <w:r>
        <w:rPr>
          <w:lang w:val="zh-CN" w:eastAsia="zh-CN"/>
        </w:rPr>
        <w:t>RTPS</w:t>
      </w:r>
      <w:r>
        <w:rPr>
          <w:lang w:val="zh-CN" w:eastAsia="zh-CN"/>
        </w:rPr>
        <w:t>）是由物联网（</w:t>
      </w:r>
      <w:r>
        <w:rPr>
          <w:lang w:val="zh-CN" w:eastAsia="zh-CN"/>
        </w:rPr>
        <w:t>IoT</w:t>
      </w:r>
      <w:r>
        <w:rPr>
          <w:lang w:val="zh-CN" w:eastAsia="zh-CN"/>
        </w:rPr>
        <w:t>）基础设施组成的系统，包括传感设备、云设施、智能交通灯和智能交通标志。通过物联网技术，路旁交通感知系统可利用其组件的能力提高交通</w:t>
      </w:r>
      <w:r>
        <w:rPr>
          <w:rFonts w:hint="eastAsia"/>
          <w:lang w:val="zh-CN" w:eastAsia="zh-CN"/>
        </w:rPr>
        <w:t>的</w:t>
      </w:r>
      <w:r>
        <w:rPr>
          <w:lang w:val="zh-CN" w:eastAsia="zh-CN"/>
        </w:rPr>
        <w:t>安全性和效率。</w:t>
      </w:r>
    </w:p>
    <w:p w14:paraId="142C37C2" w14:textId="77777777" w:rsidR="0009235E" w:rsidRPr="00962C21" w:rsidRDefault="0009235E" w:rsidP="00D709A2">
      <w:pPr>
        <w:tabs>
          <w:tab w:val="clear" w:pos="1191"/>
          <w:tab w:val="left" w:pos="0"/>
        </w:tabs>
        <w:ind w:firstLineChars="200" w:firstLine="480"/>
        <w:outlineLvl w:val="0"/>
        <w:rPr>
          <w:rFonts w:cs="Calibri"/>
          <w:iCs/>
          <w:lang w:eastAsia="zh-CN"/>
        </w:rPr>
      </w:pPr>
      <w:r>
        <w:rPr>
          <w:lang w:val="zh-CN" w:eastAsia="zh-CN"/>
        </w:rPr>
        <w:t>为了提高交通安全和效率，</w:t>
      </w:r>
      <w:r>
        <w:rPr>
          <w:lang w:val="zh-CN" w:eastAsia="zh-CN"/>
        </w:rPr>
        <w:t>RTPS</w:t>
      </w:r>
      <w:r>
        <w:rPr>
          <w:lang w:val="zh-CN" w:eastAsia="zh-CN"/>
        </w:rPr>
        <w:t>中的物联网基础设施需要使用物联网技术</w:t>
      </w:r>
      <w:r>
        <w:rPr>
          <w:rFonts w:hint="eastAsia"/>
          <w:lang w:val="zh-CN" w:eastAsia="zh-CN"/>
        </w:rPr>
        <w:t>开展</w:t>
      </w:r>
      <w:r>
        <w:rPr>
          <w:lang w:val="zh-CN" w:eastAsia="zh-CN"/>
        </w:rPr>
        <w:t>协作。因此，</w:t>
      </w:r>
      <w:r>
        <w:rPr>
          <w:lang w:val="zh-CN" w:eastAsia="zh-CN"/>
        </w:rPr>
        <w:t>ITU-T Y.4232</w:t>
      </w:r>
      <w:r>
        <w:rPr>
          <w:lang w:val="zh-CN" w:eastAsia="zh-CN"/>
        </w:rPr>
        <w:t>建议书提出了物联网基础设施的通用和特定要求</w:t>
      </w:r>
      <w:r>
        <w:rPr>
          <w:rFonts w:hint="eastAsia"/>
          <w:lang w:val="zh-CN" w:eastAsia="zh-CN"/>
        </w:rPr>
        <w:t>与</w:t>
      </w:r>
      <w:r>
        <w:rPr>
          <w:lang w:val="zh-CN" w:eastAsia="zh-CN"/>
        </w:rPr>
        <w:t>能力。附录中还给出了</w:t>
      </w:r>
      <w:r>
        <w:rPr>
          <w:lang w:val="zh-CN" w:eastAsia="zh-CN"/>
        </w:rPr>
        <w:t>RTPS</w:t>
      </w:r>
      <w:r>
        <w:rPr>
          <w:lang w:val="zh-CN" w:eastAsia="zh-CN"/>
        </w:rPr>
        <w:t>的使用案例。</w:t>
      </w:r>
    </w:p>
    <w:p w14:paraId="7F63D421" w14:textId="076A461B" w:rsidR="0009235E" w:rsidRPr="00BB76F4" w:rsidRDefault="0009235E" w:rsidP="0009235E">
      <w:pPr>
        <w:spacing w:before="280"/>
        <w:ind w:left="1134" w:hanging="1134"/>
        <w:outlineLvl w:val="0"/>
        <w:rPr>
          <w:rFonts w:eastAsia="Times New Roman" w:cs="Calibri"/>
          <w:b/>
          <w:bCs/>
          <w:sz w:val="28"/>
          <w:szCs w:val="28"/>
          <w:lang w:eastAsia="zh-CN"/>
        </w:rPr>
      </w:pPr>
      <w:r w:rsidRPr="00BB76F4">
        <w:rPr>
          <w:b/>
          <w:bCs/>
          <w:sz w:val="28"/>
          <w:szCs w:val="28"/>
          <w:lang w:val="zh-CN" w:eastAsia="zh-CN"/>
        </w:rPr>
        <w:t>6</w:t>
      </w:r>
      <w:r w:rsidRPr="00BB76F4">
        <w:rPr>
          <w:b/>
          <w:bCs/>
          <w:sz w:val="28"/>
          <w:szCs w:val="28"/>
          <w:lang w:val="zh-CN" w:eastAsia="zh-CN"/>
        </w:rPr>
        <w:tab/>
        <w:t>ITU-T Y.4233</w:t>
      </w:r>
      <w:r w:rsidRPr="00BB76F4">
        <w:rPr>
          <w:b/>
          <w:bCs/>
          <w:sz w:val="28"/>
          <w:szCs w:val="28"/>
          <w:lang w:val="zh-CN" w:eastAsia="zh-CN"/>
        </w:rPr>
        <w:t>新建议书草案（原</w:t>
      </w:r>
      <w:r w:rsidRPr="00BB76F4">
        <w:rPr>
          <w:b/>
          <w:bCs/>
          <w:sz w:val="28"/>
          <w:szCs w:val="28"/>
          <w:lang w:val="zh-CN" w:eastAsia="zh-CN"/>
        </w:rPr>
        <w:t>Y.FSPH</w:t>
      </w:r>
      <w:r w:rsidRPr="00BB76F4">
        <w:rPr>
          <w:b/>
          <w:bCs/>
          <w:sz w:val="28"/>
          <w:szCs w:val="28"/>
          <w:lang w:val="zh-CN" w:eastAsia="zh-CN"/>
        </w:rPr>
        <w:t>）：</w:t>
      </w:r>
      <w:r w:rsidRPr="00BB76F4">
        <w:rPr>
          <w:b/>
          <w:bCs/>
          <w:sz w:val="28"/>
          <w:szCs w:val="28"/>
          <w:lang w:val="zh-CN" w:eastAsia="zh-CN"/>
        </w:rPr>
        <w:t>[</w:t>
      </w:r>
      <w:hyperlink r:id="rId17" w:history="1">
        <w:r w:rsidRPr="00BB76F4">
          <w:rPr>
            <w:rStyle w:val="Hyperlink"/>
            <w:b/>
            <w:bCs/>
            <w:sz w:val="28"/>
            <w:szCs w:val="28"/>
            <w:lang w:val="zh-CN" w:eastAsia="zh-CN"/>
          </w:rPr>
          <w:t>R26</w:t>
        </w:r>
      </w:hyperlink>
      <w:r w:rsidRPr="00BB76F4">
        <w:rPr>
          <w:b/>
          <w:bCs/>
          <w:sz w:val="28"/>
          <w:szCs w:val="28"/>
          <w:lang w:val="zh-CN" w:eastAsia="zh-CN"/>
        </w:rPr>
        <w:t>]</w:t>
      </w:r>
    </w:p>
    <w:p w14:paraId="33CE0135" w14:textId="77777777" w:rsidR="0009235E" w:rsidRPr="00962C21" w:rsidRDefault="0009235E" w:rsidP="0009235E">
      <w:pPr>
        <w:ind w:left="1134" w:hanging="1134"/>
        <w:outlineLvl w:val="1"/>
        <w:rPr>
          <w:rFonts w:eastAsia="Times New Roman" w:cs="Calibri"/>
          <w:b/>
          <w:bCs/>
          <w:lang w:eastAsia="zh-CN"/>
        </w:rPr>
      </w:pPr>
      <w:r>
        <w:rPr>
          <w:b/>
          <w:bCs/>
          <w:lang w:val="zh-CN" w:eastAsia="zh-CN"/>
        </w:rPr>
        <w:t>可持续智慧城市的智慧公共卫生应急管理框架</w:t>
      </w:r>
    </w:p>
    <w:p w14:paraId="0111149E" w14:textId="77777777" w:rsidR="0009235E" w:rsidRPr="003B2AA0" w:rsidRDefault="0009235E" w:rsidP="0009235E">
      <w:pPr>
        <w:ind w:left="1134" w:hanging="1134"/>
        <w:outlineLvl w:val="1"/>
        <w:rPr>
          <w:rFonts w:eastAsia="Times New Roman" w:cs="Calibri"/>
          <w:b/>
          <w:bCs/>
          <w:lang w:eastAsia="zh-CN"/>
        </w:rPr>
      </w:pPr>
      <w:r w:rsidRPr="003B2AA0">
        <w:rPr>
          <w:b/>
          <w:bCs/>
          <w:lang w:val="zh-CN" w:eastAsia="zh-CN"/>
        </w:rPr>
        <w:t>摘要</w:t>
      </w:r>
    </w:p>
    <w:p w14:paraId="07509405" w14:textId="77777777" w:rsidR="0009235E" w:rsidRPr="00962C21" w:rsidRDefault="0009235E" w:rsidP="00D709A2">
      <w:pPr>
        <w:ind w:firstLineChars="200" w:firstLine="480"/>
        <w:rPr>
          <w:rFonts w:cs="Calibri"/>
          <w:lang w:eastAsia="zh-CN"/>
        </w:rPr>
      </w:pPr>
      <w:r>
        <w:rPr>
          <w:lang w:val="zh-CN" w:eastAsia="zh-CN"/>
        </w:rPr>
        <w:t>本建议书规定了可持续智慧城市（</w:t>
      </w:r>
      <w:r>
        <w:rPr>
          <w:lang w:val="zh-CN" w:eastAsia="zh-CN"/>
        </w:rPr>
        <w:t>SSC</w:t>
      </w:r>
      <w:r>
        <w:rPr>
          <w:lang w:val="zh-CN" w:eastAsia="zh-CN"/>
        </w:rPr>
        <w:t>）的智慧公共卫生管理框架。</w:t>
      </w:r>
    </w:p>
    <w:p w14:paraId="394B3426" w14:textId="77777777" w:rsidR="0009235E" w:rsidRPr="00962C21" w:rsidRDefault="0009235E" w:rsidP="00D709A2">
      <w:pPr>
        <w:ind w:firstLineChars="200" w:firstLine="480"/>
        <w:rPr>
          <w:rFonts w:cs="Calibri"/>
          <w:lang w:eastAsia="zh-CN"/>
        </w:rPr>
      </w:pPr>
      <w:r>
        <w:rPr>
          <w:lang w:val="zh-CN" w:eastAsia="zh-CN"/>
        </w:rPr>
        <w:t>可持续智慧城市能够促进</w:t>
      </w:r>
      <w:r>
        <w:rPr>
          <w:rFonts w:hint="eastAsia"/>
          <w:lang w:val="zh-CN" w:eastAsia="zh-CN"/>
        </w:rPr>
        <w:t>使用</w:t>
      </w:r>
      <w:r>
        <w:rPr>
          <w:lang w:val="zh-CN" w:eastAsia="zh-CN"/>
        </w:rPr>
        <w:t>数据驱动的智能应用程序管理有限的资源</w:t>
      </w:r>
      <w:r>
        <w:rPr>
          <w:rFonts w:hint="eastAsia"/>
          <w:lang w:val="zh-CN" w:eastAsia="zh-CN"/>
        </w:rPr>
        <w:t>，</w:t>
      </w:r>
      <w:r>
        <w:rPr>
          <w:lang w:val="zh-CN" w:eastAsia="zh-CN"/>
        </w:rPr>
        <w:t>并</w:t>
      </w:r>
      <w:r>
        <w:rPr>
          <w:rFonts w:hint="eastAsia"/>
          <w:lang w:val="zh-CN" w:eastAsia="zh-CN"/>
        </w:rPr>
        <w:t>通过</w:t>
      </w:r>
      <w:r>
        <w:rPr>
          <w:lang w:val="zh-CN" w:eastAsia="zh-CN"/>
        </w:rPr>
        <w:t>这些应用阻止未来出现与</w:t>
      </w:r>
      <w:r>
        <w:rPr>
          <w:rFonts w:hint="eastAsia"/>
          <w:lang w:val="zh-CN" w:eastAsia="zh-CN"/>
        </w:rPr>
        <w:t>新冠（</w:t>
      </w:r>
      <w:r>
        <w:rPr>
          <w:lang w:val="zh-CN" w:eastAsia="zh-CN"/>
        </w:rPr>
        <w:t>COVID-19</w:t>
      </w:r>
      <w:r>
        <w:rPr>
          <w:rFonts w:hint="eastAsia"/>
          <w:lang w:val="zh-CN" w:eastAsia="zh-CN"/>
        </w:rPr>
        <w:t>）</w:t>
      </w:r>
      <w:r>
        <w:rPr>
          <w:lang w:val="zh-CN" w:eastAsia="zh-CN"/>
        </w:rPr>
        <w:t>规模类似的大流行</w:t>
      </w:r>
      <w:r>
        <w:rPr>
          <w:rFonts w:hint="eastAsia"/>
          <w:lang w:val="zh-CN" w:eastAsia="zh-CN"/>
        </w:rPr>
        <w:t>病</w:t>
      </w:r>
      <w:r>
        <w:rPr>
          <w:lang w:val="zh-CN" w:eastAsia="zh-CN"/>
        </w:rPr>
        <w:t>。将可持续智慧城市与公共卫生框架联系起来，</w:t>
      </w:r>
      <w:r>
        <w:rPr>
          <w:rFonts w:hint="eastAsia"/>
          <w:lang w:val="zh-CN" w:eastAsia="zh-CN"/>
        </w:rPr>
        <w:t>对</w:t>
      </w:r>
      <w:r>
        <w:rPr>
          <w:lang w:val="zh-CN" w:eastAsia="zh-CN"/>
        </w:rPr>
        <w:t>未来的大流行病和</w:t>
      </w:r>
      <w:r>
        <w:rPr>
          <w:rFonts w:hint="eastAsia"/>
          <w:lang w:val="zh-CN" w:eastAsia="zh-CN"/>
        </w:rPr>
        <w:t>一般</w:t>
      </w:r>
      <w:r>
        <w:rPr>
          <w:lang w:val="zh-CN" w:eastAsia="zh-CN"/>
        </w:rPr>
        <w:t>流行疾病</w:t>
      </w:r>
      <w:r>
        <w:rPr>
          <w:rFonts w:hint="eastAsia"/>
          <w:lang w:val="zh-CN" w:eastAsia="zh-CN"/>
        </w:rPr>
        <w:t>实施</w:t>
      </w:r>
      <w:r>
        <w:rPr>
          <w:lang w:val="zh-CN" w:eastAsia="zh-CN"/>
        </w:rPr>
        <w:t>管理，</w:t>
      </w:r>
      <w:r>
        <w:rPr>
          <w:rFonts w:hint="eastAsia"/>
          <w:lang w:val="zh-CN" w:eastAsia="zh-CN"/>
        </w:rPr>
        <w:t>有助于</w:t>
      </w:r>
      <w:r>
        <w:rPr>
          <w:lang w:val="zh-CN" w:eastAsia="zh-CN"/>
        </w:rPr>
        <w:t>实现可持续发展目标（</w:t>
      </w:r>
      <w:r>
        <w:rPr>
          <w:rFonts w:hint="eastAsia"/>
          <w:lang w:val="zh-CN" w:eastAsia="zh-CN"/>
        </w:rPr>
        <w:t>可持续发展目标（</w:t>
      </w:r>
      <w:r>
        <w:rPr>
          <w:lang w:val="zh-CN" w:eastAsia="zh-CN"/>
        </w:rPr>
        <w:t>SDG</w:t>
      </w:r>
      <w:r>
        <w:rPr>
          <w:rFonts w:hint="eastAsia"/>
          <w:lang w:val="zh-CN" w:eastAsia="zh-CN"/>
        </w:rPr>
        <w:t>）</w:t>
      </w:r>
      <w:r>
        <w:rPr>
          <w:lang w:val="zh-CN" w:eastAsia="zh-CN"/>
        </w:rPr>
        <w:t>3</w:t>
      </w:r>
      <w:r>
        <w:rPr>
          <w:lang w:val="zh-CN" w:eastAsia="zh-CN"/>
        </w:rPr>
        <w:t>：全球卫生；</w:t>
      </w:r>
      <w:r>
        <w:rPr>
          <w:lang w:val="zh-CN" w:eastAsia="zh-CN"/>
        </w:rPr>
        <w:t>SDG1</w:t>
      </w:r>
      <w:r>
        <w:rPr>
          <w:lang w:val="zh-CN" w:eastAsia="zh-CN"/>
        </w:rPr>
        <w:t>：消除贫困</w:t>
      </w:r>
      <w:r>
        <w:rPr>
          <w:rFonts w:hint="eastAsia"/>
          <w:lang w:val="zh-CN" w:eastAsia="zh-CN"/>
        </w:rPr>
        <w:t>；</w:t>
      </w:r>
      <w:r>
        <w:rPr>
          <w:lang w:val="zh-CN" w:eastAsia="zh-CN"/>
        </w:rPr>
        <w:t>和</w:t>
      </w:r>
      <w:r>
        <w:rPr>
          <w:rFonts w:hint="eastAsia"/>
          <w:lang w:val="zh-CN" w:eastAsia="zh-CN"/>
        </w:rPr>
        <w:t xml:space="preserve">SDG </w:t>
      </w:r>
      <w:r>
        <w:rPr>
          <w:lang w:val="zh-CN" w:eastAsia="zh-CN"/>
        </w:rPr>
        <w:t>11</w:t>
      </w:r>
      <w:r>
        <w:rPr>
          <w:lang w:val="zh-CN" w:eastAsia="zh-CN"/>
        </w:rPr>
        <w:t>：建设包容、安全、</w:t>
      </w:r>
      <w:r>
        <w:rPr>
          <w:rFonts w:hint="eastAsia"/>
          <w:lang w:val="zh-CN" w:eastAsia="zh-CN"/>
        </w:rPr>
        <w:t>具有复原力</w:t>
      </w:r>
      <w:r>
        <w:rPr>
          <w:lang w:val="zh-CN" w:eastAsia="zh-CN"/>
        </w:rPr>
        <w:t>和可持续的城市）</w:t>
      </w:r>
      <w:r>
        <w:rPr>
          <w:rFonts w:hint="eastAsia"/>
          <w:lang w:val="zh-CN" w:eastAsia="zh-CN"/>
        </w:rPr>
        <w:t>以及《</w:t>
      </w:r>
      <w:r>
        <w:rPr>
          <w:lang w:val="zh-CN" w:eastAsia="zh-CN"/>
        </w:rPr>
        <w:t>仙台减灾风险框架</w:t>
      </w:r>
      <w:r>
        <w:rPr>
          <w:rFonts w:hint="eastAsia"/>
          <w:lang w:val="zh-CN" w:eastAsia="zh-CN"/>
        </w:rPr>
        <w:t>》，这既</w:t>
      </w:r>
      <w:r>
        <w:rPr>
          <w:lang w:val="zh-CN" w:eastAsia="zh-CN"/>
        </w:rPr>
        <w:t>是一项挑战</w:t>
      </w:r>
      <w:r>
        <w:rPr>
          <w:rFonts w:hint="eastAsia"/>
          <w:lang w:val="zh-CN" w:eastAsia="zh-CN"/>
        </w:rPr>
        <w:t>亦可一举两得</w:t>
      </w:r>
      <w:r>
        <w:rPr>
          <w:lang w:val="zh-CN" w:eastAsia="zh-CN"/>
        </w:rPr>
        <w:t>。随着适当应急通信和公共卫生框架的</w:t>
      </w:r>
      <w:r>
        <w:rPr>
          <w:rFonts w:hint="eastAsia"/>
          <w:lang w:val="zh-CN" w:eastAsia="zh-CN"/>
        </w:rPr>
        <w:t>使</w:t>
      </w:r>
      <w:r>
        <w:rPr>
          <w:lang w:val="zh-CN" w:eastAsia="zh-CN"/>
        </w:rPr>
        <w:t>用，</w:t>
      </w:r>
      <w:r>
        <w:rPr>
          <w:rFonts w:hint="eastAsia"/>
          <w:lang w:val="zh-CN" w:eastAsia="zh-CN"/>
        </w:rPr>
        <w:t>开发相关模型以</w:t>
      </w:r>
      <w:r>
        <w:rPr>
          <w:lang w:val="zh-CN" w:eastAsia="zh-CN"/>
        </w:rPr>
        <w:t>预测疾病传播、确定疾病来源、协调封锁措施、检测和报告症状、识别病毒株</w:t>
      </w:r>
      <w:r>
        <w:rPr>
          <w:rFonts w:hint="eastAsia"/>
          <w:lang w:val="zh-CN" w:eastAsia="zh-CN"/>
        </w:rPr>
        <w:t>，</w:t>
      </w:r>
      <w:r>
        <w:rPr>
          <w:lang w:val="zh-CN" w:eastAsia="zh-CN"/>
        </w:rPr>
        <w:t>并</w:t>
      </w:r>
      <w:r>
        <w:rPr>
          <w:rFonts w:hint="eastAsia"/>
          <w:lang w:val="zh-CN" w:eastAsia="zh-CN"/>
        </w:rPr>
        <w:t>根据需要</w:t>
      </w:r>
      <w:r>
        <w:rPr>
          <w:lang w:val="zh-CN" w:eastAsia="zh-CN"/>
        </w:rPr>
        <w:t>通过基于物联网的基础设施，在有限的人</w:t>
      </w:r>
      <w:r>
        <w:rPr>
          <w:rFonts w:hint="eastAsia"/>
          <w:lang w:val="zh-CN" w:eastAsia="zh-CN"/>
        </w:rPr>
        <w:t>为互动</w:t>
      </w:r>
      <w:r>
        <w:rPr>
          <w:lang w:val="zh-CN" w:eastAsia="zh-CN"/>
        </w:rPr>
        <w:t>的情况下提供远程援助</w:t>
      </w:r>
      <w:r>
        <w:rPr>
          <w:rFonts w:hint="eastAsia"/>
          <w:lang w:val="zh-CN" w:eastAsia="zh-CN"/>
        </w:rPr>
        <w:t>，</w:t>
      </w:r>
      <w:r>
        <w:rPr>
          <w:lang w:val="zh-CN" w:eastAsia="zh-CN"/>
        </w:rPr>
        <w:t>将变得更加容易。</w:t>
      </w:r>
    </w:p>
    <w:p w14:paraId="151C5ADB" w14:textId="77777777" w:rsidR="0009235E" w:rsidRPr="00962C21" w:rsidRDefault="0009235E" w:rsidP="00D709A2">
      <w:pPr>
        <w:ind w:firstLineChars="200" w:firstLine="480"/>
        <w:rPr>
          <w:rFonts w:cs="Calibri"/>
          <w:lang w:eastAsia="zh-CN"/>
        </w:rPr>
      </w:pPr>
      <w:r>
        <w:rPr>
          <w:lang w:val="zh-CN" w:eastAsia="zh-CN"/>
        </w:rPr>
        <w:t>本建议书</w:t>
      </w:r>
      <w:r>
        <w:rPr>
          <w:rFonts w:hint="eastAsia"/>
          <w:lang w:val="zh-CN" w:eastAsia="zh-CN"/>
        </w:rPr>
        <w:t>的起草是</w:t>
      </w:r>
      <w:r>
        <w:rPr>
          <w:lang w:val="zh-CN" w:eastAsia="zh-CN"/>
        </w:rPr>
        <w:t>基于题为</w:t>
      </w:r>
      <w:r>
        <w:rPr>
          <w:rFonts w:ascii="SimSun" w:hAnsi="SimSun" w:hint="eastAsia"/>
          <w:lang w:val="zh-CN" w:eastAsia="zh-CN"/>
        </w:rPr>
        <w:t>“</w:t>
      </w:r>
      <w:r>
        <w:rPr>
          <w:lang w:val="zh-CN" w:eastAsia="zh-CN"/>
        </w:rPr>
        <w:t>智慧公共卫生应急管理和</w:t>
      </w:r>
      <w:r>
        <w:rPr>
          <w:lang w:val="zh-CN" w:eastAsia="zh-CN"/>
        </w:rPr>
        <w:t>ICT</w:t>
      </w:r>
      <w:r>
        <w:rPr>
          <w:lang w:val="zh-CN" w:eastAsia="zh-CN"/>
        </w:rPr>
        <w:t>实施</w:t>
      </w:r>
      <w:r w:rsidRPr="00535FFC">
        <w:rPr>
          <w:rFonts w:ascii="SimSun" w:hAnsi="SimSun"/>
          <w:lang w:val="zh-CN" w:eastAsia="zh-CN"/>
        </w:rPr>
        <w:t>”</w:t>
      </w:r>
      <w:r>
        <w:rPr>
          <w:lang w:val="zh-CN" w:eastAsia="zh-CN"/>
        </w:rPr>
        <w:t>的</w:t>
      </w:r>
      <w:r>
        <w:rPr>
          <w:lang w:val="zh-CN" w:eastAsia="zh-CN"/>
        </w:rPr>
        <w:t>U4SSC</w:t>
      </w:r>
      <w:r>
        <w:rPr>
          <w:lang w:val="zh-CN" w:eastAsia="zh-CN"/>
        </w:rPr>
        <w:t>报告（参见参考资料中的</w:t>
      </w:r>
      <w:r>
        <w:rPr>
          <w:lang w:val="zh-CN" w:eastAsia="zh-CN"/>
        </w:rPr>
        <w:t>[b-U4SSC-2]</w:t>
      </w:r>
      <w:r>
        <w:rPr>
          <w:lang w:val="zh-CN" w:eastAsia="zh-CN"/>
        </w:rPr>
        <w:t>），其结构如下：首先</w:t>
      </w:r>
      <w:r>
        <w:rPr>
          <w:rFonts w:hint="eastAsia"/>
          <w:lang w:val="zh-CN" w:eastAsia="zh-CN"/>
        </w:rPr>
        <w:t>对</w:t>
      </w:r>
      <w:r>
        <w:rPr>
          <w:lang w:val="zh-CN" w:eastAsia="zh-CN"/>
        </w:rPr>
        <w:t>公共卫生</w:t>
      </w:r>
      <w:r>
        <w:rPr>
          <w:rFonts w:hint="eastAsia"/>
          <w:lang w:val="zh-CN" w:eastAsia="zh-CN"/>
        </w:rPr>
        <w:t>的</w:t>
      </w:r>
      <w:r>
        <w:rPr>
          <w:lang w:val="zh-CN" w:eastAsia="zh-CN"/>
        </w:rPr>
        <w:t>背景和相应框架</w:t>
      </w:r>
      <w:r>
        <w:rPr>
          <w:rFonts w:hint="eastAsia"/>
          <w:lang w:val="zh-CN" w:eastAsia="zh-CN"/>
        </w:rPr>
        <w:t>做出</w:t>
      </w:r>
      <w:r>
        <w:rPr>
          <w:lang w:val="zh-CN" w:eastAsia="zh-CN"/>
        </w:rPr>
        <w:t>分析，然后</w:t>
      </w:r>
      <w:r>
        <w:rPr>
          <w:rFonts w:hint="eastAsia"/>
          <w:lang w:val="zh-CN" w:eastAsia="zh-CN"/>
        </w:rPr>
        <w:t>提出</w:t>
      </w:r>
      <w:r>
        <w:rPr>
          <w:lang w:val="zh-CN" w:eastAsia="zh-CN"/>
        </w:rPr>
        <w:t>一个通用</w:t>
      </w:r>
      <w:r>
        <w:rPr>
          <w:rFonts w:hint="eastAsia"/>
          <w:lang w:val="zh-CN" w:eastAsia="zh-CN"/>
        </w:rPr>
        <w:t>的</w:t>
      </w:r>
      <w:r>
        <w:rPr>
          <w:lang w:val="zh-CN" w:eastAsia="zh-CN"/>
        </w:rPr>
        <w:t>公共卫生框架，</w:t>
      </w:r>
      <w:r>
        <w:rPr>
          <w:rFonts w:hint="eastAsia"/>
          <w:lang w:val="zh-CN" w:eastAsia="zh-CN"/>
        </w:rPr>
        <w:t>对</w:t>
      </w:r>
      <w:r>
        <w:rPr>
          <w:lang w:val="zh-CN" w:eastAsia="zh-CN"/>
        </w:rPr>
        <w:t>大流行</w:t>
      </w:r>
      <w:r>
        <w:rPr>
          <w:rFonts w:hint="eastAsia"/>
          <w:lang w:val="zh-CN" w:eastAsia="zh-CN"/>
        </w:rPr>
        <w:t>病</w:t>
      </w:r>
      <w:r>
        <w:rPr>
          <w:lang w:val="zh-CN" w:eastAsia="zh-CN"/>
        </w:rPr>
        <w:t>的周期</w:t>
      </w:r>
      <w:r>
        <w:rPr>
          <w:rFonts w:hint="eastAsia"/>
          <w:lang w:val="zh-CN" w:eastAsia="zh-CN"/>
        </w:rPr>
        <w:t>加以</w:t>
      </w:r>
      <w:r>
        <w:rPr>
          <w:lang w:val="zh-CN" w:eastAsia="zh-CN"/>
        </w:rPr>
        <w:t>详细说明。</w:t>
      </w:r>
      <w:r>
        <w:rPr>
          <w:rFonts w:hint="eastAsia"/>
          <w:lang w:val="zh-CN" w:eastAsia="zh-CN"/>
        </w:rPr>
        <w:t>接下来，</w:t>
      </w:r>
      <w:r>
        <w:rPr>
          <w:lang w:val="zh-CN" w:eastAsia="zh-CN"/>
        </w:rPr>
        <w:t>该通用框架</w:t>
      </w:r>
      <w:r>
        <w:rPr>
          <w:rFonts w:hint="eastAsia"/>
          <w:lang w:val="zh-CN" w:eastAsia="zh-CN"/>
        </w:rPr>
        <w:t>将</w:t>
      </w:r>
      <w:r>
        <w:rPr>
          <w:lang w:val="zh-CN" w:eastAsia="zh-CN"/>
        </w:rPr>
        <w:t>与</w:t>
      </w:r>
      <w:r>
        <w:rPr>
          <w:lang w:val="zh-CN" w:eastAsia="zh-CN"/>
        </w:rPr>
        <w:t>SSC</w:t>
      </w:r>
      <w:r>
        <w:rPr>
          <w:lang w:val="zh-CN" w:eastAsia="zh-CN"/>
        </w:rPr>
        <w:t>和城市复原力</w:t>
      </w:r>
      <w:r>
        <w:rPr>
          <w:rFonts w:hint="eastAsia"/>
          <w:lang w:val="zh-CN" w:eastAsia="zh-CN"/>
        </w:rPr>
        <w:t>建立关联</w:t>
      </w:r>
      <w:r>
        <w:rPr>
          <w:lang w:val="zh-CN" w:eastAsia="zh-CN"/>
        </w:rPr>
        <w:t>。此外，</w:t>
      </w:r>
      <w:r>
        <w:rPr>
          <w:rFonts w:hint="eastAsia"/>
          <w:lang w:val="zh-CN" w:eastAsia="zh-CN"/>
        </w:rPr>
        <w:t>这一建议书</w:t>
      </w:r>
      <w:r>
        <w:rPr>
          <w:lang w:val="zh-CN" w:eastAsia="zh-CN"/>
        </w:rPr>
        <w:t>还用统一建模语言（</w:t>
      </w:r>
      <w:r>
        <w:rPr>
          <w:lang w:val="zh-CN" w:eastAsia="zh-CN"/>
        </w:rPr>
        <w:t>UML</w:t>
      </w:r>
      <w:r>
        <w:rPr>
          <w:lang w:val="zh-CN" w:eastAsia="zh-CN"/>
        </w:rPr>
        <w:t>）图表描述了如何在</w:t>
      </w:r>
      <w:r>
        <w:rPr>
          <w:lang w:val="zh-CN" w:eastAsia="zh-CN"/>
        </w:rPr>
        <w:t>SSC</w:t>
      </w:r>
      <w:r>
        <w:rPr>
          <w:lang w:val="zh-CN" w:eastAsia="zh-CN"/>
        </w:rPr>
        <w:t>环境</w:t>
      </w:r>
      <w:r>
        <w:rPr>
          <w:rFonts w:hint="eastAsia"/>
          <w:lang w:val="zh-CN" w:eastAsia="zh-CN"/>
        </w:rPr>
        <w:t>下使用</w:t>
      </w:r>
      <w:r>
        <w:rPr>
          <w:lang w:val="zh-CN" w:eastAsia="zh-CN"/>
        </w:rPr>
        <w:t>该框架，并</w:t>
      </w:r>
      <w:r>
        <w:rPr>
          <w:rFonts w:hint="eastAsia"/>
          <w:lang w:val="zh-CN" w:eastAsia="zh-CN"/>
        </w:rPr>
        <w:t>重点介绍</w:t>
      </w:r>
      <w:r>
        <w:rPr>
          <w:lang w:val="zh-CN" w:eastAsia="zh-CN"/>
        </w:rPr>
        <w:t>了在</w:t>
      </w:r>
      <w:r>
        <w:rPr>
          <w:rFonts w:hint="eastAsia"/>
          <w:lang w:val="zh-CN" w:eastAsia="zh-CN"/>
        </w:rPr>
        <w:t>实施</w:t>
      </w:r>
      <w:r>
        <w:rPr>
          <w:lang w:val="zh-CN" w:eastAsia="zh-CN"/>
        </w:rPr>
        <w:t>过程中发挥作用的</w:t>
      </w:r>
      <w:r>
        <w:rPr>
          <w:lang w:val="zh-CN" w:eastAsia="zh-CN"/>
        </w:rPr>
        <w:t>SSC</w:t>
      </w:r>
      <w:r>
        <w:rPr>
          <w:lang w:val="zh-CN" w:eastAsia="zh-CN"/>
        </w:rPr>
        <w:t>组件。</w:t>
      </w:r>
    </w:p>
    <w:p w14:paraId="7BD63276" w14:textId="7EFCCECD" w:rsidR="0009235E" w:rsidRPr="00BB76F4" w:rsidRDefault="0009235E" w:rsidP="00D709A2">
      <w:pPr>
        <w:keepNext/>
        <w:keepLines/>
        <w:spacing w:before="280"/>
        <w:ind w:left="1134" w:hanging="1134"/>
        <w:outlineLvl w:val="0"/>
        <w:rPr>
          <w:rFonts w:eastAsia="Times New Roman" w:cs="Calibri"/>
          <w:b/>
          <w:bCs/>
          <w:sz w:val="28"/>
          <w:szCs w:val="28"/>
          <w:lang w:eastAsia="zh-CN"/>
        </w:rPr>
      </w:pPr>
      <w:r w:rsidRPr="00BB76F4">
        <w:rPr>
          <w:b/>
          <w:bCs/>
          <w:sz w:val="28"/>
          <w:szCs w:val="28"/>
          <w:lang w:eastAsia="zh-CN"/>
        </w:rPr>
        <w:lastRenderedPageBreak/>
        <w:t>7</w:t>
      </w:r>
      <w:r w:rsidRPr="00BB76F4">
        <w:rPr>
          <w:b/>
          <w:bCs/>
          <w:sz w:val="28"/>
          <w:szCs w:val="28"/>
          <w:lang w:eastAsia="zh-CN"/>
        </w:rPr>
        <w:tab/>
        <w:t>ITU-T Y.4234</w:t>
      </w:r>
      <w:r w:rsidRPr="00BB76F4">
        <w:rPr>
          <w:b/>
          <w:bCs/>
          <w:sz w:val="28"/>
          <w:szCs w:val="28"/>
          <w:lang w:val="zh-CN" w:eastAsia="zh-CN"/>
        </w:rPr>
        <w:t>新建议书草案</w:t>
      </w:r>
      <w:r w:rsidRPr="00BB76F4">
        <w:rPr>
          <w:b/>
          <w:bCs/>
          <w:sz w:val="28"/>
          <w:szCs w:val="28"/>
          <w:lang w:eastAsia="zh-CN"/>
        </w:rPr>
        <w:t>（</w:t>
      </w:r>
      <w:proofErr w:type="spellStart"/>
      <w:r w:rsidRPr="00BB76F4">
        <w:rPr>
          <w:b/>
          <w:bCs/>
          <w:sz w:val="28"/>
          <w:szCs w:val="28"/>
          <w:lang w:eastAsia="zh-CN"/>
        </w:rPr>
        <w:t>ex.</w:t>
      </w:r>
      <w:proofErr w:type="gramStart"/>
      <w:r w:rsidRPr="00BB76F4">
        <w:rPr>
          <w:b/>
          <w:bCs/>
          <w:sz w:val="28"/>
          <w:szCs w:val="28"/>
          <w:lang w:eastAsia="zh-CN"/>
        </w:rPr>
        <w:t>Y.RemoteEd</w:t>
      </w:r>
      <w:proofErr w:type="spellEnd"/>
      <w:proofErr w:type="gramEnd"/>
      <w:r w:rsidRPr="00BB76F4">
        <w:rPr>
          <w:b/>
          <w:bCs/>
          <w:sz w:val="28"/>
          <w:szCs w:val="28"/>
          <w:lang w:eastAsia="zh-CN"/>
        </w:rPr>
        <w:t>）：</w:t>
      </w:r>
      <w:r w:rsidRPr="00BB76F4">
        <w:rPr>
          <w:b/>
          <w:bCs/>
          <w:sz w:val="28"/>
          <w:szCs w:val="28"/>
          <w:lang w:eastAsia="zh-CN"/>
        </w:rPr>
        <w:t>[</w:t>
      </w:r>
      <w:hyperlink r:id="rId18" w:history="1">
        <w:r w:rsidRPr="00BB76F4">
          <w:rPr>
            <w:rStyle w:val="Hyperlink"/>
            <w:b/>
            <w:bCs/>
            <w:sz w:val="28"/>
            <w:szCs w:val="28"/>
            <w:lang w:eastAsia="zh-CN"/>
          </w:rPr>
          <w:t>R27</w:t>
        </w:r>
      </w:hyperlink>
      <w:r w:rsidRPr="00BB76F4">
        <w:rPr>
          <w:b/>
          <w:bCs/>
          <w:sz w:val="28"/>
          <w:szCs w:val="28"/>
          <w:lang w:eastAsia="zh-CN"/>
        </w:rPr>
        <w:t>]</w:t>
      </w:r>
    </w:p>
    <w:p w14:paraId="635ACDD4" w14:textId="77777777" w:rsidR="0009235E" w:rsidRPr="00C309F6" w:rsidRDefault="0009235E" w:rsidP="00D709A2">
      <w:pPr>
        <w:keepNext/>
        <w:keepLines/>
        <w:ind w:left="1134" w:hanging="1134"/>
        <w:outlineLvl w:val="1"/>
        <w:rPr>
          <w:rFonts w:eastAsia="Times New Roman" w:cs="Calibri"/>
          <w:b/>
          <w:bCs/>
          <w:lang w:eastAsia="zh-CN"/>
        </w:rPr>
      </w:pPr>
      <w:r>
        <w:rPr>
          <w:rFonts w:hint="eastAsia"/>
          <w:b/>
          <w:bCs/>
          <w:lang w:val="zh-CN" w:eastAsia="zh-CN"/>
        </w:rPr>
        <w:t>在</w:t>
      </w:r>
      <w:r>
        <w:rPr>
          <w:b/>
          <w:bCs/>
          <w:lang w:val="zh-CN" w:eastAsia="zh-CN"/>
        </w:rPr>
        <w:t>远程教室</w:t>
      </w:r>
      <w:r>
        <w:rPr>
          <w:rFonts w:hint="eastAsia"/>
          <w:b/>
          <w:bCs/>
          <w:lang w:val="zh-CN" w:eastAsia="zh-CN"/>
        </w:rPr>
        <w:t>进行</w:t>
      </w:r>
      <w:r>
        <w:rPr>
          <w:b/>
          <w:bCs/>
          <w:lang w:val="zh-CN" w:eastAsia="zh-CN"/>
        </w:rPr>
        <w:t>电子学习的要求、能力和部署模型</w:t>
      </w:r>
    </w:p>
    <w:p w14:paraId="2D972CB0" w14:textId="77777777" w:rsidR="0009235E" w:rsidRPr="00441744" w:rsidRDefault="0009235E" w:rsidP="0009235E">
      <w:pPr>
        <w:ind w:left="1134" w:hanging="1134"/>
        <w:outlineLvl w:val="1"/>
        <w:rPr>
          <w:rFonts w:eastAsia="Times New Roman" w:cs="Calibri"/>
          <w:b/>
          <w:bCs/>
          <w:lang w:eastAsia="zh-CN"/>
        </w:rPr>
      </w:pPr>
      <w:r w:rsidRPr="00441744">
        <w:rPr>
          <w:b/>
          <w:bCs/>
          <w:lang w:val="zh-CN" w:eastAsia="zh-CN"/>
        </w:rPr>
        <w:t>摘要</w:t>
      </w:r>
    </w:p>
    <w:p w14:paraId="1B9A1A48" w14:textId="77777777" w:rsidR="0009235E" w:rsidRPr="00C309F6" w:rsidRDefault="0009235E" w:rsidP="00D709A2">
      <w:pPr>
        <w:ind w:firstLineChars="200" w:firstLine="480"/>
        <w:outlineLvl w:val="0"/>
        <w:rPr>
          <w:rFonts w:cs="Calibri"/>
          <w:lang w:eastAsia="zh-CN"/>
        </w:rPr>
      </w:pPr>
      <w:r>
        <w:rPr>
          <w:lang w:val="zh-CN" w:eastAsia="zh-CN"/>
        </w:rPr>
        <w:t>本建议书</w:t>
      </w:r>
      <w:r>
        <w:rPr>
          <w:rFonts w:hint="eastAsia"/>
          <w:lang w:val="zh-CN" w:eastAsia="zh-CN"/>
        </w:rPr>
        <w:t>介绍了在</w:t>
      </w:r>
      <w:r>
        <w:rPr>
          <w:lang w:val="zh-CN" w:eastAsia="zh-CN"/>
        </w:rPr>
        <w:t>远程教室</w:t>
      </w:r>
      <w:r>
        <w:rPr>
          <w:rFonts w:hint="eastAsia"/>
          <w:lang w:val="zh-CN" w:eastAsia="zh-CN"/>
        </w:rPr>
        <w:t>进行</w:t>
      </w:r>
      <w:r>
        <w:rPr>
          <w:lang w:val="zh-CN" w:eastAsia="zh-CN"/>
        </w:rPr>
        <w:t>电子学习概念，即向学习者提供信息通信技术（</w:t>
      </w:r>
      <w:r>
        <w:rPr>
          <w:lang w:val="zh-CN" w:eastAsia="zh-CN"/>
        </w:rPr>
        <w:t>ICT</w:t>
      </w:r>
      <w:r>
        <w:rPr>
          <w:lang w:val="zh-CN" w:eastAsia="zh-CN"/>
        </w:rPr>
        <w:t>）基础设施和电子学习设施（如数字连接、计算机、计算机应用、虚拟协作、在线和数字教育目录）</w:t>
      </w:r>
      <w:r>
        <w:rPr>
          <w:rFonts w:hint="eastAsia"/>
          <w:lang w:val="zh-CN" w:eastAsia="zh-CN"/>
        </w:rPr>
        <w:t>，使他们能够在这样的地点</w:t>
      </w:r>
      <w:r>
        <w:rPr>
          <w:lang w:val="zh-CN" w:eastAsia="zh-CN"/>
        </w:rPr>
        <w:t>自我</w:t>
      </w:r>
      <w:r>
        <w:rPr>
          <w:rFonts w:hint="eastAsia"/>
          <w:lang w:val="zh-CN" w:eastAsia="zh-CN"/>
        </w:rPr>
        <w:t>学习</w:t>
      </w:r>
      <w:r>
        <w:rPr>
          <w:lang w:val="zh-CN" w:eastAsia="zh-CN"/>
        </w:rPr>
        <w:t>。</w:t>
      </w:r>
    </w:p>
    <w:p w14:paraId="01EEF46E" w14:textId="77777777" w:rsidR="0009235E" w:rsidRPr="00C309F6" w:rsidRDefault="0009235E" w:rsidP="00D709A2">
      <w:pPr>
        <w:ind w:firstLineChars="200" w:firstLine="480"/>
        <w:outlineLvl w:val="0"/>
        <w:rPr>
          <w:rFonts w:cs="Calibri"/>
          <w:lang w:eastAsia="zh-CN"/>
        </w:rPr>
      </w:pPr>
      <w:r>
        <w:rPr>
          <w:lang w:val="zh-CN" w:eastAsia="zh-CN"/>
        </w:rPr>
        <w:t>与城市地区相比，大多数国家的偏远和农村地区在获得优质教育的机会方面</w:t>
      </w:r>
      <w:r>
        <w:rPr>
          <w:rFonts w:hint="eastAsia"/>
          <w:lang w:val="zh-CN" w:eastAsia="zh-CN"/>
        </w:rPr>
        <w:t>，</w:t>
      </w:r>
      <w:r>
        <w:rPr>
          <w:lang w:val="zh-CN" w:eastAsia="zh-CN"/>
        </w:rPr>
        <w:t>存在巨大</w:t>
      </w:r>
      <w:r>
        <w:rPr>
          <w:rFonts w:hint="eastAsia"/>
          <w:lang w:val="zh-CN" w:eastAsia="zh-CN"/>
        </w:rPr>
        <w:t>差距</w:t>
      </w:r>
      <w:r>
        <w:rPr>
          <w:lang w:val="zh-CN" w:eastAsia="zh-CN"/>
        </w:rPr>
        <w:t>且</w:t>
      </w:r>
      <w:r>
        <w:rPr>
          <w:rFonts w:hint="eastAsia"/>
          <w:lang w:val="zh-CN" w:eastAsia="zh-CN"/>
        </w:rPr>
        <w:t>这一差距仍在</w:t>
      </w:r>
      <w:r>
        <w:rPr>
          <w:lang w:val="zh-CN" w:eastAsia="zh-CN"/>
        </w:rPr>
        <w:t>日益</w:t>
      </w:r>
      <w:r>
        <w:rPr>
          <w:rFonts w:hint="eastAsia"/>
          <w:lang w:val="zh-CN" w:eastAsia="zh-CN"/>
        </w:rPr>
        <w:t>拉</w:t>
      </w:r>
      <w:r>
        <w:rPr>
          <w:lang w:val="zh-CN" w:eastAsia="zh-CN"/>
        </w:rPr>
        <w:t>大。</w:t>
      </w:r>
      <w:r>
        <w:rPr>
          <w:rFonts w:hint="eastAsia"/>
          <w:lang w:val="zh-CN" w:eastAsia="zh-CN"/>
        </w:rPr>
        <w:t>全</w:t>
      </w:r>
      <w:r>
        <w:rPr>
          <w:lang w:val="zh-CN" w:eastAsia="zh-CN"/>
        </w:rPr>
        <w:t>世界</w:t>
      </w:r>
      <w:r>
        <w:rPr>
          <w:rFonts w:hint="eastAsia"/>
          <w:lang w:val="zh-CN" w:eastAsia="zh-CN"/>
        </w:rPr>
        <w:t>的</w:t>
      </w:r>
      <w:r>
        <w:rPr>
          <w:lang w:val="zh-CN" w:eastAsia="zh-CN"/>
        </w:rPr>
        <w:t>各种国际组织（如联合国（</w:t>
      </w:r>
      <w:r>
        <w:rPr>
          <w:lang w:val="zh-CN" w:eastAsia="zh-CN"/>
        </w:rPr>
        <w:t>UN</w:t>
      </w:r>
      <w:r>
        <w:rPr>
          <w:lang w:val="zh-CN" w:eastAsia="zh-CN"/>
        </w:rPr>
        <w:t>）、国际电信联盟（</w:t>
      </w:r>
      <w:r>
        <w:rPr>
          <w:lang w:val="zh-CN" w:eastAsia="zh-CN"/>
        </w:rPr>
        <w:t>ITU</w:t>
      </w:r>
      <w:r>
        <w:rPr>
          <w:lang w:val="zh-CN" w:eastAsia="zh-CN"/>
        </w:rPr>
        <w:t>）等）和国家机构（如部委）均承认，有必要为实现普及教育的承诺而加</w:t>
      </w:r>
      <w:r>
        <w:rPr>
          <w:rFonts w:hint="eastAsia"/>
          <w:lang w:val="zh-CN" w:eastAsia="zh-CN"/>
        </w:rPr>
        <w:t>倍</w:t>
      </w:r>
      <w:r>
        <w:rPr>
          <w:lang w:val="zh-CN" w:eastAsia="zh-CN"/>
        </w:rPr>
        <w:t>努力。</w:t>
      </w:r>
    </w:p>
    <w:p w14:paraId="4723E33F" w14:textId="77777777" w:rsidR="0009235E" w:rsidRPr="00C309F6" w:rsidRDefault="0009235E" w:rsidP="00D709A2">
      <w:pPr>
        <w:ind w:firstLineChars="200" w:firstLine="480"/>
        <w:outlineLvl w:val="0"/>
        <w:rPr>
          <w:rFonts w:cs="Calibri"/>
          <w:lang w:eastAsia="zh-CN"/>
        </w:rPr>
      </w:pPr>
      <w:r>
        <w:rPr>
          <w:lang w:val="zh-CN" w:eastAsia="zh-CN"/>
        </w:rPr>
        <w:t>同样</w:t>
      </w:r>
      <w:r>
        <w:rPr>
          <w:rFonts w:hint="eastAsia"/>
          <w:lang w:val="zh-CN" w:eastAsia="zh-CN"/>
        </w:rPr>
        <w:t>毋庸置疑</w:t>
      </w:r>
      <w:r>
        <w:rPr>
          <w:lang w:val="zh-CN" w:eastAsia="zh-CN"/>
        </w:rPr>
        <w:t>的是，未来的教育</w:t>
      </w:r>
      <w:r>
        <w:rPr>
          <w:rFonts w:hint="eastAsia"/>
          <w:lang w:val="zh-CN" w:eastAsia="zh-CN"/>
        </w:rPr>
        <w:t>具有</w:t>
      </w:r>
      <w:r>
        <w:rPr>
          <w:lang w:val="zh-CN" w:eastAsia="zh-CN"/>
        </w:rPr>
        <w:t>数字化和沉浸式的</w:t>
      </w:r>
      <w:r>
        <w:rPr>
          <w:rFonts w:hint="eastAsia"/>
          <w:lang w:val="zh-CN" w:eastAsia="zh-CN"/>
        </w:rPr>
        <w:t>特征</w:t>
      </w:r>
      <w:r>
        <w:rPr>
          <w:lang w:val="zh-CN" w:eastAsia="zh-CN"/>
        </w:rPr>
        <w:t>，</w:t>
      </w:r>
      <w:r>
        <w:rPr>
          <w:rFonts w:hint="eastAsia"/>
          <w:lang w:val="zh-CN" w:eastAsia="zh-CN"/>
        </w:rPr>
        <w:t>且</w:t>
      </w:r>
      <w:r>
        <w:rPr>
          <w:lang w:val="zh-CN" w:eastAsia="zh-CN"/>
        </w:rPr>
        <w:t>未来教育的提供将严重依赖对适当（</w:t>
      </w:r>
      <w:r>
        <w:rPr>
          <w:lang w:val="zh-CN" w:eastAsia="zh-CN"/>
        </w:rPr>
        <w:t>ICT</w:t>
      </w:r>
      <w:r>
        <w:rPr>
          <w:lang w:val="zh-CN" w:eastAsia="zh-CN"/>
        </w:rPr>
        <w:t>）基础设施和连接的</w:t>
      </w:r>
      <w:r>
        <w:rPr>
          <w:rFonts w:hint="eastAsia"/>
          <w:lang w:val="zh-CN" w:eastAsia="zh-CN"/>
        </w:rPr>
        <w:t>使用</w:t>
      </w:r>
      <w:r>
        <w:rPr>
          <w:lang w:val="zh-CN" w:eastAsia="zh-CN"/>
        </w:rPr>
        <w:t>。</w:t>
      </w:r>
    </w:p>
    <w:p w14:paraId="46D1C613" w14:textId="77777777" w:rsidR="0009235E" w:rsidRPr="00C309F6" w:rsidRDefault="0009235E" w:rsidP="00D709A2">
      <w:pPr>
        <w:ind w:firstLineChars="200" w:firstLine="480"/>
        <w:outlineLvl w:val="0"/>
        <w:rPr>
          <w:rFonts w:cs="Calibri"/>
          <w:cs/>
        </w:rPr>
      </w:pPr>
      <w:r>
        <w:rPr>
          <w:lang w:val="zh-CN" w:eastAsia="zh-CN"/>
        </w:rPr>
        <w:t>与此同时，无论发达国家还是发展中国家，都严重缺乏训练有素的教学人员，而偏远和服务不足地区的情况则更糟。大多数</w:t>
      </w:r>
      <w:r>
        <w:rPr>
          <w:rFonts w:hint="eastAsia"/>
          <w:lang w:val="zh-CN" w:eastAsia="zh-CN"/>
        </w:rPr>
        <w:t>此类</w:t>
      </w:r>
      <w:r>
        <w:rPr>
          <w:lang w:val="zh-CN" w:eastAsia="zh-CN"/>
        </w:rPr>
        <w:t>地</w:t>
      </w:r>
      <w:r>
        <w:rPr>
          <w:rFonts w:hint="eastAsia"/>
          <w:lang w:val="zh-CN" w:eastAsia="zh-CN"/>
        </w:rPr>
        <w:t>点的</w:t>
      </w:r>
      <w:r>
        <w:rPr>
          <w:lang w:val="zh-CN" w:eastAsia="zh-CN"/>
        </w:rPr>
        <w:t>教师很少，只有部</w:t>
      </w:r>
      <w:r>
        <w:rPr>
          <w:rFonts w:hint="eastAsia"/>
          <w:lang w:val="zh-CN" w:eastAsia="zh-CN"/>
        </w:rPr>
        <w:t>分地区</w:t>
      </w:r>
      <w:r>
        <w:rPr>
          <w:lang w:val="zh-CN" w:eastAsia="zh-CN"/>
        </w:rPr>
        <w:t>能够满足快速发展的教育课程的要求。除了教育和学习之外，这些偏远地区</w:t>
      </w:r>
      <w:r>
        <w:rPr>
          <w:rFonts w:hint="eastAsia"/>
          <w:lang w:val="zh-CN" w:eastAsia="zh-CN"/>
        </w:rPr>
        <w:t>在</w:t>
      </w:r>
      <w:r>
        <w:rPr>
          <w:lang w:val="zh-CN" w:eastAsia="zh-CN"/>
        </w:rPr>
        <w:t>获得卫生和职业能力开发</w:t>
      </w:r>
      <w:r>
        <w:rPr>
          <w:rFonts w:hint="eastAsia"/>
          <w:lang w:val="zh-CN" w:eastAsia="zh-CN"/>
        </w:rPr>
        <w:t>等领域的其它</w:t>
      </w:r>
      <w:r>
        <w:rPr>
          <w:lang w:val="zh-CN" w:eastAsia="zh-CN"/>
        </w:rPr>
        <w:t>设施</w:t>
      </w:r>
      <w:r>
        <w:rPr>
          <w:rFonts w:hint="eastAsia"/>
          <w:lang w:val="zh-CN" w:eastAsia="zh-CN"/>
        </w:rPr>
        <w:t>方面</w:t>
      </w:r>
      <w:r>
        <w:rPr>
          <w:lang w:val="zh-CN" w:eastAsia="zh-CN"/>
        </w:rPr>
        <w:t>，</w:t>
      </w:r>
      <w:r>
        <w:rPr>
          <w:rFonts w:hint="eastAsia"/>
          <w:lang w:val="zh-CN" w:eastAsia="zh-CN"/>
        </w:rPr>
        <w:t>亦</w:t>
      </w:r>
      <w:r>
        <w:rPr>
          <w:lang w:val="zh-CN" w:eastAsia="zh-CN"/>
        </w:rPr>
        <w:t>处于不利地位。需要</w:t>
      </w:r>
      <w:r>
        <w:rPr>
          <w:rFonts w:hint="eastAsia"/>
          <w:lang w:val="zh-CN" w:eastAsia="zh-CN"/>
        </w:rPr>
        <w:t>制定</w:t>
      </w:r>
      <w:r>
        <w:rPr>
          <w:lang w:val="zh-CN" w:eastAsia="zh-CN"/>
        </w:rPr>
        <w:t>新的标准来弥合数字鸿沟，并通过确保向偏远和服务不足的地区公平提供越来越多的在线服务</w:t>
      </w:r>
      <w:r>
        <w:rPr>
          <w:rFonts w:hint="eastAsia"/>
          <w:lang w:val="zh-CN" w:eastAsia="zh-CN"/>
        </w:rPr>
        <w:t>，</w:t>
      </w:r>
      <w:r>
        <w:rPr>
          <w:lang w:val="zh-CN" w:eastAsia="zh-CN"/>
        </w:rPr>
        <w:t>缩小日益扩大的差距。</w:t>
      </w:r>
    </w:p>
    <w:p w14:paraId="78A89DBE" w14:textId="77777777" w:rsidR="0009235E" w:rsidRPr="00C309F6" w:rsidRDefault="0009235E" w:rsidP="00D709A2">
      <w:pPr>
        <w:ind w:firstLineChars="200" w:firstLine="480"/>
        <w:outlineLvl w:val="0"/>
        <w:rPr>
          <w:rFonts w:cs="Calibri"/>
          <w:cs/>
        </w:rPr>
      </w:pPr>
      <w:r>
        <w:rPr>
          <w:lang w:val="zh-CN" w:eastAsia="zh-CN"/>
        </w:rPr>
        <w:t>本建议书描述了向远程学校提供数字教育的挑战和考虑，并制定了</w:t>
      </w:r>
      <w:r>
        <w:rPr>
          <w:rFonts w:hint="eastAsia"/>
          <w:lang w:val="zh-CN" w:eastAsia="zh-CN"/>
        </w:rPr>
        <w:t>为</w:t>
      </w:r>
      <w:r>
        <w:rPr>
          <w:lang w:val="zh-CN" w:eastAsia="zh-CN"/>
        </w:rPr>
        <w:t>农村和偏远地区的远程教室提供高质量电子学习服务的要求、能力和部署模型。</w:t>
      </w:r>
    </w:p>
    <w:p w14:paraId="77B86FDE" w14:textId="571F2126" w:rsidR="0009235E" w:rsidRPr="009E6B3D" w:rsidRDefault="0009235E" w:rsidP="0009235E">
      <w:pPr>
        <w:spacing w:before="280"/>
        <w:ind w:left="1134" w:hanging="1134"/>
        <w:outlineLvl w:val="0"/>
        <w:rPr>
          <w:rFonts w:eastAsia="Times New Roman" w:cs="Calibri"/>
          <w:b/>
          <w:sz w:val="28"/>
          <w:szCs w:val="28"/>
          <w:lang w:val="fr-CH" w:eastAsia="zh-CN"/>
        </w:rPr>
      </w:pPr>
      <w:r w:rsidRPr="00BB76F4">
        <w:rPr>
          <w:b/>
          <w:bCs/>
          <w:sz w:val="28"/>
          <w:szCs w:val="28"/>
          <w:lang w:val="zh-CN" w:eastAsia="zh-CN"/>
        </w:rPr>
        <w:t>8</w:t>
      </w:r>
      <w:r w:rsidRPr="00BB76F4">
        <w:rPr>
          <w:b/>
          <w:bCs/>
          <w:sz w:val="28"/>
          <w:szCs w:val="28"/>
          <w:lang w:val="zh-CN" w:eastAsia="zh-CN"/>
        </w:rPr>
        <w:tab/>
        <w:t>ITU-T Y.4222</w:t>
      </w:r>
      <w:r w:rsidRPr="00BB76F4">
        <w:rPr>
          <w:b/>
          <w:bCs/>
          <w:sz w:val="28"/>
          <w:szCs w:val="28"/>
          <w:lang w:val="zh-CN" w:eastAsia="zh-CN"/>
        </w:rPr>
        <w:t>新建议书草案（原</w:t>
      </w:r>
      <w:r w:rsidRPr="00BB76F4">
        <w:rPr>
          <w:b/>
          <w:bCs/>
          <w:sz w:val="28"/>
          <w:szCs w:val="28"/>
          <w:lang w:val="zh-CN" w:eastAsia="zh-CN"/>
        </w:rPr>
        <w:t>Y.smart-evacuation</w:t>
      </w:r>
      <w:r w:rsidRPr="00BB76F4">
        <w:rPr>
          <w:b/>
          <w:bCs/>
          <w:sz w:val="28"/>
          <w:szCs w:val="28"/>
          <w:lang w:val="zh-CN" w:eastAsia="zh-CN"/>
        </w:rPr>
        <w:t>）：</w:t>
      </w:r>
      <w:r w:rsidRPr="00BB76F4">
        <w:rPr>
          <w:b/>
          <w:bCs/>
          <w:sz w:val="28"/>
          <w:szCs w:val="28"/>
          <w:lang w:val="zh-CN" w:eastAsia="zh-CN"/>
        </w:rPr>
        <w:t>[</w:t>
      </w:r>
      <w:hyperlink r:id="rId19" w:history="1">
        <w:r w:rsidRPr="00BB76F4">
          <w:rPr>
            <w:rStyle w:val="Hyperlink"/>
            <w:b/>
            <w:bCs/>
            <w:sz w:val="28"/>
            <w:szCs w:val="28"/>
            <w:lang w:val="zh-CN" w:eastAsia="zh-CN"/>
          </w:rPr>
          <w:t>R28</w:t>
        </w:r>
      </w:hyperlink>
      <w:r w:rsidRPr="00BB76F4">
        <w:rPr>
          <w:b/>
          <w:bCs/>
          <w:sz w:val="28"/>
          <w:szCs w:val="28"/>
          <w:lang w:val="zh-CN" w:eastAsia="zh-CN"/>
        </w:rPr>
        <w:t>]</w:t>
      </w:r>
    </w:p>
    <w:p w14:paraId="79A87C93" w14:textId="77777777" w:rsidR="0009235E" w:rsidRPr="009E6B3D" w:rsidRDefault="0009235E" w:rsidP="0009235E">
      <w:pPr>
        <w:ind w:left="1134" w:hanging="1134"/>
        <w:outlineLvl w:val="1"/>
        <w:rPr>
          <w:rFonts w:eastAsia="Times New Roman" w:cs="Calibri"/>
          <w:b/>
          <w:bCs/>
          <w:szCs w:val="24"/>
          <w:lang w:val="fr-CH" w:eastAsia="zh-CN"/>
        </w:rPr>
      </w:pPr>
      <w:r>
        <w:rPr>
          <w:b/>
          <w:bCs/>
          <w:lang w:val="zh-CN" w:eastAsia="zh-CN"/>
        </w:rPr>
        <w:t>智慧城市和社区发生灾害或紧急情况时的智慧疏散框架</w:t>
      </w:r>
    </w:p>
    <w:p w14:paraId="4FC00704" w14:textId="77777777" w:rsidR="0009235E" w:rsidRPr="009E6B3D" w:rsidRDefault="0009235E" w:rsidP="0009235E">
      <w:pPr>
        <w:ind w:left="1134" w:hanging="1134"/>
        <w:outlineLvl w:val="1"/>
        <w:rPr>
          <w:rFonts w:eastAsia="Times New Roman" w:cs="Calibri"/>
          <w:b/>
          <w:bCs/>
          <w:szCs w:val="24"/>
          <w:lang w:val="fr-CH" w:eastAsia="zh-CN"/>
        </w:rPr>
      </w:pPr>
      <w:r w:rsidRPr="00253298">
        <w:rPr>
          <w:b/>
          <w:bCs/>
          <w:lang w:val="zh-CN" w:eastAsia="zh-CN"/>
        </w:rPr>
        <w:t>摘要</w:t>
      </w:r>
    </w:p>
    <w:p w14:paraId="14DA08C9" w14:textId="77777777" w:rsidR="0009235E" w:rsidRPr="00962C21" w:rsidRDefault="0009235E" w:rsidP="00D709A2">
      <w:pPr>
        <w:pBdr>
          <w:top w:val="nil"/>
          <w:left w:val="nil"/>
          <w:bottom w:val="nil"/>
          <w:right w:val="nil"/>
          <w:between w:val="nil"/>
          <w:bar w:val="nil"/>
        </w:pBdr>
        <w:ind w:firstLineChars="200" w:firstLine="480"/>
        <w:rPr>
          <w:rFonts w:cs="Calibri"/>
          <w:color w:val="000000"/>
          <w:u w:color="000000"/>
          <w:bdr w:val="nil"/>
          <w:lang w:eastAsia="zh-CN"/>
          <w14:textOutline w14:w="12700" w14:cap="flat" w14:cmpd="sng" w14:algn="ctr">
            <w14:noFill/>
            <w14:prstDash w14:val="solid"/>
            <w14:miter w14:lim="400000"/>
          </w14:textOutline>
        </w:rPr>
      </w:pPr>
      <w:r>
        <w:rPr>
          <w:lang w:val="zh-CN" w:eastAsia="zh-CN"/>
        </w:rPr>
        <w:t>智慧疏散为灾难或</w:t>
      </w:r>
      <w:r>
        <w:rPr>
          <w:rFonts w:hint="eastAsia"/>
          <w:lang w:val="zh-CN" w:eastAsia="zh-CN"/>
        </w:rPr>
        <w:t>应急</w:t>
      </w:r>
      <w:r>
        <w:rPr>
          <w:lang w:val="zh-CN" w:eastAsia="zh-CN"/>
        </w:rPr>
        <w:t>事件区域内的人员以及需要进入此类区域的人员</w:t>
      </w:r>
      <w:r>
        <w:rPr>
          <w:rFonts w:hint="eastAsia"/>
          <w:lang w:val="zh-CN" w:eastAsia="zh-CN"/>
        </w:rPr>
        <w:t>，</w:t>
      </w:r>
      <w:r>
        <w:rPr>
          <w:lang w:val="zh-CN" w:eastAsia="zh-CN"/>
        </w:rPr>
        <w:t>提供有效</w:t>
      </w:r>
      <w:r>
        <w:rPr>
          <w:rFonts w:hint="eastAsia"/>
          <w:lang w:val="zh-CN" w:eastAsia="zh-CN"/>
        </w:rPr>
        <w:t>且</w:t>
      </w:r>
      <w:r>
        <w:rPr>
          <w:lang w:val="zh-CN" w:eastAsia="zh-CN"/>
        </w:rPr>
        <w:t>高效的解决方案。物联网（</w:t>
      </w:r>
      <w:r>
        <w:rPr>
          <w:lang w:val="zh-CN" w:eastAsia="zh-CN"/>
        </w:rPr>
        <w:t>IoT</w:t>
      </w:r>
      <w:r>
        <w:rPr>
          <w:lang w:val="zh-CN" w:eastAsia="zh-CN"/>
        </w:rPr>
        <w:t>）以及智慧城市和社区可用于在灾难或</w:t>
      </w:r>
      <w:r>
        <w:rPr>
          <w:rFonts w:hint="eastAsia"/>
          <w:lang w:val="zh-CN" w:eastAsia="zh-CN"/>
        </w:rPr>
        <w:t>应急</w:t>
      </w:r>
      <w:r>
        <w:rPr>
          <w:lang w:val="zh-CN" w:eastAsia="zh-CN"/>
        </w:rPr>
        <w:t>事件期间提供智慧疏散。</w:t>
      </w:r>
    </w:p>
    <w:p w14:paraId="0B8FC2D1" w14:textId="77777777" w:rsidR="0009235E" w:rsidRPr="00962C21" w:rsidRDefault="0009235E" w:rsidP="00D709A2">
      <w:pPr>
        <w:pBdr>
          <w:top w:val="nil"/>
          <w:left w:val="nil"/>
          <w:bottom w:val="nil"/>
          <w:right w:val="nil"/>
          <w:between w:val="nil"/>
          <w:bar w:val="nil"/>
        </w:pBdr>
        <w:ind w:firstLineChars="200" w:firstLine="480"/>
        <w:rPr>
          <w:rFonts w:cs="Calibri"/>
          <w:color w:val="000000"/>
          <w:u w:color="000000"/>
          <w:bdr w:val="nil"/>
          <w:lang w:eastAsia="zh-CN"/>
          <w14:textOutline w14:w="12700" w14:cap="flat" w14:cmpd="sng" w14:algn="ctr">
            <w14:noFill/>
            <w14:prstDash w14:val="solid"/>
            <w14:miter w14:lim="400000"/>
          </w14:textOutline>
        </w:rPr>
      </w:pPr>
      <w:r>
        <w:rPr>
          <w:lang w:val="zh-CN" w:eastAsia="zh-CN"/>
        </w:rPr>
        <w:t>本建议书描述了</w:t>
      </w:r>
      <w:r>
        <w:rPr>
          <w:rFonts w:hint="eastAsia"/>
          <w:lang w:val="zh-CN" w:eastAsia="zh-CN"/>
        </w:rPr>
        <w:t>在</w:t>
      </w:r>
      <w:r>
        <w:rPr>
          <w:lang w:val="zh-CN" w:eastAsia="zh-CN"/>
        </w:rPr>
        <w:t>灾害和</w:t>
      </w:r>
      <w:r>
        <w:rPr>
          <w:rFonts w:hint="eastAsia"/>
          <w:lang w:val="zh-CN" w:eastAsia="zh-CN"/>
        </w:rPr>
        <w:t>应</w:t>
      </w:r>
      <w:r>
        <w:rPr>
          <w:lang w:val="zh-CN" w:eastAsia="zh-CN"/>
        </w:rPr>
        <w:t>急情况下</w:t>
      </w:r>
      <w:r>
        <w:rPr>
          <w:rFonts w:hint="eastAsia"/>
          <w:lang w:val="zh-CN" w:eastAsia="zh-CN"/>
        </w:rPr>
        <w:t>进行</w:t>
      </w:r>
      <w:r>
        <w:rPr>
          <w:lang w:val="zh-CN" w:eastAsia="zh-CN"/>
        </w:rPr>
        <w:t>智慧疏散控制的概念和特征。</w:t>
      </w:r>
      <w:r>
        <w:rPr>
          <w:rFonts w:hint="eastAsia"/>
          <w:lang w:val="zh-CN" w:eastAsia="zh-CN"/>
        </w:rPr>
        <w:t>这一建议书</w:t>
      </w:r>
      <w:r>
        <w:rPr>
          <w:lang w:val="zh-CN" w:eastAsia="zh-CN"/>
        </w:rPr>
        <w:t>确定了智慧疏散的高</w:t>
      </w:r>
      <w:r>
        <w:rPr>
          <w:rFonts w:hint="eastAsia"/>
          <w:lang w:val="zh-CN" w:eastAsia="zh-CN"/>
        </w:rPr>
        <w:t>层</w:t>
      </w:r>
      <w:r>
        <w:rPr>
          <w:lang w:val="zh-CN" w:eastAsia="zh-CN"/>
        </w:rPr>
        <w:t>要求和</w:t>
      </w:r>
      <w:r>
        <w:rPr>
          <w:lang w:val="zh-CN" w:eastAsia="zh-CN"/>
        </w:rPr>
        <w:t>ICT</w:t>
      </w:r>
      <w:r>
        <w:rPr>
          <w:lang w:val="zh-CN" w:eastAsia="zh-CN"/>
        </w:rPr>
        <w:t>基础设施，以及灾害和紧急情况下的</w:t>
      </w:r>
      <w:r>
        <w:rPr>
          <w:rFonts w:hint="eastAsia"/>
          <w:lang w:val="zh-CN" w:eastAsia="zh-CN"/>
        </w:rPr>
        <w:t>使用案例</w:t>
      </w:r>
      <w:r>
        <w:rPr>
          <w:lang w:val="zh-CN" w:eastAsia="zh-CN"/>
        </w:rPr>
        <w:t>。</w:t>
      </w:r>
    </w:p>
    <w:p w14:paraId="25317D75" w14:textId="77777777" w:rsidR="0009235E" w:rsidRPr="00962C21" w:rsidRDefault="0009235E" w:rsidP="00D709A2">
      <w:pPr>
        <w:pBdr>
          <w:top w:val="nil"/>
          <w:left w:val="nil"/>
          <w:bottom w:val="nil"/>
          <w:right w:val="nil"/>
          <w:between w:val="nil"/>
          <w:bar w:val="nil"/>
        </w:pBdr>
        <w:ind w:firstLineChars="200" w:firstLine="480"/>
        <w:rPr>
          <w:rFonts w:cs="Calibri"/>
          <w:u w:color="000000"/>
          <w:bdr w:val="nil"/>
          <w:lang w:eastAsia="zh-CN"/>
          <w14:textOutline w14:w="12700" w14:cap="flat" w14:cmpd="sng" w14:algn="ctr">
            <w14:noFill/>
            <w14:prstDash w14:val="solid"/>
            <w14:miter w14:lim="400000"/>
          </w14:textOutline>
        </w:rPr>
      </w:pPr>
      <w:r>
        <w:rPr>
          <w:lang w:val="zh-CN" w:eastAsia="zh-CN"/>
        </w:rPr>
        <w:t>引入智慧疏散服务后，即使在</w:t>
      </w:r>
      <w:r>
        <w:rPr>
          <w:rFonts w:hint="eastAsia"/>
          <w:lang w:val="zh-CN" w:eastAsia="zh-CN"/>
        </w:rPr>
        <w:t>应</w:t>
      </w:r>
      <w:r>
        <w:rPr>
          <w:lang w:val="zh-CN" w:eastAsia="zh-CN"/>
        </w:rPr>
        <w:t>急情况下也能保持智慧城市居民生活的舒适度。在世界各地</w:t>
      </w:r>
      <w:r>
        <w:rPr>
          <w:rFonts w:hint="eastAsia"/>
          <w:lang w:val="zh-CN" w:eastAsia="zh-CN"/>
        </w:rPr>
        <w:t>应急情况</w:t>
      </w:r>
      <w:r>
        <w:rPr>
          <w:lang w:val="zh-CN" w:eastAsia="zh-CN"/>
        </w:rPr>
        <w:t>日益频繁的背景下</w:t>
      </w:r>
      <w:r>
        <w:rPr>
          <w:rFonts w:hint="eastAsia"/>
          <w:lang w:val="zh-CN" w:eastAsia="zh-CN"/>
        </w:rPr>
        <w:t>，这为因何要为</w:t>
      </w:r>
      <w:r>
        <w:rPr>
          <w:lang w:val="zh-CN" w:eastAsia="zh-CN"/>
        </w:rPr>
        <w:t>快速发展全球智慧城市所付出巨大物质成本</w:t>
      </w:r>
      <w:r>
        <w:rPr>
          <w:rFonts w:hint="eastAsia"/>
          <w:lang w:val="zh-CN" w:eastAsia="zh-CN"/>
        </w:rPr>
        <w:t>提供了依据</w:t>
      </w:r>
      <w:r>
        <w:rPr>
          <w:lang w:val="zh-CN" w:eastAsia="zh-CN"/>
        </w:rPr>
        <w:t>。</w:t>
      </w:r>
    </w:p>
    <w:p w14:paraId="76A6A773" w14:textId="57F5C589" w:rsidR="0009235E" w:rsidRPr="00BB76F4" w:rsidRDefault="0009235E" w:rsidP="0009235E">
      <w:pPr>
        <w:spacing w:before="280"/>
        <w:ind w:left="1134" w:hanging="1134"/>
        <w:outlineLvl w:val="0"/>
        <w:rPr>
          <w:rFonts w:eastAsia="Times New Roman" w:cs="Calibri"/>
          <w:b/>
          <w:sz w:val="28"/>
          <w:szCs w:val="28"/>
          <w:lang w:eastAsia="zh-CN"/>
        </w:rPr>
      </w:pPr>
      <w:r w:rsidRPr="00BB76F4">
        <w:rPr>
          <w:b/>
          <w:bCs/>
          <w:sz w:val="28"/>
          <w:szCs w:val="28"/>
          <w:lang w:eastAsia="zh-CN"/>
        </w:rPr>
        <w:t>9</w:t>
      </w:r>
      <w:r w:rsidRPr="00BB76F4">
        <w:rPr>
          <w:b/>
          <w:bCs/>
          <w:sz w:val="28"/>
          <w:szCs w:val="28"/>
          <w:lang w:eastAsia="zh-CN"/>
        </w:rPr>
        <w:tab/>
        <w:t>ITU-T Y.4507</w:t>
      </w:r>
      <w:r w:rsidRPr="00BB76F4">
        <w:rPr>
          <w:b/>
          <w:bCs/>
          <w:sz w:val="28"/>
          <w:szCs w:val="28"/>
          <w:lang w:val="zh-CN" w:eastAsia="zh-CN"/>
        </w:rPr>
        <w:t>新建议书草案</w:t>
      </w:r>
      <w:r w:rsidRPr="00BB76F4">
        <w:rPr>
          <w:b/>
          <w:bCs/>
          <w:sz w:val="28"/>
          <w:szCs w:val="28"/>
          <w:lang w:eastAsia="zh-CN"/>
        </w:rPr>
        <w:t>（</w:t>
      </w:r>
      <w:r w:rsidRPr="00BB76F4">
        <w:rPr>
          <w:b/>
          <w:bCs/>
          <w:sz w:val="28"/>
          <w:szCs w:val="28"/>
          <w:lang w:val="zh-CN" w:eastAsia="zh-CN"/>
        </w:rPr>
        <w:t>原</w:t>
      </w:r>
      <w:r w:rsidRPr="00BB76F4">
        <w:rPr>
          <w:b/>
          <w:bCs/>
          <w:sz w:val="28"/>
          <w:szCs w:val="28"/>
          <w:lang w:eastAsia="zh-CN"/>
        </w:rPr>
        <w:t>Y.arc-</w:t>
      </w:r>
      <w:proofErr w:type="spellStart"/>
      <w:r w:rsidRPr="00BB76F4">
        <w:rPr>
          <w:b/>
          <w:bCs/>
          <w:sz w:val="28"/>
          <w:szCs w:val="28"/>
          <w:lang w:eastAsia="zh-CN"/>
        </w:rPr>
        <w:t>psfws</w:t>
      </w:r>
      <w:proofErr w:type="spellEnd"/>
      <w:r w:rsidRPr="00BB76F4">
        <w:rPr>
          <w:b/>
          <w:bCs/>
          <w:sz w:val="28"/>
          <w:szCs w:val="28"/>
          <w:lang w:eastAsia="zh-CN"/>
        </w:rPr>
        <w:t>）：</w:t>
      </w:r>
      <w:r w:rsidRPr="00BB76F4">
        <w:rPr>
          <w:b/>
          <w:bCs/>
          <w:sz w:val="28"/>
          <w:szCs w:val="28"/>
          <w:lang w:eastAsia="zh-CN"/>
        </w:rPr>
        <w:t>[</w:t>
      </w:r>
      <w:hyperlink r:id="rId20" w:history="1">
        <w:r w:rsidRPr="00BB76F4">
          <w:rPr>
            <w:rStyle w:val="Hyperlink"/>
            <w:b/>
            <w:bCs/>
            <w:sz w:val="28"/>
            <w:szCs w:val="28"/>
            <w:lang w:eastAsia="zh-CN"/>
          </w:rPr>
          <w:t>R29</w:t>
        </w:r>
      </w:hyperlink>
      <w:r w:rsidRPr="00BB76F4">
        <w:rPr>
          <w:b/>
          <w:bCs/>
          <w:sz w:val="28"/>
          <w:szCs w:val="28"/>
          <w:lang w:eastAsia="zh-CN"/>
        </w:rPr>
        <w:t>]</w:t>
      </w:r>
    </w:p>
    <w:p w14:paraId="7272DE96" w14:textId="77777777" w:rsidR="0009235E" w:rsidRPr="003F1538" w:rsidRDefault="0009235E" w:rsidP="0009235E">
      <w:pPr>
        <w:ind w:left="1134" w:hanging="1134"/>
        <w:outlineLvl w:val="1"/>
        <w:rPr>
          <w:rFonts w:eastAsia="Times New Roman" w:cs="Calibri"/>
          <w:b/>
          <w:bCs/>
          <w:szCs w:val="24"/>
          <w:lang w:eastAsia="zh-CN"/>
        </w:rPr>
      </w:pPr>
      <w:r>
        <w:rPr>
          <w:b/>
          <w:bCs/>
          <w:lang w:val="zh-CN" w:eastAsia="zh-CN"/>
        </w:rPr>
        <w:t>供电设施预警系统的功能架构</w:t>
      </w:r>
    </w:p>
    <w:p w14:paraId="3BD20B6A" w14:textId="77777777" w:rsidR="0009235E" w:rsidRPr="00253298" w:rsidRDefault="0009235E" w:rsidP="0009235E">
      <w:pPr>
        <w:ind w:left="1134" w:hanging="1134"/>
        <w:outlineLvl w:val="1"/>
        <w:rPr>
          <w:rFonts w:eastAsia="Times New Roman" w:cs="Calibri"/>
          <w:b/>
          <w:bCs/>
          <w:szCs w:val="24"/>
          <w:lang w:eastAsia="zh-CN"/>
        </w:rPr>
      </w:pPr>
      <w:r w:rsidRPr="00253298">
        <w:rPr>
          <w:b/>
          <w:bCs/>
          <w:lang w:val="zh-CN" w:eastAsia="zh-CN"/>
        </w:rPr>
        <w:t>摘要</w:t>
      </w:r>
    </w:p>
    <w:p w14:paraId="040CC325" w14:textId="77777777" w:rsidR="0009235E" w:rsidRPr="00962C21" w:rsidRDefault="0009235E" w:rsidP="00D709A2">
      <w:pPr>
        <w:ind w:firstLineChars="200" w:firstLine="480"/>
        <w:rPr>
          <w:rFonts w:cs="Calibri"/>
          <w:lang w:eastAsia="zh-CN"/>
        </w:rPr>
      </w:pPr>
      <w:r>
        <w:rPr>
          <w:lang w:val="zh-CN" w:eastAsia="zh-CN"/>
        </w:rPr>
        <w:t>基于物联网技术的供电设施早期预警系统可以通过状态评估和预警模型，获取电力设备的实时状态参数，实现设备状态预测和故障预警。它可以提高资产运营的经济性，并确保供电的可靠性。有必要为供电设施建立一个预警系统。本建议书提供了供电设施预警系统的功能架构、</w:t>
      </w:r>
      <w:r>
        <w:rPr>
          <w:rFonts w:hint="eastAsia"/>
          <w:lang w:val="zh-CN" w:eastAsia="zh-CN"/>
        </w:rPr>
        <w:t>使用案例</w:t>
      </w:r>
      <w:r>
        <w:rPr>
          <w:lang w:val="zh-CN" w:eastAsia="zh-CN"/>
        </w:rPr>
        <w:t>和数据流。</w:t>
      </w:r>
    </w:p>
    <w:p w14:paraId="78A7098D" w14:textId="62B5C7AD" w:rsidR="0009235E" w:rsidRPr="00BB76F4" w:rsidRDefault="0009235E" w:rsidP="00D709A2">
      <w:pPr>
        <w:keepNext/>
        <w:keepLines/>
        <w:spacing w:before="280"/>
        <w:ind w:left="1134" w:hanging="1134"/>
        <w:outlineLvl w:val="0"/>
        <w:rPr>
          <w:rFonts w:eastAsia="Times New Roman" w:cs="Calibri"/>
          <w:b/>
          <w:bCs/>
          <w:sz w:val="28"/>
          <w:szCs w:val="28"/>
          <w:lang w:eastAsia="zh-CN"/>
        </w:rPr>
      </w:pPr>
      <w:r w:rsidRPr="00BB76F4">
        <w:rPr>
          <w:b/>
          <w:bCs/>
          <w:sz w:val="28"/>
          <w:szCs w:val="28"/>
          <w:lang w:val="zh-CN" w:eastAsia="zh-CN"/>
        </w:rPr>
        <w:lastRenderedPageBreak/>
        <w:t>10</w:t>
      </w:r>
      <w:r w:rsidRPr="00BB76F4">
        <w:rPr>
          <w:b/>
          <w:bCs/>
          <w:sz w:val="28"/>
          <w:szCs w:val="28"/>
          <w:lang w:val="zh-CN" w:eastAsia="zh-CN"/>
        </w:rPr>
        <w:tab/>
        <w:t>ITU-T Y.4508</w:t>
      </w:r>
      <w:r w:rsidRPr="00BB76F4">
        <w:rPr>
          <w:b/>
          <w:bCs/>
          <w:sz w:val="28"/>
          <w:szCs w:val="28"/>
          <w:lang w:val="zh-CN" w:eastAsia="zh-CN"/>
        </w:rPr>
        <w:t>新建议书草案（原</w:t>
      </w:r>
      <w:r w:rsidRPr="00BB76F4">
        <w:rPr>
          <w:b/>
          <w:bCs/>
          <w:sz w:val="28"/>
          <w:szCs w:val="28"/>
          <w:lang w:val="zh-CN" w:eastAsia="zh-CN"/>
        </w:rPr>
        <w:t>Y.DPM-alm-fra</w:t>
      </w:r>
      <w:r w:rsidRPr="00BB76F4">
        <w:rPr>
          <w:b/>
          <w:bCs/>
          <w:sz w:val="28"/>
          <w:szCs w:val="28"/>
          <w:lang w:val="zh-CN" w:eastAsia="zh-CN"/>
        </w:rPr>
        <w:t>）：</w:t>
      </w:r>
      <w:r w:rsidRPr="00BB76F4">
        <w:rPr>
          <w:b/>
          <w:bCs/>
          <w:sz w:val="28"/>
          <w:szCs w:val="28"/>
          <w:lang w:val="zh-CN" w:eastAsia="zh-CN"/>
        </w:rPr>
        <w:t>[</w:t>
      </w:r>
      <w:hyperlink r:id="rId21" w:history="1">
        <w:r w:rsidRPr="00BB76F4">
          <w:rPr>
            <w:rStyle w:val="Hyperlink"/>
            <w:b/>
            <w:bCs/>
            <w:sz w:val="28"/>
            <w:szCs w:val="28"/>
            <w:lang w:val="zh-CN" w:eastAsia="zh-CN"/>
          </w:rPr>
          <w:t>R30</w:t>
        </w:r>
      </w:hyperlink>
      <w:r w:rsidRPr="00BB76F4">
        <w:rPr>
          <w:b/>
          <w:bCs/>
          <w:sz w:val="28"/>
          <w:szCs w:val="28"/>
          <w:lang w:val="zh-CN" w:eastAsia="zh-CN"/>
        </w:rPr>
        <w:t>]</w:t>
      </w:r>
    </w:p>
    <w:p w14:paraId="3B265F62" w14:textId="77777777" w:rsidR="0009235E" w:rsidRPr="00962C21" w:rsidRDefault="0009235E" w:rsidP="0009235E">
      <w:pPr>
        <w:tabs>
          <w:tab w:val="clear" w:pos="1191"/>
          <w:tab w:val="left" w:pos="0"/>
        </w:tabs>
        <w:outlineLvl w:val="1"/>
        <w:rPr>
          <w:rFonts w:eastAsia="Times New Roman" w:cs="Calibri"/>
          <w:b/>
          <w:bCs/>
          <w:szCs w:val="24"/>
          <w:lang w:eastAsia="zh-CN"/>
        </w:rPr>
      </w:pPr>
      <w:r>
        <w:rPr>
          <w:b/>
          <w:bCs/>
          <w:lang w:val="zh-CN" w:eastAsia="zh-CN"/>
        </w:rPr>
        <w:t>物联网（</w:t>
      </w:r>
      <w:r>
        <w:rPr>
          <w:b/>
          <w:bCs/>
          <w:lang w:val="zh-CN" w:eastAsia="zh-CN"/>
        </w:rPr>
        <w:t>IoT</w:t>
      </w:r>
      <w:r>
        <w:rPr>
          <w:b/>
          <w:bCs/>
          <w:lang w:val="zh-CN" w:eastAsia="zh-CN"/>
        </w:rPr>
        <w:t>）数据处理和管理的基于区块链的活动日志管理功能要求和架构</w:t>
      </w:r>
    </w:p>
    <w:p w14:paraId="4A260180" w14:textId="77777777" w:rsidR="0009235E" w:rsidRPr="009E4CBC" w:rsidRDefault="0009235E" w:rsidP="0009235E">
      <w:pPr>
        <w:ind w:left="1134" w:hanging="1134"/>
        <w:outlineLvl w:val="1"/>
        <w:rPr>
          <w:rFonts w:eastAsia="Times New Roman" w:cs="Calibri"/>
          <w:b/>
          <w:bCs/>
          <w:szCs w:val="24"/>
          <w:lang w:eastAsia="zh-CN"/>
        </w:rPr>
      </w:pPr>
      <w:r w:rsidRPr="009E4CBC">
        <w:rPr>
          <w:b/>
          <w:bCs/>
          <w:lang w:val="zh-CN" w:eastAsia="zh-CN"/>
        </w:rPr>
        <w:t>摘要</w:t>
      </w:r>
    </w:p>
    <w:p w14:paraId="2F146F9B" w14:textId="6C52E469" w:rsidR="0009235E" w:rsidRPr="00962C21" w:rsidRDefault="0009235E" w:rsidP="00D709A2">
      <w:pPr>
        <w:ind w:firstLineChars="200" w:firstLine="480"/>
        <w:rPr>
          <w:rFonts w:cs="Calibri"/>
          <w:lang w:eastAsia="zh-CN"/>
        </w:rPr>
      </w:pPr>
      <w:r>
        <w:rPr>
          <w:lang w:val="zh-CN" w:eastAsia="zh-CN"/>
        </w:rPr>
        <w:t>许多物联网（</w:t>
      </w:r>
      <w:r>
        <w:rPr>
          <w:lang w:val="zh-CN" w:eastAsia="zh-CN"/>
        </w:rPr>
        <w:t>IoT</w:t>
      </w:r>
      <w:r>
        <w:rPr>
          <w:lang w:val="zh-CN" w:eastAsia="zh-CN"/>
        </w:rPr>
        <w:t>）平台可用于在不同阶段和不同区域处理和管理相同的物联网数据。在传统解决方案中，每个物联网平台通常将其物联网数据处理和管理（</w:t>
      </w:r>
      <w:r>
        <w:rPr>
          <w:lang w:val="zh-CN" w:eastAsia="zh-CN"/>
        </w:rPr>
        <w:t>IoT DPM</w:t>
      </w:r>
      <w:r>
        <w:rPr>
          <w:lang w:val="zh-CN" w:eastAsia="zh-CN"/>
        </w:rPr>
        <w:t>）的活动日志单独存</w:t>
      </w:r>
      <w:r>
        <w:rPr>
          <w:rFonts w:hint="eastAsia"/>
          <w:lang w:val="zh-CN" w:eastAsia="zh-CN"/>
        </w:rPr>
        <w:t>放在</w:t>
      </w:r>
      <w:r>
        <w:rPr>
          <w:lang w:val="zh-CN" w:eastAsia="zh-CN"/>
        </w:rPr>
        <w:t>存储器</w:t>
      </w:r>
      <w:r>
        <w:rPr>
          <w:rFonts w:hint="eastAsia"/>
          <w:lang w:val="zh-CN" w:eastAsia="zh-CN"/>
        </w:rPr>
        <w:t>内</w:t>
      </w:r>
      <w:r>
        <w:rPr>
          <w:lang w:val="zh-CN" w:eastAsia="zh-CN"/>
        </w:rPr>
        <w:t>。这些活动日志由物联网平台</w:t>
      </w:r>
      <w:r>
        <w:rPr>
          <w:rFonts w:hint="eastAsia"/>
          <w:lang w:val="zh-CN" w:eastAsia="zh-CN"/>
        </w:rPr>
        <w:t>负责</w:t>
      </w:r>
      <w:r>
        <w:rPr>
          <w:lang w:val="zh-CN" w:eastAsia="zh-CN"/>
        </w:rPr>
        <w:t>分离</w:t>
      </w:r>
      <w:r>
        <w:rPr>
          <w:rFonts w:hint="eastAsia"/>
          <w:lang w:val="zh-CN" w:eastAsia="zh-CN"/>
        </w:rPr>
        <w:t>并</w:t>
      </w:r>
      <w:r>
        <w:rPr>
          <w:lang w:val="zh-CN" w:eastAsia="zh-CN"/>
        </w:rPr>
        <w:t>管理。因此，无法保证这些活动日志的</w:t>
      </w:r>
      <w:r>
        <w:rPr>
          <w:rFonts w:hint="eastAsia"/>
          <w:lang w:val="zh-CN" w:eastAsia="zh-CN"/>
        </w:rPr>
        <w:t>获取</w:t>
      </w:r>
      <w:r>
        <w:rPr>
          <w:lang w:val="zh-CN" w:eastAsia="zh-CN"/>
        </w:rPr>
        <w:t>和可信度，并且对于由不同</w:t>
      </w:r>
      <w:r>
        <w:rPr>
          <w:lang w:val="zh-CN" w:eastAsia="zh-CN"/>
        </w:rPr>
        <w:t>IoT</w:t>
      </w:r>
      <w:r>
        <w:rPr>
          <w:lang w:val="zh-CN" w:eastAsia="zh-CN"/>
        </w:rPr>
        <w:t>平台存储和管理的活动日志，很难在整个生命周期中跟踪有关</w:t>
      </w:r>
      <w:r>
        <w:rPr>
          <w:lang w:val="zh-CN" w:eastAsia="zh-CN"/>
        </w:rPr>
        <w:t xml:space="preserve"> IoT DPM </w:t>
      </w:r>
      <w:r>
        <w:rPr>
          <w:lang w:val="zh-CN" w:eastAsia="zh-CN"/>
        </w:rPr>
        <w:t>的活动。</w:t>
      </w:r>
    </w:p>
    <w:p w14:paraId="3E0A5A8F" w14:textId="04CAC85C" w:rsidR="0009235E" w:rsidRPr="00962C21" w:rsidRDefault="0009235E" w:rsidP="00D709A2">
      <w:pPr>
        <w:ind w:firstLineChars="200" w:firstLine="480"/>
        <w:rPr>
          <w:rFonts w:cs="Calibri"/>
          <w:lang w:eastAsia="zh-CN"/>
        </w:rPr>
      </w:pPr>
      <w:r>
        <w:rPr>
          <w:lang w:val="zh-CN" w:eastAsia="zh-CN"/>
        </w:rPr>
        <w:t>为了跟踪有关</w:t>
      </w:r>
      <w:r>
        <w:rPr>
          <w:lang w:val="zh-CN" w:eastAsia="zh-CN"/>
        </w:rPr>
        <w:t>IoT DPM</w:t>
      </w:r>
      <w:r>
        <w:rPr>
          <w:lang w:val="zh-CN" w:eastAsia="zh-CN"/>
        </w:rPr>
        <w:t>的活动，不同的</w:t>
      </w:r>
      <w:r>
        <w:rPr>
          <w:lang w:val="zh-CN" w:eastAsia="zh-CN"/>
        </w:rPr>
        <w:t>IoT</w:t>
      </w:r>
      <w:r>
        <w:rPr>
          <w:lang w:val="zh-CN" w:eastAsia="zh-CN"/>
        </w:rPr>
        <w:t>平台可以使用相同的活动日志存储</w:t>
      </w:r>
      <w:r>
        <w:rPr>
          <w:rFonts w:hint="eastAsia"/>
          <w:lang w:val="zh-CN" w:eastAsia="zh-CN"/>
        </w:rPr>
        <w:t>介质和</w:t>
      </w:r>
      <w:r>
        <w:rPr>
          <w:lang w:val="zh-CN" w:eastAsia="zh-CN"/>
        </w:rPr>
        <w:t>相关功能。区块链技术支持的活动日志管理（</w:t>
      </w:r>
      <w:r>
        <w:rPr>
          <w:lang w:val="zh-CN" w:eastAsia="zh-CN"/>
        </w:rPr>
        <w:t>ALM</w:t>
      </w:r>
      <w:r>
        <w:rPr>
          <w:lang w:val="zh-CN" w:eastAsia="zh-CN"/>
        </w:rPr>
        <w:t>）</w:t>
      </w:r>
      <w:r>
        <w:rPr>
          <w:rFonts w:hint="eastAsia"/>
          <w:lang w:val="zh-CN" w:eastAsia="zh-CN"/>
        </w:rPr>
        <w:t>，</w:t>
      </w:r>
      <w:r>
        <w:rPr>
          <w:lang w:val="zh-CN" w:eastAsia="zh-CN"/>
        </w:rPr>
        <w:t>提供了在跨物联网平台的整个生命周期中管理</w:t>
      </w:r>
      <w:r>
        <w:rPr>
          <w:lang w:val="zh-CN" w:eastAsia="zh-CN"/>
        </w:rPr>
        <w:t>IoT DPM</w:t>
      </w:r>
      <w:r>
        <w:rPr>
          <w:lang w:val="zh-CN" w:eastAsia="zh-CN"/>
        </w:rPr>
        <w:t>活动日志的功能。不同的</w:t>
      </w:r>
      <w:r>
        <w:rPr>
          <w:lang w:val="zh-CN" w:eastAsia="zh-CN"/>
        </w:rPr>
        <w:t>IoT</w:t>
      </w:r>
      <w:r>
        <w:rPr>
          <w:lang w:val="zh-CN" w:eastAsia="zh-CN"/>
        </w:rPr>
        <w:t>平台可以通过</w:t>
      </w:r>
      <w:r>
        <w:rPr>
          <w:rFonts w:hint="eastAsia"/>
          <w:lang w:val="zh-CN" w:eastAsia="zh-CN"/>
        </w:rPr>
        <w:t>用于</w:t>
      </w:r>
      <w:r>
        <w:rPr>
          <w:lang w:val="zh-CN" w:eastAsia="zh-CN"/>
        </w:rPr>
        <w:t>IoT DPM</w:t>
      </w:r>
      <w:r>
        <w:rPr>
          <w:rFonts w:hint="eastAsia"/>
          <w:lang w:val="zh-CN" w:eastAsia="zh-CN"/>
        </w:rPr>
        <w:t>的</w:t>
      </w:r>
      <w:r>
        <w:rPr>
          <w:lang w:val="zh-CN" w:eastAsia="zh-CN"/>
        </w:rPr>
        <w:t>ALM</w:t>
      </w:r>
      <w:r>
        <w:rPr>
          <w:rFonts w:hint="eastAsia"/>
          <w:lang w:val="zh-CN" w:eastAsia="zh-CN"/>
        </w:rPr>
        <w:t>，</w:t>
      </w:r>
      <w:r>
        <w:rPr>
          <w:lang w:val="zh-CN" w:eastAsia="zh-CN"/>
        </w:rPr>
        <w:t>将</w:t>
      </w:r>
      <w:r>
        <w:rPr>
          <w:lang w:val="zh-CN" w:eastAsia="zh-CN"/>
        </w:rPr>
        <w:t>IoT DPM</w:t>
      </w:r>
      <w:r>
        <w:rPr>
          <w:lang w:val="zh-CN" w:eastAsia="zh-CN"/>
        </w:rPr>
        <w:t>的活动日志单独保存到可信</w:t>
      </w:r>
      <w:r>
        <w:rPr>
          <w:rFonts w:hint="eastAsia"/>
          <w:lang w:val="zh-CN" w:eastAsia="zh-CN"/>
        </w:rPr>
        <w:t>的</w:t>
      </w:r>
      <w:r>
        <w:rPr>
          <w:lang w:val="zh-CN" w:eastAsia="zh-CN"/>
        </w:rPr>
        <w:t>共享存储</w:t>
      </w:r>
      <w:r>
        <w:rPr>
          <w:rFonts w:hint="eastAsia"/>
          <w:lang w:val="zh-CN" w:eastAsia="zh-CN"/>
        </w:rPr>
        <w:t>介质中</w:t>
      </w:r>
      <w:r>
        <w:rPr>
          <w:lang w:val="zh-CN" w:eastAsia="zh-CN"/>
        </w:rPr>
        <w:t>。当他们通过</w:t>
      </w:r>
      <w:r>
        <w:rPr>
          <w:lang w:val="zh-CN" w:eastAsia="zh-CN"/>
        </w:rPr>
        <w:t>ALM</w:t>
      </w:r>
      <w:r>
        <w:rPr>
          <w:lang w:val="zh-CN" w:eastAsia="zh-CN"/>
        </w:rPr>
        <w:t>读取</w:t>
      </w:r>
      <w:r>
        <w:rPr>
          <w:lang w:val="zh-CN" w:eastAsia="zh-CN"/>
        </w:rPr>
        <w:t>IoT DPM</w:t>
      </w:r>
      <w:r>
        <w:rPr>
          <w:lang w:val="zh-CN" w:eastAsia="zh-CN"/>
        </w:rPr>
        <w:t>的活动日志时，如果获得授权，</w:t>
      </w:r>
      <w:r>
        <w:rPr>
          <w:rFonts w:hint="eastAsia"/>
          <w:lang w:val="zh-CN" w:eastAsia="zh-CN"/>
        </w:rPr>
        <w:t>则</w:t>
      </w:r>
      <w:r>
        <w:rPr>
          <w:lang w:val="zh-CN" w:eastAsia="zh-CN"/>
        </w:rPr>
        <w:t>可以通过</w:t>
      </w:r>
      <w:r>
        <w:rPr>
          <w:rFonts w:hint="eastAsia"/>
          <w:lang w:val="zh-CN" w:eastAsia="zh-CN"/>
        </w:rPr>
        <w:t>用于</w:t>
      </w:r>
      <w:r>
        <w:rPr>
          <w:lang w:val="zh-CN" w:eastAsia="zh-CN"/>
        </w:rPr>
        <w:t>IoT DPM</w:t>
      </w:r>
      <w:r>
        <w:rPr>
          <w:rFonts w:hint="eastAsia"/>
          <w:lang w:val="zh-CN" w:eastAsia="zh-CN"/>
        </w:rPr>
        <w:t>的</w:t>
      </w:r>
      <w:r>
        <w:rPr>
          <w:lang w:val="zh-CN" w:eastAsia="zh-CN"/>
        </w:rPr>
        <w:t>ALM</w:t>
      </w:r>
      <w:r>
        <w:rPr>
          <w:rFonts w:hint="eastAsia"/>
          <w:lang w:val="zh-CN" w:eastAsia="zh-CN"/>
        </w:rPr>
        <w:t>，</w:t>
      </w:r>
      <w:r>
        <w:rPr>
          <w:lang w:val="zh-CN" w:eastAsia="zh-CN"/>
        </w:rPr>
        <w:t>从可信</w:t>
      </w:r>
      <w:r>
        <w:rPr>
          <w:rFonts w:hint="eastAsia"/>
          <w:lang w:val="zh-CN" w:eastAsia="zh-CN"/>
        </w:rPr>
        <w:t>的</w:t>
      </w:r>
      <w:r>
        <w:rPr>
          <w:lang w:val="zh-CN" w:eastAsia="zh-CN"/>
        </w:rPr>
        <w:t>共享存储</w:t>
      </w:r>
      <w:r>
        <w:rPr>
          <w:rFonts w:hint="eastAsia"/>
          <w:lang w:val="zh-CN" w:eastAsia="zh-CN"/>
        </w:rPr>
        <w:t>介质</w:t>
      </w:r>
      <w:r>
        <w:rPr>
          <w:lang w:val="zh-CN" w:eastAsia="zh-CN"/>
        </w:rPr>
        <w:t>中获取整个生命周期</w:t>
      </w:r>
      <w:r>
        <w:rPr>
          <w:rFonts w:hint="eastAsia"/>
          <w:lang w:val="zh-CN" w:eastAsia="zh-CN"/>
        </w:rPr>
        <w:t>内</w:t>
      </w:r>
      <w:r>
        <w:rPr>
          <w:lang w:val="zh-CN" w:eastAsia="zh-CN"/>
        </w:rPr>
        <w:t>IoT DPM</w:t>
      </w:r>
      <w:r>
        <w:rPr>
          <w:lang w:val="zh-CN" w:eastAsia="zh-CN"/>
        </w:rPr>
        <w:t>的所有相关活动日志。</w:t>
      </w:r>
      <w:r>
        <w:rPr>
          <w:lang w:val="zh-CN" w:eastAsia="zh-CN"/>
        </w:rPr>
        <w:t>ALM</w:t>
      </w:r>
      <w:r>
        <w:rPr>
          <w:lang w:val="zh-CN" w:eastAsia="zh-CN"/>
        </w:rPr>
        <w:t>和可信共享存储基于区块链技术，可以保护活动日志不被篡改。</w:t>
      </w:r>
      <w:r>
        <w:rPr>
          <w:lang w:val="zh-CN" w:eastAsia="zh-CN"/>
        </w:rPr>
        <w:t>ALM</w:t>
      </w:r>
      <w:r>
        <w:rPr>
          <w:lang w:val="zh-CN" w:eastAsia="zh-CN"/>
        </w:rPr>
        <w:t>可以促进物联网平台</w:t>
      </w:r>
      <w:r>
        <w:rPr>
          <w:rFonts w:hint="eastAsia"/>
          <w:lang w:val="zh-CN" w:eastAsia="zh-CN"/>
        </w:rPr>
        <w:t>，以</w:t>
      </w:r>
      <w:r>
        <w:rPr>
          <w:lang w:val="zh-CN" w:eastAsia="zh-CN"/>
        </w:rPr>
        <w:t>透明可信地</w:t>
      </w:r>
      <w:r>
        <w:rPr>
          <w:rFonts w:hint="eastAsia"/>
          <w:lang w:val="zh-CN" w:eastAsia="zh-CN"/>
        </w:rPr>
        <w:t>的方式</w:t>
      </w:r>
      <w:r>
        <w:rPr>
          <w:lang w:val="zh-CN" w:eastAsia="zh-CN"/>
        </w:rPr>
        <w:t>在整个生命周期内存储和追踪</w:t>
      </w:r>
      <w:r>
        <w:rPr>
          <w:lang w:val="zh-CN" w:eastAsia="zh-CN"/>
        </w:rPr>
        <w:t>IoT DPM</w:t>
      </w:r>
      <w:r>
        <w:rPr>
          <w:lang w:val="zh-CN" w:eastAsia="zh-CN"/>
        </w:rPr>
        <w:t>的活动日志。</w:t>
      </w:r>
    </w:p>
    <w:p w14:paraId="2E410434" w14:textId="77777777" w:rsidR="0009235E" w:rsidRPr="00962C21" w:rsidRDefault="0009235E" w:rsidP="00D709A2">
      <w:pPr>
        <w:ind w:firstLineChars="200" w:firstLine="480"/>
        <w:rPr>
          <w:rFonts w:cs="Calibri"/>
          <w:lang w:eastAsia="zh-CN"/>
        </w:rPr>
      </w:pPr>
      <w:r>
        <w:rPr>
          <w:lang w:val="zh-CN" w:eastAsia="zh-CN"/>
        </w:rPr>
        <w:t>本建议书介绍了用于物联网数据处理和管理的基于区块链的</w:t>
      </w:r>
      <w:r>
        <w:rPr>
          <w:lang w:val="zh-CN" w:eastAsia="zh-CN"/>
        </w:rPr>
        <w:t>ALM</w:t>
      </w:r>
      <w:r>
        <w:rPr>
          <w:lang w:val="zh-CN" w:eastAsia="zh-CN"/>
        </w:rPr>
        <w:t>，并规定了其特性、功能要求和架构。</w:t>
      </w:r>
    </w:p>
    <w:p w14:paraId="0F4B1A15" w14:textId="63555BED" w:rsidR="0009235E" w:rsidRPr="00BB76F4" w:rsidRDefault="0009235E" w:rsidP="0009235E">
      <w:pPr>
        <w:spacing w:before="280"/>
        <w:ind w:left="1134" w:hanging="1134"/>
        <w:outlineLvl w:val="0"/>
        <w:rPr>
          <w:rFonts w:eastAsia="Times New Roman" w:cs="Calibri"/>
          <w:b/>
          <w:sz w:val="28"/>
          <w:szCs w:val="28"/>
          <w:lang w:eastAsia="zh-CN"/>
        </w:rPr>
      </w:pPr>
      <w:r w:rsidRPr="00BB76F4">
        <w:rPr>
          <w:b/>
          <w:bCs/>
          <w:sz w:val="28"/>
          <w:szCs w:val="28"/>
          <w:lang w:val="zh-CN" w:eastAsia="zh-CN"/>
        </w:rPr>
        <w:t>11</w:t>
      </w:r>
      <w:r w:rsidRPr="00BB76F4">
        <w:rPr>
          <w:b/>
          <w:bCs/>
          <w:sz w:val="28"/>
          <w:szCs w:val="28"/>
          <w:lang w:val="zh-CN" w:eastAsia="zh-CN"/>
        </w:rPr>
        <w:tab/>
        <w:t>ITU-T Y.4706</w:t>
      </w:r>
      <w:r w:rsidRPr="00BB76F4">
        <w:rPr>
          <w:b/>
          <w:bCs/>
          <w:sz w:val="28"/>
          <w:szCs w:val="28"/>
          <w:lang w:val="zh-CN" w:eastAsia="zh-CN"/>
        </w:rPr>
        <w:t>（原</w:t>
      </w:r>
      <w:r w:rsidRPr="00BB76F4">
        <w:rPr>
          <w:b/>
          <w:bCs/>
          <w:sz w:val="28"/>
          <w:szCs w:val="28"/>
          <w:lang w:val="zh-CN" w:eastAsia="zh-CN"/>
        </w:rPr>
        <w:t>Y.dem-IoT</w:t>
      </w:r>
      <w:r w:rsidRPr="00BB76F4">
        <w:rPr>
          <w:b/>
          <w:bCs/>
          <w:sz w:val="28"/>
          <w:szCs w:val="28"/>
          <w:lang w:val="zh-CN" w:eastAsia="zh-CN"/>
        </w:rPr>
        <w:t>）新建议书草案：</w:t>
      </w:r>
      <w:r w:rsidRPr="00BB76F4">
        <w:rPr>
          <w:b/>
          <w:bCs/>
          <w:sz w:val="28"/>
          <w:szCs w:val="28"/>
          <w:lang w:val="zh-CN" w:eastAsia="zh-CN"/>
        </w:rPr>
        <w:t>[</w:t>
      </w:r>
      <w:hyperlink r:id="rId22" w:history="1">
        <w:r w:rsidRPr="00BB76F4">
          <w:rPr>
            <w:rStyle w:val="Hyperlink"/>
            <w:b/>
            <w:bCs/>
            <w:sz w:val="28"/>
            <w:szCs w:val="28"/>
            <w:lang w:val="zh-CN" w:eastAsia="zh-CN"/>
          </w:rPr>
          <w:t>R31</w:t>
        </w:r>
      </w:hyperlink>
      <w:r w:rsidRPr="00BB76F4">
        <w:rPr>
          <w:b/>
          <w:bCs/>
          <w:sz w:val="28"/>
          <w:szCs w:val="28"/>
          <w:lang w:val="zh-CN" w:eastAsia="zh-CN"/>
        </w:rPr>
        <w:t>]</w:t>
      </w:r>
    </w:p>
    <w:p w14:paraId="4F344D47" w14:textId="77777777" w:rsidR="0009235E" w:rsidRPr="003F1538" w:rsidRDefault="0009235E" w:rsidP="0009235E">
      <w:pPr>
        <w:tabs>
          <w:tab w:val="clear" w:pos="1191"/>
          <w:tab w:val="left" w:pos="0"/>
        </w:tabs>
        <w:outlineLvl w:val="1"/>
        <w:rPr>
          <w:rFonts w:eastAsia="Times New Roman" w:cs="Calibri"/>
          <w:b/>
          <w:bCs/>
          <w:szCs w:val="24"/>
          <w:lang w:eastAsia="zh-CN"/>
        </w:rPr>
      </w:pPr>
      <w:r>
        <w:rPr>
          <w:b/>
          <w:bCs/>
          <w:lang w:val="zh-CN" w:eastAsia="zh-CN"/>
        </w:rPr>
        <w:t>输变电设备中物联网（</w:t>
      </w:r>
      <w:r>
        <w:rPr>
          <w:b/>
          <w:bCs/>
          <w:lang w:val="zh-CN" w:eastAsia="zh-CN"/>
        </w:rPr>
        <w:t>IoT</w:t>
      </w:r>
      <w:r>
        <w:rPr>
          <w:b/>
          <w:bCs/>
          <w:lang w:val="zh-CN" w:eastAsia="zh-CN"/>
        </w:rPr>
        <w:t>）设备的数据交换模型</w:t>
      </w:r>
    </w:p>
    <w:p w14:paraId="248578BB" w14:textId="77777777" w:rsidR="0009235E" w:rsidRPr="00962C21" w:rsidRDefault="0009235E" w:rsidP="0009235E">
      <w:pPr>
        <w:ind w:left="1134" w:hanging="1134"/>
        <w:outlineLvl w:val="1"/>
        <w:rPr>
          <w:rFonts w:eastAsia="Times New Roman" w:cs="Calibri"/>
          <w:b/>
          <w:szCs w:val="24"/>
          <w:lang w:eastAsia="zh-CN"/>
        </w:rPr>
      </w:pPr>
      <w:r>
        <w:rPr>
          <w:b/>
          <w:bCs/>
          <w:lang w:val="zh-CN" w:eastAsia="zh-CN"/>
        </w:rPr>
        <w:t>摘要</w:t>
      </w:r>
    </w:p>
    <w:p w14:paraId="2F7572E7" w14:textId="77777777" w:rsidR="0009235E" w:rsidRPr="00962C21" w:rsidRDefault="0009235E" w:rsidP="00D709A2">
      <w:pPr>
        <w:tabs>
          <w:tab w:val="clear" w:pos="1191"/>
          <w:tab w:val="left" w:pos="0"/>
        </w:tabs>
        <w:ind w:firstLineChars="200" w:firstLine="480"/>
        <w:outlineLvl w:val="0"/>
        <w:rPr>
          <w:rFonts w:cs="Calibri"/>
          <w:szCs w:val="24"/>
          <w:lang w:eastAsia="zh-CN"/>
        </w:rPr>
      </w:pPr>
      <w:r>
        <w:rPr>
          <w:lang w:val="zh-CN" w:eastAsia="zh-CN"/>
        </w:rPr>
        <w:t>输变电设备中的物联网（</w:t>
      </w:r>
      <w:r>
        <w:rPr>
          <w:lang w:val="zh-CN" w:eastAsia="zh-CN"/>
        </w:rPr>
        <w:t>IoT</w:t>
      </w:r>
      <w:r>
        <w:rPr>
          <w:lang w:val="zh-CN" w:eastAsia="zh-CN"/>
        </w:rPr>
        <w:t>）</w:t>
      </w:r>
      <w:r>
        <w:rPr>
          <w:rFonts w:hint="eastAsia"/>
          <w:lang w:val="zh-CN" w:eastAsia="zh-CN"/>
        </w:rPr>
        <w:t>装置</w:t>
      </w:r>
      <w:r>
        <w:rPr>
          <w:lang w:val="zh-CN" w:eastAsia="zh-CN"/>
        </w:rPr>
        <w:t>可以满足输变电设备对全面、精准数据采集的需求。开发一个</w:t>
      </w:r>
      <w:r>
        <w:rPr>
          <w:rFonts w:hint="eastAsia"/>
          <w:lang w:val="zh-CN" w:eastAsia="zh-CN"/>
        </w:rPr>
        <w:t>将</w:t>
      </w:r>
      <w:r>
        <w:rPr>
          <w:lang w:val="zh-CN" w:eastAsia="zh-CN"/>
        </w:rPr>
        <w:t>应用</w:t>
      </w:r>
      <w:r>
        <w:rPr>
          <w:rFonts w:hint="eastAsia"/>
          <w:lang w:val="zh-CN" w:eastAsia="zh-CN"/>
        </w:rPr>
        <w:t>的</w:t>
      </w:r>
      <w:r>
        <w:rPr>
          <w:lang w:val="zh-CN" w:eastAsia="zh-CN"/>
        </w:rPr>
        <w:t>使用、共享</w:t>
      </w:r>
      <w:r>
        <w:rPr>
          <w:rFonts w:hint="eastAsia"/>
          <w:lang w:val="zh-CN" w:eastAsia="zh-CN"/>
        </w:rPr>
        <w:t>和</w:t>
      </w:r>
      <w:r>
        <w:rPr>
          <w:lang w:val="zh-CN" w:eastAsia="zh-CN"/>
        </w:rPr>
        <w:t>协调</w:t>
      </w:r>
      <w:r>
        <w:rPr>
          <w:rFonts w:hint="eastAsia"/>
          <w:lang w:val="zh-CN" w:eastAsia="zh-CN"/>
        </w:rPr>
        <w:t>考虑在内的</w:t>
      </w:r>
      <w:r>
        <w:rPr>
          <w:lang w:val="zh-CN" w:eastAsia="zh-CN"/>
        </w:rPr>
        <w:t>数据交换模型</w:t>
      </w:r>
      <w:r>
        <w:rPr>
          <w:rFonts w:hint="eastAsia"/>
          <w:lang w:val="zh-CN" w:eastAsia="zh-CN"/>
        </w:rPr>
        <w:t>，</w:t>
      </w:r>
      <w:r>
        <w:rPr>
          <w:lang w:val="zh-CN" w:eastAsia="zh-CN"/>
        </w:rPr>
        <w:t>对于构建基于物联网的输变电设备系统至关重要。</w:t>
      </w:r>
    </w:p>
    <w:p w14:paraId="47C5E102" w14:textId="77777777" w:rsidR="0009235E" w:rsidRPr="00962C21" w:rsidRDefault="0009235E" w:rsidP="00D709A2">
      <w:pPr>
        <w:tabs>
          <w:tab w:val="clear" w:pos="1191"/>
          <w:tab w:val="left" w:pos="0"/>
        </w:tabs>
        <w:ind w:firstLineChars="200" w:firstLine="480"/>
        <w:outlineLvl w:val="0"/>
        <w:rPr>
          <w:rFonts w:cs="Calibri"/>
          <w:szCs w:val="24"/>
          <w:lang w:eastAsia="zh-CN"/>
        </w:rPr>
      </w:pPr>
      <w:r>
        <w:rPr>
          <w:lang w:val="zh-CN" w:eastAsia="zh-CN"/>
        </w:rPr>
        <w:t>本建议书规定了输变电设备物联网数据交换的要求和模型。</w:t>
      </w:r>
    </w:p>
    <w:p w14:paraId="0D55E272" w14:textId="796F5437" w:rsidR="0009235E" w:rsidRPr="00BB76F4" w:rsidRDefault="0009235E" w:rsidP="0009235E">
      <w:pPr>
        <w:spacing w:before="280"/>
        <w:ind w:left="1134" w:hanging="1134"/>
        <w:outlineLvl w:val="0"/>
        <w:rPr>
          <w:rFonts w:eastAsia="Times New Roman" w:cs="Calibri"/>
          <w:b/>
          <w:sz w:val="28"/>
          <w:szCs w:val="28"/>
          <w:lang w:eastAsia="zh-CN"/>
        </w:rPr>
      </w:pPr>
      <w:r w:rsidRPr="00BB76F4">
        <w:rPr>
          <w:b/>
          <w:bCs/>
          <w:sz w:val="28"/>
          <w:szCs w:val="28"/>
          <w:lang w:eastAsia="zh-CN"/>
        </w:rPr>
        <w:t>12</w:t>
      </w:r>
      <w:r w:rsidRPr="00BB76F4">
        <w:rPr>
          <w:b/>
          <w:bCs/>
          <w:sz w:val="28"/>
          <w:szCs w:val="28"/>
          <w:lang w:eastAsia="zh-CN"/>
        </w:rPr>
        <w:tab/>
        <w:t>ITU-T Y.4499</w:t>
      </w:r>
      <w:r w:rsidRPr="00BB76F4">
        <w:rPr>
          <w:b/>
          <w:bCs/>
          <w:sz w:val="28"/>
          <w:szCs w:val="28"/>
          <w:lang w:val="zh-CN" w:eastAsia="zh-CN"/>
        </w:rPr>
        <w:t>新建议书草案</w:t>
      </w:r>
      <w:r w:rsidRPr="00BB76F4">
        <w:rPr>
          <w:b/>
          <w:bCs/>
          <w:sz w:val="28"/>
          <w:szCs w:val="28"/>
          <w:lang w:eastAsia="zh-CN"/>
        </w:rPr>
        <w:t>（</w:t>
      </w:r>
      <w:r w:rsidRPr="00BB76F4">
        <w:rPr>
          <w:b/>
          <w:bCs/>
          <w:sz w:val="28"/>
          <w:szCs w:val="28"/>
          <w:lang w:val="zh-CN" w:eastAsia="zh-CN"/>
        </w:rPr>
        <w:t>原</w:t>
      </w:r>
      <w:r w:rsidRPr="00BB76F4">
        <w:rPr>
          <w:b/>
          <w:bCs/>
          <w:sz w:val="28"/>
          <w:szCs w:val="28"/>
          <w:lang w:eastAsia="zh-CN"/>
        </w:rPr>
        <w:t>Y.UIM-cs-framework</w:t>
      </w:r>
      <w:r w:rsidRPr="00BB76F4">
        <w:rPr>
          <w:b/>
          <w:bCs/>
          <w:sz w:val="28"/>
          <w:szCs w:val="28"/>
          <w:lang w:eastAsia="zh-CN"/>
        </w:rPr>
        <w:t>）：</w:t>
      </w:r>
      <w:r w:rsidRPr="00BB76F4">
        <w:rPr>
          <w:b/>
          <w:bCs/>
          <w:sz w:val="28"/>
          <w:szCs w:val="28"/>
          <w:lang w:eastAsia="zh-CN"/>
        </w:rPr>
        <w:t>[</w:t>
      </w:r>
      <w:hyperlink r:id="rId23" w:history="1">
        <w:r w:rsidRPr="00BB76F4">
          <w:rPr>
            <w:rStyle w:val="Hyperlink"/>
            <w:b/>
            <w:bCs/>
            <w:sz w:val="28"/>
            <w:szCs w:val="28"/>
            <w:lang w:eastAsia="zh-CN"/>
          </w:rPr>
          <w:t>R32</w:t>
        </w:r>
      </w:hyperlink>
      <w:r w:rsidRPr="00BB76F4">
        <w:rPr>
          <w:b/>
          <w:bCs/>
          <w:sz w:val="28"/>
          <w:szCs w:val="28"/>
          <w:lang w:eastAsia="zh-CN"/>
        </w:rPr>
        <w:t>]</w:t>
      </w:r>
    </w:p>
    <w:p w14:paraId="32DCE54A" w14:textId="77777777" w:rsidR="0009235E" w:rsidRPr="00962C21" w:rsidRDefault="0009235E" w:rsidP="0009235E">
      <w:pPr>
        <w:ind w:left="1134" w:hanging="1134"/>
        <w:outlineLvl w:val="1"/>
        <w:rPr>
          <w:rFonts w:eastAsia="Times New Roman" w:cs="Calibri"/>
          <w:b/>
          <w:bCs/>
          <w:szCs w:val="24"/>
          <w:lang w:eastAsia="zh-CN"/>
        </w:rPr>
      </w:pPr>
      <w:r>
        <w:rPr>
          <w:b/>
          <w:bCs/>
          <w:lang w:val="zh-CN" w:eastAsia="zh-CN"/>
        </w:rPr>
        <w:t>基于众包的城市基础设施监测框架</w:t>
      </w:r>
    </w:p>
    <w:p w14:paraId="5F55125C" w14:textId="77777777" w:rsidR="0009235E" w:rsidRPr="006608C5" w:rsidRDefault="0009235E" w:rsidP="0009235E">
      <w:pPr>
        <w:ind w:left="1134" w:hanging="1134"/>
        <w:outlineLvl w:val="1"/>
        <w:rPr>
          <w:rFonts w:eastAsia="Times New Roman" w:cs="Calibri"/>
          <w:b/>
          <w:bCs/>
          <w:szCs w:val="24"/>
          <w:lang w:eastAsia="zh-CN"/>
        </w:rPr>
      </w:pPr>
      <w:r w:rsidRPr="006608C5">
        <w:rPr>
          <w:b/>
          <w:bCs/>
          <w:lang w:val="zh-CN" w:eastAsia="zh-CN"/>
        </w:rPr>
        <w:t>摘要</w:t>
      </w:r>
    </w:p>
    <w:p w14:paraId="5DAE4264" w14:textId="77777777" w:rsidR="0009235E" w:rsidRPr="00962C21" w:rsidRDefault="0009235E" w:rsidP="00D709A2">
      <w:pPr>
        <w:ind w:firstLineChars="200" w:firstLine="480"/>
        <w:rPr>
          <w:rFonts w:cs="Calibri"/>
          <w:lang w:eastAsia="zh-CN"/>
        </w:rPr>
      </w:pPr>
      <w:r>
        <w:rPr>
          <w:lang w:val="zh-CN" w:eastAsia="zh-CN"/>
        </w:rPr>
        <w:t>ITU-T Y.4499</w:t>
      </w:r>
      <w:r>
        <w:rPr>
          <w:lang w:val="zh-CN" w:eastAsia="zh-CN"/>
        </w:rPr>
        <w:t>建议书规定了基于众包的城市基础设施监测框架，</w:t>
      </w:r>
      <w:r>
        <w:rPr>
          <w:rFonts w:hint="eastAsia"/>
          <w:lang w:val="zh-CN" w:eastAsia="zh-CN"/>
        </w:rPr>
        <w:t>其中涉及</w:t>
      </w:r>
      <w:r>
        <w:rPr>
          <w:lang w:val="zh-CN" w:eastAsia="zh-CN"/>
        </w:rPr>
        <w:t>要求、功能架构、通用程序以及安全和隐私</w:t>
      </w:r>
      <w:r>
        <w:rPr>
          <w:rFonts w:hint="eastAsia"/>
          <w:lang w:val="zh-CN" w:eastAsia="zh-CN"/>
        </w:rPr>
        <w:t>方面的</w:t>
      </w:r>
      <w:r>
        <w:rPr>
          <w:lang w:val="zh-CN" w:eastAsia="zh-CN"/>
        </w:rPr>
        <w:t>考虑。</w:t>
      </w:r>
    </w:p>
    <w:p w14:paraId="0135D08C" w14:textId="77777777" w:rsidR="0009235E" w:rsidRPr="00962C21" w:rsidRDefault="0009235E" w:rsidP="00D709A2">
      <w:pPr>
        <w:ind w:firstLineChars="200" w:firstLine="480"/>
        <w:rPr>
          <w:rFonts w:cs="Calibri"/>
          <w:lang w:eastAsia="zh-CN"/>
        </w:rPr>
      </w:pPr>
      <w:r>
        <w:rPr>
          <w:lang w:val="zh-CN" w:eastAsia="zh-CN"/>
        </w:rPr>
        <w:t>城市基础设施包括城市运营和发展</w:t>
      </w:r>
      <w:r>
        <w:rPr>
          <w:rFonts w:hint="eastAsia"/>
          <w:lang w:val="zh-CN" w:eastAsia="zh-CN"/>
        </w:rPr>
        <w:t>所</w:t>
      </w:r>
      <w:r>
        <w:rPr>
          <w:lang w:val="zh-CN" w:eastAsia="zh-CN"/>
        </w:rPr>
        <w:t>必须具备的物理设施和系统。</w:t>
      </w:r>
      <w:r>
        <w:rPr>
          <w:rFonts w:hint="eastAsia"/>
          <w:lang w:val="zh-CN" w:eastAsia="zh-CN"/>
        </w:rPr>
        <w:t>这些设施</w:t>
      </w:r>
      <w:r>
        <w:rPr>
          <w:lang w:val="zh-CN" w:eastAsia="zh-CN"/>
        </w:rPr>
        <w:t>具有数量大、分布广、管理难度高等特点。众包是让一群人为了同</w:t>
      </w:r>
      <w:r>
        <w:rPr>
          <w:rFonts w:hint="eastAsia"/>
          <w:lang w:val="zh-CN" w:eastAsia="zh-CN"/>
        </w:rPr>
        <w:t>一</w:t>
      </w:r>
      <w:r>
        <w:rPr>
          <w:lang w:val="zh-CN" w:eastAsia="zh-CN"/>
        </w:rPr>
        <w:t>的目标而参与</w:t>
      </w:r>
      <w:r>
        <w:rPr>
          <w:rFonts w:hint="eastAsia"/>
          <w:lang w:val="zh-CN" w:eastAsia="zh-CN"/>
        </w:rPr>
        <w:t>相关工作</w:t>
      </w:r>
      <w:r>
        <w:rPr>
          <w:lang w:val="zh-CN" w:eastAsia="zh-CN"/>
        </w:rPr>
        <w:t>的做法。它可以</w:t>
      </w:r>
      <w:r>
        <w:rPr>
          <w:rFonts w:hint="eastAsia"/>
          <w:lang w:val="zh-CN" w:eastAsia="zh-CN"/>
        </w:rPr>
        <w:t>为</w:t>
      </w:r>
      <w:r>
        <w:rPr>
          <w:lang w:val="zh-CN" w:eastAsia="zh-CN"/>
        </w:rPr>
        <w:t>监测城市基础设施</w:t>
      </w:r>
      <w:r>
        <w:rPr>
          <w:rFonts w:hint="eastAsia"/>
          <w:lang w:val="zh-CN" w:eastAsia="zh-CN"/>
        </w:rPr>
        <w:t>，</w:t>
      </w:r>
      <w:r>
        <w:rPr>
          <w:lang w:val="zh-CN" w:eastAsia="zh-CN"/>
        </w:rPr>
        <w:t>提供一种可</w:t>
      </w:r>
      <w:r>
        <w:rPr>
          <w:rFonts w:hint="eastAsia"/>
          <w:lang w:val="zh-CN" w:eastAsia="zh-CN"/>
        </w:rPr>
        <w:t>升级</w:t>
      </w:r>
      <w:r>
        <w:rPr>
          <w:lang w:val="zh-CN" w:eastAsia="zh-CN"/>
        </w:rPr>
        <w:t>且经济上可行的方法。</w:t>
      </w:r>
    </w:p>
    <w:p w14:paraId="553F65C0" w14:textId="77777777" w:rsidR="0009235E" w:rsidRDefault="0009235E">
      <w:pPr>
        <w:tabs>
          <w:tab w:val="clear" w:pos="794"/>
          <w:tab w:val="clear" w:pos="1191"/>
          <w:tab w:val="clear" w:pos="1588"/>
          <w:tab w:val="clear" w:pos="1985"/>
        </w:tabs>
        <w:overflowPunct/>
        <w:autoSpaceDE/>
        <w:autoSpaceDN/>
        <w:adjustRightInd/>
        <w:spacing w:before="0"/>
        <w:textAlignment w:val="auto"/>
        <w:rPr>
          <w:b/>
          <w:bCs/>
          <w:lang w:val="zh-CN" w:eastAsia="zh-CN"/>
        </w:rPr>
      </w:pPr>
      <w:r>
        <w:rPr>
          <w:b/>
          <w:bCs/>
          <w:lang w:val="zh-CN" w:eastAsia="zh-CN"/>
        </w:rPr>
        <w:br w:type="page"/>
      </w:r>
    </w:p>
    <w:p w14:paraId="72807D7F" w14:textId="00584443" w:rsidR="0009235E" w:rsidRPr="004D697F" w:rsidRDefault="0009235E" w:rsidP="0009235E">
      <w:pPr>
        <w:keepNext/>
        <w:keepLines/>
        <w:spacing w:after="280"/>
        <w:jc w:val="center"/>
        <w:rPr>
          <w:rFonts w:eastAsia="Times New Roman"/>
          <w:b/>
          <w:sz w:val="28"/>
          <w:lang w:eastAsia="zh-CN"/>
        </w:rPr>
      </w:pPr>
      <w:r w:rsidRPr="004D697F">
        <w:rPr>
          <w:b/>
          <w:bCs/>
          <w:lang w:val="zh-CN" w:eastAsia="zh-CN"/>
        </w:rPr>
        <w:lastRenderedPageBreak/>
        <w:t>附件</w:t>
      </w:r>
      <w:r w:rsidRPr="004D697F">
        <w:rPr>
          <w:b/>
          <w:bCs/>
          <w:lang w:val="zh-CN" w:eastAsia="zh-CN"/>
        </w:rPr>
        <w:t>2</w:t>
      </w:r>
    </w:p>
    <w:p w14:paraId="397D31F1" w14:textId="34E726E7" w:rsidR="0009235E" w:rsidRPr="00D709A2" w:rsidRDefault="0009235E" w:rsidP="0009235E">
      <w:pPr>
        <w:keepNext/>
        <w:keepLines/>
        <w:spacing w:before="240" w:after="280"/>
        <w:jc w:val="center"/>
        <w:rPr>
          <w:rFonts w:eastAsia="Times New Roman"/>
          <w:b/>
          <w:sz w:val="28"/>
          <w:lang w:eastAsia="zh-CN"/>
        </w:rPr>
      </w:pPr>
      <w:r>
        <w:rPr>
          <w:rFonts w:hint="eastAsia"/>
          <w:b/>
          <w:bCs/>
          <w:lang w:val="zh-CN" w:eastAsia="zh-CN"/>
        </w:rPr>
        <w:t>主题</w:t>
      </w:r>
      <w:r w:rsidRPr="004D697F">
        <w:rPr>
          <w:b/>
          <w:bCs/>
          <w:lang w:eastAsia="zh-CN"/>
        </w:rPr>
        <w:t>：</w:t>
      </w:r>
      <w:r w:rsidRPr="004D697F">
        <w:rPr>
          <w:b/>
          <w:bCs/>
          <w:lang w:val="zh-CN" w:eastAsia="zh-CN"/>
        </w:rPr>
        <w:t>成员国对电信标准化局第</w:t>
      </w:r>
      <w:r w:rsidRPr="004D697F">
        <w:rPr>
          <w:b/>
          <w:bCs/>
          <w:lang w:eastAsia="zh-CN"/>
        </w:rPr>
        <w:t>236</w:t>
      </w:r>
      <w:r w:rsidRPr="004D697F">
        <w:rPr>
          <w:b/>
          <w:bCs/>
          <w:lang w:val="zh-CN" w:eastAsia="zh-CN"/>
        </w:rPr>
        <w:t>号通函的回</w:t>
      </w:r>
      <w:r>
        <w:rPr>
          <w:rFonts w:hint="eastAsia"/>
          <w:b/>
          <w:bCs/>
          <w:lang w:eastAsia="zh-CN"/>
        </w:rPr>
        <w:t>复</w:t>
      </w:r>
      <w:r w:rsidR="00D709A2">
        <w:rPr>
          <w:b/>
          <w:bCs/>
          <w:lang w:eastAsia="zh-CN"/>
        </w:rPr>
        <w:br/>
      </w:r>
      <w:r w:rsidRPr="004D697F">
        <w:rPr>
          <w:b/>
          <w:bCs/>
          <w:lang w:val="zh-CN" w:eastAsia="zh-CN"/>
        </w:rPr>
        <w:t>就已确定的</w:t>
      </w:r>
      <w:r w:rsidRPr="004D697F">
        <w:rPr>
          <w:b/>
          <w:bCs/>
          <w:lang w:eastAsia="zh-CN"/>
        </w:rPr>
        <w:t>ITU-T Y.4506</w:t>
      </w:r>
      <w:r w:rsidRPr="004D697F">
        <w:rPr>
          <w:b/>
          <w:bCs/>
          <w:lang w:eastAsia="zh-CN"/>
        </w:rPr>
        <w:t>（</w:t>
      </w:r>
      <w:r w:rsidRPr="004D697F">
        <w:rPr>
          <w:b/>
          <w:bCs/>
          <w:lang w:val="zh-CN" w:eastAsia="zh-CN"/>
        </w:rPr>
        <w:t>原</w:t>
      </w:r>
      <w:r w:rsidRPr="004D697F">
        <w:rPr>
          <w:b/>
          <w:bCs/>
          <w:lang w:eastAsia="zh-CN"/>
        </w:rPr>
        <w:t>Y.DRI-arch</w:t>
      </w:r>
      <w:r w:rsidRPr="004D697F">
        <w:rPr>
          <w:b/>
          <w:bCs/>
          <w:lang w:eastAsia="zh-CN"/>
        </w:rPr>
        <w:t>）</w:t>
      </w:r>
      <w:r w:rsidRPr="004D697F">
        <w:rPr>
          <w:b/>
          <w:bCs/>
          <w:lang w:val="zh-CN" w:eastAsia="zh-CN"/>
        </w:rPr>
        <w:t>、</w:t>
      </w:r>
      <w:r w:rsidRPr="004D697F">
        <w:rPr>
          <w:b/>
          <w:bCs/>
          <w:lang w:eastAsia="zh-CN"/>
        </w:rPr>
        <w:t>Y.4229</w:t>
      </w:r>
      <w:r w:rsidRPr="004D697F">
        <w:rPr>
          <w:b/>
          <w:bCs/>
          <w:lang w:eastAsia="zh-CN"/>
        </w:rPr>
        <w:t>（</w:t>
      </w:r>
      <w:r w:rsidRPr="004D697F">
        <w:rPr>
          <w:b/>
          <w:bCs/>
          <w:lang w:val="zh-CN" w:eastAsia="zh-CN"/>
        </w:rPr>
        <w:t>原</w:t>
      </w:r>
      <w:proofErr w:type="spellStart"/>
      <w:r w:rsidRPr="004D697F">
        <w:rPr>
          <w:b/>
          <w:bCs/>
          <w:lang w:eastAsia="zh-CN"/>
        </w:rPr>
        <w:t>Y.IoT</w:t>
      </w:r>
      <w:proofErr w:type="spellEnd"/>
      <w:r w:rsidRPr="004D697F">
        <w:rPr>
          <w:b/>
          <w:bCs/>
          <w:lang w:eastAsia="zh-CN"/>
        </w:rPr>
        <w:t>-SFFS</w:t>
      </w:r>
      <w:r w:rsidRPr="004D697F">
        <w:rPr>
          <w:b/>
          <w:bCs/>
          <w:lang w:eastAsia="zh-CN"/>
        </w:rPr>
        <w:t>）</w:t>
      </w:r>
      <w:r w:rsidRPr="004D697F">
        <w:rPr>
          <w:b/>
          <w:bCs/>
          <w:lang w:val="zh-CN" w:eastAsia="zh-CN"/>
        </w:rPr>
        <w:t>、</w:t>
      </w:r>
      <w:r w:rsidRPr="00D709A2">
        <w:rPr>
          <w:b/>
          <w:bCs/>
          <w:lang w:eastAsia="zh-CN"/>
        </w:rPr>
        <w:br/>
      </w:r>
      <w:r w:rsidRPr="004D697F">
        <w:rPr>
          <w:b/>
          <w:bCs/>
          <w:lang w:eastAsia="zh-CN"/>
        </w:rPr>
        <w:t>Y.4230</w:t>
      </w:r>
      <w:r w:rsidRPr="004D697F">
        <w:rPr>
          <w:b/>
          <w:bCs/>
          <w:lang w:eastAsia="zh-CN"/>
        </w:rPr>
        <w:t>（</w:t>
      </w:r>
      <w:r w:rsidRPr="004D697F">
        <w:rPr>
          <w:b/>
          <w:bCs/>
          <w:lang w:val="zh-CN" w:eastAsia="zh-CN"/>
        </w:rPr>
        <w:t>原</w:t>
      </w:r>
      <w:r w:rsidRPr="004D697F">
        <w:rPr>
          <w:b/>
          <w:bCs/>
          <w:lang w:eastAsia="zh-CN"/>
        </w:rPr>
        <w:t>Y.EV-charging</w:t>
      </w:r>
      <w:r w:rsidRPr="004D697F">
        <w:rPr>
          <w:b/>
          <w:bCs/>
          <w:lang w:eastAsia="zh-CN"/>
        </w:rPr>
        <w:t>）</w:t>
      </w:r>
      <w:r w:rsidRPr="004D697F">
        <w:rPr>
          <w:b/>
          <w:bCs/>
          <w:lang w:val="zh-CN" w:eastAsia="zh-CN"/>
        </w:rPr>
        <w:t>、</w:t>
      </w:r>
      <w:r w:rsidRPr="004D697F">
        <w:rPr>
          <w:b/>
          <w:bCs/>
          <w:lang w:eastAsia="zh-CN"/>
        </w:rPr>
        <w:t>Y.4231</w:t>
      </w:r>
      <w:r w:rsidRPr="004D697F">
        <w:rPr>
          <w:b/>
          <w:bCs/>
          <w:lang w:eastAsia="zh-CN"/>
        </w:rPr>
        <w:t>（</w:t>
      </w:r>
      <w:r w:rsidRPr="004D697F">
        <w:rPr>
          <w:b/>
          <w:bCs/>
          <w:lang w:val="zh-CN" w:eastAsia="zh-CN"/>
        </w:rPr>
        <w:t>原</w:t>
      </w:r>
      <w:proofErr w:type="spellStart"/>
      <w:r w:rsidRPr="004D697F">
        <w:rPr>
          <w:b/>
          <w:bCs/>
          <w:lang w:eastAsia="zh-CN"/>
        </w:rPr>
        <w:t>Y.IoT-Vreqs</w:t>
      </w:r>
      <w:proofErr w:type="spellEnd"/>
      <w:r w:rsidRPr="004D697F">
        <w:rPr>
          <w:b/>
          <w:bCs/>
          <w:lang w:eastAsia="zh-CN"/>
        </w:rPr>
        <w:t>）</w:t>
      </w:r>
      <w:r w:rsidRPr="004D697F">
        <w:rPr>
          <w:b/>
          <w:bCs/>
          <w:lang w:val="zh-CN" w:eastAsia="zh-CN"/>
        </w:rPr>
        <w:t>、</w:t>
      </w:r>
      <w:r w:rsidRPr="004D697F">
        <w:rPr>
          <w:b/>
          <w:bCs/>
          <w:lang w:eastAsia="zh-CN"/>
        </w:rPr>
        <w:t>Y.4232</w:t>
      </w:r>
      <w:r w:rsidRPr="004D697F">
        <w:rPr>
          <w:b/>
          <w:bCs/>
          <w:lang w:eastAsia="zh-CN"/>
        </w:rPr>
        <w:t>（</w:t>
      </w:r>
      <w:r w:rsidRPr="004D697F">
        <w:rPr>
          <w:b/>
          <w:bCs/>
          <w:lang w:val="zh-CN" w:eastAsia="zh-CN"/>
        </w:rPr>
        <w:t>原</w:t>
      </w:r>
      <w:proofErr w:type="spellStart"/>
      <w:r w:rsidRPr="004D697F">
        <w:rPr>
          <w:b/>
          <w:bCs/>
          <w:lang w:eastAsia="zh-CN"/>
        </w:rPr>
        <w:t>Y.IoT</w:t>
      </w:r>
      <w:proofErr w:type="spellEnd"/>
      <w:r w:rsidRPr="004D697F">
        <w:rPr>
          <w:b/>
          <w:bCs/>
          <w:lang w:eastAsia="zh-CN"/>
        </w:rPr>
        <w:t>-RTPS</w:t>
      </w:r>
      <w:r w:rsidRPr="004D697F">
        <w:rPr>
          <w:b/>
          <w:bCs/>
          <w:lang w:eastAsia="zh-CN"/>
        </w:rPr>
        <w:t>）</w:t>
      </w:r>
      <w:r w:rsidRPr="004D697F">
        <w:rPr>
          <w:b/>
          <w:bCs/>
          <w:lang w:val="zh-CN" w:eastAsia="zh-CN"/>
        </w:rPr>
        <w:t>、</w:t>
      </w:r>
      <w:r w:rsidRPr="00D709A2">
        <w:rPr>
          <w:b/>
          <w:bCs/>
          <w:lang w:eastAsia="zh-CN"/>
        </w:rPr>
        <w:br/>
      </w:r>
      <w:r w:rsidRPr="004D697F">
        <w:rPr>
          <w:b/>
          <w:bCs/>
          <w:lang w:eastAsia="zh-CN"/>
        </w:rPr>
        <w:t>Y.4233</w:t>
      </w:r>
      <w:r w:rsidRPr="004D697F">
        <w:rPr>
          <w:b/>
          <w:bCs/>
          <w:lang w:eastAsia="zh-CN"/>
        </w:rPr>
        <w:t>（</w:t>
      </w:r>
      <w:r w:rsidRPr="004D697F">
        <w:rPr>
          <w:b/>
          <w:bCs/>
          <w:lang w:val="zh-CN" w:eastAsia="zh-CN"/>
        </w:rPr>
        <w:t>原</w:t>
      </w:r>
      <w:r w:rsidRPr="004D697F">
        <w:rPr>
          <w:b/>
          <w:bCs/>
          <w:lang w:eastAsia="zh-CN"/>
        </w:rPr>
        <w:t>Y.FSPH</w:t>
      </w:r>
      <w:r w:rsidRPr="004D697F">
        <w:rPr>
          <w:b/>
          <w:bCs/>
          <w:lang w:eastAsia="zh-CN"/>
        </w:rPr>
        <w:t>）</w:t>
      </w:r>
      <w:r w:rsidRPr="004D697F">
        <w:rPr>
          <w:b/>
          <w:bCs/>
          <w:lang w:val="zh-CN" w:eastAsia="zh-CN"/>
        </w:rPr>
        <w:t>、</w:t>
      </w:r>
      <w:r w:rsidRPr="004D697F">
        <w:rPr>
          <w:b/>
          <w:bCs/>
          <w:lang w:eastAsia="zh-CN"/>
        </w:rPr>
        <w:t>Y.4234</w:t>
      </w:r>
      <w:r w:rsidRPr="004D697F">
        <w:rPr>
          <w:b/>
          <w:bCs/>
          <w:lang w:eastAsia="zh-CN"/>
        </w:rPr>
        <w:t>（</w:t>
      </w:r>
      <w:r w:rsidRPr="004D697F">
        <w:rPr>
          <w:b/>
          <w:bCs/>
          <w:lang w:val="zh-CN" w:eastAsia="zh-CN"/>
        </w:rPr>
        <w:t>原</w:t>
      </w:r>
      <w:proofErr w:type="spellStart"/>
      <w:r w:rsidRPr="004D697F">
        <w:rPr>
          <w:b/>
          <w:bCs/>
          <w:lang w:eastAsia="zh-CN"/>
        </w:rPr>
        <w:t>Y.RemoteEd</w:t>
      </w:r>
      <w:proofErr w:type="spellEnd"/>
      <w:r w:rsidRPr="004D697F">
        <w:rPr>
          <w:b/>
          <w:bCs/>
          <w:lang w:eastAsia="zh-CN"/>
        </w:rPr>
        <w:t>）</w:t>
      </w:r>
      <w:r w:rsidRPr="004D697F">
        <w:rPr>
          <w:b/>
          <w:bCs/>
          <w:lang w:val="zh-CN" w:eastAsia="zh-CN"/>
        </w:rPr>
        <w:t>、</w:t>
      </w:r>
      <w:r w:rsidRPr="004D697F">
        <w:rPr>
          <w:b/>
          <w:bCs/>
          <w:lang w:eastAsia="zh-CN"/>
        </w:rPr>
        <w:t>Y.4222</w:t>
      </w:r>
      <w:r w:rsidRPr="004D697F">
        <w:rPr>
          <w:b/>
          <w:bCs/>
          <w:lang w:eastAsia="zh-CN"/>
        </w:rPr>
        <w:t>（</w:t>
      </w:r>
      <w:r w:rsidRPr="004D697F">
        <w:rPr>
          <w:b/>
          <w:bCs/>
          <w:lang w:val="zh-CN" w:eastAsia="zh-CN"/>
        </w:rPr>
        <w:t>原</w:t>
      </w:r>
      <w:proofErr w:type="spellStart"/>
      <w:r w:rsidRPr="004D697F">
        <w:rPr>
          <w:b/>
          <w:bCs/>
          <w:lang w:eastAsia="zh-CN"/>
        </w:rPr>
        <w:t>Y.smart</w:t>
      </w:r>
      <w:proofErr w:type="spellEnd"/>
      <w:r w:rsidRPr="004D697F">
        <w:rPr>
          <w:b/>
          <w:bCs/>
          <w:lang w:eastAsia="zh-CN"/>
        </w:rPr>
        <w:t>-evacuation</w:t>
      </w:r>
      <w:r w:rsidRPr="004D697F">
        <w:rPr>
          <w:b/>
          <w:bCs/>
          <w:lang w:eastAsia="zh-CN"/>
        </w:rPr>
        <w:t>）</w:t>
      </w:r>
      <w:r w:rsidRPr="004D697F">
        <w:rPr>
          <w:b/>
          <w:bCs/>
          <w:lang w:val="zh-CN" w:eastAsia="zh-CN"/>
        </w:rPr>
        <w:t>、</w:t>
      </w:r>
      <w:r w:rsidRPr="00D709A2">
        <w:rPr>
          <w:b/>
          <w:bCs/>
          <w:lang w:eastAsia="zh-CN"/>
        </w:rPr>
        <w:br/>
      </w:r>
      <w:r w:rsidRPr="004D697F">
        <w:rPr>
          <w:b/>
          <w:bCs/>
          <w:lang w:eastAsia="zh-CN"/>
        </w:rPr>
        <w:t>Y.4507</w:t>
      </w:r>
      <w:r w:rsidRPr="004D697F">
        <w:rPr>
          <w:b/>
          <w:bCs/>
          <w:lang w:eastAsia="zh-CN"/>
        </w:rPr>
        <w:t>（</w:t>
      </w:r>
      <w:r w:rsidRPr="004D697F">
        <w:rPr>
          <w:b/>
          <w:bCs/>
          <w:lang w:val="zh-CN" w:eastAsia="zh-CN"/>
        </w:rPr>
        <w:t>原</w:t>
      </w:r>
      <w:r w:rsidRPr="004D697F">
        <w:rPr>
          <w:b/>
          <w:bCs/>
          <w:lang w:eastAsia="zh-CN"/>
        </w:rPr>
        <w:t>Y.arc-</w:t>
      </w:r>
      <w:proofErr w:type="spellStart"/>
      <w:r w:rsidRPr="004D697F">
        <w:rPr>
          <w:b/>
          <w:bCs/>
          <w:lang w:eastAsia="zh-CN"/>
        </w:rPr>
        <w:t>psfws</w:t>
      </w:r>
      <w:proofErr w:type="spellEnd"/>
      <w:r w:rsidRPr="004D697F">
        <w:rPr>
          <w:b/>
          <w:bCs/>
          <w:lang w:eastAsia="zh-CN"/>
        </w:rPr>
        <w:t>）</w:t>
      </w:r>
      <w:r w:rsidRPr="004D697F">
        <w:rPr>
          <w:b/>
          <w:bCs/>
          <w:lang w:val="zh-CN" w:eastAsia="zh-CN"/>
        </w:rPr>
        <w:t>、</w:t>
      </w:r>
      <w:r w:rsidRPr="004D697F">
        <w:rPr>
          <w:b/>
          <w:bCs/>
          <w:lang w:eastAsia="zh-CN"/>
        </w:rPr>
        <w:t>Y.4508</w:t>
      </w:r>
      <w:r w:rsidRPr="004D697F">
        <w:rPr>
          <w:b/>
          <w:bCs/>
          <w:lang w:eastAsia="zh-CN"/>
        </w:rPr>
        <w:t>（</w:t>
      </w:r>
      <w:r w:rsidRPr="004D697F">
        <w:rPr>
          <w:b/>
          <w:bCs/>
          <w:lang w:val="zh-CN" w:eastAsia="zh-CN"/>
        </w:rPr>
        <w:t>原</w:t>
      </w:r>
      <w:r w:rsidRPr="004D697F">
        <w:rPr>
          <w:b/>
          <w:bCs/>
          <w:lang w:eastAsia="zh-CN"/>
        </w:rPr>
        <w:t>Y.DPM-</w:t>
      </w:r>
      <w:proofErr w:type="spellStart"/>
      <w:r w:rsidRPr="004D697F">
        <w:rPr>
          <w:b/>
          <w:bCs/>
          <w:lang w:eastAsia="zh-CN"/>
        </w:rPr>
        <w:t>alm</w:t>
      </w:r>
      <w:proofErr w:type="spellEnd"/>
      <w:r w:rsidRPr="004D697F">
        <w:rPr>
          <w:b/>
          <w:bCs/>
          <w:lang w:eastAsia="zh-CN"/>
        </w:rPr>
        <w:t>-</w:t>
      </w:r>
      <w:proofErr w:type="spellStart"/>
      <w:r w:rsidRPr="004D697F">
        <w:rPr>
          <w:b/>
          <w:bCs/>
          <w:lang w:eastAsia="zh-CN"/>
        </w:rPr>
        <w:t>fra</w:t>
      </w:r>
      <w:proofErr w:type="spellEnd"/>
      <w:r w:rsidRPr="004D697F">
        <w:rPr>
          <w:b/>
          <w:bCs/>
          <w:lang w:eastAsia="zh-CN"/>
        </w:rPr>
        <w:t>）</w:t>
      </w:r>
      <w:r w:rsidRPr="004D697F">
        <w:rPr>
          <w:b/>
          <w:bCs/>
          <w:lang w:val="zh-CN" w:eastAsia="zh-CN"/>
        </w:rPr>
        <w:t>、</w:t>
      </w:r>
      <w:r w:rsidRPr="004D697F">
        <w:rPr>
          <w:b/>
          <w:bCs/>
          <w:lang w:eastAsia="zh-CN"/>
        </w:rPr>
        <w:t>Y.4706</w:t>
      </w:r>
      <w:r w:rsidRPr="004D697F">
        <w:rPr>
          <w:b/>
          <w:bCs/>
          <w:lang w:eastAsia="zh-CN"/>
        </w:rPr>
        <w:t>（</w:t>
      </w:r>
      <w:r w:rsidRPr="004D697F">
        <w:rPr>
          <w:b/>
          <w:bCs/>
          <w:lang w:val="zh-CN" w:eastAsia="zh-CN"/>
        </w:rPr>
        <w:t>原</w:t>
      </w:r>
      <w:proofErr w:type="spellStart"/>
      <w:r w:rsidRPr="004D697F">
        <w:rPr>
          <w:b/>
          <w:bCs/>
          <w:lang w:eastAsia="zh-CN"/>
        </w:rPr>
        <w:t>Y.dem</w:t>
      </w:r>
      <w:proofErr w:type="spellEnd"/>
      <w:r w:rsidRPr="004D697F">
        <w:rPr>
          <w:b/>
          <w:bCs/>
          <w:lang w:eastAsia="zh-CN"/>
        </w:rPr>
        <w:t>-IoT</w:t>
      </w:r>
      <w:r w:rsidRPr="004D697F">
        <w:rPr>
          <w:b/>
          <w:bCs/>
          <w:lang w:eastAsia="zh-CN"/>
        </w:rPr>
        <w:t>）</w:t>
      </w:r>
      <w:r w:rsidRPr="004D697F">
        <w:rPr>
          <w:b/>
          <w:bCs/>
          <w:lang w:val="zh-CN" w:eastAsia="zh-CN"/>
        </w:rPr>
        <w:t>和</w:t>
      </w:r>
      <w:r w:rsidRPr="00D709A2">
        <w:rPr>
          <w:b/>
          <w:bCs/>
          <w:lang w:eastAsia="zh-CN"/>
        </w:rPr>
        <w:br/>
      </w:r>
      <w:r w:rsidRPr="004D697F">
        <w:rPr>
          <w:b/>
          <w:bCs/>
          <w:lang w:eastAsia="zh-CN"/>
        </w:rPr>
        <w:t>Y.4499</w:t>
      </w:r>
      <w:r w:rsidRPr="004D697F">
        <w:rPr>
          <w:b/>
          <w:bCs/>
          <w:lang w:eastAsia="zh-CN"/>
        </w:rPr>
        <w:t>（</w:t>
      </w:r>
      <w:r w:rsidRPr="004D697F">
        <w:rPr>
          <w:b/>
          <w:bCs/>
          <w:lang w:val="zh-CN" w:eastAsia="zh-CN"/>
        </w:rPr>
        <w:t>原</w:t>
      </w:r>
      <w:r w:rsidRPr="004D697F">
        <w:rPr>
          <w:b/>
          <w:bCs/>
          <w:lang w:eastAsia="zh-CN"/>
        </w:rPr>
        <w:t>Y.UIM-cs-framework</w:t>
      </w:r>
      <w:r w:rsidRPr="004D697F">
        <w:rPr>
          <w:b/>
          <w:bCs/>
          <w:lang w:eastAsia="zh-CN"/>
        </w:rPr>
        <w:t>）</w:t>
      </w:r>
      <w:r w:rsidRPr="004D697F">
        <w:rPr>
          <w:b/>
          <w:bCs/>
          <w:lang w:val="zh-CN" w:eastAsia="zh-CN"/>
        </w:rPr>
        <w:t>新建议书草案开展磋商</w:t>
      </w:r>
    </w:p>
    <w:tbl>
      <w:tblPr>
        <w:tblW w:w="9957" w:type="dxa"/>
        <w:tblInd w:w="-176" w:type="dxa"/>
        <w:tblLayout w:type="fixed"/>
        <w:tblLook w:val="04A0" w:firstRow="1" w:lastRow="0" w:firstColumn="1" w:lastColumn="0" w:noHBand="0" w:noVBand="1"/>
      </w:tblPr>
      <w:tblGrid>
        <w:gridCol w:w="1452"/>
        <w:gridCol w:w="4111"/>
        <w:gridCol w:w="1559"/>
        <w:gridCol w:w="2835"/>
      </w:tblGrid>
      <w:tr w:rsidR="0009235E" w:rsidRPr="00D709A2" w14:paraId="1217B519" w14:textId="77777777" w:rsidTr="00D709A2">
        <w:tc>
          <w:tcPr>
            <w:tcW w:w="1452" w:type="dxa"/>
            <w:shd w:val="clear" w:color="auto" w:fill="auto"/>
          </w:tcPr>
          <w:p w14:paraId="12F1BE06" w14:textId="77777777" w:rsidR="0009235E" w:rsidRPr="00D709A2" w:rsidRDefault="0009235E" w:rsidP="00312723">
            <w:pPr>
              <w:jc w:val="right"/>
              <w:rPr>
                <w:rFonts w:eastAsia="Times New Roman"/>
                <w:b/>
                <w:bCs/>
                <w:szCs w:val="24"/>
              </w:rPr>
            </w:pPr>
            <w:proofErr w:type="spellStart"/>
            <w:r w:rsidRPr="00D709A2">
              <w:rPr>
                <w:b/>
                <w:bCs/>
                <w:szCs w:val="24"/>
                <w:lang w:val="zh-CN"/>
              </w:rPr>
              <w:t>收件人</w:t>
            </w:r>
            <w:proofErr w:type="spellEnd"/>
            <w:r w:rsidRPr="00D709A2">
              <w:rPr>
                <w:b/>
                <w:bCs/>
                <w:szCs w:val="24"/>
                <w:lang w:val="zh-CN"/>
              </w:rPr>
              <w:t>：</w:t>
            </w:r>
          </w:p>
        </w:tc>
        <w:tc>
          <w:tcPr>
            <w:tcW w:w="4111" w:type="dxa"/>
            <w:tcBorders>
              <w:right w:val="single" w:sz="8" w:space="0" w:color="auto"/>
            </w:tcBorders>
            <w:shd w:val="clear" w:color="auto" w:fill="auto"/>
          </w:tcPr>
          <w:p w14:paraId="5F13ACFE" w14:textId="11973569" w:rsidR="0009235E" w:rsidRPr="00D709A2" w:rsidRDefault="0009235E" w:rsidP="00312723">
            <w:pPr>
              <w:rPr>
                <w:szCs w:val="24"/>
                <w:lang w:val="zh-CN" w:eastAsia="zh-CN"/>
              </w:rPr>
            </w:pPr>
            <w:r w:rsidRPr="00D709A2">
              <w:rPr>
                <w:szCs w:val="24"/>
                <w:lang w:val="zh-CN" w:eastAsia="zh-CN"/>
              </w:rPr>
              <w:t>国际电信联盟</w:t>
            </w:r>
          </w:p>
          <w:p w14:paraId="10E06AB0" w14:textId="77777777" w:rsidR="0009235E" w:rsidRPr="00D709A2" w:rsidRDefault="0009235E" w:rsidP="00D709A2">
            <w:pPr>
              <w:spacing w:before="40" w:after="40"/>
              <w:rPr>
                <w:rFonts w:eastAsia="Times New Roman"/>
                <w:szCs w:val="24"/>
                <w:lang w:eastAsia="zh-CN"/>
              </w:rPr>
            </w:pPr>
            <w:r w:rsidRPr="00D709A2">
              <w:rPr>
                <w:rFonts w:ascii="SimSun" w:hAnsi="SimSun" w:cs="SimSun" w:hint="eastAsia"/>
                <w:szCs w:val="24"/>
                <w:lang w:eastAsia="zh-CN"/>
              </w:rPr>
              <w:t>电信标准化局主任</w:t>
            </w:r>
          </w:p>
          <w:p w14:paraId="0C699052" w14:textId="77777777" w:rsidR="0009235E" w:rsidRPr="00D709A2" w:rsidRDefault="0009235E" w:rsidP="00D709A2">
            <w:pPr>
              <w:spacing w:before="40" w:after="40"/>
              <w:rPr>
                <w:rFonts w:eastAsia="Times New Roman"/>
                <w:szCs w:val="24"/>
              </w:rPr>
            </w:pPr>
            <w:r w:rsidRPr="00D709A2">
              <w:rPr>
                <w:szCs w:val="24"/>
                <w:lang w:val="zh-CN"/>
              </w:rPr>
              <w:t>Place des Nation</w:t>
            </w:r>
          </w:p>
          <w:p w14:paraId="48D25DF9" w14:textId="77777777" w:rsidR="0009235E" w:rsidRPr="00D709A2" w:rsidRDefault="0009235E" w:rsidP="00D709A2">
            <w:pPr>
              <w:spacing w:before="40" w:after="40"/>
              <w:rPr>
                <w:rFonts w:eastAsia="Times New Roman"/>
                <w:szCs w:val="24"/>
              </w:rPr>
            </w:pPr>
            <w:r w:rsidRPr="00D709A2">
              <w:rPr>
                <w:rFonts w:eastAsia="Times New Roman"/>
                <w:szCs w:val="24"/>
              </w:rPr>
              <w:t>CH 1211 Geneva 20, Switzerland</w:t>
            </w:r>
          </w:p>
        </w:tc>
        <w:tc>
          <w:tcPr>
            <w:tcW w:w="1559" w:type="dxa"/>
            <w:tcBorders>
              <w:left w:val="single" w:sz="8" w:space="0" w:color="auto"/>
            </w:tcBorders>
            <w:shd w:val="clear" w:color="auto" w:fill="auto"/>
          </w:tcPr>
          <w:p w14:paraId="496BFE89" w14:textId="77777777" w:rsidR="0009235E" w:rsidRPr="00D709A2" w:rsidRDefault="0009235E" w:rsidP="00312723">
            <w:pPr>
              <w:jc w:val="right"/>
              <w:rPr>
                <w:rFonts w:eastAsia="Times New Roman"/>
                <w:b/>
                <w:bCs/>
                <w:szCs w:val="24"/>
              </w:rPr>
            </w:pPr>
            <w:proofErr w:type="spellStart"/>
            <w:r w:rsidRPr="00D709A2">
              <w:rPr>
                <w:b/>
                <w:bCs/>
                <w:szCs w:val="24"/>
                <w:lang w:val="zh-CN"/>
              </w:rPr>
              <w:t>发件人</w:t>
            </w:r>
            <w:proofErr w:type="spellEnd"/>
            <w:r w:rsidRPr="00D709A2">
              <w:rPr>
                <w:b/>
                <w:bCs/>
                <w:szCs w:val="24"/>
                <w:lang w:val="zh-CN"/>
              </w:rPr>
              <w:t>：</w:t>
            </w:r>
          </w:p>
        </w:tc>
        <w:tc>
          <w:tcPr>
            <w:tcW w:w="2835" w:type="dxa"/>
            <w:shd w:val="clear" w:color="auto" w:fill="auto"/>
          </w:tcPr>
          <w:p w14:paraId="4F10A8E2" w14:textId="77777777" w:rsidR="0009235E" w:rsidRPr="00D709A2" w:rsidRDefault="0009235E" w:rsidP="00312723">
            <w:pPr>
              <w:rPr>
                <w:rFonts w:eastAsia="Times New Roman"/>
                <w:szCs w:val="24"/>
                <w:lang w:eastAsia="zh-CN"/>
              </w:rPr>
            </w:pPr>
            <w:r w:rsidRPr="00D709A2">
              <w:rPr>
                <w:szCs w:val="24"/>
                <w:lang w:val="zh-CN" w:eastAsia="zh-CN"/>
              </w:rPr>
              <w:t>[</w:t>
            </w:r>
            <w:r w:rsidRPr="00D709A2">
              <w:rPr>
                <w:szCs w:val="24"/>
                <w:lang w:val="zh-CN" w:eastAsia="zh-CN"/>
              </w:rPr>
              <w:t>姓名</w:t>
            </w:r>
            <w:r w:rsidRPr="00D709A2">
              <w:rPr>
                <w:szCs w:val="24"/>
                <w:lang w:val="zh-CN" w:eastAsia="zh-CN"/>
              </w:rPr>
              <w:t>]</w:t>
            </w:r>
          </w:p>
          <w:p w14:paraId="4D2BBB25" w14:textId="77777777" w:rsidR="0009235E" w:rsidRPr="00D709A2" w:rsidRDefault="0009235E" w:rsidP="00312723">
            <w:pPr>
              <w:spacing w:before="0"/>
              <w:rPr>
                <w:rFonts w:eastAsia="Times New Roman"/>
                <w:szCs w:val="24"/>
                <w:lang w:eastAsia="zh-CN"/>
              </w:rPr>
            </w:pPr>
            <w:r w:rsidRPr="00D709A2">
              <w:rPr>
                <w:szCs w:val="24"/>
                <w:lang w:val="zh-CN" w:eastAsia="zh-CN"/>
              </w:rPr>
              <w:t>[</w:t>
            </w:r>
            <w:r w:rsidRPr="00D709A2">
              <w:rPr>
                <w:szCs w:val="24"/>
                <w:lang w:val="zh-CN" w:eastAsia="zh-CN"/>
              </w:rPr>
              <w:t>官方职务</w:t>
            </w:r>
            <w:r w:rsidRPr="00D709A2">
              <w:rPr>
                <w:szCs w:val="24"/>
                <w:lang w:val="zh-CN" w:eastAsia="zh-CN"/>
              </w:rPr>
              <w:t>/</w:t>
            </w:r>
            <w:r w:rsidRPr="00D709A2">
              <w:rPr>
                <w:szCs w:val="24"/>
                <w:lang w:val="zh-CN" w:eastAsia="zh-CN"/>
              </w:rPr>
              <w:t>头衔</w:t>
            </w:r>
            <w:r w:rsidRPr="00D709A2">
              <w:rPr>
                <w:szCs w:val="24"/>
                <w:lang w:val="zh-CN" w:eastAsia="zh-CN"/>
              </w:rPr>
              <w:t>]</w:t>
            </w:r>
          </w:p>
          <w:p w14:paraId="21B75A80" w14:textId="77777777" w:rsidR="0009235E" w:rsidRPr="00D709A2" w:rsidRDefault="0009235E" w:rsidP="00312723">
            <w:pPr>
              <w:spacing w:before="0"/>
              <w:rPr>
                <w:rFonts w:eastAsia="Times New Roman"/>
                <w:szCs w:val="24"/>
                <w:lang w:eastAsia="zh-CN"/>
              </w:rPr>
            </w:pPr>
            <w:r w:rsidRPr="00D709A2">
              <w:rPr>
                <w:szCs w:val="24"/>
                <w:lang w:val="zh-CN" w:eastAsia="zh-CN"/>
              </w:rPr>
              <w:t>[</w:t>
            </w:r>
            <w:r w:rsidRPr="00D709A2">
              <w:rPr>
                <w:szCs w:val="24"/>
                <w:lang w:val="zh-CN" w:eastAsia="zh-CN"/>
              </w:rPr>
              <w:t>地址</w:t>
            </w:r>
            <w:r w:rsidRPr="00D709A2">
              <w:rPr>
                <w:szCs w:val="24"/>
                <w:lang w:val="zh-CN" w:eastAsia="zh-CN"/>
              </w:rPr>
              <w:t>]</w:t>
            </w:r>
          </w:p>
        </w:tc>
      </w:tr>
      <w:tr w:rsidR="0009235E" w:rsidRPr="00D709A2" w14:paraId="7F54D77E" w14:textId="77777777" w:rsidTr="00D709A2">
        <w:tc>
          <w:tcPr>
            <w:tcW w:w="1452" w:type="dxa"/>
            <w:shd w:val="clear" w:color="auto" w:fill="auto"/>
          </w:tcPr>
          <w:p w14:paraId="328B3655" w14:textId="77777777" w:rsidR="0009235E" w:rsidRPr="00D709A2" w:rsidRDefault="0009235E" w:rsidP="00312723">
            <w:pPr>
              <w:spacing w:before="0"/>
              <w:jc w:val="right"/>
              <w:rPr>
                <w:rFonts w:eastAsia="Times New Roman"/>
                <w:b/>
                <w:bCs/>
                <w:szCs w:val="24"/>
              </w:rPr>
            </w:pPr>
            <w:proofErr w:type="spellStart"/>
            <w:r w:rsidRPr="00D709A2">
              <w:rPr>
                <w:b/>
                <w:bCs/>
                <w:szCs w:val="24"/>
                <w:lang w:val="zh-CN"/>
              </w:rPr>
              <w:t>传真</w:t>
            </w:r>
            <w:proofErr w:type="spellEnd"/>
            <w:r w:rsidRPr="00D709A2">
              <w:rPr>
                <w:b/>
                <w:bCs/>
                <w:szCs w:val="24"/>
                <w:lang w:val="zh-CN"/>
              </w:rPr>
              <w:t>：</w:t>
            </w:r>
          </w:p>
          <w:p w14:paraId="21B021D7" w14:textId="77777777" w:rsidR="0009235E" w:rsidRPr="00D709A2" w:rsidRDefault="0009235E" w:rsidP="00312723">
            <w:pPr>
              <w:spacing w:before="0"/>
              <w:jc w:val="right"/>
              <w:rPr>
                <w:rFonts w:eastAsia="Times New Roman"/>
                <w:b/>
                <w:bCs/>
                <w:szCs w:val="24"/>
              </w:rPr>
            </w:pPr>
            <w:proofErr w:type="spellStart"/>
            <w:r w:rsidRPr="00D709A2">
              <w:rPr>
                <w:b/>
                <w:bCs/>
                <w:szCs w:val="24"/>
                <w:lang w:val="zh-CN"/>
              </w:rPr>
              <w:t>电子邮件</w:t>
            </w:r>
            <w:proofErr w:type="spellEnd"/>
            <w:r w:rsidRPr="00D709A2">
              <w:rPr>
                <w:b/>
                <w:bCs/>
                <w:szCs w:val="24"/>
                <w:lang w:val="zh-CN"/>
              </w:rPr>
              <w:t>：</w:t>
            </w:r>
          </w:p>
        </w:tc>
        <w:tc>
          <w:tcPr>
            <w:tcW w:w="4111" w:type="dxa"/>
            <w:tcBorders>
              <w:right w:val="single" w:sz="8" w:space="0" w:color="auto"/>
            </w:tcBorders>
            <w:shd w:val="clear" w:color="auto" w:fill="auto"/>
          </w:tcPr>
          <w:p w14:paraId="7D0EE91A" w14:textId="77777777" w:rsidR="0009235E" w:rsidRPr="00D709A2" w:rsidRDefault="0009235E" w:rsidP="00312723">
            <w:pPr>
              <w:spacing w:before="0"/>
              <w:rPr>
                <w:rFonts w:eastAsia="Times New Roman"/>
                <w:szCs w:val="24"/>
              </w:rPr>
            </w:pPr>
            <w:r w:rsidRPr="00D709A2">
              <w:rPr>
                <w:szCs w:val="24"/>
                <w:lang w:val="zh-CN"/>
              </w:rPr>
              <w:t>+41-22-730-5853</w:t>
            </w:r>
          </w:p>
          <w:p w14:paraId="40118CE5" w14:textId="77777777" w:rsidR="0009235E" w:rsidRPr="00D709A2" w:rsidRDefault="00F716D1" w:rsidP="00312723">
            <w:pPr>
              <w:spacing w:before="0"/>
              <w:rPr>
                <w:rFonts w:eastAsia="Times New Roman"/>
                <w:szCs w:val="24"/>
              </w:rPr>
            </w:pPr>
            <w:hyperlink r:id="rId24" w:history="1">
              <w:r w:rsidR="0009235E" w:rsidRPr="00D709A2">
                <w:rPr>
                  <w:szCs w:val="24"/>
                  <w:u w:val="single"/>
                </w:rPr>
                <w:t>tsbdir@itu.int</w:t>
              </w:r>
            </w:hyperlink>
          </w:p>
        </w:tc>
        <w:tc>
          <w:tcPr>
            <w:tcW w:w="1559" w:type="dxa"/>
            <w:tcBorders>
              <w:left w:val="single" w:sz="8" w:space="0" w:color="auto"/>
            </w:tcBorders>
            <w:shd w:val="clear" w:color="auto" w:fill="auto"/>
          </w:tcPr>
          <w:p w14:paraId="7C57102B" w14:textId="77777777" w:rsidR="0009235E" w:rsidRPr="00D709A2" w:rsidRDefault="0009235E" w:rsidP="00312723">
            <w:pPr>
              <w:spacing w:before="0"/>
              <w:jc w:val="right"/>
              <w:rPr>
                <w:rFonts w:eastAsia="Times New Roman"/>
                <w:b/>
                <w:bCs/>
                <w:szCs w:val="24"/>
              </w:rPr>
            </w:pPr>
            <w:proofErr w:type="spellStart"/>
            <w:r w:rsidRPr="00D709A2">
              <w:rPr>
                <w:b/>
                <w:bCs/>
                <w:szCs w:val="24"/>
                <w:lang w:val="zh-CN"/>
              </w:rPr>
              <w:t>传真</w:t>
            </w:r>
            <w:proofErr w:type="spellEnd"/>
            <w:r w:rsidRPr="00D709A2">
              <w:rPr>
                <w:b/>
                <w:bCs/>
                <w:szCs w:val="24"/>
                <w:lang w:val="zh-CN"/>
              </w:rPr>
              <w:t>：</w:t>
            </w:r>
          </w:p>
          <w:p w14:paraId="33143FCD" w14:textId="77777777" w:rsidR="0009235E" w:rsidRPr="00D709A2" w:rsidRDefault="0009235E" w:rsidP="00312723">
            <w:pPr>
              <w:spacing w:before="0"/>
              <w:jc w:val="right"/>
              <w:rPr>
                <w:rFonts w:eastAsia="Times New Roman"/>
                <w:b/>
                <w:bCs/>
                <w:szCs w:val="24"/>
              </w:rPr>
            </w:pPr>
            <w:proofErr w:type="spellStart"/>
            <w:r w:rsidRPr="00D709A2">
              <w:rPr>
                <w:b/>
                <w:bCs/>
                <w:szCs w:val="24"/>
                <w:lang w:val="zh-CN"/>
              </w:rPr>
              <w:t>电子邮件</w:t>
            </w:r>
            <w:proofErr w:type="spellEnd"/>
            <w:r w:rsidRPr="00D709A2">
              <w:rPr>
                <w:b/>
                <w:bCs/>
                <w:szCs w:val="24"/>
                <w:lang w:val="zh-CN"/>
              </w:rPr>
              <w:t>：</w:t>
            </w:r>
          </w:p>
        </w:tc>
        <w:tc>
          <w:tcPr>
            <w:tcW w:w="2835" w:type="dxa"/>
            <w:shd w:val="clear" w:color="auto" w:fill="auto"/>
          </w:tcPr>
          <w:p w14:paraId="2AE070D1" w14:textId="77777777" w:rsidR="0009235E" w:rsidRPr="00D709A2" w:rsidRDefault="0009235E" w:rsidP="00312723">
            <w:pPr>
              <w:spacing w:before="0"/>
              <w:rPr>
                <w:rFonts w:eastAsia="Times New Roman"/>
                <w:szCs w:val="24"/>
              </w:rPr>
            </w:pPr>
          </w:p>
        </w:tc>
      </w:tr>
      <w:tr w:rsidR="0009235E" w:rsidRPr="00D709A2" w14:paraId="06552DE3" w14:textId="77777777" w:rsidTr="00D709A2">
        <w:tc>
          <w:tcPr>
            <w:tcW w:w="1452" w:type="dxa"/>
            <w:shd w:val="clear" w:color="auto" w:fill="auto"/>
          </w:tcPr>
          <w:p w14:paraId="74DBE73E" w14:textId="77777777" w:rsidR="0009235E" w:rsidRPr="00D709A2" w:rsidRDefault="0009235E" w:rsidP="00312723">
            <w:pPr>
              <w:spacing w:before="0"/>
              <w:jc w:val="right"/>
              <w:rPr>
                <w:rFonts w:eastAsia="Times New Roman"/>
                <w:szCs w:val="24"/>
              </w:rPr>
            </w:pPr>
          </w:p>
        </w:tc>
        <w:tc>
          <w:tcPr>
            <w:tcW w:w="4111" w:type="dxa"/>
            <w:tcBorders>
              <w:right w:val="single" w:sz="8" w:space="0" w:color="auto"/>
            </w:tcBorders>
            <w:shd w:val="clear" w:color="auto" w:fill="auto"/>
          </w:tcPr>
          <w:p w14:paraId="33433A13" w14:textId="77777777" w:rsidR="0009235E" w:rsidRPr="00D709A2" w:rsidRDefault="0009235E" w:rsidP="00312723">
            <w:pPr>
              <w:spacing w:before="0"/>
              <w:rPr>
                <w:rFonts w:eastAsia="Times New Roman"/>
                <w:szCs w:val="24"/>
              </w:rPr>
            </w:pPr>
          </w:p>
        </w:tc>
        <w:tc>
          <w:tcPr>
            <w:tcW w:w="1559" w:type="dxa"/>
            <w:tcBorders>
              <w:left w:val="single" w:sz="8" w:space="0" w:color="auto"/>
            </w:tcBorders>
            <w:shd w:val="clear" w:color="auto" w:fill="auto"/>
          </w:tcPr>
          <w:p w14:paraId="3517AAD1" w14:textId="77777777" w:rsidR="0009235E" w:rsidRPr="00D709A2" w:rsidRDefault="0009235E" w:rsidP="00312723">
            <w:pPr>
              <w:spacing w:before="0"/>
              <w:jc w:val="right"/>
              <w:rPr>
                <w:rFonts w:eastAsia="Times New Roman"/>
                <w:b/>
                <w:bCs/>
                <w:szCs w:val="24"/>
              </w:rPr>
            </w:pPr>
            <w:proofErr w:type="spellStart"/>
            <w:r w:rsidRPr="00D709A2">
              <w:rPr>
                <w:b/>
                <w:bCs/>
                <w:szCs w:val="24"/>
                <w:lang w:val="zh-CN"/>
              </w:rPr>
              <w:t>日期</w:t>
            </w:r>
            <w:proofErr w:type="spellEnd"/>
            <w:r w:rsidRPr="00D709A2">
              <w:rPr>
                <w:b/>
                <w:bCs/>
                <w:szCs w:val="24"/>
                <w:lang w:val="zh-CN"/>
              </w:rPr>
              <w:t>：</w:t>
            </w:r>
          </w:p>
        </w:tc>
        <w:tc>
          <w:tcPr>
            <w:tcW w:w="2835" w:type="dxa"/>
            <w:shd w:val="clear" w:color="auto" w:fill="auto"/>
          </w:tcPr>
          <w:p w14:paraId="6800EB71" w14:textId="77777777" w:rsidR="0009235E" w:rsidRPr="00D709A2" w:rsidRDefault="0009235E" w:rsidP="00312723">
            <w:pPr>
              <w:spacing w:before="0"/>
              <w:rPr>
                <w:rFonts w:eastAsia="Times New Roman"/>
                <w:szCs w:val="24"/>
              </w:rPr>
            </w:pPr>
            <w:r w:rsidRPr="00D709A2">
              <w:rPr>
                <w:szCs w:val="24"/>
                <w:lang w:val="zh-CN"/>
              </w:rPr>
              <w:t>[</w:t>
            </w:r>
            <w:proofErr w:type="spellStart"/>
            <w:r w:rsidRPr="00D709A2">
              <w:rPr>
                <w:szCs w:val="24"/>
                <w:lang w:val="zh-CN"/>
              </w:rPr>
              <w:t>地点</w:t>
            </w:r>
            <w:proofErr w:type="spellEnd"/>
            <w:r w:rsidRPr="00D709A2">
              <w:rPr>
                <w:szCs w:val="24"/>
                <w:lang w:val="zh-CN"/>
              </w:rPr>
              <w:t>，</w:t>
            </w:r>
            <w:r w:rsidRPr="00D709A2">
              <w:rPr>
                <w:szCs w:val="24"/>
                <w:lang w:val="zh-CN"/>
              </w:rPr>
              <w:t>][</w:t>
            </w:r>
            <w:proofErr w:type="spellStart"/>
            <w:r w:rsidRPr="00D709A2">
              <w:rPr>
                <w:szCs w:val="24"/>
                <w:lang w:val="zh-CN"/>
              </w:rPr>
              <w:t>日期</w:t>
            </w:r>
            <w:proofErr w:type="spellEnd"/>
            <w:r w:rsidRPr="00D709A2">
              <w:rPr>
                <w:szCs w:val="24"/>
                <w:lang w:val="zh-CN"/>
              </w:rPr>
              <w:t>]</w:t>
            </w:r>
          </w:p>
        </w:tc>
      </w:tr>
    </w:tbl>
    <w:p w14:paraId="0CCE1D28" w14:textId="77777777" w:rsidR="0009235E" w:rsidRPr="00A47840" w:rsidRDefault="0009235E" w:rsidP="0009235E">
      <w:pPr>
        <w:spacing w:before="360"/>
        <w:rPr>
          <w:rFonts w:eastAsia="Times New Roman"/>
          <w:szCs w:val="24"/>
        </w:rPr>
      </w:pPr>
      <w:proofErr w:type="spellStart"/>
      <w:r>
        <w:rPr>
          <w:lang w:val="zh-CN"/>
        </w:rPr>
        <w:t>尊敬的先生</w:t>
      </w:r>
      <w:proofErr w:type="spellEnd"/>
      <w:r>
        <w:rPr>
          <w:lang w:val="zh-CN"/>
        </w:rPr>
        <w:t>/</w:t>
      </w:r>
      <w:proofErr w:type="spellStart"/>
      <w:r>
        <w:rPr>
          <w:lang w:val="zh-CN"/>
        </w:rPr>
        <w:t>女士</w:t>
      </w:r>
      <w:proofErr w:type="spellEnd"/>
      <w:r>
        <w:rPr>
          <w:lang w:val="zh-CN"/>
        </w:rPr>
        <w:t>：</w:t>
      </w:r>
    </w:p>
    <w:p w14:paraId="5A414A24" w14:textId="77777777" w:rsidR="0009235E" w:rsidRPr="00A47840" w:rsidRDefault="0009235E" w:rsidP="00D709A2">
      <w:pPr>
        <w:ind w:firstLineChars="200" w:firstLine="480"/>
        <w:rPr>
          <w:rFonts w:eastAsia="Times New Roman"/>
          <w:szCs w:val="24"/>
          <w:lang w:eastAsia="zh-CN"/>
        </w:rPr>
      </w:pPr>
      <w:r>
        <w:rPr>
          <w:rFonts w:hint="eastAsia"/>
          <w:lang w:val="zh-CN" w:eastAsia="zh-CN"/>
        </w:rPr>
        <w:t>有</w:t>
      </w:r>
      <w:r>
        <w:rPr>
          <w:lang w:val="zh-CN" w:eastAsia="zh-CN"/>
        </w:rPr>
        <w:t>关针对电信标准化局第</w:t>
      </w:r>
      <w:r>
        <w:rPr>
          <w:lang w:val="zh-CN" w:eastAsia="zh-CN"/>
        </w:rPr>
        <w:t>236</w:t>
      </w:r>
      <w:r>
        <w:rPr>
          <w:lang w:val="zh-CN" w:eastAsia="zh-CN"/>
        </w:rPr>
        <w:t>号通函所列已确定案文草案与成员国磋商一事，我谨向您通报我主管部门的意见，如下表所述。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7634"/>
      </w:tblGrid>
      <w:tr w:rsidR="0009235E" w:rsidRPr="00D709A2" w14:paraId="646A3B99" w14:textId="77777777" w:rsidTr="00312723">
        <w:trPr>
          <w:tblHeader/>
        </w:trPr>
        <w:tc>
          <w:tcPr>
            <w:tcW w:w="2085" w:type="dxa"/>
            <w:shd w:val="clear" w:color="auto" w:fill="auto"/>
            <w:vAlign w:val="center"/>
          </w:tcPr>
          <w:p w14:paraId="15C63347" w14:textId="77777777" w:rsidR="0009235E" w:rsidRPr="00D709A2" w:rsidRDefault="0009235E" w:rsidP="00312723">
            <w:pPr>
              <w:jc w:val="center"/>
              <w:rPr>
                <w:rFonts w:eastAsia="Times New Roman"/>
                <w:b/>
                <w:bCs/>
                <w:szCs w:val="24"/>
                <w:lang w:eastAsia="zh-CN"/>
              </w:rPr>
            </w:pPr>
          </w:p>
        </w:tc>
        <w:tc>
          <w:tcPr>
            <w:tcW w:w="7634" w:type="dxa"/>
            <w:shd w:val="clear" w:color="auto" w:fill="auto"/>
            <w:vAlign w:val="center"/>
          </w:tcPr>
          <w:p w14:paraId="6FA9E95B" w14:textId="77777777" w:rsidR="0009235E" w:rsidRPr="00D709A2" w:rsidRDefault="0009235E" w:rsidP="00312723">
            <w:pPr>
              <w:tabs>
                <w:tab w:val="clear" w:pos="794"/>
                <w:tab w:val="clear" w:pos="1191"/>
                <w:tab w:val="clear" w:pos="1588"/>
                <w:tab w:val="clear" w:pos="1985"/>
              </w:tabs>
              <w:ind w:left="939" w:hanging="459"/>
              <w:jc w:val="center"/>
              <w:rPr>
                <w:rFonts w:eastAsia="Times New Roman"/>
                <w:b/>
                <w:bCs/>
                <w:szCs w:val="24"/>
                <w:lang w:eastAsia="zh-CN"/>
              </w:rPr>
            </w:pPr>
            <w:r w:rsidRPr="00D709A2">
              <w:rPr>
                <w:b/>
                <w:bCs/>
                <w:szCs w:val="24"/>
                <w:lang w:val="zh-CN" w:eastAsia="zh-CN"/>
              </w:rPr>
              <w:t>请</w:t>
            </w:r>
            <w:r w:rsidRPr="00D709A2">
              <w:rPr>
                <w:rFonts w:hint="eastAsia"/>
                <w:b/>
                <w:bCs/>
                <w:szCs w:val="24"/>
                <w:lang w:val="zh-CN" w:eastAsia="zh-CN"/>
              </w:rPr>
              <w:t>在</w:t>
            </w:r>
            <w:r w:rsidRPr="00D709A2">
              <w:rPr>
                <w:b/>
                <w:bCs/>
                <w:szCs w:val="24"/>
                <w:lang w:val="zh-CN" w:eastAsia="zh-CN"/>
              </w:rPr>
              <w:t>两个方框中选择一个</w:t>
            </w:r>
          </w:p>
        </w:tc>
      </w:tr>
      <w:tr w:rsidR="0009235E" w:rsidRPr="00D709A2" w14:paraId="431B9295" w14:textId="77777777" w:rsidTr="00312723">
        <w:trPr>
          <w:trHeight w:val="748"/>
        </w:trPr>
        <w:tc>
          <w:tcPr>
            <w:tcW w:w="2085" w:type="dxa"/>
            <w:vMerge w:val="restart"/>
            <w:shd w:val="clear" w:color="auto" w:fill="auto"/>
            <w:vAlign w:val="center"/>
          </w:tcPr>
          <w:p w14:paraId="5A7D3A04" w14:textId="77777777" w:rsidR="0009235E" w:rsidRPr="00D709A2" w:rsidRDefault="0009235E" w:rsidP="00312723">
            <w:pPr>
              <w:spacing w:before="60" w:after="60"/>
              <w:jc w:val="center"/>
              <w:rPr>
                <w:rFonts w:eastAsia="Times New Roman"/>
                <w:b/>
                <w:bCs/>
                <w:szCs w:val="24"/>
              </w:rPr>
            </w:pPr>
            <w:r w:rsidRPr="00D709A2">
              <w:rPr>
                <w:b/>
                <w:bCs/>
                <w:szCs w:val="24"/>
                <w:lang w:val="zh-CN"/>
              </w:rPr>
              <w:t>ITU-T Y.4506</w:t>
            </w:r>
            <w:proofErr w:type="spellStart"/>
            <w:r w:rsidRPr="00D709A2">
              <w:rPr>
                <w:b/>
                <w:bCs/>
                <w:szCs w:val="24"/>
                <w:lang w:val="zh-CN"/>
              </w:rPr>
              <w:t>新建议书草案（原</w:t>
            </w:r>
            <w:proofErr w:type="spellEnd"/>
            <w:r w:rsidRPr="00D709A2">
              <w:rPr>
                <w:b/>
                <w:bCs/>
                <w:szCs w:val="24"/>
                <w:lang w:val="zh-CN"/>
              </w:rPr>
              <w:t>Y.DRI-arch</w:t>
            </w:r>
            <w:r w:rsidRPr="00D709A2">
              <w:rPr>
                <w:b/>
                <w:bCs/>
                <w:szCs w:val="24"/>
                <w:lang w:val="zh-CN"/>
              </w:rPr>
              <w:t>）</w:t>
            </w:r>
          </w:p>
        </w:tc>
        <w:tc>
          <w:tcPr>
            <w:tcW w:w="7634" w:type="dxa"/>
            <w:shd w:val="clear" w:color="auto" w:fill="auto"/>
            <w:vAlign w:val="center"/>
          </w:tcPr>
          <w:p w14:paraId="112798B4" w14:textId="087D9D2F" w:rsidR="0009235E" w:rsidRPr="00D709A2" w:rsidRDefault="00D709A2" w:rsidP="00312723">
            <w:pPr>
              <w:tabs>
                <w:tab w:val="clear" w:pos="794"/>
                <w:tab w:val="clear" w:pos="1191"/>
                <w:tab w:val="clear" w:pos="1588"/>
                <w:tab w:val="clear" w:pos="1985"/>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Pr="00D709A2">
              <w:rPr>
                <w:rFonts w:eastAsiaTheme="minorEastAsia"/>
                <w:szCs w:val="24"/>
                <w:lang w:eastAsia="zh-CN"/>
              </w:rPr>
              <w:tab/>
            </w:r>
            <w:r w:rsidR="0009235E" w:rsidRPr="00D709A2">
              <w:rPr>
                <w:b/>
                <w:bCs/>
                <w:szCs w:val="24"/>
                <w:lang w:val="zh-CN" w:eastAsia="zh-CN"/>
              </w:rPr>
              <w:t>授权</w:t>
            </w:r>
            <w:r w:rsidR="0009235E" w:rsidRPr="00D709A2">
              <w:rPr>
                <w:szCs w:val="24"/>
                <w:lang w:val="zh-CN" w:eastAsia="zh-CN"/>
              </w:rPr>
              <w:t>第</w:t>
            </w:r>
            <w:r w:rsidR="0009235E" w:rsidRPr="00D709A2">
              <w:rPr>
                <w:szCs w:val="24"/>
                <w:lang w:val="zh-CN" w:eastAsia="zh-CN"/>
              </w:rPr>
              <w:t>20</w:t>
            </w:r>
            <w:r w:rsidR="0009235E" w:rsidRPr="00D709A2">
              <w:rPr>
                <w:szCs w:val="24"/>
                <w:lang w:val="zh-CN" w:eastAsia="zh-CN"/>
              </w:rPr>
              <w:t>研究组审议</w:t>
            </w:r>
            <w:r w:rsidR="0009235E" w:rsidRPr="00D709A2">
              <w:rPr>
                <w:rFonts w:hint="eastAsia"/>
                <w:szCs w:val="24"/>
                <w:lang w:val="zh-CN" w:eastAsia="zh-CN"/>
              </w:rPr>
              <w:t>并</w:t>
            </w:r>
            <w:r w:rsidR="0009235E" w:rsidRPr="00D709A2">
              <w:rPr>
                <w:szCs w:val="24"/>
                <w:lang w:val="zh-CN" w:eastAsia="zh-CN"/>
              </w:rPr>
              <w:t>批准</w:t>
            </w:r>
            <w:r w:rsidR="0009235E" w:rsidRPr="00D709A2">
              <w:rPr>
                <w:rFonts w:hint="eastAsia"/>
                <w:szCs w:val="24"/>
                <w:lang w:val="zh-CN" w:eastAsia="zh-CN"/>
              </w:rPr>
              <w:t>此</w:t>
            </w:r>
            <w:r w:rsidR="0009235E" w:rsidRPr="00D709A2">
              <w:rPr>
                <w:szCs w:val="24"/>
                <w:lang w:val="zh-CN" w:eastAsia="zh-CN"/>
              </w:rPr>
              <w:t>案文（在这种情况下，请选择两种方案</w:t>
            </w:r>
            <w:r w:rsidR="0009235E" w:rsidRPr="00D709A2">
              <w:rPr>
                <w:szCs w:val="24"/>
                <w:lang w:val="zh-CN" w:eastAsia="zh-CN"/>
              </w:rPr>
              <w:t>⃝</w:t>
            </w:r>
            <w:r w:rsidR="0009235E" w:rsidRPr="00D709A2">
              <w:rPr>
                <w:szCs w:val="24"/>
                <w:lang w:val="zh-CN" w:eastAsia="zh-CN"/>
              </w:rPr>
              <w:t>中的一种）：</w:t>
            </w:r>
          </w:p>
          <w:p w14:paraId="3719DE6C"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无意见或修改建议</w:t>
            </w:r>
          </w:p>
          <w:p w14:paraId="7676B570"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后附意见和修改建议</w:t>
            </w:r>
          </w:p>
        </w:tc>
      </w:tr>
      <w:tr w:rsidR="0009235E" w:rsidRPr="00D709A2" w14:paraId="6D37CE76" w14:textId="77777777" w:rsidTr="00312723">
        <w:trPr>
          <w:trHeight w:val="747"/>
        </w:trPr>
        <w:tc>
          <w:tcPr>
            <w:tcW w:w="2085" w:type="dxa"/>
            <w:vMerge/>
            <w:shd w:val="clear" w:color="auto" w:fill="auto"/>
            <w:vAlign w:val="center"/>
          </w:tcPr>
          <w:p w14:paraId="13D33293" w14:textId="77777777" w:rsidR="0009235E" w:rsidRPr="00D709A2" w:rsidRDefault="0009235E" w:rsidP="00312723">
            <w:pPr>
              <w:spacing w:before="60" w:after="60"/>
              <w:jc w:val="center"/>
              <w:rPr>
                <w:rFonts w:eastAsia="Times New Roman"/>
                <w:b/>
                <w:bCs/>
                <w:szCs w:val="24"/>
                <w:lang w:eastAsia="zh-CN"/>
              </w:rPr>
            </w:pPr>
          </w:p>
        </w:tc>
        <w:tc>
          <w:tcPr>
            <w:tcW w:w="7634" w:type="dxa"/>
            <w:shd w:val="clear" w:color="auto" w:fill="auto"/>
            <w:vAlign w:val="center"/>
          </w:tcPr>
          <w:p w14:paraId="28480014" w14:textId="564E8301" w:rsidR="0009235E" w:rsidRPr="00D709A2" w:rsidRDefault="0009235E" w:rsidP="00312723">
            <w:pPr>
              <w:tabs>
                <w:tab w:val="clear" w:pos="794"/>
                <w:tab w:val="clear" w:pos="1191"/>
                <w:tab w:val="clear" w:pos="1588"/>
                <w:tab w:val="clear" w:pos="1985"/>
                <w:tab w:val="left" w:pos="250"/>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不授权</w:t>
            </w:r>
            <w:r w:rsidRPr="00D709A2">
              <w:rPr>
                <w:szCs w:val="24"/>
                <w:lang w:val="zh-CN" w:eastAsia="zh-CN"/>
              </w:rPr>
              <w:t>研究组审议</w:t>
            </w:r>
            <w:r w:rsidRPr="00D709A2">
              <w:rPr>
                <w:rFonts w:hint="eastAsia"/>
                <w:szCs w:val="24"/>
                <w:lang w:val="zh-CN" w:eastAsia="zh-CN"/>
              </w:rPr>
              <w:t>并</w:t>
            </w:r>
            <w:r w:rsidRPr="00D709A2">
              <w:rPr>
                <w:szCs w:val="24"/>
                <w:lang w:val="zh-CN" w:eastAsia="zh-CN"/>
              </w:rPr>
              <w:t>批准</w:t>
            </w:r>
            <w:r w:rsidRPr="00D709A2">
              <w:rPr>
                <w:rFonts w:hint="eastAsia"/>
                <w:szCs w:val="24"/>
                <w:lang w:val="zh-CN" w:eastAsia="zh-CN"/>
              </w:rPr>
              <w:t>此</w:t>
            </w:r>
            <w:r w:rsidRPr="00D709A2">
              <w:rPr>
                <w:szCs w:val="24"/>
                <w:lang w:val="zh-CN" w:eastAsia="zh-CN"/>
              </w:rPr>
              <w:t>案文（附反对意见的理由并概述</w:t>
            </w:r>
            <w:r w:rsidRPr="00D709A2">
              <w:rPr>
                <w:rFonts w:hint="eastAsia"/>
                <w:szCs w:val="24"/>
                <w:lang w:val="zh-CN" w:eastAsia="zh-CN"/>
              </w:rPr>
              <w:t>可使</w:t>
            </w:r>
            <w:r w:rsidRPr="00D709A2">
              <w:rPr>
                <w:szCs w:val="24"/>
                <w:lang w:val="zh-CN" w:eastAsia="zh-CN"/>
              </w:rPr>
              <w:t>该项工作取得进展的可能修改）</w:t>
            </w:r>
          </w:p>
        </w:tc>
      </w:tr>
      <w:tr w:rsidR="0009235E" w:rsidRPr="00D709A2" w14:paraId="4020AA5D" w14:textId="77777777" w:rsidTr="00312723">
        <w:trPr>
          <w:trHeight w:val="748"/>
        </w:trPr>
        <w:tc>
          <w:tcPr>
            <w:tcW w:w="2085" w:type="dxa"/>
            <w:vMerge w:val="restart"/>
            <w:shd w:val="clear" w:color="auto" w:fill="auto"/>
            <w:vAlign w:val="center"/>
          </w:tcPr>
          <w:p w14:paraId="10F884D9" w14:textId="77777777" w:rsidR="0009235E" w:rsidRPr="00D709A2" w:rsidRDefault="0009235E" w:rsidP="00312723">
            <w:pPr>
              <w:spacing w:before="60" w:after="60"/>
              <w:jc w:val="center"/>
              <w:rPr>
                <w:rFonts w:eastAsia="Times New Roman"/>
                <w:b/>
                <w:bCs/>
                <w:szCs w:val="24"/>
              </w:rPr>
            </w:pPr>
            <w:r w:rsidRPr="00D709A2">
              <w:rPr>
                <w:b/>
                <w:bCs/>
                <w:szCs w:val="24"/>
                <w:lang w:val="zh-CN"/>
              </w:rPr>
              <w:t>ITU-T Y.4229</w:t>
            </w:r>
            <w:proofErr w:type="spellStart"/>
            <w:r w:rsidRPr="00D709A2">
              <w:rPr>
                <w:b/>
                <w:bCs/>
                <w:szCs w:val="24"/>
                <w:lang w:val="zh-CN"/>
              </w:rPr>
              <w:t>新建议书草案（原</w:t>
            </w:r>
            <w:proofErr w:type="spellEnd"/>
            <w:r w:rsidRPr="00D709A2">
              <w:rPr>
                <w:b/>
                <w:bCs/>
                <w:szCs w:val="24"/>
                <w:lang w:val="zh-CN"/>
              </w:rPr>
              <w:t>Y.IoT-SFFS</w:t>
            </w:r>
            <w:r w:rsidRPr="00D709A2">
              <w:rPr>
                <w:b/>
                <w:bCs/>
                <w:szCs w:val="24"/>
                <w:lang w:val="zh-CN"/>
              </w:rPr>
              <w:t>）</w:t>
            </w:r>
          </w:p>
        </w:tc>
        <w:tc>
          <w:tcPr>
            <w:tcW w:w="7634" w:type="dxa"/>
            <w:shd w:val="clear" w:color="auto" w:fill="auto"/>
            <w:vAlign w:val="center"/>
          </w:tcPr>
          <w:p w14:paraId="290D359A" w14:textId="1D04AFC8" w:rsidR="0009235E" w:rsidRPr="00D709A2" w:rsidRDefault="0009235E" w:rsidP="00312723">
            <w:pPr>
              <w:tabs>
                <w:tab w:val="clear" w:pos="794"/>
                <w:tab w:val="clear" w:pos="1191"/>
                <w:tab w:val="clear" w:pos="1588"/>
                <w:tab w:val="clear" w:pos="1985"/>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授权</w:t>
            </w:r>
            <w:r w:rsidRPr="00D709A2">
              <w:rPr>
                <w:szCs w:val="24"/>
                <w:lang w:val="zh-CN" w:eastAsia="zh-CN"/>
              </w:rPr>
              <w:t>第</w:t>
            </w:r>
            <w:r w:rsidRPr="00D709A2">
              <w:rPr>
                <w:szCs w:val="24"/>
                <w:lang w:val="zh-CN" w:eastAsia="zh-CN"/>
              </w:rPr>
              <w:t>20</w:t>
            </w:r>
            <w:r w:rsidRPr="00D709A2">
              <w:rPr>
                <w:szCs w:val="24"/>
                <w:lang w:val="zh-CN" w:eastAsia="zh-CN"/>
              </w:rPr>
              <w:t>研究组审议</w:t>
            </w:r>
            <w:r w:rsidRPr="00D709A2">
              <w:rPr>
                <w:rFonts w:hint="eastAsia"/>
                <w:szCs w:val="24"/>
                <w:lang w:val="zh-CN" w:eastAsia="zh-CN"/>
              </w:rPr>
              <w:t>并</w:t>
            </w:r>
            <w:r w:rsidRPr="00D709A2">
              <w:rPr>
                <w:szCs w:val="24"/>
                <w:lang w:val="zh-CN" w:eastAsia="zh-CN"/>
              </w:rPr>
              <w:t>批准</w:t>
            </w:r>
            <w:r w:rsidRPr="00D709A2">
              <w:rPr>
                <w:rFonts w:hint="eastAsia"/>
                <w:szCs w:val="24"/>
                <w:lang w:val="zh-CN" w:eastAsia="zh-CN"/>
              </w:rPr>
              <w:t>此</w:t>
            </w:r>
            <w:r w:rsidRPr="00D709A2">
              <w:rPr>
                <w:szCs w:val="24"/>
                <w:lang w:val="zh-CN" w:eastAsia="zh-CN"/>
              </w:rPr>
              <w:t>案文（在这种情况下，请选择两种方案</w:t>
            </w:r>
            <w:r w:rsidRPr="00D709A2">
              <w:rPr>
                <w:szCs w:val="24"/>
                <w:lang w:val="zh-CN" w:eastAsia="zh-CN"/>
              </w:rPr>
              <w:t>⃝</w:t>
            </w:r>
            <w:r w:rsidRPr="00D709A2">
              <w:rPr>
                <w:szCs w:val="24"/>
                <w:lang w:val="zh-CN" w:eastAsia="zh-CN"/>
              </w:rPr>
              <w:t>中的一种）：</w:t>
            </w:r>
          </w:p>
          <w:p w14:paraId="7ACE1455"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无意见或修改建议</w:t>
            </w:r>
          </w:p>
          <w:p w14:paraId="4EEEF458"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后附意见和修改建议</w:t>
            </w:r>
          </w:p>
        </w:tc>
      </w:tr>
      <w:tr w:rsidR="0009235E" w:rsidRPr="00D709A2" w14:paraId="7C80EF50" w14:textId="77777777" w:rsidTr="00312723">
        <w:trPr>
          <w:trHeight w:val="747"/>
        </w:trPr>
        <w:tc>
          <w:tcPr>
            <w:tcW w:w="2085" w:type="dxa"/>
            <w:vMerge/>
            <w:shd w:val="clear" w:color="auto" w:fill="auto"/>
          </w:tcPr>
          <w:p w14:paraId="403475D2" w14:textId="77777777" w:rsidR="0009235E" w:rsidRPr="00D709A2" w:rsidRDefault="0009235E" w:rsidP="00312723">
            <w:pPr>
              <w:spacing w:before="60" w:after="60"/>
              <w:jc w:val="center"/>
              <w:rPr>
                <w:rFonts w:eastAsia="Times New Roman"/>
                <w:b/>
                <w:bCs/>
                <w:szCs w:val="24"/>
                <w:lang w:eastAsia="zh-CN"/>
              </w:rPr>
            </w:pPr>
          </w:p>
        </w:tc>
        <w:tc>
          <w:tcPr>
            <w:tcW w:w="7634" w:type="dxa"/>
            <w:shd w:val="clear" w:color="auto" w:fill="auto"/>
          </w:tcPr>
          <w:p w14:paraId="3798D06E" w14:textId="00943B0C" w:rsidR="0009235E" w:rsidRPr="00D709A2" w:rsidRDefault="0009235E" w:rsidP="00312723">
            <w:pPr>
              <w:tabs>
                <w:tab w:val="clear" w:pos="794"/>
                <w:tab w:val="clear" w:pos="1191"/>
                <w:tab w:val="clear" w:pos="1588"/>
                <w:tab w:val="clear" w:pos="1985"/>
                <w:tab w:val="left" w:pos="250"/>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不授权</w:t>
            </w:r>
            <w:r w:rsidRPr="00D709A2">
              <w:rPr>
                <w:szCs w:val="24"/>
                <w:lang w:val="zh-CN" w:eastAsia="zh-CN"/>
              </w:rPr>
              <w:t>第</w:t>
            </w:r>
            <w:r w:rsidRPr="00D709A2">
              <w:rPr>
                <w:szCs w:val="24"/>
                <w:lang w:val="zh-CN" w:eastAsia="zh-CN"/>
              </w:rPr>
              <w:t>20</w:t>
            </w:r>
            <w:r w:rsidRPr="00D709A2">
              <w:rPr>
                <w:szCs w:val="24"/>
                <w:lang w:val="zh-CN" w:eastAsia="zh-CN"/>
              </w:rPr>
              <w:t>研究组审议批准该案文（附反对意见的理由并概述可使该项工作取得进展的可能修改）</w:t>
            </w:r>
          </w:p>
        </w:tc>
      </w:tr>
      <w:tr w:rsidR="0009235E" w:rsidRPr="00D709A2" w14:paraId="64172B00" w14:textId="77777777" w:rsidTr="00312723">
        <w:trPr>
          <w:trHeight w:val="748"/>
        </w:trPr>
        <w:tc>
          <w:tcPr>
            <w:tcW w:w="2085" w:type="dxa"/>
            <w:vMerge w:val="restart"/>
            <w:shd w:val="clear" w:color="auto" w:fill="auto"/>
            <w:vAlign w:val="center"/>
          </w:tcPr>
          <w:p w14:paraId="7969CAB8" w14:textId="77777777" w:rsidR="0009235E" w:rsidRPr="009E6B3D" w:rsidRDefault="0009235E" w:rsidP="00312723">
            <w:pPr>
              <w:spacing w:before="60" w:after="60"/>
              <w:jc w:val="center"/>
              <w:rPr>
                <w:rFonts w:eastAsia="Times New Roman"/>
                <w:b/>
                <w:bCs/>
                <w:szCs w:val="24"/>
                <w:lang w:val="fr-CH"/>
              </w:rPr>
            </w:pPr>
            <w:r w:rsidRPr="00D709A2">
              <w:rPr>
                <w:b/>
                <w:bCs/>
                <w:szCs w:val="24"/>
                <w:lang w:val="zh-CN"/>
              </w:rPr>
              <w:t>ITU-T Y.4230</w:t>
            </w:r>
            <w:proofErr w:type="spellStart"/>
            <w:r w:rsidRPr="00D709A2">
              <w:rPr>
                <w:b/>
                <w:bCs/>
                <w:szCs w:val="24"/>
                <w:lang w:val="zh-CN"/>
              </w:rPr>
              <w:t>新建议书草案（原</w:t>
            </w:r>
            <w:proofErr w:type="spellEnd"/>
            <w:r w:rsidRPr="00D709A2">
              <w:rPr>
                <w:b/>
                <w:bCs/>
                <w:szCs w:val="24"/>
                <w:lang w:val="zh-CN"/>
              </w:rPr>
              <w:t>Y.EV-charging</w:t>
            </w:r>
            <w:r w:rsidRPr="00D709A2">
              <w:rPr>
                <w:b/>
                <w:bCs/>
                <w:szCs w:val="24"/>
                <w:lang w:val="zh-CN"/>
              </w:rPr>
              <w:t>）</w:t>
            </w:r>
          </w:p>
        </w:tc>
        <w:tc>
          <w:tcPr>
            <w:tcW w:w="7634" w:type="dxa"/>
            <w:shd w:val="clear" w:color="auto" w:fill="auto"/>
            <w:vAlign w:val="center"/>
          </w:tcPr>
          <w:p w14:paraId="6A92DC05" w14:textId="79C01224" w:rsidR="0009235E" w:rsidRPr="009E6B3D" w:rsidRDefault="0009235E" w:rsidP="00312723">
            <w:pPr>
              <w:tabs>
                <w:tab w:val="clear" w:pos="794"/>
                <w:tab w:val="clear" w:pos="1191"/>
                <w:tab w:val="clear" w:pos="1588"/>
                <w:tab w:val="clear" w:pos="1985"/>
              </w:tabs>
              <w:spacing w:before="60" w:after="60"/>
              <w:ind w:left="459" w:hanging="459"/>
              <w:rPr>
                <w:rFonts w:eastAsia="Times New Roman"/>
                <w:szCs w:val="24"/>
                <w:lang w:val="fr-CH" w:eastAsia="zh-CN"/>
              </w:rPr>
            </w:pPr>
            <w:r w:rsidRPr="00D709A2">
              <w:rPr>
                <w:rFonts w:eastAsia="Times New Roman"/>
                <w:szCs w:val="24"/>
              </w:rPr>
              <w:fldChar w:fldCharType="begin">
                <w:ffData>
                  <w:name w:val="Check1"/>
                  <w:enabled/>
                  <w:calcOnExit w:val="0"/>
                  <w:checkBox>
                    <w:sizeAuto/>
                    <w:default w:val="0"/>
                  </w:checkBox>
                </w:ffData>
              </w:fldChar>
            </w:r>
            <w:r w:rsidRPr="009E6B3D">
              <w:rPr>
                <w:rFonts w:eastAsia="Times New Roman"/>
                <w:szCs w:val="24"/>
                <w:lang w:val="fr-CH"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9E6B3D">
              <w:rPr>
                <w:rFonts w:eastAsiaTheme="minorEastAsia"/>
                <w:szCs w:val="24"/>
                <w:lang w:val="fr-CH" w:eastAsia="zh-CN"/>
              </w:rPr>
              <w:tab/>
            </w:r>
            <w:r w:rsidRPr="00D709A2">
              <w:rPr>
                <w:b/>
                <w:bCs/>
                <w:szCs w:val="24"/>
                <w:lang w:val="zh-CN" w:eastAsia="zh-CN"/>
              </w:rPr>
              <w:t>授权</w:t>
            </w:r>
            <w:r w:rsidRPr="00D709A2">
              <w:rPr>
                <w:szCs w:val="24"/>
                <w:lang w:val="zh-CN" w:eastAsia="zh-CN"/>
              </w:rPr>
              <w:t>第</w:t>
            </w:r>
            <w:r w:rsidRPr="00D709A2">
              <w:rPr>
                <w:szCs w:val="24"/>
                <w:lang w:val="zh-CN" w:eastAsia="zh-CN"/>
              </w:rPr>
              <w:t>20</w:t>
            </w:r>
            <w:r w:rsidRPr="00D709A2">
              <w:rPr>
                <w:szCs w:val="24"/>
                <w:lang w:val="zh-CN" w:eastAsia="zh-CN"/>
              </w:rPr>
              <w:t>研究组审议</w:t>
            </w:r>
            <w:r w:rsidRPr="00D709A2">
              <w:rPr>
                <w:rFonts w:hint="eastAsia"/>
                <w:szCs w:val="24"/>
                <w:lang w:val="zh-CN" w:eastAsia="zh-CN"/>
              </w:rPr>
              <w:t>并</w:t>
            </w:r>
            <w:r w:rsidRPr="00D709A2">
              <w:rPr>
                <w:szCs w:val="24"/>
                <w:lang w:val="zh-CN" w:eastAsia="zh-CN"/>
              </w:rPr>
              <w:t>批准</w:t>
            </w:r>
            <w:r w:rsidRPr="00D709A2">
              <w:rPr>
                <w:rFonts w:hint="eastAsia"/>
                <w:szCs w:val="24"/>
                <w:lang w:val="zh-CN" w:eastAsia="zh-CN"/>
              </w:rPr>
              <w:t>此</w:t>
            </w:r>
            <w:r w:rsidRPr="00D709A2">
              <w:rPr>
                <w:szCs w:val="24"/>
                <w:lang w:val="zh-CN" w:eastAsia="zh-CN"/>
              </w:rPr>
              <w:t>案文（在这种情况下，请选择两种方案</w:t>
            </w:r>
            <w:r w:rsidRPr="00D709A2">
              <w:rPr>
                <w:szCs w:val="24"/>
                <w:lang w:val="zh-CN" w:eastAsia="zh-CN"/>
              </w:rPr>
              <w:t>⃝</w:t>
            </w:r>
            <w:r w:rsidRPr="00D709A2">
              <w:rPr>
                <w:szCs w:val="24"/>
                <w:lang w:val="zh-CN" w:eastAsia="zh-CN"/>
              </w:rPr>
              <w:t>中的一种）：</w:t>
            </w:r>
          </w:p>
          <w:p w14:paraId="1F0F8A4E"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无意见或修改建议</w:t>
            </w:r>
          </w:p>
          <w:p w14:paraId="323987B0"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后附意见和修改建议</w:t>
            </w:r>
          </w:p>
        </w:tc>
      </w:tr>
      <w:tr w:rsidR="0009235E" w:rsidRPr="00D709A2" w14:paraId="0DD645BD" w14:textId="77777777" w:rsidTr="00312723">
        <w:trPr>
          <w:trHeight w:val="747"/>
        </w:trPr>
        <w:tc>
          <w:tcPr>
            <w:tcW w:w="2085" w:type="dxa"/>
            <w:vMerge/>
            <w:shd w:val="clear" w:color="auto" w:fill="auto"/>
          </w:tcPr>
          <w:p w14:paraId="67D98473" w14:textId="77777777" w:rsidR="0009235E" w:rsidRPr="00D709A2" w:rsidRDefault="0009235E" w:rsidP="00312723">
            <w:pPr>
              <w:spacing w:before="60" w:after="60"/>
              <w:jc w:val="center"/>
              <w:rPr>
                <w:rFonts w:eastAsia="Times New Roman"/>
                <w:b/>
                <w:bCs/>
                <w:szCs w:val="24"/>
                <w:lang w:eastAsia="zh-CN"/>
              </w:rPr>
            </w:pPr>
          </w:p>
        </w:tc>
        <w:tc>
          <w:tcPr>
            <w:tcW w:w="7634" w:type="dxa"/>
            <w:shd w:val="clear" w:color="auto" w:fill="auto"/>
          </w:tcPr>
          <w:p w14:paraId="1EBB2DBC" w14:textId="51A9DDAD" w:rsidR="0009235E" w:rsidRPr="00D709A2" w:rsidRDefault="0009235E" w:rsidP="00312723">
            <w:pPr>
              <w:tabs>
                <w:tab w:val="clear" w:pos="794"/>
                <w:tab w:val="clear" w:pos="1191"/>
                <w:tab w:val="clear" w:pos="1588"/>
                <w:tab w:val="clear" w:pos="1985"/>
                <w:tab w:val="left" w:pos="250"/>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不授权</w:t>
            </w:r>
            <w:r w:rsidRPr="00D709A2">
              <w:rPr>
                <w:szCs w:val="24"/>
                <w:lang w:val="zh-CN" w:eastAsia="zh-CN"/>
              </w:rPr>
              <w:t>第</w:t>
            </w:r>
            <w:r w:rsidRPr="00D709A2">
              <w:rPr>
                <w:szCs w:val="24"/>
                <w:lang w:val="zh-CN" w:eastAsia="zh-CN"/>
              </w:rPr>
              <w:t>20</w:t>
            </w:r>
            <w:r w:rsidRPr="00D709A2">
              <w:rPr>
                <w:szCs w:val="24"/>
                <w:lang w:val="zh-CN" w:eastAsia="zh-CN"/>
              </w:rPr>
              <w:t>研究组审议批准该案文（附反对意见的理由并概述可使该项工作取得进展的可能修改）</w:t>
            </w:r>
          </w:p>
        </w:tc>
      </w:tr>
      <w:tr w:rsidR="0009235E" w:rsidRPr="00D709A2" w14:paraId="249BF6E8" w14:textId="77777777" w:rsidTr="00312723">
        <w:trPr>
          <w:trHeight w:val="748"/>
        </w:trPr>
        <w:tc>
          <w:tcPr>
            <w:tcW w:w="2085" w:type="dxa"/>
            <w:vMerge w:val="restart"/>
            <w:shd w:val="clear" w:color="auto" w:fill="auto"/>
            <w:vAlign w:val="center"/>
          </w:tcPr>
          <w:p w14:paraId="703E1F3A" w14:textId="77777777" w:rsidR="0009235E" w:rsidRPr="00D709A2" w:rsidRDefault="0009235E" w:rsidP="00D709A2">
            <w:pPr>
              <w:keepNext/>
              <w:keepLines/>
              <w:spacing w:before="60" w:after="60"/>
              <w:jc w:val="center"/>
              <w:rPr>
                <w:rFonts w:eastAsia="Times New Roman"/>
                <w:b/>
                <w:bCs/>
                <w:szCs w:val="24"/>
              </w:rPr>
            </w:pPr>
            <w:r w:rsidRPr="00D709A2">
              <w:rPr>
                <w:b/>
                <w:bCs/>
                <w:szCs w:val="24"/>
                <w:lang w:val="zh-CN"/>
              </w:rPr>
              <w:lastRenderedPageBreak/>
              <w:t>ITU-T Y.4231</w:t>
            </w:r>
            <w:proofErr w:type="spellStart"/>
            <w:r w:rsidRPr="00D709A2">
              <w:rPr>
                <w:b/>
                <w:bCs/>
                <w:szCs w:val="24"/>
                <w:lang w:val="zh-CN"/>
              </w:rPr>
              <w:t>新建议书草案（原</w:t>
            </w:r>
            <w:r w:rsidRPr="009E6B3D">
              <w:rPr>
                <w:rFonts w:eastAsia="Times New Roman"/>
                <w:b/>
                <w:bCs/>
                <w:szCs w:val="24"/>
              </w:rPr>
              <w:t>Y.IoT-Vreqs</w:t>
            </w:r>
            <w:proofErr w:type="spellEnd"/>
            <w:r w:rsidRPr="00D709A2">
              <w:rPr>
                <w:b/>
                <w:bCs/>
                <w:szCs w:val="24"/>
                <w:lang w:val="zh-CN"/>
              </w:rPr>
              <w:t>）</w:t>
            </w:r>
          </w:p>
        </w:tc>
        <w:tc>
          <w:tcPr>
            <w:tcW w:w="7634" w:type="dxa"/>
            <w:shd w:val="clear" w:color="auto" w:fill="auto"/>
            <w:vAlign w:val="center"/>
          </w:tcPr>
          <w:p w14:paraId="1A40DD6C" w14:textId="7CAA1707" w:rsidR="0009235E" w:rsidRPr="00D709A2" w:rsidRDefault="0009235E" w:rsidP="00D709A2">
            <w:pPr>
              <w:keepNext/>
              <w:keepLines/>
              <w:tabs>
                <w:tab w:val="clear" w:pos="794"/>
                <w:tab w:val="clear" w:pos="1191"/>
                <w:tab w:val="clear" w:pos="1588"/>
                <w:tab w:val="clear" w:pos="1985"/>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授权</w:t>
            </w:r>
            <w:r w:rsidRPr="00D709A2">
              <w:rPr>
                <w:szCs w:val="24"/>
                <w:lang w:val="zh-CN" w:eastAsia="zh-CN"/>
              </w:rPr>
              <w:t>第</w:t>
            </w:r>
            <w:r w:rsidRPr="00D709A2">
              <w:rPr>
                <w:szCs w:val="24"/>
                <w:lang w:val="zh-CN" w:eastAsia="zh-CN"/>
              </w:rPr>
              <w:t>20</w:t>
            </w:r>
            <w:r w:rsidRPr="00D709A2">
              <w:rPr>
                <w:szCs w:val="24"/>
                <w:lang w:val="zh-CN" w:eastAsia="zh-CN"/>
              </w:rPr>
              <w:t>研究组审议</w:t>
            </w:r>
            <w:r w:rsidRPr="00D709A2">
              <w:rPr>
                <w:rFonts w:hint="eastAsia"/>
                <w:szCs w:val="24"/>
                <w:lang w:val="zh-CN" w:eastAsia="zh-CN"/>
              </w:rPr>
              <w:t>并</w:t>
            </w:r>
            <w:r w:rsidRPr="00D709A2">
              <w:rPr>
                <w:szCs w:val="24"/>
                <w:lang w:val="zh-CN" w:eastAsia="zh-CN"/>
              </w:rPr>
              <w:t>批准</w:t>
            </w:r>
            <w:r w:rsidRPr="00D709A2">
              <w:rPr>
                <w:rFonts w:hint="eastAsia"/>
                <w:szCs w:val="24"/>
                <w:lang w:val="zh-CN" w:eastAsia="zh-CN"/>
              </w:rPr>
              <w:t>此</w:t>
            </w:r>
            <w:r w:rsidRPr="00D709A2">
              <w:rPr>
                <w:szCs w:val="24"/>
                <w:lang w:val="zh-CN" w:eastAsia="zh-CN"/>
              </w:rPr>
              <w:t>案文（在这种情况下，请选择两种方案</w:t>
            </w:r>
            <w:r w:rsidRPr="00D709A2">
              <w:rPr>
                <w:szCs w:val="24"/>
                <w:lang w:val="zh-CN" w:eastAsia="zh-CN"/>
              </w:rPr>
              <w:t>⃝</w:t>
            </w:r>
            <w:r w:rsidRPr="00D709A2">
              <w:rPr>
                <w:szCs w:val="24"/>
                <w:lang w:val="zh-CN" w:eastAsia="zh-CN"/>
              </w:rPr>
              <w:t>中的一种）：</w:t>
            </w:r>
          </w:p>
          <w:p w14:paraId="457B3AB2" w14:textId="77777777" w:rsidR="0009235E" w:rsidRPr="00D709A2" w:rsidRDefault="0009235E" w:rsidP="00D709A2">
            <w:pPr>
              <w:keepNext/>
              <w:keepLines/>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无意见或修改建议</w:t>
            </w:r>
          </w:p>
          <w:p w14:paraId="23879CED" w14:textId="77777777" w:rsidR="0009235E" w:rsidRPr="00D709A2" w:rsidRDefault="0009235E" w:rsidP="00D709A2">
            <w:pPr>
              <w:keepNext/>
              <w:keepLines/>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后附意见和修改建议</w:t>
            </w:r>
          </w:p>
        </w:tc>
      </w:tr>
      <w:tr w:rsidR="0009235E" w:rsidRPr="00D709A2" w14:paraId="201559CA" w14:textId="77777777" w:rsidTr="00312723">
        <w:trPr>
          <w:trHeight w:val="747"/>
        </w:trPr>
        <w:tc>
          <w:tcPr>
            <w:tcW w:w="2085" w:type="dxa"/>
            <w:vMerge/>
            <w:shd w:val="clear" w:color="auto" w:fill="auto"/>
          </w:tcPr>
          <w:p w14:paraId="0E5BEEB6" w14:textId="77777777" w:rsidR="0009235E" w:rsidRPr="00D709A2" w:rsidRDefault="0009235E" w:rsidP="00312723">
            <w:pPr>
              <w:spacing w:before="60" w:after="60"/>
              <w:jc w:val="center"/>
              <w:rPr>
                <w:rFonts w:eastAsia="Times New Roman"/>
                <w:b/>
                <w:bCs/>
                <w:szCs w:val="24"/>
                <w:lang w:eastAsia="zh-CN"/>
              </w:rPr>
            </w:pPr>
          </w:p>
        </w:tc>
        <w:tc>
          <w:tcPr>
            <w:tcW w:w="7634" w:type="dxa"/>
            <w:shd w:val="clear" w:color="auto" w:fill="auto"/>
          </w:tcPr>
          <w:p w14:paraId="77E17A14" w14:textId="4B6267EF" w:rsidR="0009235E" w:rsidRPr="00D709A2" w:rsidRDefault="0009235E" w:rsidP="00312723">
            <w:pPr>
              <w:tabs>
                <w:tab w:val="clear" w:pos="794"/>
                <w:tab w:val="clear" w:pos="1191"/>
                <w:tab w:val="clear" w:pos="1588"/>
                <w:tab w:val="clear" w:pos="1985"/>
                <w:tab w:val="left" w:pos="250"/>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不授权</w:t>
            </w:r>
            <w:r w:rsidRPr="00D709A2">
              <w:rPr>
                <w:szCs w:val="24"/>
                <w:lang w:val="zh-CN" w:eastAsia="zh-CN"/>
              </w:rPr>
              <w:t>第</w:t>
            </w:r>
            <w:r w:rsidRPr="00D709A2">
              <w:rPr>
                <w:szCs w:val="24"/>
                <w:lang w:val="zh-CN" w:eastAsia="zh-CN"/>
              </w:rPr>
              <w:t>20</w:t>
            </w:r>
            <w:r w:rsidRPr="00D709A2">
              <w:rPr>
                <w:szCs w:val="24"/>
                <w:lang w:val="zh-CN" w:eastAsia="zh-CN"/>
              </w:rPr>
              <w:t>研究组审议批准该案文（附反对意见的理由并概述可使该项工作取得进展的可能修改）</w:t>
            </w:r>
          </w:p>
        </w:tc>
      </w:tr>
      <w:tr w:rsidR="0009235E" w:rsidRPr="00D709A2" w14:paraId="5EA2063B" w14:textId="77777777" w:rsidTr="00312723">
        <w:trPr>
          <w:trHeight w:val="748"/>
        </w:trPr>
        <w:tc>
          <w:tcPr>
            <w:tcW w:w="2085" w:type="dxa"/>
            <w:vMerge w:val="restart"/>
            <w:shd w:val="clear" w:color="auto" w:fill="auto"/>
            <w:vAlign w:val="center"/>
          </w:tcPr>
          <w:p w14:paraId="6E224C0F" w14:textId="77777777" w:rsidR="0009235E" w:rsidRPr="00D709A2" w:rsidRDefault="0009235E" w:rsidP="00312723">
            <w:pPr>
              <w:spacing w:before="60" w:after="60"/>
              <w:jc w:val="center"/>
              <w:rPr>
                <w:rFonts w:eastAsia="Times New Roman"/>
                <w:b/>
                <w:bCs/>
                <w:szCs w:val="24"/>
              </w:rPr>
            </w:pPr>
            <w:r w:rsidRPr="00D709A2">
              <w:rPr>
                <w:b/>
                <w:bCs/>
                <w:szCs w:val="24"/>
                <w:lang w:val="zh-CN"/>
              </w:rPr>
              <w:t>ITU-T Y.4232</w:t>
            </w:r>
            <w:proofErr w:type="spellStart"/>
            <w:r w:rsidRPr="00D709A2">
              <w:rPr>
                <w:b/>
                <w:bCs/>
                <w:szCs w:val="24"/>
                <w:lang w:val="zh-CN"/>
              </w:rPr>
              <w:t>新建议书草案（原</w:t>
            </w:r>
            <w:proofErr w:type="spellEnd"/>
            <w:r w:rsidRPr="00D709A2">
              <w:rPr>
                <w:b/>
                <w:bCs/>
                <w:szCs w:val="24"/>
                <w:lang w:val="zh-CN"/>
              </w:rPr>
              <w:t>Y.IoT-RTPS</w:t>
            </w:r>
            <w:r w:rsidRPr="00D709A2">
              <w:rPr>
                <w:b/>
                <w:bCs/>
                <w:szCs w:val="24"/>
                <w:lang w:val="zh-CN"/>
              </w:rPr>
              <w:t>）</w:t>
            </w:r>
          </w:p>
        </w:tc>
        <w:tc>
          <w:tcPr>
            <w:tcW w:w="7634" w:type="dxa"/>
            <w:shd w:val="clear" w:color="auto" w:fill="auto"/>
            <w:vAlign w:val="center"/>
          </w:tcPr>
          <w:p w14:paraId="34CCC5B3" w14:textId="193A1B96" w:rsidR="0009235E" w:rsidRPr="00D709A2" w:rsidRDefault="0009235E" w:rsidP="00312723">
            <w:pPr>
              <w:tabs>
                <w:tab w:val="clear" w:pos="794"/>
                <w:tab w:val="clear" w:pos="1191"/>
                <w:tab w:val="clear" w:pos="1588"/>
                <w:tab w:val="clear" w:pos="1985"/>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授权</w:t>
            </w:r>
            <w:r w:rsidRPr="00D709A2">
              <w:rPr>
                <w:szCs w:val="24"/>
                <w:lang w:val="zh-CN" w:eastAsia="zh-CN"/>
              </w:rPr>
              <w:t>第</w:t>
            </w:r>
            <w:r w:rsidRPr="00D709A2">
              <w:rPr>
                <w:szCs w:val="24"/>
                <w:lang w:val="zh-CN" w:eastAsia="zh-CN"/>
              </w:rPr>
              <w:t>20</w:t>
            </w:r>
            <w:r w:rsidRPr="00D709A2">
              <w:rPr>
                <w:szCs w:val="24"/>
                <w:lang w:val="zh-CN" w:eastAsia="zh-CN"/>
              </w:rPr>
              <w:t>研究组审议</w:t>
            </w:r>
            <w:r w:rsidRPr="00D709A2">
              <w:rPr>
                <w:rFonts w:hint="eastAsia"/>
                <w:szCs w:val="24"/>
                <w:lang w:val="zh-CN" w:eastAsia="zh-CN"/>
              </w:rPr>
              <w:t>并</w:t>
            </w:r>
            <w:r w:rsidRPr="00D709A2">
              <w:rPr>
                <w:szCs w:val="24"/>
                <w:lang w:val="zh-CN" w:eastAsia="zh-CN"/>
              </w:rPr>
              <w:t>批准</w:t>
            </w:r>
            <w:r w:rsidRPr="00D709A2">
              <w:rPr>
                <w:rFonts w:hint="eastAsia"/>
                <w:szCs w:val="24"/>
                <w:lang w:val="zh-CN" w:eastAsia="zh-CN"/>
              </w:rPr>
              <w:t>此</w:t>
            </w:r>
            <w:r w:rsidRPr="00D709A2">
              <w:rPr>
                <w:szCs w:val="24"/>
                <w:lang w:val="zh-CN" w:eastAsia="zh-CN"/>
              </w:rPr>
              <w:t>案文（在这种情况下，请选择两种方案</w:t>
            </w:r>
            <w:r w:rsidRPr="00D709A2">
              <w:rPr>
                <w:szCs w:val="24"/>
                <w:lang w:val="zh-CN" w:eastAsia="zh-CN"/>
              </w:rPr>
              <w:t>⃝</w:t>
            </w:r>
            <w:r w:rsidRPr="00D709A2">
              <w:rPr>
                <w:szCs w:val="24"/>
                <w:lang w:val="zh-CN" w:eastAsia="zh-CN"/>
              </w:rPr>
              <w:t>中的一种）：</w:t>
            </w:r>
          </w:p>
          <w:p w14:paraId="2EC92D62"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无意见或修改建议</w:t>
            </w:r>
          </w:p>
          <w:p w14:paraId="76DEDBC5"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后附意见和修改建议</w:t>
            </w:r>
          </w:p>
        </w:tc>
      </w:tr>
      <w:tr w:rsidR="0009235E" w:rsidRPr="00D709A2" w14:paraId="18622E01" w14:textId="77777777" w:rsidTr="00312723">
        <w:trPr>
          <w:trHeight w:val="747"/>
        </w:trPr>
        <w:tc>
          <w:tcPr>
            <w:tcW w:w="2085" w:type="dxa"/>
            <w:vMerge/>
            <w:shd w:val="clear" w:color="auto" w:fill="auto"/>
          </w:tcPr>
          <w:p w14:paraId="08D5F468" w14:textId="77777777" w:rsidR="0009235E" w:rsidRPr="00D709A2" w:rsidRDefault="0009235E" w:rsidP="00312723">
            <w:pPr>
              <w:spacing w:before="60" w:after="60"/>
              <w:jc w:val="center"/>
              <w:rPr>
                <w:rFonts w:eastAsia="Times New Roman"/>
                <w:b/>
                <w:bCs/>
                <w:szCs w:val="24"/>
                <w:lang w:eastAsia="zh-CN"/>
              </w:rPr>
            </w:pPr>
          </w:p>
        </w:tc>
        <w:tc>
          <w:tcPr>
            <w:tcW w:w="7634" w:type="dxa"/>
            <w:shd w:val="clear" w:color="auto" w:fill="auto"/>
          </w:tcPr>
          <w:p w14:paraId="130DEDA2" w14:textId="65410236" w:rsidR="0009235E" w:rsidRPr="00D709A2" w:rsidRDefault="0009235E" w:rsidP="00312723">
            <w:pPr>
              <w:tabs>
                <w:tab w:val="clear" w:pos="794"/>
                <w:tab w:val="clear" w:pos="1191"/>
                <w:tab w:val="clear" w:pos="1588"/>
                <w:tab w:val="clear" w:pos="1985"/>
                <w:tab w:val="left" w:pos="250"/>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不授权</w:t>
            </w:r>
            <w:r w:rsidRPr="00D709A2">
              <w:rPr>
                <w:szCs w:val="24"/>
                <w:lang w:val="zh-CN" w:eastAsia="zh-CN"/>
              </w:rPr>
              <w:t>第</w:t>
            </w:r>
            <w:r w:rsidRPr="00D709A2">
              <w:rPr>
                <w:szCs w:val="24"/>
                <w:lang w:val="zh-CN" w:eastAsia="zh-CN"/>
              </w:rPr>
              <w:t>20</w:t>
            </w:r>
            <w:r w:rsidRPr="00D709A2">
              <w:rPr>
                <w:szCs w:val="24"/>
                <w:lang w:val="zh-CN" w:eastAsia="zh-CN"/>
              </w:rPr>
              <w:t>研究组审议批准该案文（附反对意见的理由并概述可使该项工作取得进展的可能修改）</w:t>
            </w:r>
          </w:p>
        </w:tc>
      </w:tr>
      <w:tr w:rsidR="0009235E" w:rsidRPr="00D709A2" w14:paraId="1BA69477" w14:textId="77777777" w:rsidTr="00312723">
        <w:trPr>
          <w:trHeight w:val="748"/>
        </w:trPr>
        <w:tc>
          <w:tcPr>
            <w:tcW w:w="2085" w:type="dxa"/>
            <w:vMerge w:val="restart"/>
            <w:shd w:val="clear" w:color="auto" w:fill="auto"/>
            <w:vAlign w:val="center"/>
          </w:tcPr>
          <w:p w14:paraId="098BA127" w14:textId="08D2920E" w:rsidR="0009235E" w:rsidRPr="00D709A2" w:rsidRDefault="0009235E" w:rsidP="00312723">
            <w:pPr>
              <w:spacing w:before="60" w:after="60"/>
              <w:jc w:val="center"/>
              <w:rPr>
                <w:rFonts w:eastAsia="Times New Roman"/>
                <w:b/>
                <w:bCs/>
                <w:szCs w:val="24"/>
                <w:lang w:eastAsia="zh-CN"/>
              </w:rPr>
            </w:pPr>
            <w:r w:rsidRPr="00D709A2">
              <w:rPr>
                <w:b/>
                <w:bCs/>
                <w:szCs w:val="24"/>
                <w:lang w:val="zh-CN"/>
              </w:rPr>
              <w:t>ITU-T Y.4233</w:t>
            </w:r>
            <w:proofErr w:type="spellStart"/>
            <w:r w:rsidRPr="00D709A2">
              <w:rPr>
                <w:b/>
                <w:bCs/>
                <w:szCs w:val="24"/>
                <w:lang w:val="zh-CN"/>
              </w:rPr>
              <w:t>新建议书草案（原</w:t>
            </w:r>
            <w:proofErr w:type="spellEnd"/>
            <w:r w:rsidRPr="00D709A2">
              <w:rPr>
                <w:b/>
                <w:bCs/>
                <w:szCs w:val="24"/>
                <w:lang w:val="zh-CN"/>
              </w:rPr>
              <w:t>Y.FSPH</w:t>
            </w:r>
            <w:r w:rsidR="00D709A2" w:rsidRPr="00D709A2">
              <w:rPr>
                <w:rFonts w:hint="eastAsia"/>
                <w:b/>
                <w:bCs/>
                <w:szCs w:val="24"/>
                <w:lang w:val="zh-CN" w:eastAsia="zh-CN"/>
              </w:rPr>
              <w:t>）</w:t>
            </w:r>
          </w:p>
        </w:tc>
        <w:tc>
          <w:tcPr>
            <w:tcW w:w="7634" w:type="dxa"/>
            <w:shd w:val="clear" w:color="auto" w:fill="auto"/>
            <w:vAlign w:val="center"/>
          </w:tcPr>
          <w:p w14:paraId="4CB1FEE7" w14:textId="09FEBEB7" w:rsidR="0009235E" w:rsidRPr="00D709A2" w:rsidRDefault="0009235E" w:rsidP="00312723">
            <w:pPr>
              <w:tabs>
                <w:tab w:val="clear" w:pos="794"/>
                <w:tab w:val="clear" w:pos="1191"/>
                <w:tab w:val="clear" w:pos="1588"/>
                <w:tab w:val="clear" w:pos="1985"/>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授权</w:t>
            </w:r>
            <w:r w:rsidRPr="00D709A2">
              <w:rPr>
                <w:szCs w:val="24"/>
                <w:lang w:val="zh-CN" w:eastAsia="zh-CN"/>
              </w:rPr>
              <w:t>第</w:t>
            </w:r>
            <w:r w:rsidRPr="00D709A2">
              <w:rPr>
                <w:szCs w:val="24"/>
                <w:lang w:val="zh-CN" w:eastAsia="zh-CN"/>
              </w:rPr>
              <w:t>20</w:t>
            </w:r>
            <w:r w:rsidRPr="00D709A2">
              <w:rPr>
                <w:szCs w:val="24"/>
                <w:lang w:val="zh-CN" w:eastAsia="zh-CN"/>
              </w:rPr>
              <w:t>研究组审议</w:t>
            </w:r>
            <w:r w:rsidRPr="00D709A2">
              <w:rPr>
                <w:rFonts w:hint="eastAsia"/>
                <w:szCs w:val="24"/>
                <w:lang w:val="zh-CN" w:eastAsia="zh-CN"/>
              </w:rPr>
              <w:t>并</w:t>
            </w:r>
            <w:r w:rsidRPr="00D709A2">
              <w:rPr>
                <w:szCs w:val="24"/>
                <w:lang w:val="zh-CN" w:eastAsia="zh-CN"/>
              </w:rPr>
              <w:t>批准</w:t>
            </w:r>
            <w:r w:rsidRPr="00D709A2">
              <w:rPr>
                <w:rFonts w:hint="eastAsia"/>
                <w:szCs w:val="24"/>
                <w:lang w:val="zh-CN" w:eastAsia="zh-CN"/>
              </w:rPr>
              <w:t>此</w:t>
            </w:r>
            <w:r w:rsidRPr="00D709A2">
              <w:rPr>
                <w:szCs w:val="24"/>
                <w:lang w:val="zh-CN" w:eastAsia="zh-CN"/>
              </w:rPr>
              <w:t>案文（在这种情况下，请选择两种方案</w:t>
            </w:r>
            <w:r w:rsidRPr="00D709A2">
              <w:rPr>
                <w:szCs w:val="24"/>
                <w:lang w:val="zh-CN" w:eastAsia="zh-CN"/>
              </w:rPr>
              <w:t>⃝</w:t>
            </w:r>
            <w:r w:rsidRPr="00D709A2">
              <w:rPr>
                <w:szCs w:val="24"/>
                <w:lang w:val="zh-CN" w:eastAsia="zh-CN"/>
              </w:rPr>
              <w:t>中的一种）：</w:t>
            </w:r>
          </w:p>
          <w:p w14:paraId="638CC46C"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无意见或修改建议</w:t>
            </w:r>
          </w:p>
          <w:p w14:paraId="2A5861A4"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后附意见和修改建议</w:t>
            </w:r>
          </w:p>
        </w:tc>
      </w:tr>
      <w:tr w:rsidR="0009235E" w:rsidRPr="00D709A2" w14:paraId="496B5C47" w14:textId="77777777" w:rsidTr="00312723">
        <w:trPr>
          <w:trHeight w:val="747"/>
        </w:trPr>
        <w:tc>
          <w:tcPr>
            <w:tcW w:w="2085" w:type="dxa"/>
            <w:vMerge/>
            <w:shd w:val="clear" w:color="auto" w:fill="auto"/>
          </w:tcPr>
          <w:p w14:paraId="609A626F" w14:textId="77777777" w:rsidR="0009235E" w:rsidRPr="00D709A2" w:rsidRDefault="0009235E" w:rsidP="00312723">
            <w:pPr>
              <w:spacing w:before="60" w:after="60"/>
              <w:jc w:val="center"/>
              <w:rPr>
                <w:rFonts w:eastAsia="Times New Roman"/>
                <w:b/>
                <w:bCs/>
                <w:szCs w:val="24"/>
                <w:lang w:eastAsia="zh-CN"/>
              </w:rPr>
            </w:pPr>
          </w:p>
        </w:tc>
        <w:tc>
          <w:tcPr>
            <w:tcW w:w="7634" w:type="dxa"/>
            <w:shd w:val="clear" w:color="auto" w:fill="auto"/>
          </w:tcPr>
          <w:p w14:paraId="1DBF27EC" w14:textId="1139C748" w:rsidR="0009235E" w:rsidRPr="00D709A2" w:rsidRDefault="0009235E" w:rsidP="00312723">
            <w:pPr>
              <w:tabs>
                <w:tab w:val="clear" w:pos="794"/>
                <w:tab w:val="clear" w:pos="1191"/>
                <w:tab w:val="clear" w:pos="1588"/>
                <w:tab w:val="clear" w:pos="1985"/>
                <w:tab w:val="left" w:pos="250"/>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不授权</w:t>
            </w:r>
            <w:r w:rsidRPr="00D709A2">
              <w:rPr>
                <w:szCs w:val="24"/>
                <w:lang w:val="zh-CN" w:eastAsia="zh-CN"/>
              </w:rPr>
              <w:t>第</w:t>
            </w:r>
            <w:r w:rsidRPr="00D709A2">
              <w:rPr>
                <w:szCs w:val="24"/>
                <w:lang w:val="zh-CN" w:eastAsia="zh-CN"/>
              </w:rPr>
              <w:t>20</w:t>
            </w:r>
            <w:r w:rsidRPr="00D709A2">
              <w:rPr>
                <w:szCs w:val="24"/>
                <w:lang w:val="zh-CN" w:eastAsia="zh-CN"/>
              </w:rPr>
              <w:t>研究组审议批准该案文（附反对意见的理由并概述可使该项工作取得进展的可能修改）</w:t>
            </w:r>
          </w:p>
        </w:tc>
      </w:tr>
      <w:tr w:rsidR="0009235E" w:rsidRPr="00D709A2" w14:paraId="438636F4" w14:textId="77777777" w:rsidTr="00312723">
        <w:trPr>
          <w:trHeight w:val="748"/>
        </w:trPr>
        <w:tc>
          <w:tcPr>
            <w:tcW w:w="2085" w:type="dxa"/>
            <w:vMerge w:val="restart"/>
            <w:shd w:val="clear" w:color="auto" w:fill="auto"/>
            <w:vAlign w:val="center"/>
          </w:tcPr>
          <w:p w14:paraId="36BFFDF0" w14:textId="77777777" w:rsidR="0009235E" w:rsidRPr="00D709A2" w:rsidRDefault="0009235E" w:rsidP="00312723">
            <w:pPr>
              <w:spacing w:before="60" w:after="60"/>
              <w:jc w:val="center"/>
              <w:rPr>
                <w:rFonts w:eastAsia="Times New Roman"/>
                <w:b/>
                <w:bCs/>
                <w:szCs w:val="24"/>
              </w:rPr>
            </w:pPr>
            <w:r w:rsidRPr="00D709A2">
              <w:rPr>
                <w:b/>
                <w:bCs/>
                <w:szCs w:val="24"/>
                <w:lang w:val="zh-CN"/>
              </w:rPr>
              <w:t>ITU-T Y.4234</w:t>
            </w:r>
            <w:proofErr w:type="spellStart"/>
            <w:r w:rsidRPr="00D709A2">
              <w:rPr>
                <w:b/>
                <w:bCs/>
                <w:szCs w:val="24"/>
                <w:lang w:val="zh-CN"/>
              </w:rPr>
              <w:t>新建议书草案（原</w:t>
            </w:r>
            <w:proofErr w:type="spellEnd"/>
            <w:r w:rsidRPr="00D709A2">
              <w:rPr>
                <w:b/>
                <w:bCs/>
                <w:szCs w:val="24"/>
                <w:lang w:val="zh-CN"/>
              </w:rPr>
              <w:t>Y.RemoteEd</w:t>
            </w:r>
            <w:r w:rsidRPr="00D709A2">
              <w:rPr>
                <w:b/>
                <w:bCs/>
                <w:szCs w:val="24"/>
                <w:lang w:val="zh-CN"/>
              </w:rPr>
              <w:t>）</w:t>
            </w:r>
          </w:p>
        </w:tc>
        <w:tc>
          <w:tcPr>
            <w:tcW w:w="7634" w:type="dxa"/>
            <w:shd w:val="clear" w:color="auto" w:fill="auto"/>
            <w:vAlign w:val="center"/>
          </w:tcPr>
          <w:p w14:paraId="7E7DBA79" w14:textId="709EBE5D" w:rsidR="0009235E" w:rsidRPr="00D709A2" w:rsidRDefault="0009235E" w:rsidP="00312723">
            <w:pPr>
              <w:tabs>
                <w:tab w:val="clear" w:pos="794"/>
                <w:tab w:val="clear" w:pos="1191"/>
                <w:tab w:val="clear" w:pos="1588"/>
                <w:tab w:val="clear" w:pos="1985"/>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授权</w:t>
            </w:r>
            <w:r w:rsidRPr="00D709A2">
              <w:rPr>
                <w:szCs w:val="24"/>
                <w:lang w:val="zh-CN" w:eastAsia="zh-CN"/>
              </w:rPr>
              <w:t>第</w:t>
            </w:r>
            <w:r w:rsidRPr="00D709A2">
              <w:rPr>
                <w:szCs w:val="24"/>
                <w:lang w:val="zh-CN" w:eastAsia="zh-CN"/>
              </w:rPr>
              <w:t>20</w:t>
            </w:r>
            <w:r w:rsidRPr="00D709A2">
              <w:rPr>
                <w:szCs w:val="24"/>
                <w:lang w:val="zh-CN" w:eastAsia="zh-CN"/>
              </w:rPr>
              <w:t>研究组审议</w:t>
            </w:r>
            <w:r w:rsidRPr="00D709A2">
              <w:rPr>
                <w:rFonts w:hint="eastAsia"/>
                <w:szCs w:val="24"/>
                <w:lang w:val="zh-CN" w:eastAsia="zh-CN"/>
              </w:rPr>
              <w:t>并</w:t>
            </w:r>
            <w:r w:rsidRPr="00D709A2">
              <w:rPr>
                <w:szCs w:val="24"/>
                <w:lang w:val="zh-CN" w:eastAsia="zh-CN"/>
              </w:rPr>
              <w:t>批准</w:t>
            </w:r>
            <w:r w:rsidRPr="00D709A2">
              <w:rPr>
                <w:rFonts w:hint="eastAsia"/>
                <w:szCs w:val="24"/>
                <w:lang w:val="zh-CN" w:eastAsia="zh-CN"/>
              </w:rPr>
              <w:t>此</w:t>
            </w:r>
            <w:r w:rsidRPr="00D709A2">
              <w:rPr>
                <w:szCs w:val="24"/>
                <w:lang w:val="zh-CN" w:eastAsia="zh-CN"/>
              </w:rPr>
              <w:t>案文（在这种情况下，请选择两种方案</w:t>
            </w:r>
            <w:r w:rsidRPr="00D709A2">
              <w:rPr>
                <w:szCs w:val="24"/>
                <w:lang w:val="zh-CN" w:eastAsia="zh-CN"/>
              </w:rPr>
              <w:t>⃝</w:t>
            </w:r>
            <w:r w:rsidRPr="00D709A2">
              <w:rPr>
                <w:szCs w:val="24"/>
                <w:lang w:val="zh-CN" w:eastAsia="zh-CN"/>
              </w:rPr>
              <w:t>中的一种）：</w:t>
            </w:r>
          </w:p>
          <w:p w14:paraId="3867AF71"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无意见或修改建议</w:t>
            </w:r>
          </w:p>
          <w:p w14:paraId="7CC242B6"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后附意见和修改建议</w:t>
            </w:r>
          </w:p>
        </w:tc>
      </w:tr>
      <w:tr w:rsidR="0009235E" w:rsidRPr="00D709A2" w14:paraId="25EC37A4" w14:textId="77777777" w:rsidTr="00312723">
        <w:trPr>
          <w:trHeight w:val="747"/>
        </w:trPr>
        <w:tc>
          <w:tcPr>
            <w:tcW w:w="2085" w:type="dxa"/>
            <w:vMerge/>
            <w:shd w:val="clear" w:color="auto" w:fill="auto"/>
          </w:tcPr>
          <w:p w14:paraId="0EF70BC8" w14:textId="77777777" w:rsidR="0009235E" w:rsidRPr="00D709A2" w:rsidRDefault="0009235E" w:rsidP="00312723">
            <w:pPr>
              <w:spacing w:before="60" w:after="60"/>
              <w:jc w:val="center"/>
              <w:rPr>
                <w:rFonts w:eastAsia="Times New Roman"/>
                <w:b/>
                <w:bCs/>
                <w:szCs w:val="24"/>
                <w:lang w:eastAsia="zh-CN"/>
              </w:rPr>
            </w:pPr>
          </w:p>
        </w:tc>
        <w:tc>
          <w:tcPr>
            <w:tcW w:w="7634" w:type="dxa"/>
            <w:shd w:val="clear" w:color="auto" w:fill="auto"/>
          </w:tcPr>
          <w:p w14:paraId="368BA2AA" w14:textId="14F9F23E" w:rsidR="0009235E" w:rsidRPr="00D709A2" w:rsidRDefault="0009235E" w:rsidP="00312723">
            <w:pPr>
              <w:tabs>
                <w:tab w:val="clear" w:pos="794"/>
                <w:tab w:val="clear" w:pos="1191"/>
                <w:tab w:val="clear" w:pos="1588"/>
                <w:tab w:val="clear" w:pos="1985"/>
                <w:tab w:val="left" w:pos="250"/>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不授权</w:t>
            </w:r>
            <w:r w:rsidRPr="00D709A2">
              <w:rPr>
                <w:szCs w:val="24"/>
                <w:lang w:val="zh-CN" w:eastAsia="zh-CN"/>
              </w:rPr>
              <w:t>第</w:t>
            </w:r>
            <w:r w:rsidRPr="00D709A2">
              <w:rPr>
                <w:szCs w:val="24"/>
                <w:lang w:val="zh-CN" w:eastAsia="zh-CN"/>
              </w:rPr>
              <w:t>20</w:t>
            </w:r>
            <w:r w:rsidRPr="00D709A2">
              <w:rPr>
                <w:szCs w:val="24"/>
                <w:lang w:val="zh-CN" w:eastAsia="zh-CN"/>
              </w:rPr>
              <w:t>研究组审议批准该案文（附反对意见的理由并概述可使该项工作取得进展的可能修改）</w:t>
            </w:r>
          </w:p>
        </w:tc>
      </w:tr>
      <w:tr w:rsidR="0009235E" w:rsidRPr="00D709A2" w14:paraId="1549F701" w14:textId="77777777" w:rsidTr="00312723">
        <w:trPr>
          <w:trHeight w:val="748"/>
        </w:trPr>
        <w:tc>
          <w:tcPr>
            <w:tcW w:w="2085" w:type="dxa"/>
            <w:vMerge w:val="restart"/>
            <w:shd w:val="clear" w:color="auto" w:fill="auto"/>
            <w:vAlign w:val="center"/>
          </w:tcPr>
          <w:p w14:paraId="721F46EC" w14:textId="676C4A53" w:rsidR="0009235E" w:rsidRPr="009E6B3D" w:rsidRDefault="0009235E" w:rsidP="00312723">
            <w:pPr>
              <w:spacing w:before="60" w:after="60"/>
              <w:jc w:val="center"/>
              <w:rPr>
                <w:rFonts w:eastAsia="Times New Roman"/>
                <w:b/>
                <w:bCs/>
                <w:szCs w:val="24"/>
                <w:lang w:val="fr-CH" w:eastAsia="zh-CN"/>
              </w:rPr>
            </w:pPr>
            <w:r w:rsidRPr="00D709A2">
              <w:rPr>
                <w:b/>
                <w:bCs/>
                <w:szCs w:val="24"/>
                <w:lang w:val="zh-CN"/>
              </w:rPr>
              <w:t>ITU-T Y.4222</w:t>
            </w:r>
            <w:proofErr w:type="spellStart"/>
            <w:r w:rsidRPr="00D709A2">
              <w:rPr>
                <w:b/>
                <w:bCs/>
                <w:szCs w:val="24"/>
                <w:lang w:val="zh-CN"/>
              </w:rPr>
              <w:t>新建议书草案（原</w:t>
            </w:r>
            <w:proofErr w:type="spellEnd"/>
            <w:r w:rsidRPr="00D709A2">
              <w:rPr>
                <w:b/>
                <w:bCs/>
                <w:szCs w:val="24"/>
                <w:lang w:val="zh-CN"/>
              </w:rPr>
              <w:t>Y.smart-evacuation</w:t>
            </w:r>
            <w:r w:rsidR="00D709A2" w:rsidRPr="00D709A2">
              <w:rPr>
                <w:rFonts w:hint="eastAsia"/>
                <w:b/>
                <w:bCs/>
                <w:szCs w:val="24"/>
                <w:lang w:val="zh-CN" w:eastAsia="zh-CN"/>
              </w:rPr>
              <w:t>）</w:t>
            </w:r>
          </w:p>
        </w:tc>
        <w:tc>
          <w:tcPr>
            <w:tcW w:w="7634" w:type="dxa"/>
            <w:shd w:val="clear" w:color="auto" w:fill="auto"/>
            <w:vAlign w:val="center"/>
          </w:tcPr>
          <w:p w14:paraId="34F0BC5A" w14:textId="53CF031F" w:rsidR="0009235E" w:rsidRPr="009E6B3D" w:rsidRDefault="0009235E" w:rsidP="00312723">
            <w:pPr>
              <w:tabs>
                <w:tab w:val="clear" w:pos="794"/>
                <w:tab w:val="clear" w:pos="1191"/>
                <w:tab w:val="clear" w:pos="1588"/>
                <w:tab w:val="clear" w:pos="1985"/>
              </w:tabs>
              <w:spacing w:before="60" w:after="60"/>
              <w:ind w:left="459" w:hanging="459"/>
              <w:rPr>
                <w:rFonts w:eastAsia="Times New Roman"/>
                <w:szCs w:val="24"/>
                <w:lang w:val="fr-CH" w:eastAsia="zh-CN"/>
              </w:rPr>
            </w:pPr>
            <w:r w:rsidRPr="00D709A2">
              <w:rPr>
                <w:rFonts w:eastAsia="Times New Roman"/>
                <w:szCs w:val="24"/>
              </w:rPr>
              <w:fldChar w:fldCharType="begin">
                <w:ffData>
                  <w:name w:val="Check1"/>
                  <w:enabled/>
                  <w:calcOnExit w:val="0"/>
                  <w:checkBox>
                    <w:sizeAuto/>
                    <w:default w:val="0"/>
                  </w:checkBox>
                </w:ffData>
              </w:fldChar>
            </w:r>
            <w:r w:rsidRPr="009E6B3D">
              <w:rPr>
                <w:rFonts w:eastAsia="Times New Roman"/>
                <w:szCs w:val="24"/>
                <w:lang w:val="fr-CH"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9E6B3D">
              <w:rPr>
                <w:rFonts w:eastAsiaTheme="minorEastAsia"/>
                <w:szCs w:val="24"/>
                <w:lang w:val="fr-CH" w:eastAsia="zh-CN"/>
              </w:rPr>
              <w:tab/>
            </w:r>
            <w:r w:rsidRPr="00D709A2">
              <w:rPr>
                <w:b/>
                <w:bCs/>
                <w:szCs w:val="24"/>
                <w:lang w:val="zh-CN" w:eastAsia="zh-CN"/>
              </w:rPr>
              <w:t>授权</w:t>
            </w:r>
            <w:r w:rsidRPr="00D709A2">
              <w:rPr>
                <w:szCs w:val="24"/>
                <w:lang w:val="zh-CN" w:eastAsia="zh-CN"/>
              </w:rPr>
              <w:t>第</w:t>
            </w:r>
            <w:r w:rsidRPr="00D709A2">
              <w:rPr>
                <w:szCs w:val="24"/>
                <w:lang w:val="zh-CN" w:eastAsia="zh-CN"/>
              </w:rPr>
              <w:t>20</w:t>
            </w:r>
            <w:r w:rsidRPr="00D709A2">
              <w:rPr>
                <w:szCs w:val="24"/>
                <w:lang w:val="zh-CN" w:eastAsia="zh-CN"/>
              </w:rPr>
              <w:t>研究组审议</w:t>
            </w:r>
            <w:r w:rsidRPr="00D709A2">
              <w:rPr>
                <w:rFonts w:hint="eastAsia"/>
                <w:szCs w:val="24"/>
                <w:lang w:val="zh-CN" w:eastAsia="zh-CN"/>
              </w:rPr>
              <w:t>并</w:t>
            </w:r>
            <w:r w:rsidRPr="00D709A2">
              <w:rPr>
                <w:szCs w:val="24"/>
                <w:lang w:val="zh-CN" w:eastAsia="zh-CN"/>
              </w:rPr>
              <w:t>批准</w:t>
            </w:r>
            <w:r w:rsidRPr="00D709A2">
              <w:rPr>
                <w:rFonts w:hint="eastAsia"/>
                <w:szCs w:val="24"/>
                <w:lang w:val="zh-CN" w:eastAsia="zh-CN"/>
              </w:rPr>
              <w:t>此</w:t>
            </w:r>
            <w:r w:rsidRPr="00D709A2">
              <w:rPr>
                <w:szCs w:val="24"/>
                <w:lang w:val="zh-CN" w:eastAsia="zh-CN"/>
              </w:rPr>
              <w:t>案文（在这种情况下，请选择两种方案</w:t>
            </w:r>
            <w:r w:rsidRPr="00D709A2">
              <w:rPr>
                <w:szCs w:val="24"/>
                <w:lang w:val="zh-CN" w:eastAsia="zh-CN"/>
              </w:rPr>
              <w:t>⃝</w:t>
            </w:r>
            <w:r w:rsidRPr="00D709A2">
              <w:rPr>
                <w:szCs w:val="24"/>
                <w:lang w:val="zh-CN" w:eastAsia="zh-CN"/>
              </w:rPr>
              <w:t>中的一种）：</w:t>
            </w:r>
          </w:p>
          <w:p w14:paraId="1276A2D6"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无意见或修改建议</w:t>
            </w:r>
          </w:p>
          <w:p w14:paraId="6C51B2EC"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后附意见和修改建议</w:t>
            </w:r>
          </w:p>
        </w:tc>
      </w:tr>
      <w:tr w:rsidR="0009235E" w:rsidRPr="00D709A2" w14:paraId="668A7F5A" w14:textId="77777777" w:rsidTr="00312723">
        <w:trPr>
          <w:trHeight w:val="747"/>
        </w:trPr>
        <w:tc>
          <w:tcPr>
            <w:tcW w:w="2085" w:type="dxa"/>
            <w:vMerge/>
            <w:shd w:val="clear" w:color="auto" w:fill="auto"/>
          </w:tcPr>
          <w:p w14:paraId="5195B129" w14:textId="77777777" w:rsidR="0009235E" w:rsidRPr="00D709A2" w:rsidRDefault="0009235E" w:rsidP="00312723">
            <w:pPr>
              <w:spacing w:before="60" w:after="60"/>
              <w:jc w:val="center"/>
              <w:rPr>
                <w:rFonts w:eastAsia="Times New Roman"/>
                <w:b/>
                <w:bCs/>
                <w:szCs w:val="24"/>
                <w:lang w:eastAsia="zh-CN"/>
              </w:rPr>
            </w:pPr>
          </w:p>
        </w:tc>
        <w:tc>
          <w:tcPr>
            <w:tcW w:w="7634" w:type="dxa"/>
            <w:shd w:val="clear" w:color="auto" w:fill="auto"/>
          </w:tcPr>
          <w:p w14:paraId="76BA5CE4" w14:textId="47B7AADB" w:rsidR="0009235E" w:rsidRPr="00D709A2" w:rsidRDefault="0009235E" w:rsidP="00312723">
            <w:pPr>
              <w:tabs>
                <w:tab w:val="clear" w:pos="794"/>
                <w:tab w:val="clear" w:pos="1191"/>
                <w:tab w:val="clear" w:pos="1588"/>
                <w:tab w:val="clear" w:pos="1985"/>
                <w:tab w:val="left" w:pos="250"/>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不授权</w:t>
            </w:r>
            <w:r w:rsidRPr="00D709A2">
              <w:rPr>
                <w:szCs w:val="24"/>
                <w:lang w:val="zh-CN" w:eastAsia="zh-CN"/>
              </w:rPr>
              <w:t>第</w:t>
            </w:r>
            <w:r w:rsidRPr="00D709A2">
              <w:rPr>
                <w:szCs w:val="24"/>
                <w:lang w:val="zh-CN" w:eastAsia="zh-CN"/>
              </w:rPr>
              <w:t>20</w:t>
            </w:r>
            <w:r w:rsidRPr="00D709A2">
              <w:rPr>
                <w:szCs w:val="24"/>
                <w:lang w:val="zh-CN" w:eastAsia="zh-CN"/>
              </w:rPr>
              <w:t>研究组审议批准该案文（附反对意见的理由并概述可使该项工作取得进展的可能修改）</w:t>
            </w:r>
          </w:p>
        </w:tc>
      </w:tr>
      <w:tr w:rsidR="0009235E" w:rsidRPr="00D709A2" w14:paraId="6A69E858" w14:textId="77777777" w:rsidTr="00312723">
        <w:trPr>
          <w:trHeight w:val="748"/>
        </w:trPr>
        <w:tc>
          <w:tcPr>
            <w:tcW w:w="2085" w:type="dxa"/>
            <w:vMerge w:val="restart"/>
            <w:shd w:val="clear" w:color="auto" w:fill="auto"/>
            <w:vAlign w:val="center"/>
          </w:tcPr>
          <w:p w14:paraId="6A448885" w14:textId="77777777" w:rsidR="0009235E" w:rsidRPr="00D709A2" w:rsidRDefault="0009235E" w:rsidP="00312723">
            <w:pPr>
              <w:spacing w:before="60" w:after="60"/>
              <w:jc w:val="center"/>
              <w:rPr>
                <w:rFonts w:eastAsia="Times New Roman"/>
                <w:b/>
                <w:bCs/>
                <w:szCs w:val="24"/>
              </w:rPr>
            </w:pPr>
            <w:r w:rsidRPr="00D709A2">
              <w:rPr>
                <w:b/>
                <w:bCs/>
                <w:szCs w:val="24"/>
                <w:lang w:val="zh-CN"/>
              </w:rPr>
              <w:t>ITU-T Y.4507</w:t>
            </w:r>
            <w:proofErr w:type="spellStart"/>
            <w:r w:rsidRPr="00D709A2">
              <w:rPr>
                <w:b/>
                <w:bCs/>
                <w:szCs w:val="24"/>
                <w:lang w:val="zh-CN"/>
              </w:rPr>
              <w:t>新建议书草案（原</w:t>
            </w:r>
            <w:proofErr w:type="spellEnd"/>
            <w:r w:rsidRPr="00D709A2">
              <w:rPr>
                <w:b/>
                <w:bCs/>
                <w:szCs w:val="24"/>
                <w:lang w:val="zh-CN"/>
              </w:rPr>
              <w:t>Y.arc-psfws</w:t>
            </w:r>
            <w:r w:rsidRPr="00D709A2">
              <w:rPr>
                <w:b/>
                <w:bCs/>
                <w:szCs w:val="24"/>
                <w:lang w:val="zh-CN"/>
              </w:rPr>
              <w:t>）</w:t>
            </w:r>
          </w:p>
        </w:tc>
        <w:tc>
          <w:tcPr>
            <w:tcW w:w="7634" w:type="dxa"/>
            <w:shd w:val="clear" w:color="auto" w:fill="auto"/>
            <w:vAlign w:val="center"/>
          </w:tcPr>
          <w:p w14:paraId="62363493" w14:textId="6C22714B" w:rsidR="0009235E" w:rsidRPr="00D709A2" w:rsidRDefault="0009235E" w:rsidP="00312723">
            <w:pPr>
              <w:tabs>
                <w:tab w:val="clear" w:pos="794"/>
                <w:tab w:val="clear" w:pos="1191"/>
                <w:tab w:val="clear" w:pos="1588"/>
                <w:tab w:val="clear" w:pos="1985"/>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授权</w:t>
            </w:r>
            <w:r w:rsidRPr="00D709A2">
              <w:rPr>
                <w:szCs w:val="24"/>
                <w:lang w:val="zh-CN" w:eastAsia="zh-CN"/>
              </w:rPr>
              <w:t>第</w:t>
            </w:r>
            <w:r w:rsidRPr="00D709A2">
              <w:rPr>
                <w:szCs w:val="24"/>
                <w:lang w:val="zh-CN" w:eastAsia="zh-CN"/>
              </w:rPr>
              <w:t>20</w:t>
            </w:r>
            <w:r w:rsidRPr="00D709A2">
              <w:rPr>
                <w:szCs w:val="24"/>
                <w:lang w:val="zh-CN" w:eastAsia="zh-CN"/>
              </w:rPr>
              <w:t>研究组审议</w:t>
            </w:r>
            <w:r w:rsidRPr="00D709A2">
              <w:rPr>
                <w:rFonts w:hint="eastAsia"/>
                <w:szCs w:val="24"/>
                <w:lang w:val="zh-CN" w:eastAsia="zh-CN"/>
              </w:rPr>
              <w:t>并</w:t>
            </w:r>
            <w:r w:rsidRPr="00D709A2">
              <w:rPr>
                <w:szCs w:val="24"/>
                <w:lang w:val="zh-CN" w:eastAsia="zh-CN"/>
              </w:rPr>
              <w:t>批准</w:t>
            </w:r>
            <w:r w:rsidRPr="00D709A2">
              <w:rPr>
                <w:rFonts w:hint="eastAsia"/>
                <w:szCs w:val="24"/>
                <w:lang w:val="zh-CN" w:eastAsia="zh-CN"/>
              </w:rPr>
              <w:t>此</w:t>
            </w:r>
            <w:r w:rsidRPr="00D709A2">
              <w:rPr>
                <w:szCs w:val="24"/>
                <w:lang w:val="zh-CN" w:eastAsia="zh-CN"/>
              </w:rPr>
              <w:t>案文（在这种情况下，请选择两种方案</w:t>
            </w:r>
            <w:r w:rsidRPr="00D709A2">
              <w:rPr>
                <w:szCs w:val="24"/>
                <w:lang w:val="zh-CN" w:eastAsia="zh-CN"/>
              </w:rPr>
              <w:t>⃝</w:t>
            </w:r>
            <w:r w:rsidRPr="00D709A2">
              <w:rPr>
                <w:szCs w:val="24"/>
                <w:lang w:val="zh-CN" w:eastAsia="zh-CN"/>
              </w:rPr>
              <w:t>中的一种）：</w:t>
            </w:r>
          </w:p>
          <w:p w14:paraId="548BD892"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无意见或修改建议</w:t>
            </w:r>
          </w:p>
          <w:p w14:paraId="14004BD5"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后附意见和修改建议</w:t>
            </w:r>
          </w:p>
        </w:tc>
      </w:tr>
      <w:tr w:rsidR="0009235E" w:rsidRPr="00D709A2" w14:paraId="0CCE8558" w14:textId="77777777" w:rsidTr="00312723">
        <w:trPr>
          <w:trHeight w:val="747"/>
        </w:trPr>
        <w:tc>
          <w:tcPr>
            <w:tcW w:w="2085" w:type="dxa"/>
            <w:vMerge/>
            <w:shd w:val="clear" w:color="auto" w:fill="auto"/>
          </w:tcPr>
          <w:p w14:paraId="7C035A1F" w14:textId="77777777" w:rsidR="0009235E" w:rsidRPr="00D709A2" w:rsidRDefault="0009235E" w:rsidP="00312723">
            <w:pPr>
              <w:spacing w:before="60" w:after="60"/>
              <w:jc w:val="center"/>
              <w:rPr>
                <w:rFonts w:eastAsia="Times New Roman"/>
                <w:b/>
                <w:bCs/>
                <w:szCs w:val="24"/>
                <w:lang w:eastAsia="zh-CN"/>
              </w:rPr>
            </w:pPr>
          </w:p>
        </w:tc>
        <w:tc>
          <w:tcPr>
            <w:tcW w:w="7634" w:type="dxa"/>
            <w:shd w:val="clear" w:color="auto" w:fill="auto"/>
          </w:tcPr>
          <w:p w14:paraId="27A55585" w14:textId="406C4338" w:rsidR="0009235E" w:rsidRPr="00D709A2" w:rsidRDefault="0009235E" w:rsidP="00D709A2">
            <w:pPr>
              <w:keepNext/>
              <w:keepLines/>
              <w:tabs>
                <w:tab w:val="clear" w:pos="794"/>
                <w:tab w:val="clear" w:pos="1191"/>
                <w:tab w:val="clear" w:pos="1588"/>
                <w:tab w:val="clear" w:pos="1985"/>
                <w:tab w:val="left" w:pos="250"/>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不授权</w:t>
            </w:r>
            <w:r w:rsidRPr="00D709A2">
              <w:rPr>
                <w:szCs w:val="24"/>
                <w:lang w:val="zh-CN" w:eastAsia="zh-CN"/>
              </w:rPr>
              <w:t>第</w:t>
            </w:r>
            <w:r w:rsidRPr="00D709A2">
              <w:rPr>
                <w:szCs w:val="24"/>
                <w:lang w:val="zh-CN" w:eastAsia="zh-CN"/>
              </w:rPr>
              <w:t>20</w:t>
            </w:r>
            <w:r w:rsidRPr="00D709A2">
              <w:rPr>
                <w:szCs w:val="24"/>
                <w:lang w:val="zh-CN" w:eastAsia="zh-CN"/>
              </w:rPr>
              <w:t>研究组审议批准该案文（附反对意见的理由并概述可使该项工作取得进展的可能修改）</w:t>
            </w:r>
          </w:p>
        </w:tc>
      </w:tr>
      <w:tr w:rsidR="0009235E" w:rsidRPr="00D709A2" w14:paraId="6F2701C1" w14:textId="77777777" w:rsidTr="00312723">
        <w:trPr>
          <w:trHeight w:val="748"/>
        </w:trPr>
        <w:tc>
          <w:tcPr>
            <w:tcW w:w="2085" w:type="dxa"/>
            <w:vMerge w:val="restart"/>
            <w:shd w:val="clear" w:color="auto" w:fill="auto"/>
            <w:vAlign w:val="center"/>
          </w:tcPr>
          <w:p w14:paraId="69DE3305" w14:textId="77777777" w:rsidR="0009235E" w:rsidRPr="00D709A2" w:rsidRDefault="0009235E" w:rsidP="00D709A2">
            <w:pPr>
              <w:keepNext/>
              <w:keepLines/>
              <w:spacing w:before="60" w:after="60"/>
              <w:jc w:val="center"/>
              <w:rPr>
                <w:rFonts w:eastAsia="Times New Roman"/>
                <w:b/>
                <w:bCs/>
                <w:szCs w:val="24"/>
              </w:rPr>
            </w:pPr>
            <w:r w:rsidRPr="00D709A2">
              <w:rPr>
                <w:b/>
                <w:bCs/>
                <w:szCs w:val="24"/>
                <w:lang w:val="zh-CN"/>
              </w:rPr>
              <w:lastRenderedPageBreak/>
              <w:t>ITU-T Y.4508</w:t>
            </w:r>
            <w:proofErr w:type="spellStart"/>
            <w:r w:rsidRPr="00D709A2">
              <w:rPr>
                <w:b/>
                <w:bCs/>
                <w:szCs w:val="24"/>
                <w:lang w:val="zh-CN"/>
              </w:rPr>
              <w:t>新建议书草案（原</w:t>
            </w:r>
            <w:proofErr w:type="spellEnd"/>
            <w:r w:rsidRPr="00D709A2">
              <w:rPr>
                <w:b/>
                <w:bCs/>
                <w:szCs w:val="24"/>
                <w:lang w:val="zh-CN"/>
              </w:rPr>
              <w:t>Y.DPM-alm-fra</w:t>
            </w:r>
            <w:r w:rsidRPr="00D709A2">
              <w:rPr>
                <w:b/>
                <w:bCs/>
                <w:szCs w:val="24"/>
                <w:lang w:val="zh-CN"/>
              </w:rPr>
              <w:t>）</w:t>
            </w:r>
          </w:p>
        </w:tc>
        <w:tc>
          <w:tcPr>
            <w:tcW w:w="7634" w:type="dxa"/>
            <w:shd w:val="clear" w:color="auto" w:fill="auto"/>
            <w:vAlign w:val="center"/>
          </w:tcPr>
          <w:p w14:paraId="0C582D8C" w14:textId="145B98DB" w:rsidR="0009235E" w:rsidRPr="00D709A2" w:rsidRDefault="0009235E" w:rsidP="00D709A2">
            <w:pPr>
              <w:keepNext/>
              <w:keepLines/>
              <w:tabs>
                <w:tab w:val="clear" w:pos="794"/>
                <w:tab w:val="clear" w:pos="1191"/>
                <w:tab w:val="clear" w:pos="1588"/>
                <w:tab w:val="clear" w:pos="1985"/>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授权</w:t>
            </w:r>
            <w:r w:rsidRPr="00D709A2">
              <w:rPr>
                <w:szCs w:val="24"/>
                <w:lang w:val="zh-CN" w:eastAsia="zh-CN"/>
              </w:rPr>
              <w:t>第</w:t>
            </w:r>
            <w:r w:rsidRPr="00D709A2">
              <w:rPr>
                <w:szCs w:val="24"/>
                <w:lang w:val="zh-CN" w:eastAsia="zh-CN"/>
              </w:rPr>
              <w:t>20</w:t>
            </w:r>
            <w:r w:rsidRPr="00D709A2">
              <w:rPr>
                <w:szCs w:val="24"/>
                <w:lang w:val="zh-CN" w:eastAsia="zh-CN"/>
              </w:rPr>
              <w:t>研究组审议</w:t>
            </w:r>
            <w:r w:rsidRPr="00D709A2">
              <w:rPr>
                <w:rFonts w:hint="eastAsia"/>
                <w:szCs w:val="24"/>
                <w:lang w:val="zh-CN" w:eastAsia="zh-CN"/>
              </w:rPr>
              <w:t>并</w:t>
            </w:r>
            <w:r w:rsidRPr="00D709A2">
              <w:rPr>
                <w:szCs w:val="24"/>
                <w:lang w:val="zh-CN" w:eastAsia="zh-CN"/>
              </w:rPr>
              <w:t>批准</w:t>
            </w:r>
            <w:r w:rsidRPr="00D709A2">
              <w:rPr>
                <w:rFonts w:hint="eastAsia"/>
                <w:szCs w:val="24"/>
                <w:lang w:val="zh-CN" w:eastAsia="zh-CN"/>
              </w:rPr>
              <w:t>此</w:t>
            </w:r>
            <w:r w:rsidRPr="00D709A2">
              <w:rPr>
                <w:szCs w:val="24"/>
                <w:lang w:val="zh-CN" w:eastAsia="zh-CN"/>
              </w:rPr>
              <w:t>案文（在这种情况下，请选择两种方案</w:t>
            </w:r>
            <w:r w:rsidRPr="00D709A2">
              <w:rPr>
                <w:szCs w:val="24"/>
                <w:lang w:val="zh-CN" w:eastAsia="zh-CN"/>
              </w:rPr>
              <w:t>⃝</w:t>
            </w:r>
            <w:r w:rsidRPr="00D709A2">
              <w:rPr>
                <w:szCs w:val="24"/>
                <w:lang w:val="zh-CN" w:eastAsia="zh-CN"/>
              </w:rPr>
              <w:t>中的一种）：</w:t>
            </w:r>
          </w:p>
          <w:p w14:paraId="2DD80876" w14:textId="77777777" w:rsidR="0009235E" w:rsidRPr="00D709A2" w:rsidRDefault="0009235E" w:rsidP="00D709A2">
            <w:pPr>
              <w:keepNext/>
              <w:keepLines/>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无意见或修改建议</w:t>
            </w:r>
          </w:p>
          <w:p w14:paraId="53C95DF9" w14:textId="77777777" w:rsidR="0009235E" w:rsidRPr="00D709A2" w:rsidRDefault="0009235E" w:rsidP="00D709A2">
            <w:pPr>
              <w:keepNext/>
              <w:keepLines/>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后附意见和修改建议</w:t>
            </w:r>
          </w:p>
        </w:tc>
      </w:tr>
      <w:tr w:rsidR="0009235E" w:rsidRPr="00D709A2" w14:paraId="0432B318" w14:textId="77777777" w:rsidTr="00312723">
        <w:trPr>
          <w:trHeight w:val="747"/>
        </w:trPr>
        <w:tc>
          <w:tcPr>
            <w:tcW w:w="2085" w:type="dxa"/>
            <w:vMerge/>
            <w:shd w:val="clear" w:color="auto" w:fill="auto"/>
            <w:vAlign w:val="center"/>
          </w:tcPr>
          <w:p w14:paraId="467B4352" w14:textId="77777777" w:rsidR="0009235E" w:rsidRPr="00D709A2" w:rsidRDefault="0009235E" w:rsidP="00312723">
            <w:pPr>
              <w:spacing w:before="60" w:after="60"/>
              <w:jc w:val="center"/>
              <w:rPr>
                <w:rFonts w:eastAsia="Times New Roman"/>
                <w:b/>
                <w:bCs/>
                <w:szCs w:val="24"/>
                <w:lang w:eastAsia="zh-CN"/>
              </w:rPr>
            </w:pPr>
          </w:p>
        </w:tc>
        <w:tc>
          <w:tcPr>
            <w:tcW w:w="7634" w:type="dxa"/>
            <w:shd w:val="clear" w:color="auto" w:fill="auto"/>
            <w:vAlign w:val="center"/>
          </w:tcPr>
          <w:p w14:paraId="01D28486" w14:textId="0D022FD3" w:rsidR="0009235E" w:rsidRPr="00D709A2" w:rsidRDefault="0009235E" w:rsidP="00312723">
            <w:pPr>
              <w:tabs>
                <w:tab w:val="clear" w:pos="794"/>
                <w:tab w:val="clear" w:pos="1191"/>
                <w:tab w:val="clear" w:pos="1588"/>
                <w:tab w:val="clear" w:pos="1985"/>
                <w:tab w:val="left" w:pos="250"/>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不授权</w:t>
            </w:r>
            <w:r w:rsidRPr="00D709A2">
              <w:rPr>
                <w:szCs w:val="24"/>
                <w:lang w:val="zh-CN" w:eastAsia="zh-CN"/>
              </w:rPr>
              <w:t>第</w:t>
            </w:r>
            <w:r w:rsidRPr="00D709A2">
              <w:rPr>
                <w:szCs w:val="24"/>
                <w:lang w:val="zh-CN" w:eastAsia="zh-CN"/>
              </w:rPr>
              <w:t>20</w:t>
            </w:r>
            <w:r w:rsidRPr="00D709A2">
              <w:rPr>
                <w:szCs w:val="24"/>
                <w:lang w:val="zh-CN" w:eastAsia="zh-CN"/>
              </w:rPr>
              <w:t>研究组审议批准该案文（附反对意见的理由并概述可使该项工作取得进展的可能修改）</w:t>
            </w:r>
          </w:p>
        </w:tc>
      </w:tr>
      <w:tr w:rsidR="0009235E" w:rsidRPr="00D709A2" w14:paraId="073F57DC" w14:textId="77777777" w:rsidTr="00312723">
        <w:trPr>
          <w:trHeight w:val="748"/>
        </w:trPr>
        <w:tc>
          <w:tcPr>
            <w:tcW w:w="2085" w:type="dxa"/>
            <w:vMerge w:val="restart"/>
            <w:shd w:val="clear" w:color="auto" w:fill="auto"/>
            <w:vAlign w:val="center"/>
          </w:tcPr>
          <w:p w14:paraId="280D4BDB" w14:textId="77777777" w:rsidR="0009235E" w:rsidRPr="00D709A2" w:rsidRDefault="0009235E" w:rsidP="00312723">
            <w:pPr>
              <w:spacing w:before="60" w:after="60"/>
              <w:jc w:val="center"/>
              <w:rPr>
                <w:rFonts w:eastAsia="Times New Roman"/>
                <w:b/>
                <w:bCs/>
                <w:szCs w:val="24"/>
              </w:rPr>
            </w:pPr>
            <w:r w:rsidRPr="00D709A2">
              <w:rPr>
                <w:b/>
                <w:bCs/>
                <w:szCs w:val="24"/>
                <w:lang w:val="zh-CN"/>
              </w:rPr>
              <w:t>ITU-T Y.4706</w:t>
            </w:r>
            <w:proofErr w:type="spellStart"/>
            <w:r w:rsidRPr="00D709A2">
              <w:rPr>
                <w:b/>
                <w:bCs/>
                <w:szCs w:val="24"/>
                <w:lang w:val="zh-CN"/>
              </w:rPr>
              <w:t>新建议书草案（原</w:t>
            </w:r>
            <w:proofErr w:type="spellEnd"/>
            <w:r w:rsidRPr="00D709A2">
              <w:rPr>
                <w:b/>
                <w:bCs/>
                <w:szCs w:val="24"/>
                <w:lang w:val="zh-CN"/>
              </w:rPr>
              <w:t>Y.dem-IoT</w:t>
            </w:r>
            <w:r w:rsidRPr="00D709A2">
              <w:rPr>
                <w:b/>
                <w:bCs/>
                <w:szCs w:val="24"/>
                <w:lang w:val="zh-CN"/>
              </w:rPr>
              <w:t>）</w:t>
            </w:r>
          </w:p>
        </w:tc>
        <w:tc>
          <w:tcPr>
            <w:tcW w:w="7634" w:type="dxa"/>
            <w:shd w:val="clear" w:color="auto" w:fill="auto"/>
            <w:vAlign w:val="center"/>
          </w:tcPr>
          <w:p w14:paraId="2123DA81" w14:textId="27F156F8" w:rsidR="0009235E" w:rsidRPr="00D709A2" w:rsidRDefault="0009235E" w:rsidP="00312723">
            <w:pPr>
              <w:tabs>
                <w:tab w:val="clear" w:pos="794"/>
                <w:tab w:val="clear" w:pos="1191"/>
                <w:tab w:val="clear" w:pos="1588"/>
                <w:tab w:val="clear" w:pos="1985"/>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授权</w:t>
            </w:r>
            <w:r w:rsidRPr="00D709A2">
              <w:rPr>
                <w:szCs w:val="24"/>
                <w:lang w:val="zh-CN" w:eastAsia="zh-CN"/>
              </w:rPr>
              <w:t>第</w:t>
            </w:r>
            <w:r w:rsidRPr="00D709A2">
              <w:rPr>
                <w:szCs w:val="24"/>
                <w:lang w:val="zh-CN" w:eastAsia="zh-CN"/>
              </w:rPr>
              <w:t>20</w:t>
            </w:r>
            <w:r w:rsidRPr="00D709A2">
              <w:rPr>
                <w:szCs w:val="24"/>
                <w:lang w:val="zh-CN" w:eastAsia="zh-CN"/>
              </w:rPr>
              <w:t>研究组审议</w:t>
            </w:r>
            <w:r w:rsidRPr="00D709A2">
              <w:rPr>
                <w:rFonts w:hint="eastAsia"/>
                <w:szCs w:val="24"/>
                <w:lang w:val="zh-CN" w:eastAsia="zh-CN"/>
              </w:rPr>
              <w:t>并</w:t>
            </w:r>
            <w:r w:rsidRPr="00D709A2">
              <w:rPr>
                <w:szCs w:val="24"/>
                <w:lang w:val="zh-CN" w:eastAsia="zh-CN"/>
              </w:rPr>
              <w:t>批准</w:t>
            </w:r>
            <w:r w:rsidRPr="00D709A2">
              <w:rPr>
                <w:rFonts w:hint="eastAsia"/>
                <w:szCs w:val="24"/>
                <w:lang w:val="zh-CN" w:eastAsia="zh-CN"/>
              </w:rPr>
              <w:t>此</w:t>
            </w:r>
            <w:r w:rsidRPr="00D709A2">
              <w:rPr>
                <w:szCs w:val="24"/>
                <w:lang w:val="zh-CN" w:eastAsia="zh-CN"/>
              </w:rPr>
              <w:t>案文（在这种情况下，请选择两种方案</w:t>
            </w:r>
            <w:r w:rsidRPr="00D709A2">
              <w:rPr>
                <w:szCs w:val="24"/>
                <w:lang w:val="zh-CN" w:eastAsia="zh-CN"/>
              </w:rPr>
              <w:t>⃝</w:t>
            </w:r>
            <w:r w:rsidRPr="00D709A2">
              <w:rPr>
                <w:szCs w:val="24"/>
                <w:lang w:val="zh-CN" w:eastAsia="zh-CN"/>
              </w:rPr>
              <w:t>中的一种）：</w:t>
            </w:r>
          </w:p>
          <w:p w14:paraId="77825C2B"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无意见或修改建议</w:t>
            </w:r>
          </w:p>
          <w:p w14:paraId="5F16C2E3"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后附意见和修改建议</w:t>
            </w:r>
          </w:p>
        </w:tc>
      </w:tr>
      <w:tr w:rsidR="0009235E" w:rsidRPr="00D709A2" w14:paraId="53E703E8" w14:textId="77777777" w:rsidTr="00312723">
        <w:trPr>
          <w:trHeight w:val="747"/>
        </w:trPr>
        <w:tc>
          <w:tcPr>
            <w:tcW w:w="2085" w:type="dxa"/>
            <w:vMerge/>
            <w:shd w:val="clear" w:color="auto" w:fill="auto"/>
          </w:tcPr>
          <w:p w14:paraId="241A3AC9" w14:textId="77777777" w:rsidR="0009235E" w:rsidRPr="00D709A2" w:rsidRDefault="0009235E" w:rsidP="00312723">
            <w:pPr>
              <w:spacing w:before="60" w:after="60"/>
              <w:jc w:val="center"/>
              <w:rPr>
                <w:rFonts w:eastAsia="Times New Roman"/>
                <w:b/>
                <w:bCs/>
                <w:szCs w:val="24"/>
                <w:lang w:eastAsia="zh-CN"/>
              </w:rPr>
            </w:pPr>
          </w:p>
        </w:tc>
        <w:tc>
          <w:tcPr>
            <w:tcW w:w="7634" w:type="dxa"/>
            <w:shd w:val="clear" w:color="auto" w:fill="auto"/>
          </w:tcPr>
          <w:p w14:paraId="1D4DFCC6" w14:textId="70A22D1A" w:rsidR="0009235E" w:rsidRPr="00D709A2" w:rsidRDefault="0009235E" w:rsidP="00312723">
            <w:pPr>
              <w:tabs>
                <w:tab w:val="clear" w:pos="794"/>
                <w:tab w:val="clear" w:pos="1191"/>
                <w:tab w:val="clear" w:pos="1588"/>
                <w:tab w:val="clear" w:pos="1985"/>
                <w:tab w:val="left" w:pos="250"/>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不授权</w:t>
            </w:r>
            <w:r w:rsidRPr="00D709A2">
              <w:rPr>
                <w:szCs w:val="24"/>
                <w:lang w:val="zh-CN" w:eastAsia="zh-CN"/>
              </w:rPr>
              <w:t>第</w:t>
            </w:r>
            <w:r w:rsidRPr="00D709A2">
              <w:rPr>
                <w:szCs w:val="24"/>
                <w:lang w:val="zh-CN" w:eastAsia="zh-CN"/>
              </w:rPr>
              <w:t>20</w:t>
            </w:r>
            <w:r w:rsidRPr="00D709A2">
              <w:rPr>
                <w:szCs w:val="24"/>
                <w:lang w:val="zh-CN" w:eastAsia="zh-CN"/>
              </w:rPr>
              <w:t>研究组审议批准该案文（附反对意见的理由并概述可使该项工作取得进展的可能修改）</w:t>
            </w:r>
          </w:p>
        </w:tc>
      </w:tr>
      <w:tr w:rsidR="0009235E" w:rsidRPr="00D709A2" w14:paraId="0253BAD9" w14:textId="77777777" w:rsidTr="00312723">
        <w:trPr>
          <w:trHeight w:val="748"/>
        </w:trPr>
        <w:tc>
          <w:tcPr>
            <w:tcW w:w="2085" w:type="dxa"/>
            <w:vMerge w:val="restart"/>
            <w:shd w:val="clear" w:color="auto" w:fill="auto"/>
            <w:vAlign w:val="center"/>
          </w:tcPr>
          <w:p w14:paraId="608DBC29" w14:textId="77777777" w:rsidR="0009235E" w:rsidRPr="00D709A2" w:rsidRDefault="0009235E" w:rsidP="00312723">
            <w:pPr>
              <w:spacing w:before="60" w:after="60"/>
              <w:jc w:val="center"/>
              <w:rPr>
                <w:rFonts w:eastAsia="Times New Roman"/>
                <w:b/>
                <w:bCs/>
                <w:szCs w:val="24"/>
              </w:rPr>
            </w:pPr>
            <w:r w:rsidRPr="00D709A2">
              <w:rPr>
                <w:b/>
                <w:bCs/>
                <w:szCs w:val="24"/>
                <w:lang w:val="zh-CN"/>
              </w:rPr>
              <w:t>ITU-T Y.4499</w:t>
            </w:r>
            <w:proofErr w:type="spellStart"/>
            <w:r w:rsidRPr="00D709A2">
              <w:rPr>
                <w:b/>
                <w:bCs/>
                <w:szCs w:val="24"/>
                <w:lang w:val="zh-CN"/>
              </w:rPr>
              <w:t>新建议书草案（原</w:t>
            </w:r>
            <w:proofErr w:type="spellEnd"/>
            <w:r w:rsidRPr="00D709A2">
              <w:rPr>
                <w:b/>
                <w:bCs/>
                <w:szCs w:val="24"/>
                <w:lang w:val="zh-CN"/>
              </w:rPr>
              <w:t>Y.UIM-cs-framework</w:t>
            </w:r>
            <w:r w:rsidRPr="00D709A2">
              <w:rPr>
                <w:b/>
                <w:bCs/>
                <w:szCs w:val="24"/>
                <w:lang w:val="zh-CN"/>
              </w:rPr>
              <w:t>）</w:t>
            </w:r>
          </w:p>
        </w:tc>
        <w:tc>
          <w:tcPr>
            <w:tcW w:w="7634" w:type="dxa"/>
            <w:shd w:val="clear" w:color="auto" w:fill="auto"/>
            <w:vAlign w:val="center"/>
          </w:tcPr>
          <w:p w14:paraId="38786BC7" w14:textId="18A92374" w:rsidR="0009235E" w:rsidRPr="00D709A2" w:rsidRDefault="0009235E" w:rsidP="00312723">
            <w:pPr>
              <w:tabs>
                <w:tab w:val="clear" w:pos="794"/>
                <w:tab w:val="clear" w:pos="1191"/>
                <w:tab w:val="clear" w:pos="1588"/>
                <w:tab w:val="clear" w:pos="1985"/>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授权</w:t>
            </w:r>
            <w:r w:rsidRPr="00D709A2">
              <w:rPr>
                <w:szCs w:val="24"/>
                <w:lang w:val="zh-CN" w:eastAsia="zh-CN"/>
              </w:rPr>
              <w:t>第</w:t>
            </w:r>
            <w:r w:rsidRPr="00D709A2">
              <w:rPr>
                <w:szCs w:val="24"/>
                <w:lang w:val="zh-CN" w:eastAsia="zh-CN"/>
              </w:rPr>
              <w:t>20</w:t>
            </w:r>
            <w:r w:rsidRPr="00D709A2">
              <w:rPr>
                <w:szCs w:val="24"/>
                <w:lang w:val="zh-CN" w:eastAsia="zh-CN"/>
              </w:rPr>
              <w:t>研究组审议</w:t>
            </w:r>
            <w:r w:rsidRPr="00D709A2">
              <w:rPr>
                <w:rFonts w:hint="eastAsia"/>
                <w:szCs w:val="24"/>
                <w:lang w:val="zh-CN" w:eastAsia="zh-CN"/>
              </w:rPr>
              <w:t>并</w:t>
            </w:r>
            <w:r w:rsidRPr="00D709A2">
              <w:rPr>
                <w:szCs w:val="24"/>
                <w:lang w:val="zh-CN" w:eastAsia="zh-CN"/>
              </w:rPr>
              <w:t>批准</w:t>
            </w:r>
            <w:r w:rsidRPr="00D709A2">
              <w:rPr>
                <w:rFonts w:hint="eastAsia"/>
                <w:szCs w:val="24"/>
                <w:lang w:val="zh-CN" w:eastAsia="zh-CN"/>
              </w:rPr>
              <w:t>此</w:t>
            </w:r>
            <w:r w:rsidRPr="00D709A2">
              <w:rPr>
                <w:szCs w:val="24"/>
                <w:lang w:val="zh-CN" w:eastAsia="zh-CN"/>
              </w:rPr>
              <w:t>案文（在这种情况下，请选择两种方案</w:t>
            </w:r>
            <w:r w:rsidRPr="00D709A2">
              <w:rPr>
                <w:szCs w:val="24"/>
                <w:lang w:val="zh-CN" w:eastAsia="zh-CN"/>
              </w:rPr>
              <w:t>⃝</w:t>
            </w:r>
            <w:r w:rsidRPr="00D709A2">
              <w:rPr>
                <w:szCs w:val="24"/>
                <w:lang w:val="zh-CN" w:eastAsia="zh-CN"/>
              </w:rPr>
              <w:t>中的一种）：</w:t>
            </w:r>
          </w:p>
          <w:p w14:paraId="7ECB86EF"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无意见或修改建议</w:t>
            </w:r>
          </w:p>
          <w:p w14:paraId="61047044" w14:textId="77777777" w:rsidR="0009235E" w:rsidRPr="00D709A2" w:rsidRDefault="0009235E" w:rsidP="00312723">
            <w:pPr>
              <w:tabs>
                <w:tab w:val="clear" w:pos="794"/>
                <w:tab w:val="clear" w:pos="1191"/>
                <w:tab w:val="clear" w:pos="1588"/>
                <w:tab w:val="clear" w:pos="1985"/>
              </w:tabs>
              <w:spacing w:before="60" w:after="60"/>
              <w:ind w:left="939" w:hanging="459"/>
              <w:rPr>
                <w:rFonts w:eastAsia="Times New Roman"/>
                <w:szCs w:val="24"/>
                <w:lang w:eastAsia="zh-CN"/>
              </w:rPr>
            </w:pPr>
            <w:r w:rsidRPr="00D709A2">
              <w:rPr>
                <w:szCs w:val="24"/>
                <w:lang w:val="zh-CN" w:eastAsia="zh-CN"/>
              </w:rPr>
              <w:t>⃝</w:t>
            </w:r>
            <w:r w:rsidRPr="00D709A2">
              <w:rPr>
                <w:szCs w:val="24"/>
                <w:lang w:val="zh-CN" w:eastAsia="zh-CN"/>
              </w:rPr>
              <w:t>后附意见和修改建议</w:t>
            </w:r>
          </w:p>
        </w:tc>
      </w:tr>
      <w:tr w:rsidR="0009235E" w:rsidRPr="00D709A2" w14:paraId="1D4ED022" w14:textId="77777777" w:rsidTr="00312723">
        <w:trPr>
          <w:trHeight w:val="747"/>
        </w:trPr>
        <w:tc>
          <w:tcPr>
            <w:tcW w:w="2085" w:type="dxa"/>
            <w:vMerge/>
            <w:shd w:val="clear" w:color="auto" w:fill="auto"/>
            <w:vAlign w:val="center"/>
          </w:tcPr>
          <w:p w14:paraId="6133B7A6" w14:textId="77777777" w:rsidR="0009235E" w:rsidRPr="00D709A2" w:rsidRDefault="0009235E" w:rsidP="00312723">
            <w:pPr>
              <w:spacing w:before="60" w:after="60"/>
              <w:jc w:val="center"/>
              <w:rPr>
                <w:rFonts w:eastAsia="Times New Roman"/>
                <w:b/>
                <w:bCs/>
                <w:szCs w:val="24"/>
                <w:lang w:eastAsia="zh-CN"/>
              </w:rPr>
            </w:pPr>
          </w:p>
        </w:tc>
        <w:tc>
          <w:tcPr>
            <w:tcW w:w="7634" w:type="dxa"/>
            <w:shd w:val="clear" w:color="auto" w:fill="auto"/>
            <w:vAlign w:val="center"/>
          </w:tcPr>
          <w:p w14:paraId="18194A94" w14:textId="2BC1C6EC" w:rsidR="0009235E" w:rsidRPr="00D709A2" w:rsidRDefault="0009235E" w:rsidP="00312723">
            <w:pPr>
              <w:tabs>
                <w:tab w:val="clear" w:pos="794"/>
                <w:tab w:val="clear" w:pos="1191"/>
                <w:tab w:val="clear" w:pos="1588"/>
                <w:tab w:val="clear" w:pos="1985"/>
                <w:tab w:val="left" w:pos="250"/>
              </w:tabs>
              <w:spacing w:before="60" w:after="60"/>
              <w:ind w:left="459" w:hanging="459"/>
              <w:rPr>
                <w:rFonts w:eastAsia="Times New Roman"/>
                <w:szCs w:val="24"/>
                <w:lang w:eastAsia="zh-CN"/>
              </w:rPr>
            </w:pPr>
            <w:r w:rsidRPr="00D709A2">
              <w:rPr>
                <w:rFonts w:eastAsia="Times New Roman"/>
                <w:szCs w:val="24"/>
              </w:rPr>
              <w:fldChar w:fldCharType="begin">
                <w:ffData>
                  <w:name w:val="Check1"/>
                  <w:enabled/>
                  <w:calcOnExit w:val="0"/>
                  <w:checkBox>
                    <w:sizeAuto/>
                    <w:default w:val="0"/>
                  </w:checkBox>
                </w:ffData>
              </w:fldChar>
            </w:r>
            <w:r w:rsidRPr="00D709A2">
              <w:rPr>
                <w:rFonts w:eastAsia="Times New Roman"/>
                <w:szCs w:val="24"/>
                <w:lang w:eastAsia="zh-CN"/>
              </w:rPr>
              <w:instrText xml:space="preserve"> FORMCHECKBOX </w:instrText>
            </w:r>
            <w:r w:rsidR="00F716D1">
              <w:rPr>
                <w:rFonts w:eastAsia="Times New Roman"/>
                <w:szCs w:val="24"/>
              </w:rPr>
            </w:r>
            <w:r w:rsidR="00F716D1">
              <w:rPr>
                <w:rFonts w:eastAsia="Times New Roman"/>
                <w:szCs w:val="24"/>
              </w:rPr>
              <w:fldChar w:fldCharType="separate"/>
            </w:r>
            <w:r w:rsidRPr="00D709A2">
              <w:rPr>
                <w:rFonts w:eastAsia="Times New Roman"/>
                <w:szCs w:val="24"/>
              </w:rPr>
              <w:fldChar w:fldCharType="end"/>
            </w:r>
            <w:r w:rsidR="00D709A2" w:rsidRPr="00D709A2">
              <w:rPr>
                <w:rFonts w:eastAsiaTheme="minorEastAsia"/>
                <w:szCs w:val="24"/>
                <w:lang w:eastAsia="zh-CN"/>
              </w:rPr>
              <w:tab/>
            </w:r>
            <w:r w:rsidRPr="00D709A2">
              <w:rPr>
                <w:b/>
                <w:bCs/>
                <w:szCs w:val="24"/>
                <w:lang w:val="zh-CN" w:eastAsia="zh-CN"/>
              </w:rPr>
              <w:t>不授权</w:t>
            </w:r>
            <w:r w:rsidRPr="00D709A2">
              <w:rPr>
                <w:szCs w:val="24"/>
                <w:lang w:val="zh-CN" w:eastAsia="zh-CN"/>
              </w:rPr>
              <w:t>第</w:t>
            </w:r>
            <w:r w:rsidRPr="00D709A2">
              <w:rPr>
                <w:szCs w:val="24"/>
                <w:lang w:val="zh-CN" w:eastAsia="zh-CN"/>
              </w:rPr>
              <w:t>20</w:t>
            </w:r>
            <w:r w:rsidRPr="00D709A2">
              <w:rPr>
                <w:szCs w:val="24"/>
                <w:lang w:val="zh-CN" w:eastAsia="zh-CN"/>
              </w:rPr>
              <w:t>研究组审议批准该案文（附反对意见的理由并概述可使该项工作取得进展的可能修改）</w:t>
            </w:r>
          </w:p>
        </w:tc>
      </w:tr>
    </w:tbl>
    <w:p w14:paraId="73935CF3" w14:textId="77777777" w:rsidR="0009235E" w:rsidRPr="00A47840" w:rsidRDefault="0009235E" w:rsidP="0009235E">
      <w:pPr>
        <w:spacing w:before="0"/>
        <w:rPr>
          <w:rFonts w:eastAsia="Times New Roman"/>
          <w:lang w:eastAsia="zh-CN"/>
        </w:rPr>
      </w:pPr>
    </w:p>
    <w:p w14:paraId="7761C3BF" w14:textId="77777777" w:rsidR="0009235E" w:rsidRPr="00A47840" w:rsidRDefault="0009235E" w:rsidP="0009235E">
      <w:pPr>
        <w:spacing w:before="0"/>
        <w:rPr>
          <w:rFonts w:eastAsia="Times New Roman"/>
          <w:lang w:eastAsia="zh-CN"/>
        </w:rPr>
      </w:pPr>
      <w:r>
        <w:rPr>
          <w:rFonts w:hint="eastAsia"/>
          <w:lang w:val="zh-CN" w:eastAsia="zh-CN"/>
        </w:rPr>
        <w:t>顺致敬意，</w:t>
      </w:r>
    </w:p>
    <w:p w14:paraId="7C9F5EC2" w14:textId="77777777" w:rsidR="0009235E" w:rsidRPr="00A47840" w:rsidRDefault="0009235E" w:rsidP="0009235E">
      <w:pPr>
        <w:rPr>
          <w:rFonts w:eastAsia="Times New Roman"/>
          <w:szCs w:val="24"/>
          <w:lang w:eastAsia="zh-CN"/>
        </w:rPr>
      </w:pPr>
      <w:r>
        <w:rPr>
          <w:lang w:val="zh-CN" w:eastAsia="zh-CN"/>
        </w:rPr>
        <w:t>[</w:t>
      </w:r>
      <w:r>
        <w:rPr>
          <w:lang w:val="zh-CN" w:eastAsia="zh-CN"/>
        </w:rPr>
        <w:t>姓名</w:t>
      </w:r>
      <w:r>
        <w:rPr>
          <w:lang w:val="zh-CN" w:eastAsia="zh-CN"/>
        </w:rPr>
        <w:t>]</w:t>
      </w:r>
    </w:p>
    <w:p w14:paraId="090339BB" w14:textId="77777777" w:rsidR="0009235E" w:rsidRPr="00A47840" w:rsidRDefault="0009235E" w:rsidP="0009235E">
      <w:pPr>
        <w:rPr>
          <w:rFonts w:eastAsia="Times New Roman"/>
          <w:szCs w:val="24"/>
          <w:lang w:eastAsia="zh-CN"/>
        </w:rPr>
      </w:pPr>
      <w:r>
        <w:rPr>
          <w:lang w:val="zh-CN" w:eastAsia="zh-CN"/>
        </w:rPr>
        <w:t>[</w:t>
      </w:r>
      <w:r>
        <w:rPr>
          <w:lang w:val="zh-CN" w:eastAsia="zh-CN"/>
        </w:rPr>
        <w:t>官方职务</w:t>
      </w:r>
      <w:r>
        <w:rPr>
          <w:lang w:val="zh-CN" w:eastAsia="zh-CN"/>
        </w:rPr>
        <w:t>/</w:t>
      </w:r>
      <w:r>
        <w:rPr>
          <w:lang w:val="zh-CN" w:eastAsia="zh-CN"/>
        </w:rPr>
        <w:t>头衔</w:t>
      </w:r>
      <w:r>
        <w:rPr>
          <w:lang w:val="zh-CN" w:eastAsia="zh-CN"/>
        </w:rPr>
        <w:t>]</w:t>
      </w:r>
    </w:p>
    <w:p w14:paraId="5BCA7B25" w14:textId="77777777" w:rsidR="0009235E" w:rsidRPr="00A47840" w:rsidRDefault="0009235E" w:rsidP="0009235E">
      <w:pPr>
        <w:rPr>
          <w:rFonts w:eastAsia="Times New Roman"/>
          <w:szCs w:val="24"/>
        </w:rPr>
      </w:pPr>
      <w:r>
        <w:rPr>
          <w:lang w:val="zh-CN"/>
        </w:rPr>
        <w:t>[</w:t>
      </w:r>
      <w:proofErr w:type="spellStart"/>
      <w:r>
        <w:rPr>
          <w:lang w:val="zh-CN"/>
        </w:rPr>
        <w:t>成员国</w:t>
      </w:r>
      <w:proofErr w:type="spellEnd"/>
      <w:r>
        <w:rPr>
          <w:lang w:val="zh-CN"/>
        </w:rPr>
        <w:t xml:space="preserve">] </w:t>
      </w:r>
      <w:proofErr w:type="spellStart"/>
      <w:r>
        <w:rPr>
          <w:lang w:val="zh-CN"/>
        </w:rPr>
        <w:t>主管部门</w:t>
      </w:r>
      <w:proofErr w:type="spellEnd"/>
    </w:p>
    <w:p w14:paraId="3B4369BA" w14:textId="77777777" w:rsidR="0009235E" w:rsidRDefault="0009235E" w:rsidP="00411C49">
      <w:pPr>
        <w:pStyle w:val="Reasons"/>
      </w:pPr>
    </w:p>
    <w:p w14:paraId="243BD07A" w14:textId="77777777" w:rsidR="0009235E" w:rsidRDefault="0009235E">
      <w:pPr>
        <w:jc w:val="center"/>
      </w:pPr>
      <w:r>
        <w:t>______________</w:t>
      </w:r>
    </w:p>
    <w:sectPr w:rsidR="0009235E">
      <w:headerReference w:type="default" r:id="rId25"/>
      <w:footerReference w:type="first" r:id="rId2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B0D05" w14:textId="77777777" w:rsidR="00EE08C3" w:rsidRDefault="00EE08C3">
      <w:r>
        <w:separator/>
      </w:r>
    </w:p>
  </w:endnote>
  <w:endnote w:type="continuationSeparator" w:id="0">
    <w:p w14:paraId="1C9F6027" w14:textId="77777777" w:rsidR="00EE08C3" w:rsidRDefault="00EE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18F4"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234FE" w14:textId="77777777" w:rsidR="00EE08C3" w:rsidRDefault="00EE08C3">
      <w:r>
        <w:separator/>
      </w:r>
    </w:p>
  </w:footnote>
  <w:footnote w:type="continuationSeparator" w:id="0">
    <w:p w14:paraId="5956542E" w14:textId="77777777" w:rsidR="00EE08C3" w:rsidRDefault="00EE0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7790C" w14:textId="5CB3C8D3" w:rsidR="00841612" w:rsidRPr="00EE08C3" w:rsidRDefault="002D2024" w:rsidP="00590119">
    <w:pPr>
      <w:pStyle w:val="Header"/>
      <w:rPr>
        <w:sz w:val="18"/>
        <w:szCs w:val="18"/>
      </w:rPr>
    </w:pPr>
    <w:r w:rsidRPr="00EE08C3">
      <w:rPr>
        <w:sz w:val="18"/>
        <w:szCs w:val="18"/>
      </w:rPr>
      <w:t xml:space="preserve">- </w:t>
    </w:r>
    <w:r w:rsidR="00841612" w:rsidRPr="00EE08C3">
      <w:rPr>
        <w:sz w:val="18"/>
        <w:szCs w:val="18"/>
      </w:rPr>
      <w:fldChar w:fldCharType="begin"/>
    </w:r>
    <w:r w:rsidR="00841612" w:rsidRPr="00EE08C3">
      <w:rPr>
        <w:sz w:val="18"/>
        <w:szCs w:val="18"/>
      </w:rPr>
      <w:instrText>PAGE</w:instrText>
    </w:r>
    <w:r w:rsidR="00841612" w:rsidRPr="00EE08C3">
      <w:rPr>
        <w:sz w:val="18"/>
        <w:szCs w:val="18"/>
      </w:rPr>
      <w:fldChar w:fldCharType="separate"/>
    </w:r>
    <w:r w:rsidR="00191798" w:rsidRPr="00EE08C3">
      <w:rPr>
        <w:noProof/>
        <w:sz w:val="18"/>
        <w:szCs w:val="18"/>
      </w:rPr>
      <w:t>2</w:t>
    </w:r>
    <w:r w:rsidR="00841612" w:rsidRPr="00EE08C3">
      <w:rPr>
        <w:sz w:val="18"/>
        <w:szCs w:val="18"/>
      </w:rPr>
      <w:fldChar w:fldCharType="end"/>
    </w:r>
    <w:r w:rsidRPr="00EE08C3">
      <w:rPr>
        <w:sz w:val="18"/>
        <w:szCs w:val="18"/>
      </w:rPr>
      <w:t xml:space="preserve"> -</w:t>
    </w:r>
    <w:r w:rsidR="00EE08C3" w:rsidRPr="00EE08C3">
      <w:rPr>
        <w:sz w:val="18"/>
        <w:szCs w:val="18"/>
      </w:rPr>
      <w:br/>
    </w:r>
    <w:r w:rsidR="00EE08C3" w:rsidRPr="00EE08C3">
      <w:rPr>
        <w:rFonts w:ascii="Calibri" w:hAnsi="Calibri" w:cs="Calibri"/>
        <w:sz w:val="18"/>
        <w:szCs w:val="18"/>
        <w:lang w:val="es-419" w:eastAsia="zh-CN"/>
      </w:rPr>
      <w:t>电信标准化局第</w:t>
    </w:r>
    <w:r w:rsidR="00EE08C3" w:rsidRPr="00EE08C3">
      <w:rPr>
        <w:rFonts w:ascii="Calibri" w:hAnsi="Calibri" w:cs="Calibri"/>
        <w:sz w:val="18"/>
        <w:szCs w:val="18"/>
        <w:lang w:val="es-419" w:eastAsia="zh-CN"/>
      </w:rPr>
      <w:t>23</w:t>
    </w:r>
    <w:r w:rsidR="0009235E">
      <w:rPr>
        <w:rFonts w:ascii="Calibri" w:hAnsi="Calibri" w:cs="Calibri" w:hint="eastAsia"/>
        <w:sz w:val="18"/>
        <w:szCs w:val="18"/>
        <w:lang w:val="es-419" w:eastAsia="zh-CN"/>
      </w:rPr>
      <w:t>6</w:t>
    </w:r>
    <w:r w:rsidR="00EE08C3" w:rsidRPr="00EE08C3">
      <w:rPr>
        <w:rFonts w:ascii="Calibri" w:hAnsi="Calibri" w:cs="Calibri"/>
        <w:sz w:val="18"/>
        <w:szCs w:val="18"/>
        <w:lang w:val="es-419"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61350"/>
    <w:multiLevelType w:val="multilevel"/>
    <w:tmpl w:val="BD82C894"/>
    <w:lvl w:ilvl="0">
      <w:start w:val="1"/>
      <w:numFmt w:val="decimal"/>
      <w:lvlText w:val="1.%1."/>
      <w:lvlJc w:val="left"/>
      <w:pPr>
        <w:tabs>
          <w:tab w:val="num" w:pos="720"/>
        </w:tabs>
        <w:ind w:left="720" w:hanging="360"/>
      </w:pPr>
      <w:rPr>
        <w:rFonts w:hint="default"/>
        <w:b/>
        <w:bCs/>
        <w:lang w:val="en-G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67D7B70"/>
    <w:multiLevelType w:val="hybridMultilevel"/>
    <w:tmpl w:val="B1D48172"/>
    <w:lvl w:ilvl="0" w:tplc="71F8D548">
      <w:start w:val="1"/>
      <w:numFmt w:val="decimal"/>
      <w:lvlText w:val="5.%1"/>
      <w:lvlJc w:val="left"/>
      <w:pPr>
        <w:ind w:left="786" w:hanging="360"/>
      </w:pPr>
      <w:rPr>
        <w:rFonts w:asciiTheme="minorHAnsi" w:hAnsiTheme="minorHAnsi" w:cstheme="minorHAnsi" w:hint="default"/>
        <w:b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D213460"/>
    <w:multiLevelType w:val="hybridMultilevel"/>
    <w:tmpl w:val="8E526A3A"/>
    <w:lvl w:ilvl="0" w:tplc="D3029182">
      <w:numFmt w:val="bullet"/>
      <w:lvlText w:val="-"/>
      <w:lvlJc w:val="left"/>
      <w:pPr>
        <w:ind w:left="1154" w:hanging="360"/>
      </w:pPr>
      <w:rPr>
        <w:rFonts w:ascii="Calibri" w:eastAsiaTheme="minorEastAsia" w:hAnsi="Calibri" w:cs="Calibri"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 w15:restartNumberingAfterBreak="0">
    <w:nsid w:val="22402CA7"/>
    <w:multiLevelType w:val="hybridMultilevel"/>
    <w:tmpl w:val="75000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B63797"/>
    <w:multiLevelType w:val="multilevel"/>
    <w:tmpl w:val="65C2497C"/>
    <w:lvl w:ilvl="0">
      <w:start w:val="1"/>
      <w:numFmt w:val="decimal"/>
      <w:lvlText w:val="%1."/>
      <w:lvlJc w:val="left"/>
      <w:pPr>
        <w:ind w:left="720" w:hanging="360"/>
      </w:pPr>
    </w:lvl>
    <w:lvl w:ilvl="1">
      <w:start w:val="5"/>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2D6827"/>
    <w:multiLevelType w:val="hybridMultilevel"/>
    <w:tmpl w:val="F2D6B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550B85"/>
    <w:multiLevelType w:val="multilevel"/>
    <w:tmpl w:val="5644EF2E"/>
    <w:lvl w:ilvl="0">
      <w:start w:val="3"/>
      <w:numFmt w:val="decimal"/>
      <w:lvlText w:val="%1."/>
      <w:lvlJc w:val="left"/>
      <w:pPr>
        <w:tabs>
          <w:tab w:val="num" w:pos="720"/>
        </w:tabs>
        <w:ind w:left="720" w:hanging="360"/>
      </w:pPr>
      <w:rPr>
        <w:rFonts w:hint="default"/>
      </w:rPr>
    </w:lvl>
    <w:lvl w:ilvl="1">
      <w:start w:val="3"/>
      <w:numFmt w:val="decimal"/>
      <w:lvlText w:val="4.%2."/>
      <w:lvlJc w:val="left"/>
      <w:pPr>
        <w:tabs>
          <w:tab w:val="num" w:pos="1440"/>
        </w:tabs>
        <w:ind w:left="1440" w:hanging="360"/>
      </w:pPr>
      <w:rPr>
        <w:rFonts w:ascii="Times New Roman" w:hAnsi="Times New Roman" w:cs="Times New Roman" w:hint="default"/>
        <w:b w:val="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1101E65"/>
    <w:multiLevelType w:val="multilevel"/>
    <w:tmpl w:val="D5E40DA4"/>
    <w:lvl w:ilvl="0">
      <w:start w:val="1"/>
      <w:numFmt w:val="decimal"/>
      <w:lvlText w:val="2.%1."/>
      <w:lvlJc w:val="left"/>
      <w:pPr>
        <w:tabs>
          <w:tab w:val="num" w:pos="720"/>
        </w:tabs>
        <w:ind w:left="720" w:hanging="360"/>
      </w:pPr>
      <w:rPr>
        <w:rFonts w:hint="default"/>
        <w:b/>
        <w:bCs/>
      </w:rPr>
    </w:lvl>
    <w:lvl w:ilvl="1">
      <w:start w:val="5"/>
      <w:numFmt w:val="bullet"/>
      <w:lvlText w:val=""/>
      <w:lvlJc w:val="left"/>
      <w:pPr>
        <w:tabs>
          <w:tab w:val="num" w:pos="1440"/>
        </w:tabs>
        <w:ind w:left="1440" w:hanging="360"/>
      </w:pPr>
      <w:rPr>
        <w:rFonts w:ascii="Wingdings" w:eastAsiaTheme="minorHAnsi" w:hAnsi="Wingdings" w:cs="Times New Roman"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533841FB"/>
    <w:multiLevelType w:val="multilevel"/>
    <w:tmpl w:val="DA50DCA6"/>
    <w:lvl w:ilvl="0">
      <w:start w:val="1"/>
      <w:numFmt w:val="decimal"/>
      <w:lvlText w:val="%1"/>
      <w:lvlJc w:val="left"/>
      <w:pPr>
        <w:ind w:left="360" w:hanging="360"/>
      </w:pPr>
      <w:rPr>
        <w:rFonts w:hint="default"/>
        <w:b/>
      </w:rPr>
    </w:lvl>
    <w:lvl w:ilvl="1">
      <w:start w:val="9"/>
      <w:numFmt w:val="decimal"/>
      <w:lvlText w:val="%1.%2"/>
      <w:lvlJc w:val="left"/>
      <w:pPr>
        <w:ind w:left="885" w:hanging="360"/>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295" w:hanging="72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3705" w:hanging="108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115" w:hanging="1440"/>
      </w:pPr>
      <w:rPr>
        <w:rFonts w:hint="default"/>
        <w:b/>
      </w:rPr>
    </w:lvl>
    <w:lvl w:ilvl="8">
      <w:start w:val="1"/>
      <w:numFmt w:val="decimal"/>
      <w:lvlText w:val="%1.%2.%3.%4.%5.%6.%7.%8.%9"/>
      <w:lvlJc w:val="left"/>
      <w:pPr>
        <w:ind w:left="6000" w:hanging="1800"/>
      </w:pPr>
      <w:rPr>
        <w:rFonts w:hint="default"/>
        <w:b/>
      </w:rPr>
    </w:lvl>
  </w:abstractNum>
  <w:abstractNum w:abstractNumId="9" w15:restartNumberingAfterBreak="0">
    <w:nsid w:val="5A8F7171"/>
    <w:multiLevelType w:val="hybridMultilevel"/>
    <w:tmpl w:val="8472A850"/>
    <w:lvl w:ilvl="0" w:tplc="96C0C0EA">
      <w:start w:val="1"/>
      <w:numFmt w:val="decimal"/>
      <w:lvlText w:val="3.%1"/>
      <w:lvlJc w:val="left"/>
      <w:pPr>
        <w:ind w:left="720" w:hanging="360"/>
      </w:pPr>
      <w:rPr>
        <w:rFonts w:asciiTheme="minorHAnsi" w:hAnsiTheme="minorHAnsi" w:cstheme="minorHAnsi" w:hint="default"/>
        <w:b/>
        <w:bCs w:val="0"/>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9D315B0"/>
    <w:multiLevelType w:val="hybridMultilevel"/>
    <w:tmpl w:val="4B789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B129E1"/>
    <w:multiLevelType w:val="hybridMultilevel"/>
    <w:tmpl w:val="FC82C72E"/>
    <w:lvl w:ilvl="0" w:tplc="BF2C8A80">
      <w:start w:val="1"/>
      <w:numFmt w:val="decimal"/>
      <w:lvlText w:val="4.%1"/>
      <w:lvlJc w:val="left"/>
      <w:pPr>
        <w:ind w:left="720" w:hanging="360"/>
      </w:pPr>
      <w:rPr>
        <w:rFonts w:asciiTheme="minorHAnsi" w:hAnsiTheme="minorHAnsi" w:cstheme="minorHAnsi" w:hint="default"/>
        <w:b/>
        <w:bCs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7E14459"/>
    <w:multiLevelType w:val="hybridMultilevel"/>
    <w:tmpl w:val="1CDA1862"/>
    <w:lvl w:ilvl="0" w:tplc="B9A0BF28">
      <w:start w:val="1"/>
      <w:numFmt w:val="decimal"/>
      <w:lvlText w:val="3.1.%1"/>
      <w:lvlJc w:val="left"/>
      <w:pPr>
        <w:ind w:left="644" w:hanging="360"/>
      </w:pPr>
      <w:rPr>
        <w:rFonts w:asciiTheme="minorHAnsi" w:hAnsiTheme="minorHAnsi" w:cstheme="minorHAnsi" w:hint="default"/>
        <w:b w:val="0"/>
        <w:sz w:val="24"/>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475679465">
    <w:abstractNumId w:val="2"/>
  </w:num>
  <w:num w:numId="2" w16cid:durableId="2083211452">
    <w:abstractNumId w:val="0"/>
  </w:num>
  <w:num w:numId="3" w16cid:durableId="1568952589">
    <w:abstractNumId w:val="4"/>
  </w:num>
  <w:num w:numId="4" w16cid:durableId="314450984">
    <w:abstractNumId w:val="7"/>
  </w:num>
  <w:num w:numId="5" w16cid:durableId="510073156">
    <w:abstractNumId w:val="6"/>
  </w:num>
  <w:num w:numId="6" w16cid:durableId="1948466855">
    <w:abstractNumId w:val="9"/>
  </w:num>
  <w:num w:numId="7" w16cid:durableId="1064183201">
    <w:abstractNumId w:val="12"/>
  </w:num>
  <w:num w:numId="8" w16cid:durableId="1820150224">
    <w:abstractNumId w:val="11"/>
  </w:num>
  <w:num w:numId="9" w16cid:durableId="1671636445">
    <w:abstractNumId w:val="1"/>
  </w:num>
  <w:num w:numId="10" w16cid:durableId="176191488">
    <w:abstractNumId w:val="3"/>
  </w:num>
  <w:num w:numId="11" w16cid:durableId="1088962751">
    <w:abstractNumId w:val="10"/>
  </w:num>
  <w:num w:numId="12" w16cid:durableId="1196582739">
    <w:abstractNumId w:val="5"/>
  </w:num>
  <w:num w:numId="13" w16cid:durableId="1020593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C3"/>
    <w:rsid w:val="00027EE3"/>
    <w:rsid w:val="00081BA5"/>
    <w:rsid w:val="00090E72"/>
    <w:rsid w:val="0009235E"/>
    <w:rsid w:val="00094C0B"/>
    <w:rsid w:val="000A2484"/>
    <w:rsid w:val="000D6D35"/>
    <w:rsid w:val="00117471"/>
    <w:rsid w:val="00124B7E"/>
    <w:rsid w:val="00160A43"/>
    <w:rsid w:val="00191798"/>
    <w:rsid w:val="001D6E70"/>
    <w:rsid w:val="00234A9B"/>
    <w:rsid w:val="00282732"/>
    <w:rsid w:val="00284869"/>
    <w:rsid w:val="002D2024"/>
    <w:rsid w:val="002E05E3"/>
    <w:rsid w:val="00303A2A"/>
    <w:rsid w:val="003064AD"/>
    <w:rsid w:val="00334A24"/>
    <w:rsid w:val="0035674D"/>
    <w:rsid w:val="0038630E"/>
    <w:rsid w:val="003F1CCA"/>
    <w:rsid w:val="00407B5B"/>
    <w:rsid w:val="00464015"/>
    <w:rsid w:val="00486359"/>
    <w:rsid w:val="004C241D"/>
    <w:rsid w:val="00590119"/>
    <w:rsid w:val="00597CD8"/>
    <w:rsid w:val="005C26FD"/>
    <w:rsid w:val="00624E27"/>
    <w:rsid w:val="00627AE8"/>
    <w:rsid w:val="0063445E"/>
    <w:rsid w:val="006B463C"/>
    <w:rsid w:val="006D22B1"/>
    <w:rsid w:val="006D42C6"/>
    <w:rsid w:val="006E14B5"/>
    <w:rsid w:val="00715D8C"/>
    <w:rsid w:val="00720F32"/>
    <w:rsid w:val="007323FB"/>
    <w:rsid w:val="007568DA"/>
    <w:rsid w:val="007B645F"/>
    <w:rsid w:val="00821D13"/>
    <w:rsid w:val="00841612"/>
    <w:rsid w:val="0084436D"/>
    <w:rsid w:val="008B2BDA"/>
    <w:rsid w:val="009128F1"/>
    <w:rsid w:val="009424FC"/>
    <w:rsid w:val="00956D38"/>
    <w:rsid w:val="009727EA"/>
    <w:rsid w:val="00974486"/>
    <w:rsid w:val="009C2FF6"/>
    <w:rsid w:val="009E6B3D"/>
    <w:rsid w:val="00A1090D"/>
    <w:rsid w:val="00A125A3"/>
    <w:rsid w:val="00A16AB0"/>
    <w:rsid w:val="00A55D76"/>
    <w:rsid w:val="00AA3151"/>
    <w:rsid w:val="00AB6FE0"/>
    <w:rsid w:val="00B01F79"/>
    <w:rsid w:val="00B56B75"/>
    <w:rsid w:val="00BA04FA"/>
    <w:rsid w:val="00BB5392"/>
    <w:rsid w:val="00BB76F4"/>
    <w:rsid w:val="00BC7AEE"/>
    <w:rsid w:val="00BE339D"/>
    <w:rsid w:val="00C03E87"/>
    <w:rsid w:val="00C6016A"/>
    <w:rsid w:val="00C7008A"/>
    <w:rsid w:val="00C916ED"/>
    <w:rsid w:val="00CC50C4"/>
    <w:rsid w:val="00D16F47"/>
    <w:rsid w:val="00D2501B"/>
    <w:rsid w:val="00D34F86"/>
    <w:rsid w:val="00D709A2"/>
    <w:rsid w:val="00E35907"/>
    <w:rsid w:val="00E41E39"/>
    <w:rsid w:val="00E47AFF"/>
    <w:rsid w:val="00E83F16"/>
    <w:rsid w:val="00E91533"/>
    <w:rsid w:val="00EE08C3"/>
    <w:rsid w:val="00F07A3C"/>
    <w:rsid w:val="00F346AB"/>
    <w:rsid w:val="00F716D1"/>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5B11D"/>
  <w15:docId w15:val="{43C8A18A-612C-464D-B457-4ADD283C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链接1,超?级链,CEO_Hyperlink,超????,하이퍼링크2,하이퍼링크21,超??级链Ú,fL????,fL?级,超??级链,超?级链Ú,’´?级链,’´????,’´??级链Ú,’´??级"/>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E08C3"/>
    <w:pPr>
      <w:ind w:firstLineChars="200" w:firstLine="420"/>
    </w:pPr>
    <w:rPr>
      <w:rFonts w:ascii="Calibri" w:eastAsiaTheme="minorEastAsia" w:hAnsi="Calibri"/>
    </w:rPr>
  </w:style>
  <w:style w:type="paragraph" w:customStyle="1" w:styleId="Tabletext">
    <w:name w:val="Table_text"/>
    <w:basedOn w:val="Normal"/>
    <w:link w:val="TabletextChar"/>
    <w:rsid w:val="00EE08C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heme="minorEastAsia" w:hAnsi="Calibri"/>
    </w:rPr>
  </w:style>
  <w:style w:type="character" w:customStyle="1" w:styleId="TabletextChar">
    <w:name w:val="Table_text Char"/>
    <w:basedOn w:val="DefaultParagraphFont"/>
    <w:link w:val="Tabletext"/>
    <w:rsid w:val="00597CD8"/>
    <w:rPr>
      <w:rFonts w:ascii="Calibri" w:eastAsiaTheme="minorEastAsia" w:hAnsi="Calibri"/>
      <w:sz w:val="24"/>
      <w:lang w:val="en-GB" w:eastAsia="en-US"/>
    </w:rPr>
  </w:style>
  <w:style w:type="character" w:customStyle="1" w:styleId="ListParagraphChar">
    <w:name w:val="List Paragraph Char"/>
    <w:link w:val="ListParagraph"/>
    <w:uiPriority w:val="34"/>
    <w:qFormat/>
    <w:locked/>
    <w:rsid w:val="00597CD8"/>
    <w:rPr>
      <w:rFonts w:ascii="Calibri" w:eastAsiaTheme="minorEastAsia" w:hAnsi="Calibri"/>
      <w:sz w:val="24"/>
      <w:lang w:val="en-GB" w:eastAsia="en-US"/>
    </w:rPr>
  </w:style>
  <w:style w:type="table" w:customStyle="1" w:styleId="TableGrid1">
    <w:name w:val="Table Grid1"/>
    <w:basedOn w:val="TableNormal"/>
    <w:next w:val="TableGrid"/>
    <w:uiPriority w:val="39"/>
    <w:rsid w:val="00597C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09235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UnresolvedMention">
    <w:name w:val="Unresolved Mention"/>
    <w:basedOn w:val="DefaultParagraphFont"/>
    <w:uiPriority w:val="99"/>
    <w:semiHidden/>
    <w:unhideWhenUsed/>
    <w:rsid w:val="00D70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hyperlink" Target="https://www.itu.int/md/T22-SG20-R-0022/en" TargetMode="External"/><Relationship Id="rId18" Type="http://schemas.openxmlformats.org/officeDocument/2006/relationships/hyperlink" Target="https://www.itu.int/md/T22-SG20-R-0027/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md/T22-SG20-R-0030/en" TargetMode="External"/><Relationship Id="rId7" Type="http://schemas.openxmlformats.org/officeDocument/2006/relationships/image" Target="media/image1.png"/><Relationship Id="rId12" Type="http://schemas.openxmlformats.org/officeDocument/2006/relationships/hyperlink" Target="https://www.itu.int/md/T22-SG20-R-0021/en" TargetMode="External"/><Relationship Id="rId17" Type="http://schemas.openxmlformats.org/officeDocument/2006/relationships/hyperlink" Target="https://www.itu.int/md/T22-SG20-R-0026/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T22-SG20-R-0025/en" TargetMode="External"/><Relationship Id="rId20" Type="http://schemas.openxmlformats.org/officeDocument/2006/relationships/hyperlink" Target="https://www.itu.int/md/T22-SG20-R-002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tsbdir@itu.int" TargetMode="External"/><Relationship Id="rId5" Type="http://schemas.openxmlformats.org/officeDocument/2006/relationships/footnotes" Target="footnotes.xml"/><Relationship Id="rId15" Type="http://schemas.openxmlformats.org/officeDocument/2006/relationships/hyperlink" Target="https://www.itu.int/md/T22-SG20-R-0024/en" TargetMode="External"/><Relationship Id="rId23" Type="http://schemas.openxmlformats.org/officeDocument/2006/relationships/hyperlink" Target="https://www.itu.int/md/T22-SG20-R-0032/en" TargetMode="External"/><Relationship Id="rId28" Type="http://schemas.openxmlformats.org/officeDocument/2006/relationships/theme" Target="theme/theme1.xml"/><Relationship Id="rId10" Type="http://schemas.openxmlformats.org/officeDocument/2006/relationships/hyperlink" Target="http://www.itu.int/ipr/" TargetMode="External"/><Relationship Id="rId19" Type="http://schemas.openxmlformats.org/officeDocument/2006/relationships/hyperlink" Target="https://www.itu.int/md/T22-SG20-R-0028/en" TargetMode="External"/><Relationship Id="rId4" Type="http://schemas.openxmlformats.org/officeDocument/2006/relationships/webSettings" Target="webSettings.xml"/><Relationship Id="rId9" Type="http://schemas.openxmlformats.org/officeDocument/2006/relationships/hyperlink" Target="https://www.itu.int/md/meetingdoc.asp?lang=en&amp;parent=T22-SG20-COL-0005" TargetMode="External"/><Relationship Id="rId14" Type="http://schemas.openxmlformats.org/officeDocument/2006/relationships/hyperlink" Target="https://www.itu.int/md/T22-SG20-R-0023/en" TargetMode="External"/><Relationship Id="rId22" Type="http://schemas.openxmlformats.org/officeDocument/2006/relationships/hyperlink" Target="https://www.itu.int/md/T22-SG20-R-0031/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7</TotalTime>
  <Pages>8</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9463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TPU (C)</dc:creator>
  <cp:lastModifiedBy>Braud, Olivia</cp:lastModifiedBy>
  <cp:revision>5</cp:revision>
  <cp:lastPrinted>2024-11-06T11:50:00Z</cp:lastPrinted>
  <dcterms:created xsi:type="dcterms:W3CDTF">2024-10-21T15:49:00Z</dcterms:created>
  <dcterms:modified xsi:type="dcterms:W3CDTF">2024-11-06T11:51:00Z</dcterms:modified>
</cp:coreProperties>
</file>